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ACC"/>
  <w:body>
    <w:p w14:paraId="440BA7BC">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1474" w:right="0" w:hanging="1264"/>
        <w:jc w:val="both"/>
      </w:pPr>
      <w:r>
        <w:rPr>
          <w:rFonts w:ascii="仿宋" w:hAnsi="仿宋" w:eastAsia="仿宋" w:cs="仿宋"/>
          <w:b/>
          <w:bCs/>
          <w:color w:val="000000"/>
          <w:sz w:val="40"/>
          <w:szCs w:val="40"/>
        </w:rPr>
        <w:t>环评批复公示：</w:t>
      </w:r>
    </w:p>
    <w:p w14:paraId="350316A4">
      <w:pPr>
        <w:spacing w:line="600" w:lineRule="exact"/>
        <w:jc w:val="both"/>
        <w:rPr>
          <w:rFonts w:hint="eastAsia" w:ascii="方正大标宋简体" w:hAnsi="宋体" w:eastAsia="方正大标宋简体"/>
          <w:sz w:val="44"/>
          <w:szCs w:val="44"/>
        </w:rPr>
      </w:pPr>
    </w:p>
    <w:p w14:paraId="748A9ECD">
      <w:pPr>
        <w:pStyle w:val="13"/>
        <w:rPr>
          <w:rFonts w:hint="eastAsia" w:ascii="方正大标宋简体" w:hAnsi="宋体" w:eastAsia="方正大标宋简体"/>
          <w:sz w:val="44"/>
          <w:szCs w:val="44"/>
        </w:rPr>
      </w:pPr>
    </w:p>
    <w:p w14:paraId="35C99935">
      <w:pPr>
        <w:pStyle w:val="13"/>
        <w:rPr>
          <w:rFonts w:hint="eastAsia" w:ascii="方正大标宋简体" w:hAnsi="宋体" w:eastAsia="方正大标宋简体"/>
          <w:sz w:val="44"/>
          <w:szCs w:val="44"/>
        </w:rPr>
      </w:pPr>
    </w:p>
    <w:p w14:paraId="3757D17A">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default" w:ascii="方正仿宋简体" w:hAnsi="方正仿宋简体" w:eastAsia="方正仿宋简体" w:cs="方正仿宋简体"/>
          <w:color w:val="000000"/>
          <w:sz w:val="32"/>
          <w:szCs w:val="32"/>
        </w:rPr>
      </w:pPr>
      <w:r>
        <w:rPr>
          <w:rFonts w:ascii="方正仿宋简体" w:hAnsi="方正仿宋简体" w:eastAsia="方正仿宋简体" w:cs="方正仿宋简体"/>
          <w:color w:val="000000"/>
          <w:sz w:val="32"/>
          <w:szCs w:val="32"/>
        </w:rPr>
        <w:t>四环审表（辐）字〔</w:t>
      </w:r>
      <w:r>
        <w:rPr>
          <w:rFonts w:hint="default" w:ascii="方正仿宋简体" w:hAnsi="方正仿宋简体" w:eastAsia="方正仿宋简体" w:cs="方正仿宋简体"/>
          <w:color w:val="000000"/>
          <w:sz w:val="32"/>
          <w:szCs w:val="32"/>
        </w:rPr>
        <w:t>202</w:t>
      </w:r>
      <w:r>
        <w:rPr>
          <w:rFonts w:hint="eastAsia" w:ascii="方正仿宋简体" w:hAnsi="方正仿宋简体" w:eastAsia="方正仿宋简体" w:cs="方正仿宋简体"/>
          <w:color w:val="000000"/>
          <w:sz w:val="32"/>
          <w:szCs w:val="32"/>
          <w:lang w:val="en-US" w:eastAsia="zh-CN"/>
        </w:rPr>
        <w:t>6</w:t>
      </w:r>
      <w:r>
        <w:rPr>
          <w:rFonts w:hint="default" w:ascii="方正仿宋简体" w:hAnsi="方正仿宋简体" w:eastAsia="方正仿宋简体" w:cs="方正仿宋简体"/>
          <w:color w:val="000000"/>
          <w:sz w:val="32"/>
          <w:szCs w:val="32"/>
        </w:rPr>
        <w:t>〕</w:t>
      </w:r>
      <w:r>
        <w:rPr>
          <w:rFonts w:hint="eastAsia" w:ascii="方正仿宋简体" w:hAnsi="方正仿宋简体" w:eastAsia="方正仿宋简体" w:cs="方正仿宋简体"/>
          <w:color w:val="000000"/>
          <w:sz w:val="32"/>
          <w:szCs w:val="32"/>
          <w:lang w:val="en-US" w:eastAsia="zh-CN"/>
        </w:rPr>
        <w:t>8</w:t>
      </w:r>
      <w:r>
        <w:rPr>
          <w:rFonts w:hint="default" w:ascii="方正仿宋简体" w:hAnsi="方正仿宋简体" w:eastAsia="方正仿宋简体" w:cs="方正仿宋简体"/>
          <w:color w:val="000000"/>
          <w:sz w:val="32"/>
          <w:szCs w:val="32"/>
        </w:rPr>
        <w:t>号</w:t>
      </w:r>
    </w:p>
    <w:p w14:paraId="3E67ED6E">
      <w:pPr>
        <w:pStyle w:val="1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hint="eastAsia" w:ascii="方正仿宋简体" w:hAnsi="方正仿宋简体" w:eastAsia="方正仿宋简体" w:cs="方正仿宋简体"/>
          <w:color w:val="000000"/>
          <w:sz w:val="32"/>
          <w:szCs w:val="32"/>
        </w:rPr>
      </w:pPr>
    </w:p>
    <w:p w14:paraId="60B253F8">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四平市生态环境局关于</w:t>
      </w:r>
      <w:r>
        <w:rPr>
          <w:rFonts w:hint="eastAsia" w:ascii="方正小标宋简体" w:hAnsi="方正小标宋简体" w:eastAsia="方正小标宋简体" w:cs="方正小标宋简体"/>
          <w:sz w:val="44"/>
          <w:szCs w:val="44"/>
          <w:lang w:val="en-US" w:eastAsia="zh-CN"/>
        </w:rPr>
        <w:t>吉林四平双辽瑞祥143MW风电220kV送出工程</w:t>
      </w:r>
      <w:r>
        <w:rPr>
          <w:rFonts w:hint="eastAsia" w:ascii="方正小标宋简体" w:hAnsi="方正小标宋简体" w:eastAsia="方正小标宋简体" w:cs="方正小标宋简体"/>
          <w:sz w:val="44"/>
          <w:szCs w:val="44"/>
          <w:highlight w:val="none"/>
          <w:lang w:eastAsia="zh-CN"/>
        </w:rPr>
        <w:t>环境</w:t>
      </w:r>
      <w:r>
        <w:rPr>
          <w:rFonts w:hint="eastAsia" w:ascii="方正小标宋简体" w:hAnsi="方正小标宋简体" w:eastAsia="方正小标宋简体" w:cs="方正小标宋简体"/>
          <w:sz w:val="44"/>
          <w:szCs w:val="44"/>
          <w:lang w:eastAsia="zh-CN"/>
        </w:rPr>
        <w:t>影响报告表的批复</w:t>
      </w:r>
    </w:p>
    <w:p w14:paraId="1BD6634A">
      <w:pPr>
        <w:spacing w:line="600" w:lineRule="exact"/>
        <w:rPr>
          <w:rFonts w:ascii="方正大标宋简体" w:hAnsi="仿宋" w:eastAsia="方正大标宋简体"/>
          <w:sz w:val="28"/>
          <w:szCs w:val="28"/>
        </w:rPr>
      </w:pPr>
    </w:p>
    <w:p w14:paraId="2B1F375B">
      <w:pPr>
        <w:adjustRightInd w:val="0"/>
        <w:snapToGrid w:val="0"/>
        <w:spacing w:line="600" w:lineRule="exact"/>
        <w:contextualSpacing/>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国网吉林省电力有限公司四平供电公司：</w:t>
      </w:r>
    </w:p>
    <w:p w14:paraId="1D5F7C63">
      <w:pPr>
        <w:keepNext w:val="0"/>
        <w:keepLines w:val="0"/>
        <w:widowControl/>
        <w:suppressLineNumbers w:val="0"/>
        <w:ind w:firstLine="640" w:firstLineChars="200"/>
        <w:jc w:val="left"/>
        <w:rPr>
          <w:rFonts w:hint="eastAsia"/>
          <w:highlight w:val="none"/>
          <w:lang w:eastAsia="zh-CN"/>
        </w:rPr>
      </w:pPr>
      <w:r>
        <w:rPr>
          <w:rFonts w:hint="eastAsia" w:ascii="仿宋_GB2312" w:hAnsi="仿宋" w:eastAsia="仿宋_GB2312"/>
          <w:sz w:val="32"/>
          <w:szCs w:val="32"/>
          <w:highlight w:val="none"/>
        </w:rPr>
        <w:t>你单位报送的《国网四平供电公司关于审批</w:t>
      </w:r>
      <w:r>
        <w:rPr>
          <w:rFonts w:hint="eastAsia" w:ascii="仿宋_GB2312" w:hAnsi="仿宋" w:eastAsia="仿宋_GB2312"/>
          <w:sz w:val="32"/>
          <w:szCs w:val="32"/>
          <w:highlight w:val="none"/>
          <w:lang w:eastAsia="zh-CN"/>
        </w:rPr>
        <w:t>吉林四平双辽瑞祥143MW风电220kV送出工程</w:t>
      </w:r>
      <w:r>
        <w:rPr>
          <w:rFonts w:hint="eastAsia" w:ascii="仿宋_GB2312" w:hAnsi="仿宋" w:eastAsia="仿宋_GB2312"/>
          <w:sz w:val="32"/>
          <w:szCs w:val="32"/>
          <w:highlight w:val="none"/>
        </w:rPr>
        <w:t>环境影响报告表的函》及《</w:t>
      </w:r>
      <w:r>
        <w:rPr>
          <w:rFonts w:hint="eastAsia" w:ascii="仿宋_GB2312" w:hAnsi="仿宋" w:eastAsia="仿宋_GB2312"/>
          <w:sz w:val="32"/>
          <w:szCs w:val="32"/>
          <w:highlight w:val="none"/>
          <w:lang w:val="en-US" w:eastAsia="zh-CN"/>
        </w:rPr>
        <w:t>吉林四平双辽瑞祥143MW风电220kV送出工程环境影响报告表</w:t>
      </w:r>
      <w:r>
        <w:rPr>
          <w:rFonts w:hint="eastAsia" w:ascii="仿宋_GB2312" w:hAnsi="仿宋" w:eastAsia="仿宋_GB2312"/>
          <w:sz w:val="32"/>
          <w:szCs w:val="32"/>
          <w:highlight w:val="none"/>
        </w:rPr>
        <w:t>》收悉，经研究，批复如下：</w:t>
      </w:r>
    </w:p>
    <w:p w14:paraId="069482FF">
      <w:pPr>
        <w:numPr>
          <w:ilvl w:val="0"/>
          <w:numId w:val="0"/>
        </w:num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r>
        <w:rPr>
          <w:rFonts w:hint="eastAsia" w:ascii="国标黑体" w:hAnsi="国标黑体" w:eastAsia="国标黑体" w:cs="国标黑体"/>
          <w:sz w:val="32"/>
          <w:szCs w:val="32"/>
          <w:highlight w:val="none"/>
          <w:lang w:eastAsia="zh-CN"/>
        </w:rPr>
        <w:t>一、工程概况</w:t>
      </w:r>
    </w:p>
    <w:p w14:paraId="38174F3F">
      <w:pPr>
        <w:numPr>
          <w:ilvl w:val="0"/>
          <w:numId w:val="0"/>
        </w:numPr>
        <w:adjustRightInd w:val="0"/>
        <w:snapToGrid w:val="0"/>
        <w:spacing w:line="600" w:lineRule="exact"/>
        <w:ind w:firstLine="640" w:firstLineChars="200"/>
        <w:contextualSpacing/>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该工程</w:t>
      </w:r>
      <w:r>
        <w:rPr>
          <w:rFonts w:hint="eastAsia" w:ascii="仿宋_GB2312" w:hAnsi="仿宋" w:eastAsia="仿宋_GB2312"/>
          <w:sz w:val="32"/>
          <w:szCs w:val="32"/>
          <w:highlight w:val="none"/>
        </w:rPr>
        <w:t>建设地点位于吉林省四平市双辽市双山镇、梨树县白山乡</w:t>
      </w:r>
      <w:r>
        <w:rPr>
          <w:rFonts w:hint="eastAsia" w:ascii="仿宋_GB2312" w:hAnsi="仿宋" w:eastAsia="仿宋_GB2312"/>
          <w:sz w:val="32"/>
          <w:szCs w:val="32"/>
          <w:highlight w:val="none"/>
          <w:lang w:eastAsia="zh-CN"/>
        </w:rPr>
        <w:t>境内。</w:t>
      </w:r>
    </w:p>
    <w:p w14:paraId="5E4CB2E5">
      <w:pPr>
        <w:numPr>
          <w:ilvl w:val="0"/>
          <w:numId w:val="0"/>
        </w:num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（一）</w:t>
      </w:r>
      <w:r>
        <w:rPr>
          <w:rFonts w:hint="eastAsia" w:ascii="仿宋_GB2312" w:hAnsi="仿宋" w:eastAsia="仿宋_GB2312"/>
          <w:sz w:val="32"/>
          <w:szCs w:val="32"/>
          <w:highlight w:val="none"/>
        </w:rPr>
        <w:t>双辽瑞祥风电场升压站～协合双辽风电场送出线路T接点间220kV线路工程</w:t>
      </w:r>
    </w:p>
    <w:p w14:paraId="2760F882">
      <w:pPr>
        <w:numPr>
          <w:ilvl w:val="0"/>
          <w:numId w:val="0"/>
        </w:num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新建双辽瑞祥风电场升压站至协合双辽风电场送出线路T接点间220kV架空线路，单回路架设，新建铁塔35基，采用JL3/G1A-400/35型钢芯铝绞线，线路长度约10.8km。</w:t>
      </w:r>
    </w:p>
    <w:p w14:paraId="21982871">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eastAsia="zh-CN"/>
        </w:rPr>
        <w:t>二</w:t>
      </w:r>
      <w:r>
        <w:rPr>
          <w:rFonts w:hint="eastAsia" w:ascii="仿宋_GB2312" w:hAnsi="仿宋" w:eastAsia="仿宋_GB2312"/>
          <w:sz w:val="32"/>
          <w:szCs w:val="32"/>
          <w:highlight w:val="none"/>
        </w:rPr>
        <w:t>）梨树500kV变电站220kV间隔扩建工程</w:t>
      </w:r>
    </w:p>
    <w:p w14:paraId="322CC66E">
      <w:pPr>
        <w:adjustRightInd w:val="0"/>
        <w:snapToGrid w:val="0"/>
        <w:spacing w:line="600" w:lineRule="exact"/>
        <w:ind w:firstLine="640" w:firstLineChars="200"/>
        <w:contextualSpacing/>
        <w:rPr>
          <w:rFonts w:hint="eastAsia" w:ascii="仿宋_GB2312" w:hAnsi="仿宋" w:eastAsia="仿宋_GB2312"/>
          <w:sz w:val="32"/>
          <w:szCs w:val="32"/>
          <w:highlight w:val="none"/>
        </w:rPr>
      </w:pPr>
      <w:r>
        <w:rPr>
          <w:rFonts w:hint="eastAsia" w:ascii="仿宋_GB2312" w:hAnsi="仿宋" w:eastAsia="仿宋_GB2312"/>
          <w:sz w:val="32"/>
          <w:szCs w:val="32"/>
          <w:highlight w:val="none"/>
        </w:rPr>
        <w:t>利用梨树500kV变电站西侧第8预留间隔进行扩建，间隔内设备新增。</w:t>
      </w:r>
    </w:p>
    <w:p w14:paraId="585E3986">
      <w:pPr>
        <w:adjustRightInd w:val="0"/>
        <w:snapToGrid w:val="0"/>
        <w:spacing w:line="600" w:lineRule="exact"/>
        <w:ind w:firstLine="640" w:firstLineChars="200"/>
        <w:contextualSpacing/>
        <w:rPr>
          <w:rFonts w:hint="eastAsia" w:ascii="仿宋_GB2312" w:hAnsi="仿宋" w:eastAsia="仿宋_GB2312" w:cs="Times New Roman"/>
          <w:sz w:val="32"/>
          <w:szCs w:val="32"/>
          <w:highlight w:val="none"/>
        </w:rPr>
      </w:pPr>
      <w:r>
        <w:rPr>
          <w:rFonts w:hint="eastAsia" w:ascii="仿宋_GB2312" w:hAnsi="仿宋" w:eastAsia="仿宋_GB2312" w:cs="Times New Roman"/>
          <w:sz w:val="32"/>
          <w:szCs w:val="32"/>
          <w:highlight w:val="none"/>
          <w:lang w:val="en-US" w:eastAsia="zh-CN"/>
        </w:rPr>
        <w:t>项目总投资1841万元，其中环保投资49.4万元。</w:t>
      </w:r>
    </w:p>
    <w:p w14:paraId="75C6CF98">
      <w:pPr>
        <w:numPr>
          <w:ilvl w:val="0"/>
          <w:numId w:val="0"/>
        </w:numPr>
        <w:adjustRightInd w:val="0"/>
        <w:snapToGrid w:val="0"/>
        <w:spacing w:line="600" w:lineRule="exact"/>
        <w:ind w:firstLine="640" w:firstLineChars="200"/>
        <w:contextualSpacing/>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二、批复意见</w:t>
      </w:r>
    </w:p>
    <w:p w14:paraId="684A57DB">
      <w:pPr>
        <w:spacing w:line="600" w:lineRule="exact"/>
        <w:ind w:firstLine="640" w:firstLineChars="200"/>
        <w:jc w:val="left"/>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根据国家有关法律法规，在你单位认真落实环境影响报告表提出的各项污染防治措施的前提下，原则同意按照环境影响报告表所列项目的地点、性质、规模进行项目建设。</w:t>
      </w:r>
    </w:p>
    <w:p w14:paraId="4C781CBD">
      <w:pPr>
        <w:spacing w:line="600" w:lineRule="exact"/>
        <w:ind w:firstLine="640" w:firstLineChars="200"/>
        <w:jc w:val="left"/>
        <w:rPr>
          <w:rFonts w:hint="eastAsia" w:ascii="仿宋_GB2312" w:hAnsi="仿宋" w:eastAsia="仿宋_GB2312" w:cs="仿宋"/>
          <w:sz w:val="32"/>
          <w:szCs w:val="32"/>
          <w:highlight w:val="none"/>
        </w:rPr>
      </w:pPr>
      <w:r>
        <w:rPr>
          <w:rFonts w:hint="eastAsia" w:ascii="国标黑体" w:hAnsi="国标黑体" w:eastAsia="国标黑体" w:cs="国标黑体"/>
          <w:sz w:val="32"/>
          <w:szCs w:val="32"/>
          <w:highlight w:val="none"/>
          <w:lang w:eastAsia="zh-CN"/>
        </w:rPr>
        <w:t>三、项目建设和运行中应重点做好以下环境保护工作</w:t>
      </w:r>
    </w:p>
    <w:p w14:paraId="518DC7B9">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（一）严格执行《吉林省黑土地保护条例》</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《吉林省建设占用耕地耕作层土壤剥离利用管理办法》和《四平市黑土地保护条例》等要求，落实黑土地保护及表土剥离管理责任。</w:t>
      </w:r>
    </w:p>
    <w:p w14:paraId="4AD4B0D9">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二</w:t>
      </w:r>
      <w:r>
        <w:rPr>
          <w:rFonts w:hint="eastAsia" w:ascii="仿宋_GB2312" w:hAnsi="仿宋" w:eastAsia="仿宋_GB2312" w:cs="仿宋"/>
          <w:sz w:val="32"/>
          <w:szCs w:val="32"/>
          <w:highlight w:val="none"/>
        </w:rPr>
        <w:t>）严格落实控制工频电场、工频磁场的各项环境保护措施，确保工程建成投运后，</w:t>
      </w:r>
      <w:r>
        <w:rPr>
          <w:rFonts w:hint="eastAsia" w:ascii="仿宋_GB2312" w:hAnsi="仿宋" w:eastAsia="仿宋_GB2312" w:cs="仿宋"/>
          <w:sz w:val="32"/>
          <w:szCs w:val="32"/>
          <w:highlight w:val="none"/>
          <w:lang w:val="en-US" w:eastAsia="zh-CN"/>
        </w:rPr>
        <w:t>输电线路及变电站</w:t>
      </w:r>
      <w:r>
        <w:rPr>
          <w:rFonts w:hint="eastAsia" w:ascii="仿宋_GB2312" w:hAnsi="仿宋" w:eastAsia="仿宋_GB2312" w:cs="仿宋"/>
          <w:sz w:val="32"/>
          <w:szCs w:val="32"/>
          <w:highlight w:val="none"/>
        </w:rPr>
        <w:t>周围区域工频电场强度、磁感应强度符合《电磁环境控制限值》（GB8702-2014）中</w:t>
      </w:r>
      <w:r>
        <w:rPr>
          <w:rFonts w:hint="eastAsia" w:ascii="仿宋_GB2312" w:hAnsi="仿宋" w:eastAsia="仿宋_GB2312" w:cs="仿宋"/>
          <w:sz w:val="32"/>
          <w:szCs w:val="32"/>
          <w:highlight w:val="none"/>
          <w:lang w:val="en-US" w:eastAsia="zh-CN"/>
        </w:rPr>
        <w:t>相应</w:t>
      </w:r>
      <w:r>
        <w:rPr>
          <w:rFonts w:hint="eastAsia" w:ascii="仿宋_GB2312" w:hAnsi="仿宋" w:eastAsia="仿宋_GB2312" w:cs="仿宋"/>
          <w:sz w:val="32"/>
          <w:szCs w:val="32"/>
          <w:highlight w:val="none"/>
        </w:rPr>
        <w:t>标准限值要求，并按要求设置警示和防护标志。</w:t>
      </w:r>
    </w:p>
    <w:p w14:paraId="3738DA58">
      <w:pPr>
        <w:spacing w:line="600" w:lineRule="exact"/>
        <w:ind w:firstLine="640" w:firstLineChars="200"/>
        <w:jc w:val="both"/>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三</w:t>
      </w:r>
      <w:r>
        <w:rPr>
          <w:rFonts w:hint="eastAsia" w:ascii="仿宋_GB2312" w:hAnsi="仿宋" w:eastAsia="仿宋_GB2312" w:cs="仿宋"/>
          <w:sz w:val="32"/>
          <w:szCs w:val="32"/>
          <w:highlight w:val="none"/>
        </w:rPr>
        <w:t>）采取有效的噪声防治措施，确保工程建成投运后，输电线路周围区域噪声符合《声环境质量标准》（GB3096-2008）中</w:t>
      </w:r>
      <w:r>
        <w:rPr>
          <w:rFonts w:hint="eastAsia" w:ascii="仿宋_GB2312" w:hAnsi="仿宋" w:eastAsia="仿宋_GB2312" w:cs="仿宋"/>
          <w:sz w:val="32"/>
          <w:szCs w:val="32"/>
          <w:highlight w:val="none"/>
          <w:lang w:val="en-US" w:eastAsia="zh-CN"/>
        </w:rPr>
        <w:t>1类区标准要求</w:t>
      </w:r>
      <w:r>
        <w:rPr>
          <w:rFonts w:hint="eastAsia" w:ascii="仿宋_GB2312" w:hAnsi="仿宋" w:eastAsia="仿宋_GB2312" w:cs="仿宋"/>
          <w:sz w:val="32"/>
          <w:szCs w:val="32"/>
          <w:highlight w:val="none"/>
        </w:rPr>
        <w:t>，变电站厂界噪声符合《工业企业厂界环境噪声排放标准》（GB12348－2008）</w:t>
      </w:r>
      <w:r>
        <w:rPr>
          <w:rFonts w:hint="eastAsia" w:ascii="仿宋_GB2312" w:hAnsi="仿宋" w:eastAsia="仿宋_GB2312" w:cs="仿宋"/>
          <w:sz w:val="32"/>
          <w:szCs w:val="32"/>
          <w:highlight w:val="none"/>
          <w:lang w:val="en-US" w:eastAsia="zh-CN"/>
        </w:rPr>
        <w:t>2类标准要求</w:t>
      </w:r>
      <w:r>
        <w:rPr>
          <w:rFonts w:hint="eastAsia" w:ascii="仿宋_GB2312" w:hAnsi="仿宋" w:eastAsia="仿宋_GB2312" w:cs="仿宋"/>
          <w:sz w:val="32"/>
          <w:szCs w:val="32"/>
          <w:highlight w:val="none"/>
        </w:rPr>
        <w:t>。</w:t>
      </w:r>
    </w:p>
    <w:p w14:paraId="7AA4BA25">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四</w:t>
      </w:r>
      <w:r>
        <w:rPr>
          <w:rFonts w:hint="eastAsia" w:ascii="仿宋_GB2312" w:hAnsi="仿宋" w:eastAsia="仿宋_GB2312" w:cs="仿宋"/>
          <w:sz w:val="32"/>
          <w:szCs w:val="32"/>
          <w:highlight w:val="none"/>
        </w:rPr>
        <w:t>）加强施工期的环境保护工作，施工过程中严格控制施工边界，减少临时占地面积，施工材料有序堆放，减少生态破坏。采取有效防尘、降噪措施，产生的固体垃圾应分类集中堆放，及时清运。应减少对地表植被的扰动，施工结束后及时进行植被恢复和场地平整。</w:t>
      </w:r>
    </w:p>
    <w:p w14:paraId="4C557951">
      <w:pPr>
        <w:spacing w:line="600" w:lineRule="exact"/>
        <w:ind w:firstLine="640" w:firstLineChars="20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五</w:t>
      </w:r>
      <w:r>
        <w:rPr>
          <w:rFonts w:hint="eastAsia" w:ascii="仿宋_GB2312" w:hAnsi="仿宋" w:eastAsia="仿宋_GB2312" w:cs="仿宋"/>
          <w:sz w:val="32"/>
          <w:szCs w:val="32"/>
          <w:highlight w:val="none"/>
        </w:rPr>
        <w:t>）加强公众沟通和科普宣传，及时解决公众提出的合理环境诉求，及时公开项目建设与环境保护信息，主动接受社会监督。</w:t>
      </w:r>
    </w:p>
    <w:p w14:paraId="743E1D5E">
      <w:p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四、工程建设应严格执行环境保护设施与主体工程同时设计、同时施工、同时投入使用的环境保护“三同时”制度。项目建成后，须依法进行环境保护验收，经验收合格后，方可正式投入运行。</w:t>
      </w:r>
    </w:p>
    <w:p w14:paraId="1DCB6C50">
      <w:pPr>
        <w:numPr>
          <w:ilvl w:val="0"/>
          <w:numId w:val="0"/>
        </w:numPr>
        <w:spacing w:line="600" w:lineRule="exact"/>
        <w:ind w:firstLine="640" w:firstLineChars="200"/>
        <w:jc w:val="left"/>
        <w:rPr>
          <w:rFonts w:hint="eastAsia" w:ascii="仿宋_GB2312" w:hAnsi="仿宋" w:eastAsia="仿宋_GB2312" w:cs="仿宋"/>
          <w:sz w:val="32"/>
          <w:szCs w:val="32"/>
          <w:highlight w:val="none"/>
          <w:lang w:eastAsia="zh-CN"/>
        </w:rPr>
      </w:pPr>
      <w:r>
        <w:rPr>
          <w:rFonts w:hint="eastAsia" w:ascii="国标黑体" w:hAnsi="国标黑体" w:eastAsia="国标黑体" w:cs="国标黑体"/>
          <w:sz w:val="32"/>
          <w:szCs w:val="32"/>
          <w:highlight w:val="none"/>
          <w:lang w:eastAsia="zh-CN"/>
        </w:rPr>
        <w:t>五、</w:t>
      </w:r>
      <w:r>
        <w:rPr>
          <w:rFonts w:hint="eastAsia" w:ascii="国标黑体" w:hAnsi="国标黑体" w:eastAsia="国标黑体" w:cs="国标黑体"/>
          <w:sz w:val="32"/>
          <w:szCs w:val="32"/>
          <w:highlight w:val="none"/>
        </w:rPr>
        <w:t>工程的性质、规模、地点、采用的生产工艺或者防</w:t>
      </w:r>
      <w:r>
        <w:rPr>
          <w:rFonts w:hint="eastAsia" w:ascii="国标黑体" w:hAnsi="国标黑体" w:eastAsia="国标黑体" w:cs="国标黑体"/>
          <w:sz w:val="32"/>
          <w:szCs w:val="32"/>
          <w:highlight w:val="none"/>
          <w:lang w:eastAsia="zh-CN"/>
        </w:rPr>
        <w:t>治污染措施发生重大变动的，应当重新报批该项目的环境影响评价文件。本批复自批准之日起超过五年，方决定该项目开工建设，环境影响报告表应当报我局重新审核。</w:t>
      </w:r>
    </w:p>
    <w:p w14:paraId="25AB0AD4">
      <w:pPr>
        <w:adjustRightInd w:val="0"/>
        <w:snapToGrid w:val="0"/>
        <w:spacing w:line="600" w:lineRule="exact"/>
        <w:ind w:firstLine="640" w:firstLineChars="200"/>
        <w:contextualSpacing/>
        <w:rPr>
          <w:rFonts w:hint="eastAsia" w:ascii="国标黑体" w:hAnsi="国标黑体" w:eastAsia="国标黑体" w:cs="国标黑体"/>
          <w:sz w:val="32"/>
          <w:szCs w:val="32"/>
          <w:highlight w:val="none"/>
          <w:lang w:eastAsia="zh-CN"/>
        </w:rPr>
      </w:pPr>
      <w:r>
        <w:rPr>
          <w:rFonts w:hint="eastAsia" w:ascii="国标黑体" w:hAnsi="国标黑体" w:eastAsia="国标黑体" w:cs="国标黑体"/>
          <w:sz w:val="32"/>
          <w:szCs w:val="32"/>
          <w:highlight w:val="none"/>
          <w:lang w:eastAsia="zh-CN"/>
        </w:rPr>
        <w:t>六、</w:t>
      </w:r>
      <w:r>
        <w:rPr>
          <w:rFonts w:hint="eastAsia" w:ascii="国标黑体" w:hAnsi="国标黑体" w:eastAsia="国标黑体" w:cs="国标黑体"/>
          <w:sz w:val="32"/>
          <w:szCs w:val="32"/>
          <w:highlight w:val="none"/>
        </w:rPr>
        <w:t>你单位接此批复后20个工作日内，将环境影响报告表及批复文件送至四平市生态环境局</w:t>
      </w:r>
      <w:r>
        <w:rPr>
          <w:rFonts w:hint="eastAsia" w:ascii="国标黑体" w:hAnsi="国标黑体" w:eastAsia="国标黑体" w:cs="国标黑体"/>
          <w:sz w:val="32"/>
          <w:szCs w:val="32"/>
          <w:highlight w:val="none"/>
          <w:lang w:val="en-US" w:eastAsia="zh-CN"/>
        </w:rPr>
        <w:t>双辽市</w:t>
      </w:r>
      <w:r>
        <w:rPr>
          <w:rFonts w:hint="eastAsia" w:ascii="国标黑体" w:hAnsi="国标黑体" w:eastAsia="国标黑体" w:cs="国标黑体"/>
          <w:sz w:val="32"/>
          <w:szCs w:val="32"/>
          <w:highlight w:val="none"/>
        </w:rPr>
        <w:t>分局</w:t>
      </w:r>
      <w:r>
        <w:rPr>
          <w:rFonts w:hint="eastAsia" w:ascii="国标黑体" w:hAnsi="国标黑体" w:eastAsia="国标黑体" w:cs="国标黑体"/>
          <w:sz w:val="32"/>
          <w:szCs w:val="32"/>
          <w:highlight w:val="none"/>
          <w:lang w:eastAsia="zh-CN"/>
        </w:rPr>
        <w:t>、四平市生态环境局</w:t>
      </w:r>
      <w:r>
        <w:rPr>
          <w:rFonts w:hint="eastAsia" w:ascii="国标黑体" w:hAnsi="国标黑体" w:eastAsia="国标黑体" w:cs="国标黑体"/>
          <w:sz w:val="32"/>
          <w:szCs w:val="32"/>
          <w:highlight w:val="none"/>
          <w:lang w:val="en-US" w:eastAsia="zh-CN"/>
        </w:rPr>
        <w:t>梨树县</w:t>
      </w:r>
      <w:r>
        <w:rPr>
          <w:rFonts w:hint="eastAsia" w:ascii="国标黑体" w:hAnsi="国标黑体" w:eastAsia="国标黑体" w:cs="国标黑体"/>
          <w:sz w:val="32"/>
          <w:szCs w:val="32"/>
          <w:highlight w:val="none"/>
          <w:lang w:eastAsia="zh-CN"/>
        </w:rPr>
        <w:t>分局</w:t>
      </w:r>
      <w:r>
        <w:rPr>
          <w:rFonts w:hint="eastAsia" w:ascii="国标黑体" w:hAnsi="国标黑体" w:eastAsia="国标黑体" w:cs="国标黑体"/>
          <w:sz w:val="32"/>
          <w:szCs w:val="32"/>
          <w:highlight w:val="none"/>
        </w:rPr>
        <w:t>，并按规定接受各级生态环境行政主管部门监督检查。</w:t>
      </w:r>
      <w:r>
        <w:rPr>
          <w:rFonts w:hint="eastAsia" w:ascii="国标黑体" w:hAnsi="国标黑体" w:eastAsia="国标黑体" w:cs="国标黑体"/>
          <w:sz w:val="32"/>
          <w:szCs w:val="32"/>
          <w:highlight w:val="none"/>
          <w:lang w:eastAsia="zh-CN"/>
        </w:rPr>
        <w:t>我局委托</w:t>
      </w:r>
      <w:r>
        <w:rPr>
          <w:rFonts w:hint="eastAsia" w:ascii="国标黑体" w:hAnsi="国标黑体" w:eastAsia="国标黑体" w:cs="国标黑体"/>
          <w:sz w:val="32"/>
          <w:szCs w:val="32"/>
          <w:highlight w:val="none"/>
        </w:rPr>
        <w:t>四平市生态环境局</w:t>
      </w:r>
      <w:r>
        <w:rPr>
          <w:rFonts w:hint="eastAsia" w:ascii="国标黑体" w:hAnsi="国标黑体" w:eastAsia="国标黑体" w:cs="国标黑体"/>
          <w:sz w:val="32"/>
          <w:szCs w:val="32"/>
          <w:highlight w:val="none"/>
          <w:lang w:val="en-US" w:eastAsia="zh-CN"/>
        </w:rPr>
        <w:t>双辽市</w:t>
      </w:r>
      <w:r>
        <w:rPr>
          <w:rFonts w:hint="eastAsia" w:ascii="国标黑体" w:hAnsi="国标黑体" w:eastAsia="国标黑体" w:cs="国标黑体"/>
          <w:sz w:val="32"/>
          <w:szCs w:val="32"/>
          <w:highlight w:val="none"/>
        </w:rPr>
        <w:t>分局</w:t>
      </w:r>
      <w:r>
        <w:rPr>
          <w:rFonts w:hint="eastAsia" w:ascii="国标黑体" w:hAnsi="国标黑体" w:eastAsia="国标黑体" w:cs="国标黑体"/>
          <w:sz w:val="32"/>
          <w:szCs w:val="32"/>
          <w:highlight w:val="none"/>
          <w:lang w:eastAsia="zh-CN"/>
        </w:rPr>
        <w:t>、四平市生态环境局</w:t>
      </w:r>
      <w:r>
        <w:rPr>
          <w:rFonts w:hint="eastAsia" w:ascii="国标黑体" w:hAnsi="国标黑体" w:eastAsia="国标黑体" w:cs="国标黑体"/>
          <w:sz w:val="32"/>
          <w:szCs w:val="32"/>
          <w:highlight w:val="none"/>
          <w:lang w:val="en-US" w:eastAsia="zh-CN"/>
        </w:rPr>
        <w:t>梨树县</w:t>
      </w:r>
      <w:r>
        <w:rPr>
          <w:rFonts w:hint="eastAsia" w:ascii="国标黑体" w:hAnsi="国标黑体" w:eastAsia="国标黑体" w:cs="国标黑体"/>
          <w:sz w:val="32"/>
          <w:szCs w:val="32"/>
          <w:highlight w:val="none"/>
          <w:lang w:eastAsia="zh-CN"/>
        </w:rPr>
        <w:t>分局负责对该项目环境保护措施落实情况等情况进行监督检查。</w:t>
      </w:r>
    </w:p>
    <w:p w14:paraId="017D7EBA">
      <w:pPr>
        <w:adjustRightInd w:val="0"/>
        <w:snapToGrid w:val="0"/>
        <w:spacing w:line="600" w:lineRule="exact"/>
        <w:contextualSpacing/>
        <w:rPr>
          <w:rFonts w:hint="eastAsia" w:ascii="国标黑体" w:hAnsi="国标黑体" w:eastAsia="国标黑体" w:cs="国标黑体"/>
          <w:sz w:val="32"/>
          <w:szCs w:val="32"/>
          <w:highlight w:val="none"/>
          <w:lang w:eastAsia="zh-CN"/>
        </w:rPr>
      </w:pPr>
    </w:p>
    <w:p w14:paraId="5980882C">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highlight w:val="none"/>
          <w:lang w:val="en-US" w:eastAsia="zh-CN" w:bidi="ar"/>
        </w:rPr>
      </w:pPr>
      <w:bookmarkStart w:id="0" w:name="_GoBack"/>
      <w:r>
        <w:rPr>
          <w:rFonts w:hint="eastAsia" w:ascii="仿宋_GB2312" w:hAnsi="Times New Roman" w:eastAsia="仿宋_GB2312" w:cs="仿宋_GB2312"/>
          <w:color w:val="000000"/>
          <w:kern w:val="0"/>
          <w:sz w:val="32"/>
          <w:szCs w:val="32"/>
          <w:highlight w:val="none"/>
          <w:lang w:val="en-US" w:eastAsia="zh-CN" w:bidi="ar"/>
        </w:rPr>
        <w:t>四平市生态环境局</w:t>
      </w:r>
    </w:p>
    <w:p w14:paraId="22C24DEE">
      <w:pPr>
        <w:adjustRightInd w:val="0"/>
        <w:snapToGrid w:val="0"/>
        <w:spacing w:line="600" w:lineRule="exact"/>
        <w:ind w:firstLine="5760" w:firstLineChars="1800"/>
        <w:contextualSpacing/>
        <w:rPr>
          <w:rFonts w:hint="eastAsia" w:ascii="仿宋_GB2312" w:hAnsi="Times New Roman" w:eastAsia="仿宋_GB2312" w:cs="仿宋_GB2312"/>
          <w:color w:val="000000"/>
          <w:kern w:val="0"/>
          <w:sz w:val="32"/>
          <w:szCs w:val="32"/>
          <w:highlight w:val="none"/>
          <w:lang w:val="en-US" w:eastAsia="zh-CN" w:bidi="ar"/>
        </w:rPr>
      </w:pPr>
      <w:r>
        <w:rPr>
          <w:rFonts w:hint="default" w:ascii="仿宋_GB2312" w:hAnsi="Times New Roman" w:eastAsia="仿宋_GB2312" w:cs="仿宋_GB2312"/>
          <w:color w:val="000000"/>
          <w:kern w:val="0"/>
          <w:sz w:val="32"/>
          <w:szCs w:val="32"/>
          <w:highlight w:val="none"/>
          <w:lang w:val="en-US" w:eastAsia="zh-CN" w:bidi="ar"/>
        </w:rPr>
        <w:t>202</w:t>
      </w:r>
      <w:r>
        <w:rPr>
          <w:rFonts w:hint="eastAsia" w:ascii="仿宋_GB2312" w:eastAsia="仿宋_GB2312" w:cs="仿宋_GB2312"/>
          <w:color w:val="000000"/>
          <w:kern w:val="0"/>
          <w:sz w:val="32"/>
          <w:szCs w:val="32"/>
          <w:highlight w:val="none"/>
          <w:lang w:val="en-US" w:eastAsia="zh-CN" w:bidi="ar"/>
        </w:rPr>
        <w:t>6</w:t>
      </w:r>
      <w:r>
        <w:rPr>
          <w:rFonts w:hint="default" w:ascii="仿宋_GB2312" w:hAnsi="Times New Roman" w:eastAsia="仿宋_GB2312" w:cs="仿宋_GB2312"/>
          <w:color w:val="000000"/>
          <w:kern w:val="0"/>
          <w:sz w:val="32"/>
          <w:szCs w:val="32"/>
          <w:highlight w:val="none"/>
          <w:lang w:val="en-US" w:eastAsia="zh-CN" w:bidi="ar"/>
        </w:rPr>
        <w:t>年</w:t>
      </w:r>
      <w:r>
        <w:rPr>
          <w:rFonts w:hint="eastAsia" w:ascii="仿宋_GB2312" w:eastAsia="仿宋_GB2312" w:cs="仿宋_GB2312"/>
          <w:color w:val="000000"/>
          <w:kern w:val="0"/>
          <w:sz w:val="32"/>
          <w:szCs w:val="32"/>
          <w:highlight w:val="none"/>
          <w:lang w:val="en-US" w:eastAsia="zh-CN" w:bidi="ar"/>
        </w:rPr>
        <w:t>8</w:t>
      </w:r>
      <w:r>
        <w:rPr>
          <w:rFonts w:hint="default" w:ascii="仿宋_GB2312" w:hAnsi="Times New Roman" w:eastAsia="仿宋_GB2312" w:cs="仿宋_GB2312"/>
          <w:color w:val="000000"/>
          <w:kern w:val="0"/>
          <w:sz w:val="32"/>
          <w:szCs w:val="32"/>
          <w:highlight w:val="none"/>
          <w:lang w:val="en-US" w:eastAsia="zh-CN" w:bidi="ar"/>
        </w:rPr>
        <w:t>月</w:t>
      </w:r>
      <w:r>
        <w:rPr>
          <w:rFonts w:hint="eastAsia" w:ascii="仿宋_GB2312" w:eastAsia="仿宋_GB2312" w:cs="仿宋_GB2312"/>
          <w:color w:val="000000"/>
          <w:kern w:val="0"/>
          <w:sz w:val="32"/>
          <w:szCs w:val="32"/>
          <w:highlight w:val="none"/>
          <w:lang w:val="en-US" w:eastAsia="zh-CN" w:bidi="ar"/>
        </w:rPr>
        <w:t>10</w:t>
      </w:r>
      <w:r>
        <w:rPr>
          <w:rFonts w:hint="default" w:ascii="仿宋_GB2312" w:hAnsi="Times New Roman" w:eastAsia="仿宋_GB2312" w:cs="仿宋_GB2312"/>
          <w:color w:val="000000"/>
          <w:kern w:val="0"/>
          <w:sz w:val="32"/>
          <w:szCs w:val="32"/>
          <w:highlight w:val="none"/>
          <w:lang w:val="en-US" w:eastAsia="zh-CN" w:bidi="ar"/>
        </w:rPr>
        <w:t>日</w:t>
      </w:r>
    </w:p>
    <w:bookmarkEnd w:id="0"/>
    <w:p w14:paraId="51F625D3">
      <w:pPr>
        <w:adjustRightInd w:val="0"/>
        <w:snapToGrid w:val="0"/>
        <w:spacing w:line="600" w:lineRule="exact"/>
        <w:ind w:firstLine="640" w:firstLineChars="200"/>
        <w:contextualSpacing/>
        <w:rPr>
          <w:rFonts w:hint="eastAsia" w:ascii="方正仿宋简体" w:hAnsi="仿宋" w:eastAsia="方正仿宋简体" w:cs="Calibri"/>
          <w:sz w:val="32"/>
          <w:szCs w:val="32"/>
          <w:lang w:val="en-US" w:eastAsia="zh-CN"/>
        </w:rPr>
      </w:pPr>
      <w:r>
        <w:rPr>
          <w:rFonts w:hint="eastAsia" w:ascii="方正仿宋简体" w:hAnsi="仿宋" w:eastAsia="方正仿宋简体" w:cs="Calibri"/>
          <w:sz w:val="32"/>
          <w:szCs w:val="32"/>
          <w:lang w:val="en-US" w:eastAsia="zh-CN"/>
        </w:rPr>
        <w:t> </w:t>
      </w:r>
    </w:p>
    <w:p w14:paraId="19494888">
      <w:pPr>
        <w:adjustRightInd w:val="0"/>
        <w:snapToGrid w:val="0"/>
        <w:spacing w:line="600" w:lineRule="exact"/>
        <w:contextualSpacing/>
        <w:rPr>
          <w:rFonts w:hint="eastAsia" w:ascii="仿宋_GB2312" w:hAnsi="仿宋" w:eastAsia="仿宋_GB2312" w:cs="Times New Roman"/>
          <w:color w:val="000000"/>
          <w:kern w:val="2"/>
          <w:sz w:val="32"/>
          <w:szCs w:val="32"/>
          <w:lang w:val="en-US" w:eastAsia="zh-CN" w:bidi="ar-SA"/>
        </w:rPr>
      </w:pPr>
      <w:r>
        <w:rPr>
          <w:rFonts w:hint="eastAsia" w:ascii="方正仿宋简体" w:hAnsi="仿宋" w:eastAsia="方正仿宋简体" w:cs="Calibri"/>
          <w:sz w:val="32"/>
          <w:szCs w:val="32"/>
          <w:lang w:val="en-US" w:eastAsia="zh-CN"/>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r>
        <w:rPr>
          <w:rFonts w:hint="eastAsia" w:ascii="方正仿宋简体" w:hAnsi="仿宋" w:eastAsia="方正仿宋简体" w:cs="Calibri"/>
          <w:sz w:val="32"/>
          <w:szCs w:val="32"/>
          <w:lang w:val="en-US" w:eastAsia="zh-CN"/>
        </w:rPr>
        <w:br w:type="textWrapping"/>
      </w:r>
      <w:r>
        <w:rPr>
          <w:rFonts w:hint="eastAsia" w:ascii="方正仿宋简体" w:hAnsi="仿宋" w:eastAsia="方正仿宋简体" w:cs="Calibri"/>
          <w:sz w:val="32"/>
          <w:szCs w:val="32"/>
          <w:lang w:val="en-US" w:eastAsia="zh-CN"/>
        </w:rPr>
        <w:t> 联系电话：0434-3261108     邮箱：sphfs123@163.com</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仿宋">
    <w:altName w:val="方正仿宋_GBK"/>
    <w:panose1 w:val="02010609060101010101"/>
    <w:charset w:val="86"/>
    <w:family w:val="modern"/>
    <w:pitch w:val="default"/>
    <w:sig w:usb0="00000000" w:usb1="00000000" w:usb2="00000016" w:usb3="00000000" w:csb0="00040001" w:csb1="00000000"/>
  </w:font>
  <w:font w:name="方正大标宋简体">
    <w:altName w:val="方正书宋_GBK"/>
    <w:panose1 w:val="03000509000000000000"/>
    <w:charset w:val="86"/>
    <w:family w:val="script"/>
    <w:pitch w:val="default"/>
    <w:sig w:usb0="00000000" w:usb1="00000000" w:usb2="0000001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DE"/>
    <w:rsid w:val="00010A8E"/>
    <w:rsid w:val="00025DAC"/>
    <w:rsid w:val="00031650"/>
    <w:rsid w:val="00034427"/>
    <w:rsid w:val="000528B0"/>
    <w:rsid w:val="000736D8"/>
    <w:rsid w:val="000747BA"/>
    <w:rsid w:val="0007491C"/>
    <w:rsid w:val="00090E2B"/>
    <w:rsid w:val="0009452E"/>
    <w:rsid w:val="000C35B1"/>
    <w:rsid w:val="000C42C7"/>
    <w:rsid w:val="000C6A3E"/>
    <w:rsid w:val="000D684B"/>
    <w:rsid w:val="000E4655"/>
    <w:rsid w:val="000E531A"/>
    <w:rsid w:val="00100E52"/>
    <w:rsid w:val="00104CF5"/>
    <w:rsid w:val="00111C4E"/>
    <w:rsid w:val="001149B7"/>
    <w:rsid w:val="001235F9"/>
    <w:rsid w:val="001242F8"/>
    <w:rsid w:val="00135FC4"/>
    <w:rsid w:val="001458D1"/>
    <w:rsid w:val="001508D6"/>
    <w:rsid w:val="00165DC8"/>
    <w:rsid w:val="00177ADC"/>
    <w:rsid w:val="00181DA3"/>
    <w:rsid w:val="001868E5"/>
    <w:rsid w:val="0018783E"/>
    <w:rsid w:val="00194E59"/>
    <w:rsid w:val="001A2A51"/>
    <w:rsid w:val="001A58BE"/>
    <w:rsid w:val="001B00A3"/>
    <w:rsid w:val="001B0E03"/>
    <w:rsid w:val="001B17D8"/>
    <w:rsid w:val="001B4411"/>
    <w:rsid w:val="001B7E84"/>
    <w:rsid w:val="001C7135"/>
    <w:rsid w:val="001C74C1"/>
    <w:rsid w:val="001D5F8A"/>
    <w:rsid w:val="001E7146"/>
    <w:rsid w:val="00210177"/>
    <w:rsid w:val="00210956"/>
    <w:rsid w:val="00210A5F"/>
    <w:rsid w:val="0021112B"/>
    <w:rsid w:val="002130DB"/>
    <w:rsid w:val="00217CBF"/>
    <w:rsid w:val="00227AD6"/>
    <w:rsid w:val="0023507D"/>
    <w:rsid w:val="00237DD8"/>
    <w:rsid w:val="002407EB"/>
    <w:rsid w:val="00240E76"/>
    <w:rsid w:val="0024397A"/>
    <w:rsid w:val="00243C1F"/>
    <w:rsid w:val="002800FA"/>
    <w:rsid w:val="00284D8B"/>
    <w:rsid w:val="00296347"/>
    <w:rsid w:val="002B2B32"/>
    <w:rsid w:val="002B667D"/>
    <w:rsid w:val="002B7F2F"/>
    <w:rsid w:val="002C0813"/>
    <w:rsid w:val="002D1A0B"/>
    <w:rsid w:val="002D75F6"/>
    <w:rsid w:val="002E04C1"/>
    <w:rsid w:val="002E0690"/>
    <w:rsid w:val="002E19F3"/>
    <w:rsid w:val="002E3234"/>
    <w:rsid w:val="002F4D02"/>
    <w:rsid w:val="0030182E"/>
    <w:rsid w:val="00303581"/>
    <w:rsid w:val="003106E8"/>
    <w:rsid w:val="00311E6B"/>
    <w:rsid w:val="00320FAE"/>
    <w:rsid w:val="00340A44"/>
    <w:rsid w:val="00342BA4"/>
    <w:rsid w:val="003437DD"/>
    <w:rsid w:val="00343830"/>
    <w:rsid w:val="0034613B"/>
    <w:rsid w:val="00367BA0"/>
    <w:rsid w:val="00373A89"/>
    <w:rsid w:val="00377AED"/>
    <w:rsid w:val="003826DE"/>
    <w:rsid w:val="00387A8B"/>
    <w:rsid w:val="00395026"/>
    <w:rsid w:val="003A0B5E"/>
    <w:rsid w:val="003A1182"/>
    <w:rsid w:val="003C188B"/>
    <w:rsid w:val="003C7A73"/>
    <w:rsid w:val="003D1877"/>
    <w:rsid w:val="003E228A"/>
    <w:rsid w:val="003F4DA3"/>
    <w:rsid w:val="0040379E"/>
    <w:rsid w:val="00405519"/>
    <w:rsid w:val="00407CE7"/>
    <w:rsid w:val="00410605"/>
    <w:rsid w:val="00410A81"/>
    <w:rsid w:val="004174B0"/>
    <w:rsid w:val="004178A4"/>
    <w:rsid w:val="00423D68"/>
    <w:rsid w:val="00434EEB"/>
    <w:rsid w:val="00442032"/>
    <w:rsid w:val="00443096"/>
    <w:rsid w:val="004432E7"/>
    <w:rsid w:val="00451E49"/>
    <w:rsid w:val="00454912"/>
    <w:rsid w:val="004705D8"/>
    <w:rsid w:val="00474E82"/>
    <w:rsid w:val="004836B6"/>
    <w:rsid w:val="004A7CE6"/>
    <w:rsid w:val="004B7B51"/>
    <w:rsid w:val="004D0B9B"/>
    <w:rsid w:val="004E153F"/>
    <w:rsid w:val="004E1F22"/>
    <w:rsid w:val="004E2747"/>
    <w:rsid w:val="004F4CD9"/>
    <w:rsid w:val="004F6D38"/>
    <w:rsid w:val="00500350"/>
    <w:rsid w:val="00531A53"/>
    <w:rsid w:val="00534197"/>
    <w:rsid w:val="00536E83"/>
    <w:rsid w:val="00537DAC"/>
    <w:rsid w:val="00572985"/>
    <w:rsid w:val="00580D66"/>
    <w:rsid w:val="00583240"/>
    <w:rsid w:val="00585707"/>
    <w:rsid w:val="005923DE"/>
    <w:rsid w:val="005A0CDA"/>
    <w:rsid w:val="005A19A9"/>
    <w:rsid w:val="005B4CA9"/>
    <w:rsid w:val="005C2342"/>
    <w:rsid w:val="005C37FE"/>
    <w:rsid w:val="005D51D2"/>
    <w:rsid w:val="005D5464"/>
    <w:rsid w:val="005D7A7B"/>
    <w:rsid w:val="005E4DB7"/>
    <w:rsid w:val="005F3538"/>
    <w:rsid w:val="005F5919"/>
    <w:rsid w:val="00605AD7"/>
    <w:rsid w:val="00607EDA"/>
    <w:rsid w:val="00623983"/>
    <w:rsid w:val="00627039"/>
    <w:rsid w:val="006311F7"/>
    <w:rsid w:val="00631CF9"/>
    <w:rsid w:val="006427EC"/>
    <w:rsid w:val="00642B57"/>
    <w:rsid w:val="00662F8E"/>
    <w:rsid w:val="0066317D"/>
    <w:rsid w:val="006754B9"/>
    <w:rsid w:val="006825EC"/>
    <w:rsid w:val="00687D23"/>
    <w:rsid w:val="00687D55"/>
    <w:rsid w:val="00695A99"/>
    <w:rsid w:val="006A02BC"/>
    <w:rsid w:val="006A228A"/>
    <w:rsid w:val="006A52D8"/>
    <w:rsid w:val="006B39F0"/>
    <w:rsid w:val="006B447B"/>
    <w:rsid w:val="006C02DB"/>
    <w:rsid w:val="006D3EF7"/>
    <w:rsid w:val="006D4BB0"/>
    <w:rsid w:val="006F7011"/>
    <w:rsid w:val="00707D70"/>
    <w:rsid w:val="0071363C"/>
    <w:rsid w:val="00715E8B"/>
    <w:rsid w:val="00720DDC"/>
    <w:rsid w:val="00725C70"/>
    <w:rsid w:val="00732FE9"/>
    <w:rsid w:val="007369BA"/>
    <w:rsid w:val="00744F7E"/>
    <w:rsid w:val="0075320B"/>
    <w:rsid w:val="007569D2"/>
    <w:rsid w:val="0075769B"/>
    <w:rsid w:val="00762389"/>
    <w:rsid w:val="00772D98"/>
    <w:rsid w:val="00772F94"/>
    <w:rsid w:val="007748CD"/>
    <w:rsid w:val="0079068C"/>
    <w:rsid w:val="00790771"/>
    <w:rsid w:val="00794B15"/>
    <w:rsid w:val="007A4697"/>
    <w:rsid w:val="007A774B"/>
    <w:rsid w:val="007A7DCB"/>
    <w:rsid w:val="007B084C"/>
    <w:rsid w:val="007B5B9A"/>
    <w:rsid w:val="007B77C5"/>
    <w:rsid w:val="007D06C7"/>
    <w:rsid w:val="007D098E"/>
    <w:rsid w:val="007D4C4E"/>
    <w:rsid w:val="007D622D"/>
    <w:rsid w:val="007E2C7C"/>
    <w:rsid w:val="007E32B3"/>
    <w:rsid w:val="007E415D"/>
    <w:rsid w:val="007E4285"/>
    <w:rsid w:val="007F360E"/>
    <w:rsid w:val="008064BD"/>
    <w:rsid w:val="00806CE1"/>
    <w:rsid w:val="00807D0F"/>
    <w:rsid w:val="00810A42"/>
    <w:rsid w:val="00812A1A"/>
    <w:rsid w:val="0081448B"/>
    <w:rsid w:val="00825240"/>
    <w:rsid w:val="00830762"/>
    <w:rsid w:val="00843F5C"/>
    <w:rsid w:val="008624D2"/>
    <w:rsid w:val="0086720C"/>
    <w:rsid w:val="00875B98"/>
    <w:rsid w:val="00876C33"/>
    <w:rsid w:val="00887F54"/>
    <w:rsid w:val="008A04DB"/>
    <w:rsid w:val="008A35E4"/>
    <w:rsid w:val="008C26B4"/>
    <w:rsid w:val="008C4112"/>
    <w:rsid w:val="008D18C2"/>
    <w:rsid w:val="008D31E1"/>
    <w:rsid w:val="008E24B7"/>
    <w:rsid w:val="008F01F6"/>
    <w:rsid w:val="008F2ACF"/>
    <w:rsid w:val="008F7D6B"/>
    <w:rsid w:val="00905B74"/>
    <w:rsid w:val="00906E6B"/>
    <w:rsid w:val="0090714D"/>
    <w:rsid w:val="00912F06"/>
    <w:rsid w:val="009137D5"/>
    <w:rsid w:val="00920C10"/>
    <w:rsid w:val="0092183A"/>
    <w:rsid w:val="00930BAE"/>
    <w:rsid w:val="00947915"/>
    <w:rsid w:val="00947EAF"/>
    <w:rsid w:val="00952339"/>
    <w:rsid w:val="00983907"/>
    <w:rsid w:val="00997A11"/>
    <w:rsid w:val="009A38A3"/>
    <w:rsid w:val="009A5EDF"/>
    <w:rsid w:val="009B4D83"/>
    <w:rsid w:val="009B5384"/>
    <w:rsid w:val="009B624A"/>
    <w:rsid w:val="009C1BD8"/>
    <w:rsid w:val="009D4C6E"/>
    <w:rsid w:val="009E78DD"/>
    <w:rsid w:val="009F6EC6"/>
    <w:rsid w:val="00A1307E"/>
    <w:rsid w:val="00A23A0C"/>
    <w:rsid w:val="00A25893"/>
    <w:rsid w:val="00A26C5F"/>
    <w:rsid w:val="00A5306A"/>
    <w:rsid w:val="00A57CF9"/>
    <w:rsid w:val="00A60850"/>
    <w:rsid w:val="00A625D1"/>
    <w:rsid w:val="00A66D36"/>
    <w:rsid w:val="00A712B1"/>
    <w:rsid w:val="00A7286C"/>
    <w:rsid w:val="00A757E1"/>
    <w:rsid w:val="00A75EFA"/>
    <w:rsid w:val="00A9400F"/>
    <w:rsid w:val="00A97E47"/>
    <w:rsid w:val="00AA1213"/>
    <w:rsid w:val="00AA2AC2"/>
    <w:rsid w:val="00AA4078"/>
    <w:rsid w:val="00AA49DB"/>
    <w:rsid w:val="00AB4974"/>
    <w:rsid w:val="00AC2A47"/>
    <w:rsid w:val="00AC42BA"/>
    <w:rsid w:val="00AD2A9A"/>
    <w:rsid w:val="00AD5EB7"/>
    <w:rsid w:val="00AE097F"/>
    <w:rsid w:val="00AE6074"/>
    <w:rsid w:val="00AF6A7E"/>
    <w:rsid w:val="00B00DDA"/>
    <w:rsid w:val="00B014F1"/>
    <w:rsid w:val="00B029BC"/>
    <w:rsid w:val="00B13F74"/>
    <w:rsid w:val="00B3028C"/>
    <w:rsid w:val="00B30767"/>
    <w:rsid w:val="00B32F29"/>
    <w:rsid w:val="00B33570"/>
    <w:rsid w:val="00B3395B"/>
    <w:rsid w:val="00B4093B"/>
    <w:rsid w:val="00B4537C"/>
    <w:rsid w:val="00B52ACE"/>
    <w:rsid w:val="00B572B6"/>
    <w:rsid w:val="00B64D2F"/>
    <w:rsid w:val="00B6601C"/>
    <w:rsid w:val="00B70E1D"/>
    <w:rsid w:val="00B73058"/>
    <w:rsid w:val="00B73E29"/>
    <w:rsid w:val="00B77C5C"/>
    <w:rsid w:val="00B8091A"/>
    <w:rsid w:val="00B862EC"/>
    <w:rsid w:val="00B86EE0"/>
    <w:rsid w:val="00B87BC6"/>
    <w:rsid w:val="00B933DE"/>
    <w:rsid w:val="00BB4DB0"/>
    <w:rsid w:val="00BD5B95"/>
    <w:rsid w:val="00BE70F5"/>
    <w:rsid w:val="00BE7747"/>
    <w:rsid w:val="00BE7F0A"/>
    <w:rsid w:val="00BF1419"/>
    <w:rsid w:val="00BF1BEC"/>
    <w:rsid w:val="00BF36C0"/>
    <w:rsid w:val="00BF44C4"/>
    <w:rsid w:val="00BF6984"/>
    <w:rsid w:val="00C00693"/>
    <w:rsid w:val="00C01DA4"/>
    <w:rsid w:val="00C053FD"/>
    <w:rsid w:val="00C17796"/>
    <w:rsid w:val="00C30C74"/>
    <w:rsid w:val="00C31DC8"/>
    <w:rsid w:val="00C3552B"/>
    <w:rsid w:val="00C5790B"/>
    <w:rsid w:val="00C74893"/>
    <w:rsid w:val="00C812ED"/>
    <w:rsid w:val="00C95CE0"/>
    <w:rsid w:val="00CB1221"/>
    <w:rsid w:val="00CB4464"/>
    <w:rsid w:val="00CB7A0C"/>
    <w:rsid w:val="00CC318A"/>
    <w:rsid w:val="00CD6C39"/>
    <w:rsid w:val="00CF14AA"/>
    <w:rsid w:val="00CF51A5"/>
    <w:rsid w:val="00CF5411"/>
    <w:rsid w:val="00D03738"/>
    <w:rsid w:val="00D051AA"/>
    <w:rsid w:val="00D057B5"/>
    <w:rsid w:val="00D05C1E"/>
    <w:rsid w:val="00D15B50"/>
    <w:rsid w:val="00D27602"/>
    <w:rsid w:val="00D3337E"/>
    <w:rsid w:val="00D4514D"/>
    <w:rsid w:val="00D52463"/>
    <w:rsid w:val="00D613FD"/>
    <w:rsid w:val="00D62C5B"/>
    <w:rsid w:val="00D636B2"/>
    <w:rsid w:val="00D71FBC"/>
    <w:rsid w:val="00D77A72"/>
    <w:rsid w:val="00D85696"/>
    <w:rsid w:val="00D86A95"/>
    <w:rsid w:val="00DC3BEC"/>
    <w:rsid w:val="00DC3E19"/>
    <w:rsid w:val="00DD6A51"/>
    <w:rsid w:val="00DE67B0"/>
    <w:rsid w:val="00DE71D1"/>
    <w:rsid w:val="00DF313E"/>
    <w:rsid w:val="00DF5CB6"/>
    <w:rsid w:val="00E03476"/>
    <w:rsid w:val="00E069E4"/>
    <w:rsid w:val="00E13792"/>
    <w:rsid w:val="00E204DC"/>
    <w:rsid w:val="00E26664"/>
    <w:rsid w:val="00E33317"/>
    <w:rsid w:val="00E36F4F"/>
    <w:rsid w:val="00E678E1"/>
    <w:rsid w:val="00E765A2"/>
    <w:rsid w:val="00E7676B"/>
    <w:rsid w:val="00E83442"/>
    <w:rsid w:val="00E921C8"/>
    <w:rsid w:val="00EC11A6"/>
    <w:rsid w:val="00EC213E"/>
    <w:rsid w:val="00ED0E7B"/>
    <w:rsid w:val="00ED115B"/>
    <w:rsid w:val="00EE40E5"/>
    <w:rsid w:val="00EE7D03"/>
    <w:rsid w:val="00EF0176"/>
    <w:rsid w:val="00EF5C77"/>
    <w:rsid w:val="00F027D1"/>
    <w:rsid w:val="00F0355E"/>
    <w:rsid w:val="00F3471E"/>
    <w:rsid w:val="00F404D1"/>
    <w:rsid w:val="00F43463"/>
    <w:rsid w:val="00F43B88"/>
    <w:rsid w:val="00F6094B"/>
    <w:rsid w:val="00F62221"/>
    <w:rsid w:val="00F704A8"/>
    <w:rsid w:val="00F71386"/>
    <w:rsid w:val="00F7432F"/>
    <w:rsid w:val="00F76A92"/>
    <w:rsid w:val="00F837E1"/>
    <w:rsid w:val="00FB3206"/>
    <w:rsid w:val="00FB6D13"/>
    <w:rsid w:val="00FC2C67"/>
    <w:rsid w:val="00FC7C31"/>
    <w:rsid w:val="00FE52D3"/>
    <w:rsid w:val="00FF5056"/>
    <w:rsid w:val="03963CC3"/>
    <w:rsid w:val="08497805"/>
    <w:rsid w:val="09CA499C"/>
    <w:rsid w:val="0BAE7929"/>
    <w:rsid w:val="12575B99"/>
    <w:rsid w:val="139FC52A"/>
    <w:rsid w:val="14F1200A"/>
    <w:rsid w:val="1D4C2E3E"/>
    <w:rsid w:val="1D95675A"/>
    <w:rsid w:val="213F307F"/>
    <w:rsid w:val="240434D6"/>
    <w:rsid w:val="27451630"/>
    <w:rsid w:val="28682F40"/>
    <w:rsid w:val="2B6B78B8"/>
    <w:rsid w:val="2EA460F8"/>
    <w:rsid w:val="33B85813"/>
    <w:rsid w:val="3D3D787A"/>
    <w:rsid w:val="3F4A7ADE"/>
    <w:rsid w:val="42040020"/>
    <w:rsid w:val="470C059D"/>
    <w:rsid w:val="47A63CC6"/>
    <w:rsid w:val="4C9B0838"/>
    <w:rsid w:val="50DF7FC3"/>
    <w:rsid w:val="552D12DA"/>
    <w:rsid w:val="58166169"/>
    <w:rsid w:val="587B4AAF"/>
    <w:rsid w:val="59437B8E"/>
    <w:rsid w:val="5B81682B"/>
    <w:rsid w:val="5BC60AFD"/>
    <w:rsid w:val="5E1D49E2"/>
    <w:rsid w:val="64D4770D"/>
    <w:rsid w:val="66BE76B7"/>
    <w:rsid w:val="683B64F9"/>
    <w:rsid w:val="698436A8"/>
    <w:rsid w:val="6EEF179F"/>
    <w:rsid w:val="72281C0E"/>
    <w:rsid w:val="767716C2"/>
    <w:rsid w:val="76862CB4"/>
    <w:rsid w:val="77A067E2"/>
    <w:rsid w:val="7EC97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2"/>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ody Text"/>
    <w:next w:val="5"/>
    <w:semiHidden/>
    <w:qFormat/>
    <w:uiPriority w:val="0"/>
    <w:pPr>
      <w:widowControl w:val="0"/>
      <w:snapToGrid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5">
    <w:name w:val="默认段落"/>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w:basedOn w:val="1"/>
    <w:qFormat/>
    <w:uiPriority w:val="0"/>
    <w:pPr>
      <w:ind w:left="200" w:hanging="200" w:hangingChars="200"/>
    </w:p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13">
    <w:name w:val="正文格式"/>
    <w:basedOn w:val="1"/>
    <w:qFormat/>
    <w:locked/>
    <w:uiPriority w:val="0"/>
    <w:pPr>
      <w:spacing w:line="360" w:lineRule="auto"/>
      <w:ind w:firstLine="482"/>
    </w:pPr>
  </w:style>
  <w:style w:type="paragraph" w:customStyle="1" w:styleId="14">
    <w:name w:val="意见正文编号"/>
    <w:basedOn w:val="1"/>
    <w:qFormat/>
    <w:uiPriority w:val="0"/>
    <w:pPr>
      <w:spacing w:line="360" w:lineRule="auto"/>
      <w:ind w:firstLine="560" w:firstLineChars="200"/>
      <w:outlineLvl w:val="0"/>
    </w:pPr>
    <w:rPr>
      <w:rFonts w:ascii="仿宋_GB2312" w:hAnsi="宋体" w:eastAsia="仿宋_GB2312" w:cs="Arial"/>
      <w:bCs/>
      <w:color w:val="FF0000"/>
      <w:kern w:val="40"/>
      <w:sz w:val="28"/>
      <w:szCs w:val="28"/>
    </w:rPr>
  </w:style>
  <w:style w:type="character" w:customStyle="1" w:styleId="15">
    <w:name w:val="页眉 Char"/>
    <w:basedOn w:val="12"/>
    <w:link w:val="8"/>
    <w:qFormat/>
    <w:uiPriority w:val="99"/>
    <w:rPr>
      <w:rFonts w:ascii="Times New Roman" w:hAnsi="Times New Roman" w:eastAsia="宋体" w:cs="Times New Roman"/>
      <w:sz w:val="18"/>
      <w:szCs w:val="18"/>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评估意见正文内容 Char"/>
    <w:basedOn w:val="12"/>
    <w:link w:val="18"/>
    <w:qFormat/>
    <w:uiPriority w:val="0"/>
    <w:rPr>
      <w:rFonts w:ascii="仿宋_GB2312" w:hAnsi="宋体" w:eastAsia="仿宋_GB2312"/>
      <w:bCs/>
      <w:sz w:val="32"/>
      <w:szCs w:val="23"/>
    </w:rPr>
  </w:style>
  <w:style w:type="paragraph" w:customStyle="1" w:styleId="18">
    <w:name w:val="评估意见正文内容"/>
    <w:basedOn w:val="1"/>
    <w:link w:val="17"/>
    <w:qFormat/>
    <w:uiPriority w:val="0"/>
    <w:pPr>
      <w:spacing w:line="360" w:lineRule="auto"/>
      <w:ind w:firstLine="640" w:firstLineChars="200"/>
    </w:pPr>
    <w:rPr>
      <w:rFonts w:ascii="仿宋_GB2312" w:hAnsi="宋体" w:eastAsia="仿宋_GB2312" w:cstheme="minorBidi"/>
      <w:bCs/>
      <w:sz w:val="32"/>
      <w:szCs w:val="23"/>
    </w:rPr>
  </w:style>
  <w:style w:type="character" w:customStyle="1" w:styleId="19">
    <w:name w:val="批注框文本 Char"/>
    <w:basedOn w:val="12"/>
    <w:link w:val="6"/>
    <w:semiHidden/>
    <w:qFormat/>
    <w:uiPriority w:val="99"/>
    <w:rPr>
      <w:rFonts w:ascii="Times New Roman" w:hAnsi="Times New Roman" w:eastAsia="宋体" w:cs="Times New Roman"/>
      <w:sz w:val="18"/>
      <w:szCs w:val="18"/>
    </w:rPr>
  </w:style>
  <w:style w:type="paragraph" w:customStyle="1" w:styleId="20">
    <w:name w:val="默认段落字体 Para Char Char Char Char Char Char Char Char Char Char"/>
    <w:basedOn w:val="2"/>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1">
    <w:name w:val="样式 正文11 + 首行缩进:  2 字符"/>
    <w:basedOn w:val="1"/>
    <w:qFormat/>
    <w:uiPriority w:val="99"/>
    <w:pPr>
      <w:spacing w:line="500" w:lineRule="exact"/>
      <w:ind w:firstLine="560" w:firstLineChars="200"/>
    </w:pPr>
    <w:rPr>
      <w:rFonts w:ascii="宋体" w:hAnsi="宋体"/>
      <w:color w:val="FF0000"/>
      <w:sz w:val="28"/>
      <w:szCs w:val="24"/>
    </w:rPr>
  </w:style>
  <w:style w:type="character" w:customStyle="1" w:styleId="22">
    <w:name w:val="文档结构图 Char"/>
    <w:basedOn w:val="12"/>
    <w:link w:val="2"/>
    <w:semiHidden/>
    <w:qFormat/>
    <w:uiPriority w:val="99"/>
    <w:rPr>
      <w:rFonts w:ascii="宋体"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fontstyle01"/>
    <w:basedOn w:val="12"/>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f5e00ea8-3e43-4785-81fa-f69bf5c0ca48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518DC7B9</paraID>
      <start xmlns="http://schemas.wps.cn/vas-ai-hub/contract-review">18</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0298fa9c-dc64-402a-b420-b7f982f55901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7AA4BA25</paraID>
      <start xmlns="http://schemas.wps.cn/vas-ai-hub/contract-review">15</start>
      <end xmlns="http://schemas.wps.cn/vas-ai-hub/contract-review">16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ca29e2d5-89eb-4dc3-8923-ae3f6795a480</errorID>
      <errorWord xmlns="http://schemas.wps.cn/vas-ai-hub/contract-review">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接到</item>
      </candidateList>
      <explain xmlns="http://schemas.wps.cn/vas-ai-hub/contract-review"/>
      <paraID xmlns="http://schemas.wps.cn/vas-ai-hub/contract-review">25AB0AD4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2.xml><b:Sources xmlns:b="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26cd4eff-bcad-4316-93aa-abffaac71cd2}">
  <ds:schemaRefs/>
</ds:datastoreItem>
</file>

<file path=customXml/itemProps2.xml><?xml version="1.0" encoding="utf-8"?>
<ds:datastoreItem xmlns:ds="http://schemas.openxmlformats.org/officeDocument/2006/customXml" ds:itemID="{0253A499-B5D2-4CCB-8ED7-B19C02477A9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1383</Words>
  <Characters>1515</Characters>
  <Lines>7</Lines>
  <Paragraphs>2</Paragraphs>
  <TotalTime>1</TotalTime>
  <ScaleCrop>false</ScaleCrop>
  <LinksUpToDate>false</LinksUpToDate>
  <CharactersWithSpaces>1522</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2017-08-14T17:27:00Z</dcterms:created>
  <dc:creator>Administrator</dc:creator>
  <cp:lastModifiedBy>uos</cp:lastModifiedBy>
  <cp:lastPrinted>2026-08-10T08:51:40Z</cp:lastPrinted>
  <dcterms:modified xsi:type="dcterms:W3CDTF">2026-08-10T08:51:48Z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976DE536B01541D695B567FDF608165E</vt:lpwstr>
  </property>
  <property fmtid="{D5CDD505-2E9C-101B-9397-08002B2CF9AE}" pid="4" name="KSOTemplateDocerSaveRecord">
    <vt:lpwstr>eyJoZGlkIjoiZmYyYTIwZjQxODkwNTY0NDI4ZjM0YWU3MWE3NzQwNWYiLCJ1c2VySWQiOiI1NTI1NjcxMTAifQ==</vt:lpwstr>
  </property>
</Properties>
</file>