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C7EACC"/>
  <w:body>
    <w:p w14:paraId="440BA7BC">
      <w:pPr>
        <w:pStyle w:val="1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1474" w:right="0" w:hanging="1264"/>
        <w:jc w:val="both"/>
      </w:pPr>
      <w:r>
        <w:rPr>
          <w:rFonts w:ascii="仿宋" w:hAnsi="仿宋" w:eastAsia="仿宋" w:cs="仿宋"/>
          <w:b/>
          <w:bCs/>
          <w:color w:val="000000"/>
          <w:sz w:val="40"/>
          <w:szCs w:val="40"/>
        </w:rPr>
        <w:t>环评批复公示：</w:t>
      </w:r>
    </w:p>
    <w:p w14:paraId="350316A4">
      <w:pPr>
        <w:spacing w:line="600" w:lineRule="exact"/>
        <w:jc w:val="both"/>
        <w:rPr>
          <w:rFonts w:hint="eastAsia" w:ascii="方正大标宋简体" w:hAnsi="宋体" w:eastAsia="方正大标宋简体"/>
          <w:sz w:val="44"/>
          <w:szCs w:val="44"/>
        </w:rPr>
      </w:pPr>
    </w:p>
    <w:p w14:paraId="748A9ECD">
      <w:pPr>
        <w:pStyle w:val="13"/>
        <w:rPr>
          <w:rFonts w:hint="eastAsia" w:ascii="方正大标宋简体" w:hAnsi="宋体" w:eastAsia="方正大标宋简体"/>
          <w:sz w:val="44"/>
          <w:szCs w:val="44"/>
        </w:rPr>
      </w:pPr>
    </w:p>
    <w:p w14:paraId="35C99935">
      <w:pPr>
        <w:pStyle w:val="13"/>
        <w:rPr>
          <w:rFonts w:hint="eastAsia" w:ascii="方正大标宋简体" w:hAnsi="宋体" w:eastAsia="方正大标宋简体"/>
          <w:sz w:val="44"/>
          <w:szCs w:val="44"/>
        </w:rPr>
      </w:pPr>
    </w:p>
    <w:p w14:paraId="3757D17A">
      <w:pPr>
        <w:pStyle w:val="1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0" w:right="0"/>
        <w:jc w:val="center"/>
        <w:rPr>
          <w:rFonts w:hint="default" w:ascii="方正仿宋简体" w:hAnsi="方正仿宋简体" w:eastAsia="方正仿宋简体" w:cs="方正仿宋简体"/>
          <w:color w:val="000000"/>
          <w:sz w:val="32"/>
          <w:szCs w:val="32"/>
        </w:rPr>
      </w:pPr>
      <w:r>
        <w:rPr>
          <w:rFonts w:ascii="方正仿宋简体" w:hAnsi="方正仿宋简体" w:eastAsia="方正仿宋简体" w:cs="方正仿宋简体"/>
          <w:color w:val="000000"/>
          <w:sz w:val="32"/>
          <w:szCs w:val="32"/>
        </w:rPr>
        <w:t>四环审表（辐）字〔</w:t>
      </w:r>
      <w:r>
        <w:rPr>
          <w:rFonts w:hint="default" w:ascii="方正仿宋简体" w:hAnsi="方正仿宋简体" w:eastAsia="方正仿宋简体" w:cs="方正仿宋简体"/>
          <w:color w:val="000000"/>
          <w:sz w:val="32"/>
          <w:szCs w:val="32"/>
        </w:rPr>
        <w:t>202</w:t>
      </w:r>
      <w:r>
        <w:rPr>
          <w:rFonts w:hint="eastAsia" w:ascii="方正仿宋简体" w:hAnsi="方正仿宋简体" w:eastAsia="方正仿宋简体" w:cs="方正仿宋简体"/>
          <w:color w:val="000000"/>
          <w:sz w:val="32"/>
          <w:szCs w:val="32"/>
          <w:lang w:val="en-US" w:eastAsia="zh-CN"/>
        </w:rPr>
        <w:t>6</w:t>
      </w:r>
      <w:r>
        <w:rPr>
          <w:rFonts w:hint="default" w:ascii="方正仿宋简体" w:hAnsi="方正仿宋简体" w:eastAsia="方正仿宋简体" w:cs="方正仿宋简体"/>
          <w:color w:val="000000"/>
          <w:sz w:val="32"/>
          <w:szCs w:val="32"/>
        </w:rPr>
        <w:t>〕</w:t>
      </w:r>
      <w:r>
        <w:rPr>
          <w:rFonts w:hint="eastAsia" w:ascii="方正仿宋简体" w:hAnsi="方正仿宋简体" w:eastAsia="方正仿宋简体" w:cs="方正仿宋简体"/>
          <w:color w:val="000000"/>
          <w:sz w:val="32"/>
          <w:szCs w:val="32"/>
          <w:lang w:val="en-US" w:eastAsia="zh-CN"/>
        </w:rPr>
        <w:t>7</w:t>
      </w:r>
      <w:r>
        <w:rPr>
          <w:rFonts w:hint="default" w:ascii="方正仿宋简体" w:hAnsi="方正仿宋简体" w:eastAsia="方正仿宋简体" w:cs="方正仿宋简体"/>
          <w:color w:val="000000"/>
          <w:sz w:val="32"/>
          <w:szCs w:val="32"/>
        </w:rPr>
        <w:t>号</w:t>
      </w:r>
    </w:p>
    <w:p w14:paraId="3E67ED6E">
      <w:pPr>
        <w:pStyle w:val="1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0" w:right="0"/>
        <w:jc w:val="center"/>
        <w:rPr>
          <w:rFonts w:hint="eastAsia" w:ascii="方正仿宋简体" w:hAnsi="方正仿宋简体" w:eastAsia="方正仿宋简体" w:cs="方正仿宋简体"/>
          <w:color w:val="000000"/>
          <w:sz w:val="32"/>
          <w:szCs w:val="32"/>
        </w:rPr>
      </w:pPr>
    </w:p>
    <w:p w14:paraId="60B253F8">
      <w:pPr>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四平市生态环境局关于</w:t>
      </w:r>
      <w:r>
        <w:rPr>
          <w:rFonts w:hint="eastAsia" w:ascii="方正小标宋简体" w:hAnsi="方正小标宋简体" w:eastAsia="方正小标宋简体" w:cs="方正小标宋简体"/>
          <w:sz w:val="44"/>
          <w:szCs w:val="44"/>
          <w:lang w:val="en-US" w:eastAsia="zh-CN"/>
        </w:rPr>
        <w:t>吉林四平郭家店开关站220kV输变电工程</w:t>
      </w:r>
      <w:r>
        <w:rPr>
          <w:rFonts w:hint="eastAsia" w:ascii="方正小标宋简体" w:hAnsi="方正小标宋简体" w:eastAsia="方正小标宋简体" w:cs="方正小标宋简体"/>
          <w:sz w:val="44"/>
          <w:szCs w:val="44"/>
          <w:highlight w:val="none"/>
          <w:lang w:eastAsia="zh-CN"/>
        </w:rPr>
        <w:t>环境</w:t>
      </w:r>
      <w:r>
        <w:rPr>
          <w:rFonts w:hint="eastAsia" w:ascii="方正小标宋简体" w:hAnsi="方正小标宋简体" w:eastAsia="方正小标宋简体" w:cs="方正小标宋简体"/>
          <w:sz w:val="44"/>
          <w:szCs w:val="44"/>
          <w:lang w:eastAsia="zh-CN"/>
        </w:rPr>
        <w:t>影响报告表的批复</w:t>
      </w:r>
    </w:p>
    <w:p w14:paraId="1BD6634A">
      <w:pPr>
        <w:spacing w:line="600" w:lineRule="exact"/>
        <w:rPr>
          <w:rFonts w:ascii="方正大标宋简体" w:hAnsi="仿宋" w:eastAsia="方正大标宋简体"/>
          <w:sz w:val="28"/>
          <w:szCs w:val="28"/>
        </w:rPr>
      </w:pPr>
    </w:p>
    <w:p w14:paraId="2B1F375B">
      <w:pPr>
        <w:adjustRightInd w:val="0"/>
        <w:snapToGrid w:val="0"/>
        <w:spacing w:line="600" w:lineRule="exact"/>
        <w:contextualSpacing/>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eastAsia="zh-CN"/>
        </w:rPr>
        <w:t>国网吉林省电力有限公司四平供电公司：</w:t>
      </w:r>
    </w:p>
    <w:p w14:paraId="1D5F7C63">
      <w:pPr>
        <w:keepNext w:val="0"/>
        <w:keepLines w:val="0"/>
        <w:widowControl/>
        <w:suppressLineNumbers w:val="0"/>
        <w:ind w:firstLine="640" w:firstLineChars="200"/>
        <w:jc w:val="left"/>
        <w:rPr>
          <w:rFonts w:hint="eastAsia"/>
          <w:highlight w:val="none"/>
          <w:lang w:eastAsia="zh-CN"/>
        </w:rPr>
      </w:pPr>
      <w:r>
        <w:rPr>
          <w:rFonts w:hint="eastAsia" w:ascii="仿宋_GB2312" w:hAnsi="仿宋" w:eastAsia="仿宋_GB2312"/>
          <w:sz w:val="32"/>
          <w:szCs w:val="32"/>
          <w:highlight w:val="none"/>
        </w:rPr>
        <w:t>你单位报送的《国网四平供电公司关于审批</w:t>
      </w:r>
      <w:r>
        <w:rPr>
          <w:rFonts w:hint="eastAsia" w:ascii="仿宋_GB2312" w:hAnsi="仿宋" w:eastAsia="仿宋_GB2312"/>
          <w:sz w:val="32"/>
          <w:szCs w:val="32"/>
          <w:highlight w:val="none"/>
          <w:lang w:eastAsia="zh-CN"/>
        </w:rPr>
        <w:t>吉林四平郭家店开关站220kV输变电工程</w:t>
      </w:r>
      <w:r>
        <w:rPr>
          <w:rFonts w:hint="eastAsia" w:ascii="仿宋_GB2312" w:hAnsi="仿宋" w:eastAsia="仿宋_GB2312"/>
          <w:sz w:val="32"/>
          <w:szCs w:val="32"/>
          <w:highlight w:val="none"/>
        </w:rPr>
        <w:t>环境影响报告表的函》及《</w:t>
      </w:r>
      <w:r>
        <w:rPr>
          <w:rFonts w:hint="eastAsia" w:ascii="仿宋_GB2312" w:hAnsi="仿宋" w:eastAsia="仿宋_GB2312"/>
          <w:sz w:val="32"/>
          <w:szCs w:val="32"/>
          <w:highlight w:val="none"/>
          <w:lang w:val="en-US" w:eastAsia="zh-CN"/>
        </w:rPr>
        <w:t>吉林四平郭家店开关站220kV输变电工程环境影响报告表</w:t>
      </w:r>
      <w:r>
        <w:rPr>
          <w:rFonts w:hint="eastAsia" w:ascii="仿宋_GB2312" w:hAnsi="仿宋" w:eastAsia="仿宋_GB2312"/>
          <w:sz w:val="32"/>
          <w:szCs w:val="32"/>
          <w:highlight w:val="none"/>
        </w:rPr>
        <w:t>》收悉，经研究，批复如下：</w:t>
      </w:r>
    </w:p>
    <w:p w14:paraId="069482FF">
      <w:pPr>
        <w:numPr>
          <w:ilvl w:val="0"/>
          <w:numId w:val="0"/>
        </w:numPr>
        <w:adjustRightInd w:val="0"/>
        <w:snapToGrid w:val="0"/>
        <w:spacing w:line="600" w:lineRule="exact"/>
        <w:ind w:firstLine="640" w:firstLineChars="200"/>
        <w:contextualSpacing/>
        <w:rPr>
          <w:rFonts w:hint="eastAsia" w:ascii="国标黑体" w:hAnsi="国标黑体" w:eastAsia="国标黑体" w:cs="国标黑体"/>
          <w:sz w:val="32"/>
          <w:szCs w:val="32"/>
          <w:highlight w:val="none"/>
          <w:lang w:eastAsia="zh-CN"/>
        </w:rPr>
      </w:pPr>
      <w:r>
        <w:rPr>
          <w:rFonts w:hint="eastAsia" w:ascii="国标黑体" w:hAnsi="国标黑体" w:eastAsia="国标黑体" w:cs="国标黑体"/>
          <w:sz w:val="32"/>
          <w:szCs w:val="32"/>
          <w:highlight w:val="none"/>
          <w:lang w:eastAsia="zh-CN"/>
        </w:rPr>
        <w:t>一、工程概况</w:t>
      </w:r>
    </w:p>
    <w:p w14:paraId="38174F3F">
      <w:pPr>
        <w:numPr>
          <w:ilvl w:val="0"/>
          <w:numId w:val="0"/>
        </w:numPr>
        <w:adjustRightInd w:val="0"/>
        <w:snapToGrid w:val="0"/>
        <w:spacing w:line="600" w:lineRule="exact"/>
        <w:ind w:firstLine="640" w:firstLineChars="200"/>
        <w:contextualSpacing/>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eastAsia="zh-CN"/>
        </w:rPr>
        <w:t>该工程</w:t>
      </w:r>
      <w:r>
        <w:rPr>
          <w:rFonts w:hint="eastAsia" w:ascii="仿宋_GB2312" w:hAnsi="仿宋" w:eastAsia="仿宋_GB2312"/>
          <w:sz w:val="32"/>
          <w:szCs w:val="32"/>
          <w:highlight w:val="none"/>
        </w:rPr>
        <w:t>建设地点位于吉林省四平市梨树县</w:t>
      </w:r>
      <w:r>
        <w:rPr>
          <w:rFonts w:hint="eastAsia" w:ascii="仿宋_GB2312" w:hAnsi="仿宋" w:eastAsia="仿宋_GB2312"/>
          <w:sz w:val="32"/>
          <w:szCs w:val="32"/>
          <w:highlight w:val="none"/>
          <w:lang w:eastAsia="zh-CN"/>
        </w:rPr>
        <w:t>境内。</w:t>
      </w:r>
    </w:p>
    <w:p w14:paraId="273FC43D">
      <w:pPr>
        <w:adjustRightInd w:val="0"/>
        <w:snapToGrid w:val="0"/>
        <w:spacing w:line="600" w:lineRule="exact"/>
        <w:ind w:firstLine="640" w:firstLineChars="200"/>
        <w:contextualSpacing/>
        <w:rPr>
          <w:rFonts w:hint="eastAsia" w:ascii="仿宋_GB2312" w:hAnsi="仿宋" w:eastAsia="仿宋_GB2312"/>
          <w:sz w:val="32"/>
          <w:szCs w:val="32"/>
          <w:highlight w:val="none"/>
        </w:rPr>
      </w:pPr>
      <w:r>
        <w:rPr>
          <w:rFonts w:hint="eastAsia" w:ascii="仿宋_GB2312" w:hAnsi="仿宋" w:eastAsia="仿宋_GB2312"/>
          <w:sz w:val="32"/>
          <w:szCs w:val="32"/>
          <w:highlight w:val="none"/>
          <w:lang w:eastAsia="zh-CN"/>
        </w:rPr>
        <w:t>（一）</w:t>
      </w:r>
      <w:r>
        <w:rPr>
          <w:rFonts w:hint="eastAsia" w:ascii="仿宋_GB2312" w:hAnsi="仿宋" w:eastAsia="仿宋_GB2312"/>
          <w:sz w:val="32"/>
          <w:szCs w:val="32"/>
          <w:highlight w:val="none"/>
        </w:rPr>
        <w:t>郭家店220kV开关站～梨树500kV</w:t>
      </w:r>
      <w:bookmarkStart w:id="0" w:name="_GoBack"/>
      <w:bookmarkEnd w:id="0"/>
      <w:r>
        <w:rPr>
          <w:rFonts w:hint="eastAsia" w:ascii="仿宋_GB2312" w:hAnsi="仿宋" w:eastAsia="仿宋_GB2312"/>
          <w:sz w:val="32"/>
          <w:szCs w:val="32"/>
          <w:highlight w:val="none"/>
        </w:rPr>
        <w:t>变电站间220kV线路工程</w:t>
      </w:r>
    </w:p>
    <w:p w14:paraId="79B880FF">
      <w:pPr>
        <w:adjustRightInd w:val="0"/>
        <w:snapToGrid w:val="0"/>
        <w:spacing w:line="600" w:lineRule="exact"/>
        <w:ind w:firstLine="640" w:firstLineChars="200"/>
        <w:contextualSpacing/>
        <w:rPr>
          <w:rFonts w:hint="eastAsia" w:ascii="仿宋_GB2312" w:hAnsi="仿宋" w:eastAsia="仿宋_GB2312"/>
          <w:sz w:val="32"/>
          <w:szCs w:val="32"/>
          <w:highlight w:val="none"/>
        </w:rPr>
      </w:pPr>
      <w:r>
        <w:rPr>
          <w:rFonts w:hint="eastAsia" w:ascii="仿宋_GB2312" w:hAnsi="仿宋" w:eastAsia="仿宋_GB2312"/>
          <w:sz w:val="32"/>
          <w:szCs w:val="32"/>
          <w:highlight w:val="none"/>
        </w:rPr>
        <w:t>新建郭家店220kV开关站至梨树500kV变电站间2条220kV架空线路，均为单回路架设，每条线路长度约28.1km，两条线路总长度约56.2km，新建铁塔183基，采用2×JL3/G1A-400/35型钢芯铝绞线。</w:t>
      </w:r>
    </w:p>
    <w:p w14:paraId="44BF0598">
      <w:pPr>
        <w:adjustRightInd w:val="0"/>
        <w:snapToGrid w:val="0"/>
        <w:spacing w:line="600" w:lineRule="exact"/>
        <w:ind w:firstLine="640" w:firstLineChars="200"/>
        <w:contextualSpacing/>
        <w:rPr>
          <w:rFonts w:hint="eastAsia" w:ascii="仿宋_GB2312" w:hAnsi="仿宋" w:eastAsia="仿宋_GB2312"/>
          <w:sz w:val="32"/>
          <w:szCs w:val="32"/>
          <w:highlight w:val="none"/>
        </w:rPr>
      </w:pP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lang w:val="en-US" w:eastAsia="zh-CN"/>
        </w:rPr>
        <w:t>二</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rPr>
        <w:t>郭家店220kV开关站～平牵线π接点间220kV线路工程</w:t>
      </w:r>
    </w:p>
    <w:p w14:paraId="3725D57C">
      <w:pPr>
        <w:adjustRightInd w:val="0"/>
        <w:snapToGrid w:val="0"/>
        <w:spacing w:line="600" w:lineRule="exact"/>
        <w:ind w:firstLine="640" w:firstLineChars="200"/>
        <w:contextualSpacing/>
        <w:rPr>
          <w:rFonts w:hint="eastAsia" w:ascii="仿宋_GB2312" w:hAnsi="仿宋" w:eastAsia="仿宋_GB2312"/>
          <w:sz w:val="32"/>
          <w:szCs w:val="32"/>
          <w:highlight w:val="none"/>
        </w:rPr>
      </w:pPr>
      <w:r>
        <w:rPr>
          <w:rFonts w:hint="eastAsia" w:ascii="仿宋_GB2312" w:hAnsi="仿宋" w:eastAsia="仿宋_GB2312"/>
          <w:sz w:val="32"/>
          <w:szCs w:val="32"/>
          <w:highlight w:val="none"/>
        </w:rPr>
        <w:t>新建郭家店220kV开关站至平牵线间2条220kV架空线路，均为单回路架设，每条线路长度约4.1km，两条线路总长度约8.2km，新建铁塔28基，钢管杆4基，其中至四平变侧采用2×JL3/G1A-400/35型钢芯铝绞线，至环岭牵引站侧采用JL3/G1A-300/40型钢芯铝绞线，拆除平牵线π接点处#63号塔。</w:t>
      </w:r>
    </w:p>
    <w:p w14:paraId="3FF82FBC">
      <w:pPr>
        <w:adjustRightInd w:val="0"/>
        <w:snapToGrid w:val="0"/>
        <w:spacing w:line="600" w:lineRule="exact"/>
        <w:ind w:firstLine="640" w:firstLineChars="200"/>
        <w:contextualSpacing/>
        <w:rPr>
          <w:rFonts w:hint="eastAsia" w:ascii="仿宋_GB2312" w:hAnsi="仿宋" w:eastAsia="仿宋_GB2312"/>
          <w:sz w:val="32"/>
          <w:szCs w:val="32"/>
          <w:highlight w:val="none"/>
        </w:rPr>
      </w:pP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lang w:val="en-US" w:eastAsia="zh-CN"/>
        </w:rPr>
        <w:t>三</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rPr>
        <w:t>总降变～郭家店22kV开关站间220kV线路工程</w:t>
      </w:r>
    </w:p>
    <w:p w14:paraId="0EFF098E">
      <w:pPr>
        <w:adjustRightInd w:val="0"/>
        <w:snapToGrid w:val="0"/>
        <w:spacing w:line="600" w:lineRule="exact"/>
        <w:ind w:firstLine="640" w:firstLineChars="200"/>
        <w:contextualSpacing/>
        <w:rPr>
          <w:rFonts w:hint="eastAsia" w:ascii="仿宋_GB2312" w:hAnsi="仿宋" w:eastAsia="仿宋_GB2312"/>
          <w:sz w:val="32"/>
          <w:szCs w:val="32"/>
          <w:highlight w:val="none"/>
        </w:rPr>
      </w:pPr>
      <w:r>
        <w:rPr>
          <w:rFonts w:hint="eastAsia" w:ascii="仿宋_GB2312" w:hAnsi="仿宋" w:eastAsia="仿宋_GB2312"/>
          <w:sz w:val="32"/>
          <w:szCs w:val="32"/>
          <w:highlight w:val="none"/>
        </w:rPr>
        <w:t>新建梨树制氢总降站至郭家店220kV开关站间2条220kV架空线路，均为单回路架设，每条线路长度约1.55km，两条线路总长度约3.1km，新建铁塔7基，钢管杆10基，采用JL3/G1A-400/35型钢芯铝绞线。</w:t>
      </w:r>
    </w:p>
    <w:p w14:paraId="03E3934E">
      <w:pPr>
        <w:adjustRightInd w:val="0"/>
        <w:snapToGrid w:val="0"/>
        <w:spacing w:line="600" w:lineRule="exact"/>
        <w:ind w:firstLine="640" w:firstLineChars="200"/>
        <w:contextualSpacing/>
        <w:rPr>
          <w:rFonts w:hint="eastAsia" w:ascii="仿宋_GB2312" w:hAnsi="仿宋" w:eastAsia="仿宋_GB2312"/>
          <w:sz w:val="32"/>
          <w:szCs w:val="32"/>
          <w:highlight w:val="none"/>
        </w:rPr>
      </w:pP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lang w:val="en-US" w:eastAsia="zh-CN"/>
        </w:rPr>
        <w:t>四</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rPr>
        <w:t>郭家店220kV开关站新建工程</w:t>
      </w:r>
    </w:p>
    <w:p w14:paraId="50F245A6">
      <w:pPr>
        <w:adjustRightInd w:val="0"/>
        <w:snapToGrid w:val="0"/>
        <w:spacing w:line="600" w:lineRule="exact"/>
        <w:ind w:firstLine="640" w:firstLineChars="200"/>
        <w:contextualSpacing/>
        <w:rPr>
          <w:rFonts w:hint="eastAsia" w:ascii="仿宋_GB2312" w:hAnsi="仿宋" w:eastAsia="仿宋_GB2312"/>
          <w:sz w:val="32"/>
          <w:szCs w:val="32"/>
          <w:highlight w:val="none"/>
        </w:rPr>
      </w:pPr>
      <w:r>
        <w:rPr>
          <w:rFonts w:hint="eastAsia" w:ascii="仿宋_GB2312" w:hAnsi="仿宋" w:eastAsia="仿宋_GB2312"/>
          <w:sz w:val="32"/>
          <w:szCs w:val="32"/>
          <w:highlight w:val="none"/>
        </w:rPr>
        <w:t>新建郭家店220kV开关站（户外式），本期仅建设220kV场地设备，建设10个220kV出线间隔，其中东数第1、3、4、8、10、13等6个间隔为本项目涉及出线间隔，剩余4个为预留间隔，远期规划13个间隔，220kV本期采用双母线双分段接线。</w:t>
      </w:r>
    </w:p>
    <w:p w14:paraId="5E319571">
      <w:pPr>
        <w:adjustRightInd w:val="0"/>
        <w:snapToGrid w:val="0"/>
        <w:spacing w:line="600" w:lineRule="exact"/>
        <w:ind w:firstLine="640" w:firstLineChars="200"/>
        <w:contextualSpacing/>
        <w:rPr>
          <w:rFonts w:hint="eastAsia" w:ascii="仿宋_GB2312" w:hAnsi="仿宋" w:eastAsia="仿宋_GB2312"/>
          <w:sz w:val="32"/>
          <w:szCs w:val="32"/>
          <w:highlight w:val="none"/>
        </w:rPr>
      </w:pPr>
      <w:r>
        <w:rPr>
          <w:rFonts w:hint="eastAsia" w:ascii="仿宋_GB2312" w:hAnsi="仿宋" w:eastAsia="仿宋_GB2312"/>
          <w:sz w:val="32"/>
          <w:szCs w:val="32"/>
          <w:highlight w:val="none"/>
        </w:rPr>
        <w:t>本期不建设主变压器及66kV场地设备，远期主变压器3台，容量均为180MVA。远期66kV采用双母线双分段接线，远期66kV出线24回。远期设6组66kV电容器装置，总容量为120Mvar（6×20Mvar），远期设2台额定电压为66kV，容量为630kVA的三相双绕组、油浸站用变压器。</w:t>
      </w:r>
    </w:p>
    <w:p w14:paraId="498A81E4">
      <w:pPr>
        <w:adjustRightInd w:val="0"/>
        <w:snapToGrid w:val="0"/>
        <w:spacing w:line="600" w:lineRule="exact"/>
        <w:ind w:firstLine="640" w:firstLineChars="200"/>
        <w:contextualSpacing/>
        <w:rPr>
          <w:rFonts w:hint="eastAsia" w:ascii="仿宋_GB2312" w:hAnsi="仿宋" w:eastAsia="仿宋_GB2312"/>
          <w:sz w:val="32"/>
          <w:szCs w:val="32"/>
          <w:highlight w:val="none"/>
        </w:rPr>
      </w:pP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lang w:val="en-US" w:eastAsia="zh-CN"/>
        </w:rPr>
        <w:t>五</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rPr>
        <w:t>梨树500kV变电站220kV间隔扩建工程</w:t>
      </w:r>
    </w:p>
    <w:p w14:paraId="3C87D2F6">
      <w:pPr>
        <w:adjustRightInd w:val="0"/>
        <w:snapToGrid w:val="0"/>
        <w:spacing w:line="600" w:lineRule="exact"/>
        <w:ind w:firstLine="640" w:firstLineChars="200"/>
        <w:contextualSpacing/>
        <w:rPr>
          <w:rFonts w:hint="eastAsia" w:ascii="仿宋_GB2312" w:hAnsi="仿宋" w:eastAsia="仿宋_GB2312"/>
          <w:sz w:val="32"/>
          <w:szCs w:val="32"/>
          <w:highlight w:val="none"/>
        </w:rPr>
      </w:pPr>
      <w:r>
        <w:rPr>
          <w:rFonts w:hint="eastAsia" w:ascii="仿宋_GB2312" w:hAnsi="仿宋" w:eastAsia="仿宋_GB2312"/>
          <w:sz w:val="32"/>
          <w:szCs w:val="32"/>
          <w:highlight w:val="none"/>
        </w:rPr>
        <w:t>在梨树550kV变电站扩建4个220kV出线间隔，至郭家店开关站2个，为后续新能源和储能项目接入各预留1个，利用梨树500kV变电站西侧第12、13、14、15预留间隔进行扩建，间隔内设备新增。</w:t>
      </w:r>
    </w:p>
    <w:p w14:paraId="5062CE42">
      <w:pPr>
        <w:adjustRightInd w:val="0"/>
        <w:snapToGrid w:val="0"/>
        <w:spacing w:line="600" w:lineRule="exact"/>
        <w:ind w:firstLine="640" w:firstLineChars="200"/>
        <w:contextualSpacing/>
        <w:rPr>
          <w:rFonts w:hint="eastAsia" w:ascii="仿宋_GB2312" w:hAnsi="仿宋" w:eastAsia="仿宋_GB2312" w:cs="Times New Roman"/>
          <w:sz w:val="32"/>
          <w:szCs w:val="32"/>
          <w:highlight w:val="none"/>
        </w:rPr>
      </w:pPr>
      <w:r>
        <w:rPr>
          <w:rFonts w:hint="eastAsia" w:ascii="仿宋_GB2312" w:hAnsi="仿宋" w:eastAsia="仿宋_GB2312" w:cs="Times New Roman"/>
          <w:sz w:val="32"/>
          <w:szCs w:val="32"/>
          <w:highlight w:val="none"/>
          <w:lang w:val="en-US" w:eastAsia="zh-CN"/>
        </w:rPr>
        <w:t>项目总投资23421万元，其中环保投资116.4万元。</w:t>
      </w:r>
    </w:p>
    <w:p w14:paraId="75C6CF98">
      <w:pPr>
        <w:numPr>
          <w:ilvl w:val="0"/>
          <w:numId w:val="0"/>
        </w:numPr>
        <w:adjustRightInd w:val="0"/>
        <w:snapToGrid w:val="0"/>
        <w:spacing w:line="600" w:lineRule="exact"/>
        <w:ind w:firstLine="640" w:firstLineChars="200"/>
        <w:contextualSpacing/>
        <w:rPr>
          <w:rFonts w:hint="eastAsia" w:ascii="仿宋_GB2312" w:hAnsi="仿宋" w:eastAsia="仿宋_GB2312" w:cs="仿宋"/>
          <w:sz w:val="32"/>
          <w:szCs w:val="32"/>
          <w:highlight w:val="none"/>
        </w:rPr>
      </w:pPr>
      <w:r>
        <w:rPr>
          <w:rFonts w:hint="eastAsia" w:ascii="国标黑体" w:hAnsi="国标黑体" w:eastAsia="国标黑体" w:cs="国标黑体"/>
          <w:sz w:val="32"/>
          <w:szCs w:val="32"/>
          <w:highlight w:val="none"/>
          <w:lang w:eastAsia="zh-CN"/>
        </w:rPr>
        <w:t>二、批复意见</w:t>
      </w:r>
    </w:p>
    <w:p w14:paraId="684A57DB">
      <w:pPr>
        <w:spacing w:line="600" w:lineRule="exact"/>
        <w:ind w:firstLine="640" w:firstLineChars="200"/>
        <w:jc w:val="left"/>
        <w:rPr>
          <w:rFonts w:ascii="仿宋_GB2312" w:hAnsi="仿宋" w:eastAsia="仿宋_GB2312" w:cs="仿宋"/>
          <w:sz w:val="32"/>
          <w:szCs w:val="32"/>
          <w:highlight w:val="none"/>
        </w:rPr>
      </w:pPr>
      <w:r>
        <w:rPr>
          <w:rFonts w:hint="eastAsia" w:ascii="仿宋_GB2312" w:hAnsi="仿宋" w:eastAsia="仿宋_GB2312" w:cs="仿宋"/>
          <w:sz w:val="32"/>
          <w:szCs w:val="32"/>
          <w:highlight w:val="none"/>
        </w:rPr>
        <w:t>根据国家有关法律法规，在你单位认真落实环境影响报告表提出的各项污染防治措施的前提下，原则同意按照环境影响报告表所列项目的地点、性质、规模进行项目建设。</w:t>
      </w:r>
    </w:p>
    <w:p w14:paraId="4C781CBD">
      <w:pPr>
        <w:spacing w:line="600" w:lineRule="exact"/>
        <w:ind w:firstLine="640" w:firstLineChars="200"/>
        <w:jc w:val="left"/>
        <w:rPr>
          <w:rFonts w:hint="eastAsia" w:ascii="仿宋_GB2312" w:hAnsi="仿宋" w:eastAsia="仿宋_GB2312" w:cs="仿宋"/>
          <w:sz w:val="32"/>
          <w:szCs w:val="32"/>
          <w:highlight w:val="none"/>
        </w:rPr>
      </w:pPr>
      <w:r>
        <w:rPr>
          <w:rFonts w:hint="eastAsia" w:ascii="国标黑体" w:hAnsi="国标黑体" w:eastAsia="国标黑体" w:cs="国标黑体"/>
          <w:sz w:val="32"/>
          <w:szCs w:val="32"/>
          <w:highlight w:val="none"/>
          <w:lang w:eastAsia="zh-CN"/>
        </w:rPr>
        <w:t>三、项目建设和运行中应重点做好以下环境保护工作</w:t>
      </w:r>
    </w:p>
    <w:p w14:paraId="518DC7B9">
      <w:pPr>
        <w:spacing w:line="600" w:lineRule="exact"/>
        <w:ind w:firstLine="640" w:firstLineChars="200"/>
        <w:jc w:val="left"/>
        <w:rPr>
          <w:rFonts w:hint="eastAsia" w:ascii="仿宋_GB2312" w:hAnsi="仿宋" w:eastAsia="仿宋_GB2312" w:cs="仿宋"/>
          <w:sz w:val="32"/>
          <w:szCs w:val="32"/>
          <w:highlight w:val="none"/>
        </w:rPr>
      </w:pPr>
      <w:r>
        <w:rPr>
          <w:rFonts w:hint="eastAsia" w:ascii="仿宋_GB2312" w:hAnsi="仿宋" w:eastAsia="仿宋_GB2312" w:cs="仿宋"/>
          <w:sz w:val="32"/>
          <w:szCs w:val="32"/>
          <w:highlight w:val="none"/>
        </w:rPr>
        <w:t>（一）严格执行《吉林省黑土地保护条例》</w:t>
      </w:r>
      <w:r>
        <w:rPr>
          <w:rFonts w:hint="eastAsia" w:ascii="仿宋_GB2312" w:hAnsi="仿宋" w:eastAsia="仿宋_GB2312" w:cs="仿宋"/>
          <w:sz w:val="32"/>
          <w:szCs w:val="32"/>
          <w:highlight w:val="none"/>
          <w:lang w:eastAsia="zh-CN"/>
        </w:rPr>
        <w:t>、</w:t>
      </w:r>
      <w:r>
        <w:rPr>
          <w:rFonts w:hint="eastAsia" w:ascii="仿宋_GB2312" w:hAnsi="仿宋" w:eastAsia="仿宋_GB2312" w:cs="仿宋"/>
          <w:sz w:val="32"/>
          <w:szCs w:val="32"/>
          <w:highlight w:val="none"/>
        </w:rPr>
        <w:t>《吉林省建设占用耕地耕作层土壤剥离利用管理办法》和《四平市黑土地保护条例》等要求，落实黑土地保护及表土剥离管理责任。</w:t>
      </w:r>
    </w:p>
    <w:p w14:paraId="4AD4B0D9">
      <w:pPr>
        <w:spacing w:line="600" w:lineRule="exact"/>
        <w:ind w:firstLine="640" w:firstLineChars="200"/>
        <w:jc w:val="left"/>
        <w:rPr>
          <w:rFonts w:hint="eastAsia" w:ascii="仿宋_GB2312" w:hAnsi="仿宋" w:eastAsia="仿宋_GB2312" w:cs="仿宋"/>
          <w:sz w:val="32"/>
          <w:szCs w:val="32"/>
          <w:highlight w:val="none"/>
        </w:rPr>
      </w:pPr>
      <w:r>
        <w:rPr>
          <w:rFonts w:hint="eastAsia" w:ascii="仿宋_GB2312" w:hAnsi="仿宋" w:eastAsia="仿宋_GB2312" w:cs="仿宋"/>
          <w:sz w:val="32"/>
          <w:szCs w:val="32"/>
          <w:highlight w:val="none"/>
        </w:rPr>
        <w:t>（</w:t>
      </w:r>
      <w:r>
        <w:rPr>
          <w:rFonts w:hint="eastAsia" w:ascii="仿宋_GB2312" w:hAnsi="仿宋" w:eastAsia="仿宋_GB2312" w:cs="仿宋"/>
          <w:sz w:val="32"/>
          <w:szCs w:val="32"/>
          <w:highlight w:val="none"/>
          <w:lang w:eastAsia="zh-CN"/>
        </w:rPr>
        <w:t>二</w:t>
      </w:r>
      <w:r>
        <w:rPr>
          <w:rFonts w:hint="eastAsia" w:ascii="仿宋_GB2312" w:hAnsi="仿宋" w:eastAsia="仿宋_GB2312" w:cs="仿宋"/>
          <w:sz w:val="32"/>
          <w:szCs w:val="32"/>
          <w:highlight w:val="none"/>
        </w:rPr>
        <w:t>）严格落实控制工频电场、工频磁场的各项环境保护措施，确保工程建成投运后，</w:t>
      </w:r>
      <w:r>
        <w:rPr>
          <w:rFonts w:hint="eastAsia" w:ascii="仿宋_GB2312" w:hAnsi="仿宋" w:eastAsia="仿宋_GB2312" w:cs="仿宋"/>
          <w:sz w:val="32"/>
          <w:szCs w:val="32"/>
          <w:highlight w:val="none"/>
          <w:lang w:val="en-US" w:eastAsia="zh-CN"/>
        </w:rPr>
        <w:t>输电线路、变电站及开关站</w:t>
      </w:r>
      <w:r>
        <w:rPr>
          <w:rFonts w:hint="eastAsia" w:ascii="仿宋_GB2312" w:hAnsi="仿宋" w:eastAsia="仿宋_GB2312" w:cs="仿宋"/>
          <w:sz w:val="32"/>
          <w:szCs w:val="32"/>
          <w:highlight w:val="none"/>
        </w:rPr>
        <w:t>周围区域工频电场强度、磁感应强度符合《电磁环境控制限值》（GB8702-2014）中</w:t>
      </w:r>
      <w:r>
        <w:rPr>
          <w:rFonts w:hint="eastAsia" w:ascii="仿宋_GB2312" w:hAnsi="仿宋" w:eastAsia="仿宋_GB2312" w:cs="仿宋"/>
          <w:sz w:val="32"/>
          <w:szCs w:val="32"/>
          <w:highlight w:val="none"/>
          <w:lang w:val="en-US" w:eastAsia="zh-CN"/>
        </w:rPr>
        <w:t>相应</w:t>
      </w:r>
      <w:r>
        <w:rPr>
          <w:rFonts w:hint="eastAsia" w:ascii="仿宋_GB2312" w:hAnsi="仿宋" w:eastAsia="仿宋_GB2312" w:cs="仿宋"/>
          <w:sz w:val="32"/>
          <w:szCs w:val="32"/>
          <w:highlight w:val="none"/>
        </w:rPr>
        <w:t>标准限值要求，并按要求设置警示和防护标志。</w:t>
      </w:r>
    </w:p>
    <w:p w14:paraId="36FB3615">
      <w:pPr>
        <w:spacing w:line="600" w:lineRule="exact"/>
        <w:ind w:firstLine="640" w:firstLineChars="200"/>
        <w:jc w:val="both"/>
        <w:rPr>
          <w:rFonts w:hint="eastAsia" w:ascii="仿宋_GB2312" w:hAnsi="仿宋" w:eastAsia="仿宋_GB2312" w:cs="仿宋"/>
          <w:sz w:val="32"/>
          <w:szCs w:val="32"/>
          <w:highlight w:val="none"/>
        </w:rPr>
      </w:pPr>
      <w:r>
        <w:rPr>
          <w:rFonts w:hint="eastAsia" w:ascii="仿宋_GB2312" w:hAnsi="仿宋" w:eastAsia="仿宋_GB2312" w:cs="仿宋"/>
          <w:sz w:val="32"/>
          <w:szCs w:val="32"/>
          <w:highlight w:val="none"/>
        </w:rPr>
        <w:t>（</w:t>
      </w:r>
      <w:r>
        <w:rPr>
          <w:rFonts w:hint="eastAsia" w:ascii="仿宋_GB2312" w:hAnsi="仿宋" w:eastAsia="仿宋_GB2312" w:cs="仿宋"/>
          <w:sz w:val="32"/>
          <w:szCs w:val="32"/>
          <w:highlight w:val="none"/>
          <w:lang w:eastAsia="zh-CN"/>
        </w:rPr>
        <w:t>三</w:t>
      </w:r>
      <w:r>
        <w:rPr>
          <w:rFonts w:hint="eastAsia" w:ascii="仿宋_GB2312" w:hAnsi="仿宋" w:eastAsia="仿宋_GB2312" w:cs="仿宋"/>
          <w:sz w:val="32"/>
          <w:szCs w:val="32"/>
          <w:highlight w:val="none"/>
        </w:rPr>
        <w:t>）采取有效的噪声防治措施，确保工程建成投运后，输电线路周围区域噪声符合《声环境质量标准》（GB3096-2008）中</w:t>
      </w:r>
      <w:r>
        <w:rPr>
          <w:rFonts w:hint="eastAsia" w:ascii="仿宋_GB2312" w:hAnsi="仿宋" w:eastAsia="仿宋_GB2312" w:cs="仿宋"/>
          <w:sz w:val="32"/>
          <w:szCs w:val="32"/>
          <w:highlight w:val="none"/>
          <w:lang w:val="en-US" w:eastAsia="zh-CN"/>
        </w:rPr>
        <w:t>相应声环境功能区标准要求</w:t>
      </w:r>
      <w:r>
        <w:rPr>
          <w:rFonts w:hint="eastAsia" w:ascii="仿宋_GB2312" w:hAnsi="仿宋" w:eastAsia="仿宋_GB2312" w:cs="仿宋"/>
          <w:sz w:val="32"/>
          <w:szCs w:val="32"/>
          <w:highlight w:val="none"/>
        </w:rPr>
        <w:t>，变电站厂界噪声符合《工业企业厂界环境噪声排放标准》（GB12348－2008）</w:t>
      </w:r>
      <w:r>
        <w:rPr>
          <w:rFonts w:hint="eastAsia" w:ascii="仿宋_GB2312" w:hAnsi="仿宋" w:eastAsia="仿宋_GB2312" w:cs="仿宋"/>
          <w:sz w:val="32"/>
          <w:szCs w:val="32"/>
          <w:highlight w:val="none"/>
          <w:lang w:val="en-US" w:eastAsia="zh-CN"/>
        </w:rPr>
        <w:t>2类标准要求，开关</w:t>
      </w:r>
      <w:r>
        <w:rPr>
          <w:rFonts w:hint="eastAsia" w:ascii="仿宋_GB2312" w:hAnsi="仿宋" w:eastAsia="仿宋_GB2312" w:cs="仿宋"/>
          <w:sz w:val="32"/>
          <w:szCs w:val="32"/>
          <w:highlight w:val="none"/>
        </w:rPr>
        <w:t>站厂界噪声符合《工业企业厂界环境噪声排放标准》（GB12348－2008）</w:t>
      </w:r>
      <w:r>
        <w:rPr>
          <w:rFonts w:hint="eastAsia" w:ascii="仿宋_GB2312" w:hAnsi="仿宋" w:eastAsia="仿宋_GB2312" w:cs="仿宋"/>
          <w:sz w:val="32"/>
          <w:szCs w:val="32"/>
          <w:highlight w:val="none"/>
          <w:lang w:val="en-US" w:eastAsia="zh-CN"/>
        </w:rPr>
        <w:t>3类标准要求</w:t>
      </w:r>
      <w:r>
        <w:rPr>
          <w:rFonts w:hint="eastAsia" w:ascii="仿宋_GB2312" w:hAnsi="仿宋" w:eastAsia="仿宋_GB2312" w:cs="仿宋"/>
          <w:sz w:val="32"/>
          <w:szCs w:val="32"/>
          <w:highlight w:val="none"/>
        </w:rPr>
        <w:t>。</w:t>
      </w:r>
    </w:p>
    <w:p w14:paraId="7AA4BA25">
      <w:pPr>
        <w:spacing w:line="600" w:lineRule="exact"/>
        <w:ind w:firstLine="640" w:firstLineChars="200"/>
        <w:jc w:val="left"/>
        <w:rPr>
          <w:rFonts w:hint="eastAsia" w:ascii="仿宋_GB2312" w:hAnsi="仿宋" w:eastAsia="仿宋_GB2312" w:cs="仿宋"/>
          <w:sz w:val="32"/>
          <w:szCs w:val="32"/>
          <w:highlight w:val="none"/>
        </w:rPr>
      </w:pPr>
      <w:r>
        <w:rPr>
          <w:rFonts w:hint="eastAsia" w:ascii="仿宋_GB2312" w:hAnsi="仿宋" w:eastAsia="仿宋_GB2312" w:cs="仿宋"/>
          <w:sz w:val="32"/>
          <w:szCs w:val="32"/>
          <w:highlight w:val="none"/>
        </w:rPr>
        <w:t>（</w:t>
      </w:r>
      <w:r>
        <w:rPr>
          <w:rFonts w:hint="eastAsia" w:ascii="仿宋_GB2312" w:hAnsi="仿宋" w:eastAsia="仿宋_GB2312" w:cs="仿宋"/>
          <w:sz w:val="32"/>
          <w:szCs w:val="32"/>
          <w:highlight w:val="none"/>
          <w:lang w:eastAsia="zh-CN"/>
        </w:rPr>
        <w:t>四</w:t>
      </w:r>
      <w:r>
        <w:rPr>
          <w:rFonts w:hint="eastAsia" w:ascii="仿宋_GB2312" w:hAnsi="仿宋" w:eastAsia="仿宋_GB2312" w:cs="仿宋"/>
          <w:sz w:val="32"/>
          <w:szCs w:val="32"/>
          <w:highlight w:val="none"/>
        </w:rPr>
        <w:t>）加强施工期的环境保护工作，施工过程中严格控制施工边界，减少临时占地面积，施工材料有序堆放，减少生态破坏。采取有效防尘、降噪措施，产生的固体垃圾应分类集中堆放，及时清运。应减少对地表植被的扰动，施工结束后及时进行植被恢复和场地平整。</w:t>
      </w:r>
    </w:p>
    <w:p w14:paraId="4C557951">
      <w:pPr>
        <w:spacing w:line="600" w:lineRule="exact"/>
        <w:ind w:firstLine="640" w:firstLineChars="200"/>
        <w:jc w:val="left"/>
        <w:rPr>
          <w:rFonts w:hint="eastAsia" w:ascii="仿宋_GB2312" w:hAnsi="仿宋" w:eastAsia="仿宋_GB2312" w:cs="仿宋"/>
          <w:sz w:val="32"/>
          <w:szCs w:val="32"/>
          <w:highlight w:val="none"/>
        </w:rPr>
      </w:pPr>
      <w:r>
        <w:rPr>
          <w:rFonts w:hint="eastAsia" w:ascii="仿宋_GB2312" w:hAnsi="仿宋" w:eastAsia="仿宋_GB2312" w:cs="仿宋"/>
          <w:sz w:val="32"/>
          <w:szCs w:val="32"/>
          <w:highlight w:val="none"/>
        </w:rPr>
        <w:t>（</w:t>
      </w:r>
      <w:r>
        <w:rPr>
          <w:rFonts w:hint="eastAsia" w:ascii="仿宋_GB2312" w:hAnsi="仿宋" w:eastAsia="仿宋_GB2312" w:cs="仿宋"/>
          <w:sz w:val="32"/>
          <w:szCs w:val="32"/>
          <w:highlight w:val="none"/>
          <w:lang w:eastAsia="zh-CN"/>
        </w:rPr>
        <w:t>五</w:t>
      </w:r>
      <w:r>
        <w:rPr>
          <w:rFonts w:hint="eastAsia" w:ascii="仿宋_GB2312" w:hAnsi="仿宋" w:eastAsia="仿宋_GB2312" w:cs="仿宋"/>
          <w:sz w:val="32"/>
          <w:szCs w:val="32"/>
          <w:highlight w:val="none"/>
        </w:rPr>
        <w:t>）加强公众沟通和科普宣传，及时解决公众提出的合理环境诉求，及时公开项目建设与环境保护信息，主动接受社会监督。</w:t>
      </w:r>
    </w:p>
    <w:p w14:paraId="743E1D5E">
      <w:pPr>
        <w:spacing w:line="600" w:lineRule="exact"/>
        <w:ind w:firstLine="640" w:firstLineChars="200"/>
        <w:jc w:val="left"/>
        <w:rPr>
          <w:rFonts w:hint="eastAsia" w:ascii="仿宋_GB2312" w:hAnsi="仿宋" w:eastAsia="仿宋_GB2312" w:cs="仿宋"/>
          <w:sz w:val="32"/>
          <w:szCs w:val="32"/>
          <w:highlight w:val="none"/>
          <w:lang w:eastAsia="zh-CN"/>
        </w:rPr>
      </w:pPr>
      <w:r>
        <w:rPr>
          <w:rFonts w:hint="eastAsia" w:ascii="国标黑体" w:hAnsi="国标黑体" w:eastAsia="国标黑体" w:cs="国标黑体"/>
          <w:sz w:val="32"/>
          <w:szCs w:val="32"/>
          <w:highlight w:val="none"/>
          <w:lang w:eastAsia="zh-CN"/>
        </w:rPr>
        <w:t>四、工程建设应严格执行环境保护设施与主体工程同时设计、同时施工、同时投入使用的环境保护“三同时”制度。项目建成后，须依法进行环境保护验收，经验收合格后，方可正式投入运行。</w:t>
      </w:r>
    </w:p>
    <w:p w14:paraId="1DCB6C50">
      <w:pPr>
        <w:numPr>
          <w:ilvl w:val="0"/>
          <w:numId w:val="0"/>
        </w:numPr>
        <w:spacing w:line="600" w:lineRule="exact"/>
        <w:ind w:firstLine="640" w:firstLineChars="200"/>
        <w:jc w:val="left"/>
        <w:rPr>
          <w:rFonts w:hint="eastAsia" w:ascii="仿宋_GB2312" w:hAnsi="仿宋" w:eastAsia="仿宋_GB2312" w:cs="仿宋"/>
          <w:sz w:val="32"/>
          <w:szCs w:val="32"/>
          <w:highlight w:val="none"/>
          <w:lang w:eastAsia="zh-CN"/>
        </w:rPr>
      </w:pPr>
      <w:r>
        <w:rPr>
          <w:rFonts w:hint="eastAsia" w:ascii="国标黑体" w:hAnsi="国标黑体" w:eastAsia="国标黑体" w:cs="国标黑体"/>
          <w:sz w:val="32"/>
          <w:szCs w:val="32"/>
          <w:highlight w:val="none"/>
          <w:lang w:eastAsia="zh-CN"/>
        </w:rPr>
        <w:t>五、</w:t>
      </w:r>
      <w:r>
        <w:rPr>
          <w:rFonts w:hint="eastAsia" w:ascii="国标黑体" w:hAnsi="国标黑体" w:eastAsia="国标黑体" w:cs="国标黑体"/>
          <w:sz w:val="32"/>
          <w:szCs w:val="32"/>
          <w:highlight w:val="none"/>
        </w:rPr>
        <w:t>工程的性质、规模、地点、采用的生产工艺或者防</w:t>
      </w:r>
      <w:r>
        <w:rPr>
          <w:rFonts w:hint="eastAsia" w:ascii="国标黑体" w:hAnsi="国标黑体" w:eastAsia="国标黑体" w:cs="国标黑体"/>
          <w:sz w:val="32"/>
          <w:szCs w:val="32"/>
          <w:highlight w:val="none"/>
          <w:lang w:eastAsia="zh-CN"/>
        </w:rPr>
        <w:t>治污染措施发生重大变动的，应当重新报批该项目的环境影响评价文件。本批复自批准之日起超过五年，方决定该项目开工建设，环境影响报告表应当报我局重新审核。</w:t>
      </w:r>
    </w:p>
    <w:p w14:paraId="25AB0AD4">
      <w:pPr>
        <w:adjustRightInd w:val="0"/>
        <w:snapToGrid w:val="0"/>
        <w:spacing w:line="600" w:lineRule="exact"/>
        <w:ind w:firstLine="640" w:firstLineChars="200"/>
        <w:contextualSpacing/>
        <w:rPr>
          <w:rFonts w:hint="eastAsia" w:ascii="国标黑体" w:hAnsi="国标黑体" w:eastAsia="国标黑体" w:cs="国标黑体"/>
          <w:sz w:val="32"/>
          <w:szCs w:val="32"/>
          <w:highlight w:val="none"/>
          <w:lang w:eastAsia="zh-CN"/>
        </w:rPr>
      </w:pPr>
      <w:r>
        <w:rPr>
          <w:rFonts w:hint="eastAsia" w:ascii="国标黑体" w:hAnsi="国标黑体" w:eastAsia="国标黑体" w:cs="国标黑体"/>
          <w:sz w:val="32"/>
          <w:szCs w:val="32"/>
          <w:highlight w:val="none"/>
          <w:lang w:eastAsia="zh-CN"/>
        </w:rPr>
        <w:t>六、</w:t>
      </w:r>
      <w:r>
        <w:rPr>
          <w:rFonts w:hint="eastAsia" w:ascii="国标黑体" w:hAnsi="国标黑体" w:eastAsia="国标黑体" w:cs="国标黑体"/>
          <w:sz w:val="32"/>
          <w:szCs w:val="32"/>
          <w:highlight w:val="none"/>
        </w:rPr>
        <w:t>你单位接此批复后20个工作日内，将环境影响报告表及批复文件送至</w:t>
      </w:r>
      <w:r>
        <w:rPr>
          <w:rFonts w:hint="eastAsia" w:ascii="国标黑体" w:hAnsi="国标黑体" w:eastAsia="国标黑体" w:cs="国标黑体"/>
          <w:sz w:val="32"/>
          <w:szCs w:val="32"/>
          <w:highlight w:val="none"/>
          <w:lang w:eastAsia="zh-CN"/>
        </w:rPr>
        <w:t>四平市生态环境局</w:t>
      </w:r>
      <w:r>
        <w:rPr>
          <w:rFonts w:hint="eastAsia" w:ascii="国标黑体" w:hAnsi="国标黑体" w:eastAsia="国标黑体" w:cs="国标黑体"/>
          <w:sz w:val="32"/>
          <w:szCs w:val="32"/>
          <w:highlight w:val="none"/>
          <w:lang w:val="en-US" w:eastAsia="zh-CN"/>
        </w:rPr>
        <w:t>梨树县</w:t>
      </w:r>
      <w:r>
        <w:rPr>
          <w:rFonts w:hint="eastAsia" w:ascii="国标黑体" w:hAnsi="国标黑体" w:eastAsia="国标黑体" w:cs="国标黑体"/>
          <w:sz w:val="32"/>
          <w:szCs w:val="32"/>
          <w:highlight w:val="none"/>
          <w:lang w:eastAsia="zh-CN"/>
        </w:rPr>
        <w:t>分局</w:t>
      </w:r>
      <w:r>
        <w:rPr>
          <w:rFonts w:hint="eastAsia" w:ascii="国标黑体" w:hAnsi="国标黑体" w:eastAsia="国标黑体" w:cs="国标黑体"/>
          <w:sz w:val="32"/>
          <w:szCs w:val="32"/>
          <w:highlight w:val="none"/>
        </w:rPr>
        <w:t>，并按规定接受各级生态环境行政主管部门监督检查。</w:t>
      </w:r>
      <w:r>
        <w:rPr>
          <w:rFonts w:hint="eastAsia" w:ascii="国标黑体" w:hAnsi="国标黑体" w:eastAsia="国标黑体" w:cs="国标黑体"/>
          <w:sz w:val="32"/>
          <w:szCs w:val="32"/>
          <w:highlight w:val="none"/>
          <w:lang w:eastAsia="zh-CN"/>
        </w:rPr>
        <w:t>我局委托四平市生态环境局</w:t>
      </w:r>
      <w:r>
        <w:rPr>
          <w:rFonts w:hint="eastAsia" w:ascii="国标黑体" w:hAnsi="国标黑体" w:eastAsia="国标黑体" w:cs="国标黑体"/>
          <w:sz w:val="32"/>
          <w:szCs w:val="32"/>
          <w:highlight w:val="none"/>
          <w:lang w:val="en-US" w:eastAsia="zh-CN"/>
        </w:rPr>
        <w:t>梨树县</w:t>
      </w:r>
      <w:r>
        <w:rPr>
          <w:rFonts w:hint="eastAsia" w:ascii="国标黑体" w:hAnsi="国标黑体" w:eastAsia="国标黑体" w:cs="国标黑体"/>
          <w:sz w:val="32"/>
          <w:szCs w:val="32"/>
          <w:highlight w:val="none"/>
          <w:lang w:eastAsia="zh-CN"/>
        </w:rPr>
        <w:t>分局负责对该项目环境保护措施落实情况等情况进行监督检查。</w:t>
      </w:r>
    </w:p>
    <w:p w14:paraId="017D7EBA">
      <w:pPr>
        <w:adjustRightInd w:val="0"/>
        <w:snapToGrid w:val="0"/>
        <w:spacing w:line="600" w:lineRule="exact"/>
        <w:contextualSpacing/>
        <w:rPr>
          <w:rFonts w:hint="eastAsia" w:ascii="国标黑体" w:hAnsi="国标黑体" w:eastAsia="国标黑体" w:cs="国标黑体"/>
          <w:sz w:val="32"/>
          <w:szCs w:val="32"/>
          <w:highlight w:val="none"/>
          <w:lang w:eastAsia="zh-CN"/>
        </w:rPr>
      </w:pPr>
    </w:p>
    <w:p w14:paraId="5980882C">
      <w:pPr>
        <w:adjustRightInd w:val="0"/>
        <w:snapToGrid w:val="0"/>
        <w:spacing w:line="600" w:lineRule="exact"/>
        <w:ind w:firstLine="5760" w:firstLineChars="1800"/>
        <w:contextualSpacing/>
        <w:rPr>
          <w:rFonts w:hint="eastAsia" w:ascii="仿宋_GB2312" w:hAnsi="Times New Roman" w:eastAsia="仿宋_GB2312" w:cs="仿宋_GB2312"/>
          <w:color w:val="000000"/>
          <w:kern w:val="0"/>
          <w:sz w:val="32"/>
          <w:szCs w:val="32"/>
          <w:highlight w:val="none"/>
          <w:lang w:val="en-US" w:eastAsia="zh-CN" w:bidi="ar"/>
        </w:rPr>
      </w:pPr>
      <w:r>
        <w:rPr>
          <w:rFonts w:hint="eastAsia" w:ascii="仿宋_GB2312" w:hAnsi="Times New Roman" w:eastAsia="仿宋_GB2312" w:cs="仿宋_GB2312"/>
          <w:color w:val="000000"/>
          <w:kern w:val="0"/>
          <w:sz w:val="32"/>
          <w:szCs w:val="32"/>
          <w:lang w:val="en-US" w:eastAsia="zh-CN" w:bidi="ar"/>
        </w:rPr>
        <w:t>四</w:t>
      </w:r>
      <w:r>
        <w:rPr>
          <w:rFonts w:hint="eastAsia" w:ascii="仿宋_GB2312" w:hAnsi="Times New Roman" w:eastAsia="仿宋_GB2312" w:cs="仿宋_GB2312"/>
          <w:color w:val="000000"/>
          <w:kern w:val="0"/>
          <w:sz w:val="32"/>
          <w:szCs w:val="32"/>
          <w:highlight w:val="none"/>
          <w:lang w:val="en-US" w:eastAsia="zh-CN" w:bidi="ar"/>
        </w:rPr>
        <w:t>平市生态环境局</w:t>
      </w:r>
    </w:p>
    <w:p w14:paraId="22C24DEE">
      <w:pPr>
        <w:adjustRightInd w:val="0"/>
        <w:snapToGrid w:val="0"/>
        <w:spacing w:line="600" w:lineRule="exact"/>
        <w:ind w:firstLine="5760" w:firstLineChars="1800"/>
        <w:contextualSpacing/>
        <w:rPr>
          <w:rFonts w:hint="eastAsia" w:ascii="仿宋_GB2312" w:hAnsi="Times New Roman" w:eastAsia="仿宋_GB2312" w:cs="仿宋_GB2312"/>
          <w:color w:val="000000"/>
          <w:kern w:val="0"/>
          <w:sz w:val="32"/>
          <w:szCs w:val="32"/>
          <w:highlight w:val="none"/>
          <w:lang w:val="en-US" w:eastAsia="zh-CN" w:bidi="ar"/>
        </w:rPr>
      </w:pPr>
      <w:r>
        <w:rPr>
          <w:rFonts w:hint="default" w:ascii="仿宋_GB2312" w:hAnsi="Times New Roman" w:eastAsia="仿宋_GB2312" w:cs="仿宋_GB2312"/>
          <w:color w:val="000000"/>
          <w:kern w:val="0"/>
          <w:sz w:val="32"/>
          <w:szCs w:val="32"/>
          <w:highlight w:val="none"/>
          <w:lang w:val="en-US" w:eastAsia="zh-CN" w:bidi="ar"/>
        </w:rPr>
        <w:t>202</w:t>
      </w:r>
      <w:r>
        <w:rPr>
          <w:rFonts w:hint="eastAsia" w:ascii="仿宋_GB2312" w:eastAsia="仿宋_GB2312" w:cs="仿宋_GB2312"/>
          <w:color w:val="000000"/>
          <w:kern w:val="0"/>
          <w:sz w:val="32"/>
          <w:szCs w:val="32"/>
          <w:highlight w:val="none"/>
          <w:lang w:val="en-US" w:eastAsia="zh-CN" w:bidi="ar"/>
        </w:rPr>
        <w:t>6</w:t>
      </w:r>
      <w:r>
        <w:rPr>
          <w:rFonts w:hint="default" w:ascii="仿宋_GB2312" w:hAnsi="Times New Roman" w:eastAsia="仿宋_GB2312" w:cs="仿宋_GB2312"/>
          <w:color w:val="000000"/>
          <w:kern w:val="0"/>
          <w:sz w:val="32"/>
          <w:szCs w:val="32"/>
          <w:highlight w:val="none"/>
          <w:lang w:val="en-US" w:eastAsia="zh-CN" w:bidi="ar"/>
        </w:rPr>
        <w:t>年</w:t>
      </w:r>
      <w:r>
        <w:rPr>
          <w:rFonts w:hint="eastAsia" w:ascii="仿宋_GB2312" w:eastAsia="仿宋_GB2312" w:cs="仿宋_GB2312"/>
          <w:color w:val="000000"/>
          <w:kern w:val="0"/>
          <w:sz w:val="32"/>
          <w:szCs w:val="32"/>
          <w:highlight w:val="none"/>
          <w:lang w:val="en-US" w:eastAsia="zh-CN" w:bidi="ar"/>
        </w:rPr>
        <w:t>8</w:t>
      </w:r>
      <w:r>
        <w:rPr>
          <w:rFonts w:hint="default" w:ascii="仿宋_GB2312" w:hAnsi="Times New Roman" w:eastAsia="仿宋_GB2312" w:cs="仿宋_GB2312"/>
          <w:color w:val="000000"/>
          <w:kern w:val="0"/>
          <w:sz w:val="32"/>
          <w:szCs w:val="32"/>
          <w:highlight w:val="none"/>
          <w:lang w:val="en-US" w:eastAsia="zh-CN" w:bidi="ar"/>
        </w:rPr>
        <w:t>月</w:t>
      </w:r>
      <w:r>
        <w:rPr>
          <w:rFonts w:hint="eastAsia" w:ascii="仿宋_GB2312" w:eastAsia="仿宋_GB2312" w:cs="仿宋_GB2312"/>
          <w:color w:val="000000"/>
          <w:kern w:val="0"/>
          <w:sz w:val="32"/>
          <w:szCs w:val="32"/>
          <w:highlight w:val="none"/>
          <w:lang w:val="en-US" w:eastAsia="zh-CN" w:bidi="ar"/>
        </w:rPr>
        <w:t>10</w:t>
      </w:r>
      <w:r>
        <w:rPr>
          <w:rFonts w:hint="default" w:ascii="仿宋_GB2312" w:hAnsi="Times New Roman" w:eastAsia="仿宋_GB2312" w:cs="仿宋_GB2312"/>
          <w:color w:val="000000"/>
          <w:kern w:val="0"/>
          <w:sz w:val="32"/>
          <w:szCs w:val="32"/>
          <w:highlight w:val="none"/>
          <w:lang w:val="en-US" w:eastAsia="zh-CN" w:bidi="ar"/>
        </w:rPr>
        <w:t>日</w:t>
      </w:r>
    </w:p>
    <w:p w14:paraId="51F625D3">
      <w:pPr>
        <w:adjustRightInd w:val="0"/>
        <w:snapToGrid w:val="0"/>
        <w:spacing w:line="600" w:lineRule="exact"/>
        <w:ind w:firstLine="640" w:firstLineChars="200"/>
        <w:contextualSpacing/>
        <w:rPr>
          <w:rFonts w:hint="eastAsia" w:ascii="方正仿宋简体" w:hAnsi="仿宋" w:eastAsia="方正仿宋简体" w:cs="Calibri"/>
          <w:sz w:val="32"/>
          <w:szCs w:val="32"/>
          <w:lang w:val="en-US" w:eastAsia="zh-CN"/>
        </w:rPr>
      </w:pPr>
      <w:r>
        <w:rPr>
          <w:rFonts w:hint="eastAsia" w:ascii="方正仿宋简体" w:hAnsi="仿宋" w:eastAsia="方正仿宋简体" w:cs="Calibri"/>
          <w:sz w:val="32"/>
          <w:szCs w:val="32"/>
          <w:lang w:val="en-US" w:eastAsia="zh-CN"/>
        </w:rPr>
        <w:t> </w:t>
      </w:r>
    </w:p>
    <w:p w14:paraId="19494888">
      <w:pPr>
        <w:adjustRightInd w:val="0"/>
        <w:snapToGrid w:val="0"/>
        <w:spacing w:line="600" w:lineRule="exact"/>
        <w:contextualSpacing/>
        <w:rPr>
          <w:rFonts w:hint="eastAsia" w:ascii="仿宋_GB2312" w:hAnsi="仿宋" w:eastAsia="仿宋_GB2312" w:cs="Times New Roman"/>
          <w:color w:val="000000"/>
          <w:kern w:val="2"/>
          <w:sz w:val="32"/>
          <w:szCs w:val="32"/>
          <w:lang w:val="en-US" w:eastAsia="zh-CN" w:bidi="ar-SA"/>
        </w:rPr>
      </w:pPr>
      <w:r>
        <w:rPr>
          <w:rFonts w:hint="eastAsia" w:ascii="方正仿宋简体" w:hAnsi="仿宋" w:eastAsia="方正仿宋简体" w:cs="Calibri"/>
          <w:sz w:val="32"/>
          <w:szCs w:val="32"/>
          <w:lang w:val="en-US" w:eastAsia="zh-CN"/>
        </w:rPr>
        <w:t>行政复议与行政诉讼权利告知：依据《中华人民共和国行政复议法》和《中华人民共和国行政诉讼法》，公民、法人或者其他组织认为公告的建设项目环境影响评价文件审批决定侵犯其合法权益的，可以自公告期限届满之日起六十日内提起行政复议，也可以自公告期限届满之日起六个月内提起行政诉讼。</w:t>
      </w:r>
      <w:r>
        <w:rPr>
          <w:rFonts w:hint="eastAsia" w:ascii="方正仿宋简体" w:hAnsi="仿宋" w:eastAsia="方正仿宋简体" w:cs="Calibri"/>
          <w:sz w:val="32"/>
          <w:szCs w:val="32"/>
          <w:lang w:val="en-US" w:eastAsia="zh-CN"/>
        </w:rPr>
        <w:br w:type="textWrapping"/>
      </w:r>
      <w:r>
        <w:rPr>
          <w:rFonts w:hint="eastAsia" w:ascii="方正仿宋简体" w:hAnsi="仿宋" w:eastAsia="方正仿宋简体" w:cs="Calibri"/>
          <w:sz w:val="32"/>
          <w:szCs w:val="32"/>
          <w:lang w:val="en-US" w:eastAsia="zh-CN"/>
        </w:rPr>
        <w:t> 联系电话：0434-3261108     邮箱：sphfs123@163.com</w:t>
      </w: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Noto Music"/>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Music"/>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Tahoma">
    <w:altName w:val="noto sans thai"/>
    <w:panose1 w:val="020B0604030504040204"/>
    <w:charset w:val="00"/>
    <w:family w:val="swiss"/>
    <w:pitch w:val="default"/>
    <w:sig w:usb0="00000000" w:usb1="00000000" w:usb2="00000029" w:usb3="00000000" w:csb0="200101FF" w:csb1="20280000"/>
  </w:font>
  <w:font w:name="noto sans thai">
    <w:panose1 w:val="020B0502040504020204"/>
    <w:charset w:val="00"/>
    <w:family w:val="auto"/>
    <w:pitch w:val="default"/>
    <w:sig w:usb0="81000063" w:usb1="00002000" w:usb2="00000000" w:usb3="00000000" w:csb0="00010000" w:csb1="00000000"/>
  </w:font>
  <w:font w:name="仿宋">
    <w:altName w:val="方正仿宋_GBK"/>
    <w:panose1 w:val="02010609060101010101"/>
    <w:charset w:val="86"/>
    <w:family w:val="modern"/>
    <w:pitch w:val="default"/>
    <w:sig w:usb0="00000000" w:usb1="00000000" w:usb2="00000016" w:usb3="00000000" w:csb0="00040001" w:csb1="00000000"/>
  </w:font>
  <w:font w:name="方正大标宋简体">
    <w:altName w:val="方正书宋_GBK"/>
    <w:panose1 w:val="03000509000000000000"/>
    <w:charset w:val="86"/>
    <w:family w:val="script"/>
    <w:pitch w:val="default"/>
    <w:sig w:usb0="00000000" w:usb1="00000000" w:usb2="00000010" w:usb3="00000000" w:csb0="00040000" w:csb1="00000000"/>
  </w:font>
  <w:font w:name="方正仿宋简体">
    <w:altName w:val="方正仿宋_GBK"/>
    <w:panose1 w:val="02010601030101010101"/>
    <w:charset w:val="86"/>
    <w:family w:val="auto"/>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国标黑体">
    <w:panose1 w:val="02000500000000000000"/>
    <w:charset w:val="86"/>
    <w:family w:val="auto"/>
    <w:pitch w:val="default"/>
    <w:sig w:usb0="00000001" w:usb1="08000000" w:usb2="00000000" w:usb3="00000000" w:csb0="00040000" w:csb1="00000000"/>
  </w:font>
  <w:font w:name="文泉驿微米黑">
    <w:panose1 w:val="020B0606030804020204"/>
    <w:charset w:val="86"/>
    <w:family w:val="auto"/>
    <w:pitch w:val="default"/>
    <w:sig w:usb0="E10002EF" w:usb1="6BDFFCFB" w:usb2="00800036" w:usb3="00000000" w:csb0="603E01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3DE"/>
    <w:rsid w:val="00010A8E"/>
    <w:rsid w:val="00025DAC"/>
    <w:rsid w:val="00031650"/>
    <w:rsid w:val="00034427"/>
    <w:rsid w:val="000528B0"/>
    <w:rsid w:val="000736D8"/>
    <w:rsid w:val="000747BA"/>
    <w:rsid w:val="0007491C"/>
    <w:rsid w:val="00090E2B"/>
    <w:rsid w:val="0009452E"/>
    <w:rsid w:val="000C35B1"/>
    <w:rsid w:val="000C42C7"/>
    <w:rsid w:val="000C6A3E"/>
    <w:rsid w:val="000D684B"/>
    <w:rsid w:val="000E4655"/>
    <w:rsid w:val="000E531A"/>
    <w:rsid w:val="00100E52"/>
    <w:rsid w:val="00104CF5"/>
    <w:rsid w:val="00111C4E"/>
    <w:rsid w:val="001149B7"/>
    <w:rsid w:val="001235F9"/>
    <w:rsid w:val="001242F8"/>
    <w:rsid w:val="00135FC4"/>
    <w:rsid w:val="001458D1"/>
    <w:rsid w:val="001508D6"/>
    <w:rsid w:val="00165DC8"/>
    <w:rsid w:val="00177ADC"/>
    <w:rsid w:val="00181DA3"/>
    <w:rsid w:val="001868E5"/>
    <w:rsid w:val="0018783E"/>
    <w:rsid w:val="00194E59"/>
    <w:rsid w:val="001A2A51"/>
    <w:rsid w:val="001A58BE"/>
    <w:rsid w:val="001B00A3"/>
    <w:rsid w:val="001B0E03"/>
    <w:rsid w:val="001B17D8"/>
    <w:rsid w:val="001B4411"/>
    <w:rsid w:val="001B7E84"/>
    <w:rsid w:val="001C7135"/>
    <w:rsid w:val="001C74C1"/>
    <w:rsid w:val="001D5F8A"/>
    <w:rsid w:val="001E7146"/>
    <w:rsid w:val="00210177"/>
    <w:rsid w:val="00210956"/>
    <w:rsid w:val="00210A5F"/>
    <w:rsid w:val="0021112B"/>
    <w:rsid w:val="002130DB"/>
    <w:rsid w:val="00217CBF"/>
    <w:rsid w:val="00227AD6"/>
    <w:rsid w:val="0023507D"/>
    <w:rsid w:val="00237DD8"/>
    <w:rsid w:val="002407EB"/>
    <w:rsid w:val="00240E76"/>
    <w:rsid w:val="0024397A"/>
    <w:rsid w:val="00243C1F"/>
    <w:rsid w:val="002800FA"/>
    <w:rsid w:val="00284D8B"/>
    <w:rsid w:val="00296347"/>
    <w:rsid w:val="002B2B32"/>
    <w:rsid w:val="002B667D"/>
    <w:rsid w:val="002B7F2F"/>
    <w:rsid w:val="002C0813"/>
    <w:rsid w:val="002D1A0B"/>
    <w:rsid w:val="002D75F6"/>
    <w:rsid w:val="002E04C1"/>
    <w:rsid w:val="002E0690"/>
    <w:rsid w:val="002E19F3"/>
    <w:rsid w:val="002E3234"/>
    <w:rsid w:val="002F4D02"/>
    <w:rsid w:val="0030182E"/>
    <w:rsid w:val="00303581"/>
    <w:rsid w:val="003106E8"/>
    <w:rsid w:val="00311E6B"/>
    <w:rsid w:val="00320FAE"/>
    <w:rsid w:val="00340A44"/>
    <w:rsid w:val="00342BA4"/>
    <w:rsid w:val="003437DD"/>
    <w:rsid w:val="00343830"/>
    <w:rsid w:val="0034613B"/>
    <w:rsid w:val="00367BA0"/>
    <w:rsid w:val="00373A89"/>
    <w:rsid w:val="00377AED"/>
    <w:rsid w:val="003826DE"/>
    <w:rsid w:val="00387A8B"/>
    <w:rsid w:val="00395026"/>
    <w:rsid w:val="003A0B5E"/>
    <w:rsid w:val="003A1182"/>
    <w:rsid w:val="003C188B"/>
    <w:rsid w:val="003C7A73"/>
    <w:rsid w:val="003D1877"/>
    <w:rsid w:val="003E228A"/>
    <w:rsid w:val="003F4DA3"/>
    <w:rsid w:val="0040379E"/>
    <w:rsid w:val="00405519"/>
    <w:rsid w:val="00407CE7"/>
    <w:rsid w:val="00410605"/>
    <w:rsid w:val="00410A81"/>
    <w:rsid w:val="004174B0"/>
    <w:rsid w:val="004178A4"/>
    <w:rsid w:val="00423D68"/>
    <w:rsid w:val="00434EEB"/>
    <w:rsid w:val="00442032"/>
    <w:rsid w:val="00443096"/>
    <w:rsid w:val="004432E7"/>
    <w:rsid w:val="00451E49"/>
    <w:rsid w:val="00454912"/>
    <w:rsid w:val="004705D8"/>
    <w:rsid w:val="00474E82"/>
    <w:rsid w:val="004836B6"/>
    <w:rsid w:val="004A7CE6"/>
    <w:rsid w:val="004B7B51"/>
    <w:rsid w:val="004D0B9B"/>
    <w:rsid w:val="004E153F"/>
    <w:rsid w:val="004E1F22"/>
    <w:rsid w:val="004E2747"/>
    <w:rsid w:val="004F4CD9"/>
    <w:rsid w:val="004F6D38"/>
    <w:rsid w:val="00500350"/>
    <w:rsid w:val="00531A53"/>
    <w:rsid w:val="00534197"/>
    <w:rsid w:val="00536E83"/>
    <w:rsid w:val="00537DAC"/>
    <w:rsid w:val="00572985"/>
    <w:rsid w:val="00580D66"/>
    <w:rsid w:val="00583240"/>
    <w:rsid w:val="00585707"/>
    <w:rsid w:val="005923DE"/>
    <w:rsid w:val="005A0CDA"/>
    <w:rsid w:val="005A19A9"/>
    <w:rsid w:val="005B4CA9"/>
    <w:rsid w:val="005C2342"/>
    <w:rsid w:val="005C37FE"/>
    <w:rsid w:val="005D51D2"/>
    <w:rsid w:val="005D5464"/>
    <w:rsid w:val="005D7A7B"/>
    <w:rsid w:val="005E4DB7"/>
    <w:rsid w:val="005F3538"/>
    <w:rsid w:val="005F5919"/>
    <w:rsid w:val="00605AD7"/>
    <w:rsid w:val="00607EDA"/>
    <w:rsid w:val="00623983"/>
    <w:rsid w:val="00627039"/>
    <w:rsid w:val="006311F7"/>
    <w:rsid w:val="00631CF9"/>
    <w:rsid w:val="006427EC"/>
    <w:rsid w:val="00642B57"/>
    <w:rsid w:val="00662F8E"/>
    <w:rsid w:val="0066317D"/>
    <w:rsid w:val="006754B9"/>
    <w:rsid w:val="006825EC"/>
    <w:rsid w:val="00687D23"/>
    <w:rsid w:val="00687D55"/>
    <w:rsid w:val="00695A99"/>
    <w:rsid w:val="006A02BC"/>
    <w:rsid w:val="006A228A"/>
    <w:rsid w:val="006A52D8"/>
    <w:rsid w:val="006B39F0"/>
    <w:rsid w:val="006B447B"/>
    <w:rsid w:val="006C02DB"/>
    <w:rsid w:val="006D3EF7"/>
    <w:rsid w:val="006D4BB0"/>
    <w:rsid w:val="006F7011"/>
    <w:rsid w:val="00707D70"/>
    <w:rsid w:val="0071363C"/>
    <w:rsid w:val="00715E8B"/>
    <w:rsid w:val="00720DDC"/>
    <w:rsid w:val="00725C70"/>
    <w:rsid w:val="00732FE9"/>
    <w:rsid w:val="007369BA"/>
    <w:rsid w:val="00744F7E"/>
    <w:rsid w:val="0075320B"/>
    <w:rsid w:val="007569D2"/>
    <w:rsid w:val="0075769B"/>
    <w:rsid w:val="00762389"/>
    <w:rsid w:val="00772D98"/>
    <w:rsid w:val="00772F94"/>
    <w:rsid w:val="007748CD"/>
    <w:rsid w:val="0079068C"/>
    <w:rsid w:val="00790771"/>
    <w:rsid w:val="00794B15"/>
    <w:rsid w:val="007A4697"/>
    <w:rsid w:val="007A774B"/>
    <w:rsid w:val="007A7DCB"/>
    <w:rsid w:val="007B084C"/>
    <w:rsid w:val="007B5B9A"/>
    <w:rsid w:val="007B77C5"/>
    <w:rsid w:val="007D06C7"/>
    <w:rsid w:val="007D098E"/>
    <w:rsid w:val="007D4C4E"/>
    <w:rsid w:val="007D622D"/>
    <w:rsid w:val="007E2C7C"/>
    <w:rsid w:val="007E32B3"/>
    <w:rsid w:val="007E415D"/>
    <w:rsid w:val="007E4285"/>
    <w:rsid w:val="007F360E"/>
    <w:rsid w:val="008064BD"/>
    <w:rsid w:val="00806CE1"/>
    <w:rsid w:val="00807D0F"/>
    <w:rsid w:val="00810A42"/>
    <w:rsid w:val="00812A1A"/>
    <w:rsid w:val="0081448B"/>
    <w:rsid w:val="00825240"/>
    <w:rsid w:val="00830762"/>
    <w:rsid w:val="00843F5C"/>
    <w:rsid w:val="008624D2"/>
    <w:rsid w:val="0086720C"/>
    <w:rsid w:val="00875B98"/>
    <w:rsid w:val="00876C33"/>
    <w:rsid w:val="00887F54"/>
    <w:rsid w:val="008A04DB"/>
    <w:rsid w:val="008A35E4"/>
    <w:rsid w:val="008C26B4"/>
    <w:rsid w:val="008C4112"/>
    <w:rsid w:val="008D18C2"/>
    <w:rsid w:val="008D31E1"/>
    <w:rsid w:val="008E24B7"/>
    <w:rsid w:val="008F01F6"/>
    <w:rsid w:val="008F2ACF"/>
    <w:rsid w:val="008F7D6B"/>
    <w:rsid w:val="00905B74"/>
    <w:rsid w:val="00906E6B"/>
    <w:rsid w:val="0090714D"/>
    <w:rsid w:val="00912F06"/>
    <w:rsid w:val="009137D5"/>
    <w:rsid w:val="00920C10"/>
    <w:rsid w:val="0092183A"/>
    <w:rsid w:val="00930BAE"/>
    <w:rsid w:val="00947915"/>
    <w:rsid w:val="00947EAF"/>
    <w:rsid w:val="00952339"/>
    <w:rsid w:val="00983907"/>
    <w:rsid w:val="00997A11"/>
    <w:rsid w:val="009A38A3"/>
    <w:rsid w:val="009A5EDF"/>
    <w:rsid w:val="009B4D83"/>
    <w:rsid w:val="009B5384"/>
    <w:rsid w:val="009B624A"/>
    <w:rsid w:val="009C1BD8"/>
    <w:rsid w:val="009D4C6E"/>
    <w:rsid w:val="009E78DD"/>
    <w:rsid w:val="009F6EC6"/>
    <w:rsid w:val="00A1307E"/>
    <w:rsid w:val="00A23A0C"/>
    <w:rsid w:val="00A25893"/>
    <w:rsid w:val="00A26C5F"/>
    <w:rsid w:val="00A5306A"/>
    <w:rsid w:val="00A57CF9"/>
    <w:rsid w:val="00A60850"/>
    <w:rsid w:val="00A625D1"/>
    <w:rsid w:val="00A66D36"/>
    <w:rsid w:val="00A712B1"/>
    <w:rsid w:val="00A7286C"/>
    <w:rsid w:val="00A757E1"/>
    <w:rsid w:val="00A75EFA"/>
    <w:rsid w:val="00A9400F"/>
    <w:rsid w:val="00A97E47"/>
    <w:rsid w:val="00AA1213"/>
    <w:rsid w:val="00AA2AC2"/>
    <w:rsid w:val="00AA4078"/>
    <w:rsid w:val="00AA49DB"/>
    <w:rsid w:val="00AB4974"/>
    <w:rsid w:val="00AC2A47"/>
    <w:rsid w:val="00AC42BA"/>
    <w:rsid w:val="00AD2A9A"/>
    <w:rsid w:val="00AD5EB7"/>
    <w:rsid w:val="00AE097F"/>
    <w:rsid w:val="00AE6074"/>
    <w:rsid w:val="00AF6A7E"/>
    <w:rsid w:val="00B00DDA"/>
    <w:rsid w:val="00B014F1"/>
    <w:rsid w:val="00B029BC"/>
    <w:rsid w:val="00B13F74"/>
    <w:rsid w:val="00B3028C"/>
    <w:rsid w:val="00B30767"/>
    <w:rsid w:val="00B32F29"/>
    <w:rsid w:val="00B33570"/>
    <w:rsid w:val="00B3395B"/>
    <w:rsid w:val="00B4093B"/>
    <w:rsid w:val="00B4537C"/>
    <w:rsid w:val="00B52ACE"/>
    <w:rsid w:val="00B572B6"/>
    <w:rsid w:val="00B64D2F"/>
    <w:rsid w:val="00B6601C"/>
    <w:rsid w:val="00B70E1D"/>
    <w:rsid w:val="00B73058"/>
    <w:rsid w:val="00B73E29"/>
    <w:rsid w:val="00B77C5C"/>
    <w:rsid w:val="00B8091A"/>
    <w:rsid w:val="00B862EC"/>
    <w:rsid w:val="00B86EE0"/>
    <w:rsid w:val="00B87BC6"/>
    <w:rsid w:val="00B933DE"/>
    <w:rsid w:val="00BB4DB0"/>
    <w:rsid w:val="00BD5B95"/>
    <w:rsid w:val="00BE70F5"/>
    <w:rsid w:val="00BE7747"/>
    <w:rsid w:val="00BE7F0A"/>
    <w:rsid w:val="00BF1419"/>
    <w:rsid w:val="00BF1BEC"/>
    <w:rsid w:val="00BF36C0"/>
    <w:rsid w:val="00BF44C4"/>
    <w:rsid w:val="00BF6984"/>
    <w:rsid w:val="00C00693"/>
    <w:rsid w:val="00C01DA4"/>
    <w:rsid w:val="00C053FD"/>
    <w:rsid w:val="00C17796"/>
    <w:rsid w:val="00C30C74"/>
    <w:rsid w:val="00C31DC8"/>
    <w:rsid w:val="00C3552B"/>
    <w:rsid w:val="00C5790B"/>
    <w:rsid w:val="00C74893"/>
    <w:rsid w:val="00C812ED"/>
    <w:rsid w:val="00C95CE0"/>
    <w:rsid w:val="00CB1221"/>
    <w:rsid w:val="00CB4464"/>
    <w:rsid w:val="00CB7A0C"/>
    <w:rsid w:val="00CC318A"/>
    <w:rsid w:val="00CD6C39"/>
    <w:rsid w:val="00CF14AA"/>
    <w:rsid w:val="00CF51A5"/>
    <w:rsid w:val="00CF5411"/>
    <w:rsid w:val="00D03738"/>
    <w:rsid w:val="00D051AA"/>
    <w:rsid w:val="00D057B5"/>
    <w:rsid w:val="00D05C1E"/>
    <w:rsid w:val="00D15B50"/>
    <w:rsid w:val="00D27602"/>
    <w:rsid w:val="00D3337E"/>
    <w:rsid w:val="00D4514D"/>
    <w:rsid w:val="00D52463"/>
    <w:rsid w:val="00D613FD"/>
    <w:rsid w:val="00D62C5B"/>
    <w:rsid w:val="00D636B2"/>
    <w:rsid w:val="00D71FBC"/>
    <w:rsid w:val="00D77A72"/>
    <w:rsid w:val="00D85696"/>
    <w:rsid w:val="00D86A95"/>
    <w:rsid w:val="00DC3BEC"/>
    <w:rsid w:val="00DC3E19"/>
    <w:rsid w:val="00DD6A51"/>
    <w:rsid w:val="00DE67B0"/>
    <w:rsid w:val="00DE71D1"/>
    <w:rsid w:val="00DF313E"/>
    <w:rsid w:val="00DF5CB6"/>
    <w:rsid w:val="00E03476"/>
    <w:rsid w:val="00E069E4"/>
    <w:rsid w:val="00E13792"/>
    <w:rsid w:val="00E204DC"/>
    <w:rsid w:val="00E26664"/>
    <w:rsid w:val="00E33317"/>
    <w:rsid w:val="00E36F4F"/>
    <w:rsid w:val="00E678E1"/>
    <w:rsid w:val="00E765A2"/>
    <w:rsid w:val="00E7676B"/>
    <w:rsid w:val="00E83442"/>
    <w:rsid w:val="00E921C8"/>
    <w:rsid w:val="00EC11A6"/>
    <w:rsid w:val="00EC213E"/>
    <w:rsid w:val="00ED0E7B"/>
    <w:rsid w:val="00ED115B"/>
    <w:rsid w:val="00EE40E5"/>
    <w:rsid w:val="00EE7D03"/>
    <w:rsid w:val="00EF0176"/>
    <w:rsid w:val="00EF5C77"/>
    <w:rsid w:val="00F027D1"/>
    <w:rsid w:val="00F0355E"/>
    <w:rsid w:val="00F3471E"/>
    <w:rsid w:val="00F404D1"/>
    <w:rsid w:val="00F43463"/>
    <w:rsid w:val="00F43B88"/>
    <w:rsid w:val="00F6094B"/>
    <w:rsid w:val="00F62221"/>
    <w:rsid w:val="00F704A8"/>
    <w:rsid w:val="00F71386"/>
    <w:rsid w:val="00F7432F"/>
    <w:rsid w:val="00F76A92"/>
    <w:rsid w:val="00F837E1"/>
    <w:rsid w:val="00FB3206"/>
    <w:rsid w:val="00FB6D13"/>
    <w:rsid w:val="00FC2C67"/>
    <w:rsid w:val="00FC7C31"/>
    <w:rsid w:val="00FE52D3"/>
    <w:rsid w:val="00FF5056"/>
    <w:rsid w:val="03963CC3"/>
    <w:rsid w:val="05CB7606"/>
    <w:rsid w:val="08497805"/>
    <w:rsid w:val="09CA499C"/>
    <w:rsid w:val="0BAE7929"/>
    <w:rsid w:val="12575B99"/>
    <w:rsid w:val="14F1200A"/>
    <w:rsid w:val="1D4C2E3E"/>
    <w:rsid w:val="1D95675A"/>
    <w:rsid w:val="213F307F"/>
    <w:rsid w:val="240434D6"/>
    <w:rsid w:val="27451630"/>
    <w:rsid w:val="28682F40"/>
    <w:rsid w:val="2B6B78B8"/>
    <w:rsid w:val="2EA460F8"/>
    <w:rsid w:val="33B85813"/>
    <w:rsid w:val="3D3D787A"/>
    <w:rsid w:val="3F4A7ADE"/>
    <w:rsid w:val="42040020"/>
    <w:rsid w:val="470C059D"/>
    <w:rsid w:val="47A63CC6"/>
    <w:rsid w:val="4C9B0838"/>
    <w:rsid w:val="50DF7FC3"/>
    <w:rsid w:val="552D12DA"/>
    <w:rsid w:val="58166169"/>
    <w:rsid w:val="587B4AAF"/>
    <w:rsid w:val="59437B8E"/>
    <w:rsid w:val="5B81682B"/>
    <w:rsid w:val="5BC60AFD"/>
    <w:rsid w:val="5E1D49E2"/>
    <w:rsid w:val="64D4770D"/>
    <w:rsid w:val="66BE76B7"/>
    <w:rsid w:val="683B64F9"/>
    <w:rsid w:val="698436A8"/>
    <w:rsid w:val="6EEF179F"/>
    <w:rsid w:val="72281C0E"/>
    <w:rsid w:val="734675D4"/>
    <w:rsid w:val="767716C2"/>
    <w:rsid w:val="77A067E2"/>
    <w:rsid w:val="7EC9770F"/>
    <w:rsid w:val="D61FECB9"/>
    <w:rsid w:val="EFEF0A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22"/>
    <w:semiHidden/>
    <w:unhideWhenUsed/>
    <w:qFormat/>
    <w:uiPriority w:val="99"/>
    <w:rPr>
      <w:rFonts w:ascii="宋体"/>
      <w:sz w:val="18"/>
      <w:szCs w:val="18"/>
    </w:rPr>
  </w:style>
  <w:style w:type="paragraph" w:styleId="3">
    <w:name w:val="annotation text"/>
    <w:basedOn w:val="1"/>
    <w:semiHidden/>
    <w:unhideWhenUsed/>
    <w:qFormat/>
    <w:uiPriority w:val="99"/>
    <w:pPr>
      <w:jc w:val="left"/>
    </w:pPr>
  </w:style>
  <w:style w:type="paragraph" w:styleId="4">
    <w:name w:val="Body Text"/>
    <w:next w:val="5"/>
    <w:semiHidden/>
    <w:qFormat/>
    <w:uiPriority w:val="0"/>
    <w:pPr>
      <w:widowControl w:val="0"/>
      <w:snapToGrid w:val="0"/>
      <w:spacing w:line="360" w:lineRule="auto"/>
      <w:jc w:val="both"/>
    </w:pPr>
    <w:rPr>
      <w:rFonts w:ascii="Times New Roman" w:hAnsi="Times New Roman" w:eastAsia="宋体" w:cs="Times New Roman"/>
      <w:kern w:val="2"/>
      <w:sz w:val="21"/>
      <w:szCs w:val="24"/>
      <w:lang w:val="en-US" w:eastAsia="zh-CN" w:bidi="ar-SA"/>
    </w:rPr>
  </w:style>
  <w:style w:type="paragraph" w:customStyle="1" w:styleId="5">
    <w:name w:val="默认段落"/>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6">
    <w:name w:val="Balloon Text"/>
    <w:basedOn w:val="1"/>
    <w:link w:val="19"/>
    <w:semiHidden/>
    <w:unhideWhenUsed/>
    <w:qFormat/>
    <w:uiPriority w:val="99"/>
    <w:rPr>
      <w:sz w:val="18"/>
      <w:szCs w:val="18"/>
    </w:rPr>
  </w:style>
  <w:style w:type="paragraph" w:styleId="7">
    <w:name w:val="footer"/>
    <w:basedOn w:val="1"/>
    <w:link w:val="16"/>
    <w:unhideWhenUsed/>
    <w:qFormat/>
    <w:uiPriority w:val="99"/>
    <w:pPr>
      <w:tabs>
        <w:tab w:val="center" w:pos="4153"/>
        <w:tab w:val="right" w:pos="8306"/>
      </w:tabs>
      <w:snapToGrid w:val="0"/>
      <w:jc w:val="left"/>
    </w:pPr>
    <w:rPr>
      <w:sz w:val="18"/>
      <w:szCs w:val="18"/>
    </w:rPr>
  </w:style>
  <w:style w:type="paragraph" w:styleId="8">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List"/>
    <w:basedOn w:val="1"/>
    <w:qFormat/>
    <w:uiPriority w:val="0"/>
    <w:pPr>
      <w:ind w:left="200" w:hanging="200" w:hangingChars="200"/>
    </w:pPr>
  </w:style>
  <w:style w:type="paragraph" w:styleId="10">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customStyle="1" w:styleId="13">
    <w:name w:val="正文格式"/>
    <w:basedOn w:val="1"/>
    <w:qFormat/>
    <w:locked/>
    <w:uiPriority w:val="0"/>
    <w:pPr>
      <w:spacing w:line="360" w:lineRule="auto"/>
      <w:ind w:firstLine="482"/>
    </w:pPr>
  </w:style>
  <w:style w:type="paragraph" w:customStyle="1" w:styleId="14">
    <w:name w:val="意见正文编号"/>
    <w:basedOn w:val="1"/>
    <w:qFormat/>
    <w:uiPriority w:val="0"/>
    <w:pPr>
      <w:spacing w:line="360" w:lineRule="auto"/>
      <w:ind w:firstLine="560" w:firstLineChars="200"/>
      <w:outlineLvl w:val="0"/>
    </w:pPr>
    <w:rPr>
      <w:rFonts w:ascii="仿宋_GB2312" w:hAnsi="宋体" w:eastAsia="仿宋_GB2312" w:cs="Arial"/>
      <w:bCs/>
      <w:color w:val="FF0000"/>
      <w:kern w:val="40"/>
      <w:sz w:val="28"/>
      <w:szCs w:val="28"/>
    </w:rPr>
  </w:style>
  <w:style w:type="character" w:customStyle="1" w:styleId="15">
    <w:name w:val="页眉 Char"/>
    <w:basedOn w:val="12"/>
    <w:link w:val="8"/>
    <w:qFormat/>
    <w:uiPriority w:val="99"/>
    <w:rPr>
      <w:rFonts w:ascii="Times New Roman" w:hAnsi="Times New Roman" w:eastAsia="宋体" w:cs="Times New Roman"/>
      <w:sz w:val="18"/>
      <w:szCs w:val="18"/>
    </w:rPr>
  </w:style>
  <w:style w:type="character" w:customStyle="1" w:styleId="16">
    <w:name w:val="页脚 Char"/>
    <w:basedOn w:val="12"/>
    <w:link w:val="7"/>
    <w:qFormat/>
    <w:uiPriority w:val="99"/>
    <w:rPr>
      <w:rFonts w:ascii="Times New Roman" w:hAnsi="Times New Roman" w:eastAsia="宋体" w:cs="Times New Roman"/>
      <w:sz w:val="18"/>
      <w:szCs w:val="18"/>
    </w:rPr>
  </w:style>
  <w:style w:type="character" w:customStyle="1" w:styleId="17">
    <w:name w:val="评估意见正文内容 Char"/>
    <w:basedOn w:val="12"/>
    <w:link w:val="18"/>
    <w:qFormat/>
    <w:uiPriority w:val="0"/>
    <w:rPr>
      <w:rFonts w:ascii="仿宋_GB2312" w:hAnsi="宋体" w:eastAsia="仿宋_GB2312"/>
      <w:bCs/>
      <w:sz w:val="32"/>
      <w:szCs w:val="23"/>
    </w:rPr>
  </w:style>
  <w:style w:type="paragraph" w:customStyle="1" w:styleId="18">
    <w:name w:val="评估意见正文内容"/>
    <w:basedOn w:val="1"/>
    <w:link w:val="17"/>
    <w:qFormat/>
    <w:uiPriority w:val="0"/>
    <w:pPr>
      <w:spacing w:line="360" w:lineRule="auto"/>
      <w:ind w:firstLine="640" w:firstLineChars="200"/>
    </w:pPr>
    <w:rPr>
      <w:rFonts w:ascii="仿宋_GB2312" w:hAnsi="宋体" w:eastAsia="仿宋_GB2312" w:cstheme="minorBidi"/>
      <w:bCs/>
      <w:sz w:val="32"/>
      <w:szCs w:val="23"/>
    </w:rPr>
  </w:style>
  <w:style w:type="character" w:customStyle="1" w:styleId="19">
    <w:name w:val="批注框文本 Char"/>
    <w:basedOn w:val="12"/>
    <w:link w:val="6"/>
    <w:semiHidden/>
    <w:qFormat/>
    <w:uiPriority w:val="99"/>
    <w:rPr>
      <w:rFonts w:ascii="Times New Roman" w:hAnsi="Times New Roman" w:eastAsia="宋体" w:cs="Times New Roman"/>
      <w:sz w:val="18"/>
      <w:szCs w:val="18"/>
    </w:rPr>
  </w:style>
  <w:style w:type="paragraph" w:customStyle="1" w:styleId="20">
    <w:name w:val="默认段落字体 Para Char Char Char Char Char Char Char Char Char Char"/>
    <w:basedOn w:val="2"/>
    <w:qFormat/>
    <w:uiPriority w:val="0"/>
    <w:pPr>
      <w:shd w:val="clear" w:color="auto" w:fill="000080"/>
      <w:adjustRightInd w:val="0"/>
      <w:spacing w:line="436" w:lineRule="exact"/>
      <w:ind w:left="357"/>
      <w:jc w:val="left"/>
      <w:outlineLvl w:val="3"/>
    </w:pPr>
    <w:rPr>
      <w:rFonts w:ascii="Tahoma" w:hAnsi="Tahoma"/>
      <w:b/>
      <w:sz w:val="24"/>
      <w:szCs w:val="24"/>
    </w:rPr>
  </w:style>
  <w:style w:type="paragraph" w:customStyle="1" w:styleId="21">
    <w:name w:val="样式 正文11 + 首行缩进:  2 字符"/>
    <w:basedOn w:val="1"/>
    <w:qFormat/>
    <w:uiPriority w:val="99"/>
    <w:pPr>
      <w:spacing w:line="500" w:lineRule="exact"/>
      <w:ind w:firstLine="560" w:firstLineChars="200"/>
    </w:pPr>
    <w:rPr>
      <w:rFonts w:ascii="宋体" w:hAnsi="宋体"/>
      <w:color w:val="FF0000"/>
      <w:sz w:val="28"/>
      <w:szCs w:val="24"/>
    </w:rPr>
  </w:style>
  <w:style w:type="character" w:customStyle="1" w:styleId="22">
    <w:name w:val="文档结构图 Char"/>
    <w:basedOn w:val="12"/>
    <w:link w:val="2"/>
    <w:semiHidden/>
    <w:qFormat/>
    <w:uiPriority w:val="99"/>
    <w:rPr>
      <w:rFonts w:ascii="宋体" w:hAnsi="Times New Roman" w:eastAsia="宋体" w:cs="Times New Roman"/>
      <w:sz w:val="18"/>
      <w:szCs w:val="18"/>
    </w:rPr>
  </w:style>
  <w:style w:type="paragraph" w:styleId="23">
    <w:name w:val="List Paragraph"/>
    <w:basedOn w:val="1"/>
    <w:qFormat/>
    <w:uiPriority w:val="34"/>
    <w:pPr>
      <w:ind w:firstLine="420" w:firstLineChars="200"/>
    </w:pPr>
  </w:style>
  <w:style w:type="character" w:customStyle="1" w:styleId="24">
    <w:name w:val="fontstyle01"/>
    <w:basedOn w:val="12"/>
    <w:qFormat/>
    <w:uiPriority w:val="0"/>
    <w:rPr>
      <w:rFonts w:ascii="宋体" w:hAnsi="宋体" w:eastAsia="宋体" w:cs="宋体"/>
      <w:color w:val="00000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Version="6" SelectedStyle="\APASixthEditionOfficeOnline.xsl"/>
</file>

<file path=customXml/itemProps1.xml><?xml version="1.0" encoding="utf-8"?>
<ds:datastoreItem xmlns:ds="http://schemas.openxmlformats.org/officeDocument/2006/customXml" ds:itemID="{0253A499-B5D2-4CCB-8ED7-B19C02477A9C}">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4</Pages>
  <Words>1888</Words>
  <Characters>2206</Characters>
  <Lines>7</Lines>
  <Paragraphs>2</Paragraphs>
  <TotalTime>3</TotalTime>
  <ScaleCrop>false</ScaleCrop>
  <LinksUpToDate>false</LinksUpToDate>
  <CharactersWithSpaces>2213</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2017-08-15T01:27:00Z</dcterms:created>
  <dc:creator>Administrator</dc:creator>
  <cp:lastModifiedBy>uos</cp:lastModifiedBy>
  <cp:lastPrinted>2026-08-10T16:44:00Z</cp:lastPrinted>
  <dcterms:modified xsi:type="dcterms:W3CDTF">2026-08-11T13:45:49Z</dcterms:modified>
  <cp:revision>169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ICV">
    <vt:lpwstr>976DE536B01541D695B567FDF608165E</vt:lpwstr>
  </property>
  <property fmtid="{D5CDD505-2E9C-101B-9397-08002B2CF9AE}" pid="4" name="KSOTemplateDocerSaveRecord">
    <vt:lpwstr>eyJoZGlkIjoiZmYyYTIwZjQxODkwNTY0NDI4ZjM0YWU3MWE3NzQwNWYiLCJ1c2VySWQiOiI1NTI1NjcxMTAifQ==</vt:lpwstr>
  </property>
</Properties>
</file>