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ACC"/>
  <w:body>
    <w:p w14:paraId="440BA7BC">
      <w:pPr>
        <w:pStyle w:val="1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1474" w:right="0" w:hanging="1264"/>
        <w:jc w:val="both"/>
      </w:pPr>
      <w:r>
        <w:rPr>
          <w:rFonts w:ascii="仿宋" w:hAnsi="仿宋" w:eastAsia="仿宋" w:cs="仿宋"/>
          <w:b/>
          <w:bCs/>
          <w:color w:val="000000"/>
          <w:sz w:val="40"/>
          <w:szCs w:val="40"/>
        </w:rPr>
        <w:t>环评批复公示：</w:t>
      </w:r>
    </w:p>
    <w:p w14:paraId="350316A4">
      <w:pPr>
        <w:spacing w:line="600" w:lineRule="exact"/>
        <w:jc w:val="both"/>
        <w:rPr>
          <w:rFonts w:hint="eastAsia" w:ascii="方正大标宋简体" w:hAnsi="宋体" w:eastAsia="方正大标宋简体"/>
          <w:sz w:val="44"/>
          <w:szCs w:val="44"/>
        </w:rPr>
      </w:pPr>
    </w:p>
    <w:p w14:paraId="748A9ECD">
      <w:pPr>
        <w:pStyle w:val="13"/>
        <w:rPr>
          <w:rFonts w:hint="eastAsia" w:ascii="方正大标宋简体" w:hAnsi="宋体" w:eastAsia="方正大标宋简体"/>
          <w:sz w:val="44"/>
          <w:szCs w:val="44"/>
        </w:rPr>
      </w:pPr>
    </w:p>
    <w:p w14:paraId="35C99935">
      <w:pPr>
        <w:pStyle w:val="13"/>
        <w:rPr>
          <w:rFonts w:hint="eastAsia" w:ascii="方正大标宋简体" w:hAnsi="宋体" w:eastAsia="方正大标宋简体"/>
          <w:sz w:val="44"/>
          <w:szCs w:val="44"/>
        </w:rPr>
      </w:pPr>
    </w:p>
    <w:p w14:paraId="3757D17A">
      <w:pPr>
        <w:pStyle w:val="1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default" w:ascii="方正仿宋简体" w:hAnsi="方正仿宋简体" w:eastAsia="方正仿宋简体" w:cs="方正仿宋简体"/>
          <w:color w:val="000000"/>
          <w:sz w:val="32"/>
          <w:szCs w:val="32"/>
        </w:rPr>
      </w:pPr>
      <w:r>
        <w:rPr>
          <w:rFonts w:ascii="方正仿宋简体" w:hAnsi="方正仿宋简体" w:eastAsia="方正仿宋简体" w:cs="方正仿宋简体"/>
          <w:color w:val="000000"/>
          <w:sz w:val="32"/>
          <w:szCs w:val="32"/>
        </w:rPr>
        <w:t>四环审表（辐）字〔</w:t>
      </w:r>
      <w:r>
        <w:rPr>
          <w:rFonts w:hint="default" w:ascii="方正仿宋简体" w:hAnsi="方正仿宋简体" w:eastAsia="方正仿宋简体" w:cs="方正仿宋简体"/>
          <w:color w:val="000000"/>
          <w:sz w:val="32"/>
          <w:szCs w:val="32"/>
        </w:rPr>
        <w:t>202</w:t>
      </w:r>
      <w:r>
        <w:rPr>
          <w:rFonts w:hint="eastAsia" w:ascii="方正仿宋简体" w:hAnsi="方正仿宋简体" w:eastAsia="方正仿宋简体" w:cs="方正仿宋简体"/>
          <w:color w:val="000000"/>
          <w:sz w:val="32"/>
          <w:szCs w:val="32"/>
          <w:highlight w:val="none"/>
          <w:lang w:val="en-US" w:eastAsia="zh-CN"/>
        </w:rPr>
        <w:t>6</w:t>
      </w:r>
      <w:r>
        <w:rPr>
          <w:rFonts w:hint="default" w:ascii="方正仿宋简体" w:hAnsi="方正仿宋简体" w:eastAsia="方正仿宋简体" w:cs="方正仿宋简体"/>
          <w:color w:val="000000"/>
          <w:sz w:val="32"/>
          <w:szCs w:val="32"/>
          <w:highlight w:val="none"/>
        </w:rPr>
        <w:t>〕</w:t>
      </w:r>
      <w:r>
        <w:rPr>
          <w:rFonts w:hint="eastAsia" w:ascii="方正仿宋简体" w:hAnsi="方正仿宋简体" w:eastAsia="方正仿宋简体" w:cs="方正仿宋简体"/>
          <w:color w:val="000000"/>
          <w:sz w:val="32"/>
          <w:szCs w:val="32"/>
          <w:highlight w:val="none"/>
          <w:lang w:val="en-US" w:eastAsia="zh-CN"/>
        </w:rPr>
        <w:t>6</w:t>
      </w:r>
      <w:r>
        <w:rPr>
          <w:rFonts w:hint="default" w:ascii="方正仿宋简体" w:hAnsi="方正仿宋简体" w:eastAsia="方正仿宋简体" w:cs="方正仿宋简体"/>
          <w:color w:val="000000"/>
          <w:sz w:val="32"/>
          <w:szCs w:val="32"/>
          <w:highlight w:val="none"/>
        </w:rPr>
        <w:t>号</w:t>
      </w:r>
    </w:p>
    <w:p w14:paraId="3E67ED6E">
      <w:pPr>
        <w:pStyle w:val="1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eastAsia" w:ascii="方正仿宋简体" w:hAnsi="方正仿宋简体" w:eastAsia="方正仿宋简体" w:cs="方正仿宋简体"/>
          <w:color w:val="000000"/>
          <w:sz w:val="32"/>
          <w:szCs w:val="32"/>
        </w:rPr>
      </w:pPr>
    </w:p>
    <w:p w14:paraId="60B253F8">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四平市生态环境局关于梨树海邦200MW超级电容、锂电混合储能独立调频电站项目220kV送出线路工程</w:t>
      </w:r>
      <w:r>
        <w:rPr>
          <w:rFonts w:hint="eastAsia" w:ascii="方正小标宋简体" w:hAnsi="方正小标宋简体" w:eastAsia="方正小标宋简体" w:cs="方正小标宋简体"/>
          <w:sz w:val="44"/>
          <w:szCs w:val="44"/>
          <w:highlight w:val="none"/>
          <w:lang w:eastAsia="zh-CN"/>
        </w:rPr>
        <w:t>环境</w:t>
      </w:r>
      <w:r>
        <w:rPr>
          <w:rFonts w:hint="eastAsia" w:ascii="方正小标宋简体" w:hAnsi="方正小标宋简体" w:eastAsia="方正小标宋简体" w:cs="方正小标宋简体"/>
          <w:sz w:val="44"/>
          <w:szCs w:val="44"/>
          <w:lang w:eastAsia="zh-CN"/>
        </w:rPr>
        <w:t>影响报告表的批复</w:t>
      </w:r>
    </w:p>
    <w:p w14:paraId="1BD6634A">
      <w:pPr>
        <w:spacing w:line="600" w:lineRule="exact"/>
        <w:rPr>
          <w:rFonts w:ascii="方正大标宋简体" w:hAnsi="仿宋" w:eastAsia="方正大标宋简体"/>
          <w:sz w:val="28"/>
          <w:szCs w:val="28"/>
        </w:rPr>
      </w:pPr>
    </w:p>
    <w:p w14:paraId="14C47269">
      <w:pPr>
        <w:keepNext w:val="0"/>
        <w:keepLines w:val="0"/>
        <w:widowControl/>
        <w:suppressLineNumbers w:val="0"/>
        <w:jc w:val="left"/>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吉林省海邦能源有限</w:t>
      </w:r>
      <w:r>
        <w:rPr>
          <w:rFonts w:hint="eastAsia" w:ascii="仿宋_GB2312" w:hAnsi="仿宋" w:eastAsia="仿宋_GB2312"/>
          <w:sz w:val="32"/>
          <w:szCs w:val="32"/>
          <w:highlight w:val="none"/>
          <w:lang w:eastAsia="zh-CN"/>
        </w:rPr>
        <w:t>公司：</w:t>
      </w:r>
    </w:p>
    <w:p w14:paraId="716083B6">
      <w:pPr>
        <w:pStyle w:val="13"/>
        <w:ind w:left="0" w:leftChars="0" w:firstLine="640" w:firstLineChars="200"/>
        <w:rPr>
          <w:rFonts w:hint="eastAsia"/>
          <w:highlight w:val="none"/>
          <w:lang w:eastAsia="zh-CN"/>
        </w:rPr>
      </w:pPr>
      <w:r>
        <w:rPr>
          <w:rFonts w:hint="eastAsia" w:ascii="仿宋_GB2312" w:hAnsi="仿宋" w:eastAsia="仿宋_GB2312"/>
          <w:sz w:val="32"/>
          <w:szCs w:val="32"/>
          <w:highlight w:val="none"/>
        </w:rPr>
        <w:t>你单位报送的《关于</w:t>
      </w:r>
      <w:r>
        <w:rPr>
          <w:rFonts w:hint="eastAsia" w:ascii="仿宋_GB2312" w:hAnsi="仿宋" w:eastAsia="仿宋_GB2312" w:cs="Times New Roman"/>
          <w:sz w:val="32"/>
          <w:szCs w:val="32"/>
          <w:highlight w:val="none"/>
        </w:rPr>
        <w:t>&lt;梨树海邦200MW超级电容、锂电混合储能独立调频电站项目220kV送出线路工程</w:t>
      </w:r>
      <w:r>
        <w:rPr>
          <w:rFonts w:hint="eastAsia" w:ascii="仿宋_GB2312" w:hAnsi="仿宋" w:eastAsia="仿宋_GB2312" w:cs="Times New Roman"/>
          <w:sz w:val="32"/>
          <w:szCs w:val="32"/>
          <w:highlight w:val="none"/>
          <w:lang w:val="en-US" w:eastAsia="zh-CN"/>
        </w:rPr>
        <w:t>环境影响报告表</w:t>
      </w:r>
      <w:r>
        <w:rPr>
          <w:rFonts w:hint="eastAsia" w:ascii="仿宋_GB2312" w:hAnsi="仿宋" w:eastAsia="仿宋_GB2312" w:cs="Times New Roman"/>
          <w:sz w:val="32"/>
          <w:szCs w:val="32"/>
          <w:highlight w:val="none"/>
        </w:rPr>
        <w:t>&gt;的审</w:t>
      </w:r>
      <w:r>
        <w:rPr>
          <w:rFonts w:hint="eastAsia" w:ascii="仿宋_GB2312" w:hAnsi="仿宋" w:eastAsia="仿宋_GB2312"/>
          <w:sz w:val="32"/>
          <w:szCs w:val="32"/>
          <w:highlight w:val="none"/>
        </w:rPr>
        <w:t>批申请》及相关材料收悉，经研究，批复如下：</w:t>
      </w:r>
    </w:p>
    <w:p w14:paraId="069482FF">
      <w:pPr>
        <w:numPr>
          <w:ilvl w:val="0"/>
          <w:numId w:val="0"/>
        </w:numPr>
        <w:adjustRightInd w:val="0"/>
        <w:snapToGrid w:val="0"/>
        <w:spacing w:line="600" w:lineRule="exact"/>
        <w:ind w:firstLine="640" w:firstLineChars="200"/>
        <w:contextualSpacing/>
        <w:rPr>
          <w:rFonts w:hint="eastAsia" w:ascii="国标黑体" w:hAnsi="国标黑体" w:eastAsia="国标黑体" w:cs="国标黑体"/>
          <w:sz w:val="32"/>
          <w:szCs w:val="32"/>
          <w:highlight w:val="none"/>
          <w:lang w:eastAsia="zh-CN"/>
        </w:rPr>
      </w:pPr>
      <w:r>
        <w:rPr>
          <w:rFonts w:hint="eastAsia" w:ascii="国标黑体" w:hAnsi="国标黑体" w:eastAsia="国标黑体" w:cs="国标黑体"/>
          <w:sz w:val="32"/>
          <w:szCs w:val="32"/>
          <w:highlight w:val="none"/>
          <w:lang w:eastAsia="zh-CN"/>
        </w:rPr>
        <w:t>一、工程概况</w:t>
      </w:r>
    </w:p>
    <w:p w14:paraId="38174F3F">
      <w:pPr>
        <w:numPr>
          <w:ilvl w:val="0"/>
          <w:numId w:val="0"/>
        </w:numPr>
        <w:adjustRightInd w:val="0"/>
        <w:snapToGrid w:val="0"/>
        <w:spacing w:line="600" w:lineRule="exact"/>
        <w:ind w:firstLine="640" w:firstLineChars="200"/>
        <w:contextualSpacing/>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该工程</w:t>
      </w:r>
      <w:r>
        <w:rPr>
          <w:rFonts w:hint="eastAsia" w:ascii="仿宋_GB2312" w:hAnsi="仿宋" w:eastAsia="仿宋_GB2312"/>
          <w:sz w:val="32"/>
          <w:szCs w:val="32"/>
          <w:highlight w:val="none"/>
        </w:rPr>
        <w:t>建设地点位于</w:t>
      </w:r>
      <w:r>
        <w:rPr>
          <w:rFonts w:hint="eastAsia" w:ascii="仿宋_GB2312" w:hAnsi="仿宋" w:eastAsia="仿宋_GB2312"/>
          <w:sz w:val="32"/>
          <w:szCs w:val="32"/>
          <w:highlight w:val="none"/>
          <w:lang w:val="en-US" w:eastAsia="zh-CN"/>
        </w:rPr>
        <w:t>吉林省四平市梨树县白山乡西白山村</w:t>
      </w:r>
      <w:r>
        <w:rPr>
          <w:rFonts w:hint="eastAsia" w:ascii="仿宋_GB2312" w:hAnsi="仿宋" w:eastAsia="仿宋_GB2312"/>
          <w:sz w:val="32"/>
          <w:szCs w:val="32"/>
          <w:highlight w:val="none"/>
          <w:lang w:eastAsia="zh-CN"/>
        </w:rPr>
        <w:t>境内。</w:t>
      </w:r>
    </w:p>
    <w:p w14:paraId="2760F882">
      <w:pPr>
        <w:numPr>
          <w:ilvl w:val="0"/>
          <w:numId w:val="0"/>
        </w:num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rPr>
        <w:t>新</w:t>
      </w:r>
      <w:r>
        <w:rPr>
          <w:rFonts w:hint="eastAsia" w:ascii="仿宋_GB2312" w:hAnsi="仿宋" w:eastAsia="仿宋_GB2312" w:cs="Times New Roman"/>
          <w:sz w:val="32"/>
          <w:szCs w:val="32"/>
          <w:highlight w:val="none"/>
        </w:rPr>
        <w:t>建</w:t>
      </w:r>
      <w:r>
        <w:rPr>
          <w:rFonts w:hint="eastAsia" w:ascii="仿宋_GB2312" w:hAnsi="仿宋" w:eastAsia="仿宋_GB2312" w:cs="Times New Roman"/>
          <w:sz w:val="32"/>
          <w:szCs w:val="32"/>
          <w:highlight w:val="none"/>
          <w:lang w:val="en-US" w:eastAsia="zh-CN"/>
        </w:rPr>
        <w:t>梨树海邦200MW超级电容、锂电混合储能独立调频电站</w:t>
      </w:r>
      <w:r>
        <w:rPr>
          <w:rFonts w:hint="eastAsia" w:ascii="仿宋_GB2312" w:hAnsi="仿宋" w:eastAsia="仿宋_GB2312" w:cs="Times New Roman"/>
          <w:sz w:val="32"/>
          <w:szCs w:val="32"/>
          <w:highlight w:val="none"/>
        </w:rPr>
        <w:t>至</w:t>
      </w:r>
      <w:r>
        <w:rPr>
          <w:rFonts w:hint="eastAsia" w:ascii="仿宋_GB2312" w:hAnsi="仿宋" w:eastAsia="仿宋_GB2312" w:cs="Times New Roman"/>
          <w:sz w:val="32"/>
          <w:szCs w:val="32"/>
          <w:highlight w:val="none"/>
          <w:lang w:val="en-US" w:eastAsia="zh-CN"/>
        </w:rPr>
        <w:t>梨树500kV变电站</w:t>
      </w:r>
      <w:r>
        <w:rPr>
          <w:rFonts w:hint="eastAsia" w:ascii="仿宋_GB2312" w:hAnsi="仿宋" w:eastAsia="仿宋_GB2312" w:cs="Times New Roman"/>
          <w:sz w:val="32"/>
          <w:szCs w:val="32"/>
          <w:highlight w:val="none"/>
        </w:rPr>
        <w:t>220kV架</w:t>
      </w:r>
      <w:r>
        <w:rPr>
          <w:rFonts w:hint="eastAsia" w:ascii="仿宋_GB2312" w:hAnsi="仿宋" w:eastAsia="仿宋_GB2312"/>
          <w:sz w:val="32"/>
          <w:szCs w:val="32"/>
          <w:highlight w:val="none"/>
        </w:rPr>
        <w:t>空线路，单回路架设，新建铁塔</w:t>
      </w:r>
      <w:r>
        <w:rPr>
          <w:rFonts w:hint="eastAsia" w:ascii="仿宋_GB2312" w:hAnsi="仿宋" w:eastAsia="仿宋_GB2312"/>
          <w:sz w:val="32"/>
          <w:szCs w:val="32"/>
          <w:highlight w:val="none"/>
          <w:lang w:val="en-US" w:eastAsia="zh-CN"/>
        </w:rPr>
        <w:t>5</w:t>
      </w:r>
      <w:r>
        <w:rPr>
          <w:rFonts w:hint="eastAsia" w:ascii="仿宋_GB2312" w:hAnsi="仿宋" w:eastAsia="仿宋_GB2312"/>
          <w:sz w:val="32"/>
          <w:szCs w:val="32"/>
          <w:highlight w:val="none"/>
        </w:rPr>
        <w:t>基，采用</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JL3/G1A-400/35型</w:t>
      </w:r>
      <w:r>
        <w:rPr>
          <w:rFonts w:hint="eastAsia" w:ascii="仿宋_GB2312" w:hAnsi="仿宋" w:eastAsia="仿宋_GB2312" w:cs="Times New Roman"/>
          <w:sz w:val="32"/>
          <w:szCs w:val="32"/>
          <w:highlight w:val="none"/>
          <w:lang w:val="en-US" w:eastAsia="zh-CN"/>
        </w:rPr>
        <w:t>钢芯高导电率铝绞线</w:t>
      </w:r>
      <w:r>
        <w:rPr>
          <w:rFonts w:hint="eastAsia" w:ascii="仿宋_GB2312" w:hAnsi="仿宋" w:eastAsia="仿宋_GB2312" w:cs="Times New Roman"/>
          <w:sz w:val="32"/>
          <w:szCs w:val="32"/>
          <w:highlight w:val="none"/>
        </w:rPr>
        <w:t>，</w:t>
      </w:r>
      <w:r>
        <w:rPr>
          <w:rFonts w:hint="eastAsia" w:ascii="仿宋_GB2312" w:hAnsi="仿宋" w:eastAsia="仿宋_GB2312"/>
          <w:sz w:val="32"/>
          <w:szCs w:val="32"/>
          <w:highlight w:val="none"/>
        </w:rPr>
        <w:t>线路长度约</w:t>
      </w:r>
      <w:r>
        <w:rPr>
          <w:rFonts w:hint="eastAsia" w:ascii="仿宋_GB2312" w:hAnsi="仿宋" w:eastAsia="仿宋_GB2312"/>
          <w:sz w:val="32"/>
          <w:szCs w:val="32"/>
          <w:highlight w:val="none"/>
          <w:lang w:val="en-US" w:eastAsia="zh-CN"/>
        </w:rPr>
        <w:t>0.8</w:t>
      </w:r>
      <w:r>
        <w:rPr>
          <w:rFonts w:hint="eastAsia" w:ascii="仿宋_GB2312" w:hAnsi="仿宋" w:eastAsia="仿宋_GB2312"/>
          <w:sz w:val="32"/>
          <w:szCs w:val="32"/>
          <w:highlight w:val="none"/>
        </w:rPr>
        <w:t>km。</w:t>
      </w:r>
    </w:p>
    <w:p w14:paraId="585E3986">
      <w:pPr>
        <w:adjustRightInd w:val="0"/>
        <w:snapToGrid w:val="0"/>
        <w:spacing w:line="600" w:lineRule="exact"/>
        <w:ind w:firstLine="640" w:firstLineChars="200"/>
        <w:contextualSpacing/>
        <w:rPr>
          <w:rFonts w:hint="eastAsia" w:ascii="仿宋_GB2312" w:hAnsi="仿宋" w:eastAsia="仿宋_GB2312" w:cs="Times New Roman"/>
          <w:sz w:val="32"/>
          <w:szCs w:val="32"/>
          <w:highlight w:val="none"/>
        </w:rPr>
      </w:pPr>
      <w:r>
        <w:rPr>
          <w:rFonts w:hint="eastAsia" w:ascii="仿宋_GB2312" w:hAnsi="仿宋" w:eastAsia="仿宋_GB2312" w:cs="Times New Roman"/>
          <w:sz w:val="32"/>
          <w:szCs w:val="32"/>
          <w:highlight w:val="none"/>
          <w:lang w:val="en-US" w:eastAsia="zh-CN"/>
        </w:rPr>
        <w:t>项目总投资389万元，其中环保投资17.3万元。</w:t>
      </w:r>
    </w:p>
    <w:p w14:paraId="75C6CF98">
      <w:pPr>
        <w:numPr>
          <w:ilvl w:val="0"/>
          <w:numId w:val="0"/>
        </w:numPr>
        <w:adjustRightInd w:val="0"/>
        <w:snapToGrid w:val="0"/>
        <w:spacing w:line="600" w:lineRule="exact"/>
        <w:ind w:firstLine="640" w:firstLineChars="200"/>
        <w:contextualSpacing/>
        <w:rPr>
          <w:rFonts w:hint="eastAsia" w:ascii="仿宋_GB2312" w:hAnsi="仿宋" w:eastAsia="仿宋_GB2312" w:cs="仿宋"/>
          <w:sz w:val="32"/>
          <w:szCs w:val="32"/>
          <w:highlight w:val="none"/>
        </w:rPr>
      </w:pPr>
      <w:r>
        <w:rPr>
          <w:rFonts w:hint="eastAsia" w:ascii="国标黑体" w:hAnsi="国标黑体" w:eastAsia="国标黑体" w:cs="国标黑体"/>
          <w:sz w:val="32"/>
          <w:szCs w:val="32"/>
          <w:highlight w:val="none"/>
          <w:lang w:eastAsia="zh-CN"/>
        </w:rPr>
        <w:t>二、批复意见</w:t>
      </w:r>
    </w:p>
    <w:p w14:paraId="684A57DB">
      <w:pPr>
        <w:spacing w:line="600" w:lineRule="exact"/>
        <w:ind w:firstLine="640" w:firstLineChars="200"/>
        <w:jc w:val="left"/>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根据国家有关法律法规，在你单位认真落实环境影响报告表提出的各项污染防治措施的前提下，原则同意按照环境影响报告表所列项目的地点、性质、规模进行项目建设。</w:t>
      </w:r>
    </w:p>
    <w:p w14:paraId="4C781CBD">
      <w:pPr>
        <w:spacing w:line="600" w:lineRule="exact"/>
        <w:ind w:firstLine="640" w:firstLineChars="200"/>
        <w:jc w:val="left"/>
        <w:rPr>
          <w:rFonts w:hint="eastAsia" w:ascii="仿宋_GB2312" w:hAnsi="仿宋" w:eastAsia="仿宋_GB2312" w:cs="仿宋"/>
          <w:sz w:val="32"/>
          <w:szCs w:val="32"/>
          <w:highlight w:val="none"/>
        </w:rPr>
      </w:pPr>
      <w:r>
        <w:rPr>
          <w:rFonts w:hint="eastAsia" w:ascii="国标黑体" w:hAnsi="国标黑体" w:eastAsia="国标黑体" w:cs="国标黑体"/>
          <w:sz w:val="32"/>
          <w:szCs w:val="32"/>
          <w:highlight w:val="none"/>
          <w:lang w:eastAsia="zh-CN"/>
        </w:rPr>
        <w:t>三、项目建设和运行中应重点做好以下环境保护工作</w:t>
      </w:r>
    </w:p>
    <w:p w14:paraId="2BAC87A1">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（一）严格落实控制工频电场、工频磁场的各项环境保护措施，确保工程建成投运后，周围区域工频电场强度、工频磁感应强度</w:t>
      </w:r>
      <w:r>
        <w:rPr>
          <w:rFonts w:hint="eastAsia" w:ascii="仿宋_GB2312" w:hAnsi="仿宋" w:eastAsia="仿宋_GB2312" w:cs="仿宋"/>
          <w:sz w:val="32"/>
          <w:szCs w:val="32"/>
          <w:highlight w:val="none"/>
          <w:lang w:val="en-US" w:eastAsia="zh-CN"/>
        </w:rPr>
        <w:t>满足</w:t>
      </w:r>
      <w:r>
        <w:rPr>
          <w:rFonts w:hint="eastAsia" w:ascii="仿宋_GB2312" w:hAnsi="仿宋" w:eastAsia="仿宋_GB2312" w:cs="仿宋"/>
          <w:sz w:val="32"/>
          <w:szCs w:val="32"/>
          <w:highlight w:val="none"/>
        </w:rPr>
        <w:t>《电磁环境控制限值》（GB8702-2014）</w:t>
      </w:r>
      <w:r>
        <w:rPr>
          <w:rFonts w:hint="eastAsia" w:ascii="仿宋_GB2312" w:hAnsi="仿宋" w:eastAsia="仿宋_GB2312" w:cs="仿宋"/>
          <w:sz w:val="32"/>
          <w:szCs w:val="32"/>
          <w:highlight w:val="none"/>
          <w:lang w:val="en-US" w:eastAsia="zh-CN"/>
        </w:rPr>
        <w:t>中</w:t>
      </w:r>
      <w:r>
        <w:rPr>
          <w:rFonts w:hint="eastAsia" w:ascii="仿宋_GB2312" w:hAnsi="仿宋" w:eastAsia="仿宋_GB2312" w:cs="仿宋"/>
          <w:sz w:val="32"/>
          <w:szCs w:val="32"/>
          <w:highlight w:val="none"/>
        </w:rPr>
        <w:t>标准限值</w:t>
      </w:r>
      <w:r>
        <w:rPr>
          <w:rFonts w:hint="eastAsia" w:ascii="仿宋_GB2312" w:hAnsi="仿宋" w:eastAsia="仿宋_GB2312" w:cs="仿宋"/>
          <w:sz w:val="32"/>
          <w:szCs w:val="32"/>
          <w:highlight w:val="none"/>
          <w:lang w:val="en-US" w:eastAsia="zh-CN"/>
        </w:rPr>
        <w:t>要求</w:t>
      </w:r>
      <w:r>
        <w:rPr>
          <w:rFonts w:hint="eastAsia" w:ascii="仿宋_GB2312" w:hAnsi="仿宋" w:eastAsia="仿宋_GB2312" w:cs="仿宋"/>
          <w:sz w:val="32"/>
          <w:szCs w:val="32"/>
          <w:highlight w:val="none"/>
        </w:rPr>
        <w:t>。</w:t>
      </w:r>
    </w:p>
    <w:p w14:paraId="3738DA58">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（二）采取有效的噪声防治措施，确保工程建成投运后，输电线路周围区域噪声符合《声环境质量标准》（GB3096-2008）中</w:t>
      </w:r>
      <w:r>
        <w:rPr>
          <w:rFonts w:hint="eastAsia" w:ascii="仿宋_GB2312" w:hAnsi="仿宋" w:eastAsia="仿宋_GB2312" w:cs="仿宋"/>
          <w:sz w:val="32"/>
          <w:szCs w:val="32"/>
          <w:highlight w:val="none"/>
          <w:lang w:val="en-US" w:eastAsia="zh-CN"/>
        </w:rPr>
        <w:t>相应声环境功能区标准要求</w:t>
      </w:r>
      <w:r>
        <w:rPr>
          <w:rFonts w:hint="eastAsia" w:ascii="仿宋_GB2312" w:hAnsi="仿宋" w:eastAsia="仿宋_GB2312" w:cs="仿宋"/>
          <w:sz w:val="32"/>
          <w:szCs w:val="32"/>
          <w:highlight w:val="none"/>
        </w:rPr>
        <w:t>。</w:t>
      </w:r>
    </w:p>
    <w:p w14:paraId="201508CD">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（三）加强施工期的环境保护工作，施工过程中严格控制施工边界，减少临时占地面积，施工材料有序堆放，减少生态破坏。采取有效防尘、降噪措施，产生的固体</w:t>
      </w:r>
      <w:r>
        <w:rPr>
          <w:rFonts w:hint="eastAsia" w:ascii="仿宋_GB2312" w:hAnsi="仿宋" w:eastAsia="仿宋_GB2312" w:cs="仿宋"/>
          <w:sz w:val="32"/>
          <w:szCs w:val="32"/>
          <w:highlight w:val="none"/>
          <w:lang w:val="en-US" w:eastAsia="zh-CN"/>
        </w:rPr>
        <w:t>废物</w:t>
      </w:r>
      <w:r>
        <w:rPr>
          <w:rFonts w:hint="eastAsia" w:ascii="仿宋_GB2312" w:hAnsi="仿宋" w:eastAsia="仿宋_GB2312" w:cs="仿宋"/>
          <w:sz w:val="32"/>
          <w:szCs w:val="32"/>
          <w:highlight w:val="none"/>
        </w:rPr>
        <w:t>应分类集中堆放，及时清运。应减少对地表植被的扰动，施工结束后及时进行植被恢复和场地平整。</w:t>
      </w:r>
    </w:p>
    <w:p w14:paraId="3F521A8D">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（四）加强公众沟通和科普宣传，及时解决公众提出的合理环境诉求，及时公开项目建设与环境保护信息，主动接受社会监督。</w:t>
      </w:r>
    </w:p>
    <w:p w14:paraId="3992B055">
      <w:pPr>
        <w:spacing w:line="600" w:lineRule="exact"/>
        <w:ind w:firstLine="640" w:firstLineChars="200"/>
        <w:jc w:val="left"/>
        <w:rPr>
          <w:rFonts w:hint="eastAsia" w:ascii="仿宋_GB2312" w:hAnsi="仿宋" w:eastAsia="仿宋_GB2312" w:cs="仿宋"/>
          <w:sz w:val="32"/>
          <w:szCs w:val="32"/>
          <w:highlight w:val="none"/>
          <w:lang w:eastAsia="zh-CN"/>
        </w:rPr>
      </w:pPr>
      <w:r>
        <w:rPr>
          <w:rFonts w:hint="eastAsia" w:ascii="国标黑体" w:hAnsi="国标黑体" w:eastAsia="国标黑体" w:cs="国标黑体"/>
          <w:sz w:val="32"/>
          <w:szCs w:val="32"/>
          <w:highlight w:val="none"/>
          <w:lang w:eastAsia="zh-CN"/>
        </w:rPr>
        <w:t>四、工程建设应严格执行环境保护设施与主体工程同时设计、同时施工、同时投入使用的环境保护“三同时”制度。项目建成后，须依法进行环境保护验收，经验收合格后，方可正式投入运行。</w:t>
      </w:r>
    </w:p>
    <w:p w14:paraId="7111E1AB">
      <w:pPr>
        <w:numPr>
          <w:ilvl w:val="0"/>
          <w:numId w:val="0"/>
        </w:numPr>
        <w:spacing w:line="600" w:lineRule="exact"/>
        <w:ind w:firstLine="640" w:firstLineChars="200"/>
        <w:jc w:val="left"/>
        <w:rPr>
          <w:rFonts w:hint="eastAsia" w:ascii="仿宋_GB2312" w:hAnsi="仿宋" w:eastAsia="仿宋_GB2312" w:cs="仿宋"/>
          <w:sz w:val="32"/>
          <w:szCs w:val="32"/>
          <w:highlight w:val="none"/>
          <w:lang w:eastAsia="zh-CN"/>
        </w:rPr>
      </w:pPr>
      <w:r>
        <w:rPr>
          <w:rFonts w:hint="eastAsia" w:ascii="国标黑体" w:hAnsi="国标黑体" w:eastAsia="国标黑体" w:cs="国标黑体"/>
          <w:sz w:val="32"/>
          <w:szCs w:val="32"/>
          <w:highlight w:val="none"/>
          <w:lang w:eastAsia="zh-CN"/>
        </w:rPr>
        <w:t>五、</w:t>
      </w:r>
      <w:r>
        <w:rPr>
          <w:rFonts w:hint="eastAsia" w:ascii="国标黑体" w:hAnsi="国标黑体" w:eastAsia="国标黑体" w:cs="国标黑体"/>
          <w:sz w:val="32"/>
          <w:szCs w:val="32"/>
          <w:highlight w:val="none"/>
        </w:rPr>
        <w:t>工程的性质、规模、地点、采用的生产工艺或者防</w:t>
      </w:r>
      <w:r>
        <w:rPr>
          <w:rFonts w:hint="eastAsia" w:ascii="国标黑体" w:hAnsi="国标黑体" w:eastAsia="国标黑体" w:cs="国标黑体"/>
          <w:sz w:val="32"/>
          <w:szCs w:val="32"/>
          <w:highlight w:val="none"/>
          <w:lang w:eastAsia="zh-CN"/>
        </w:rPr>
        <w:t>治污染措施发生重大变动的，应当重新报批该项目的环境影响评价文件。本批复自批准之日起超过五年，方决定该项目开工建设，环境影响报告表应当报我局重新审核。</w:t>
      </w:r>
    </w:p>
    <w:p w14:paraId="3890EA5B">
      <w:pPr>
        <w:numPr>
          <w:ilvl w:val="0"/>
          <w:numId w:val="0"/>
        </w:numPr>
        <w:spacing w:line="600" w:lineRule="exact"/>
        <w:ind w:firstLine="640" w:firstLineChars="200"/>
        <w:jc w:val="left"/>
        <w:rPr>
          <w:rFonts w:hint="eastAsia" w:ascii="仿宋_GB2312" w:hAnsi="仿宋" w:eastAsia="仿宋_GB2312" w:cs="仿宋"/>
          <w:sz w:val="32"/>
          <w:szCs w:val="32"/>
          <w:highlight w:val="none"/>
          <w:lang w:eastAsia="zh-CN"/>
        </w:rPr>
      </w:pPr>
      <w:r>
        <w:rPr>
          <w:rFonts w:hint="eastAsia" w:ascii="国标黑体" w:hAnsi="国标黑体" w:eastAsia="国标黑体" w:cs="国标黑体"/>
          <w:sz w:val="32"/>
          <w:szCs w:val="32"/>
          <w:highlight w:val="none"/>
          <w:lang w:eastAsia="zh-CN"/>
        </w:rPr>
        <w:t>六、</w:t>
      </w:r>
      <w:r>
        <w:rPr>
          <w:rFonts w:hint="eastAsia" w:ascii="国标黑体" w:hAnsi="国标黑体" w:eastAsia="国标黑体" w:cs="国标黑体"/>
          <w:sz w:val="32"/>
          <w:szCs w:val="32"/>
          <w:highlight w:val="none"/>
        </w:rPr>
        <w:t>你单位自收到本批复之日起20个工作日内，将环境影响报告表及批复文件送至四平市生态环境局</w:t>
      </w:r>
      <w:r>
        <w:rPr>
          <w:rFonts w:hint="eastAsia" w:ascii="国标黑体" w:hAnsi="国标黑体" w:eastAsia="国标黑体" w:cs="国标黑体"/>
          <w:sz w:val="32"/>
          <w:szCs w:val="32"/>
          <w:highlight w:val="none"/>
          <w:lang w:val="en-US" w:eastAsia="zh-CN"/>
        </w:rPr>
        <w:t>梨树</w:t>
      </w:r>
      <w:r>
        <w:rPr>
          <w:rFonts w:hint="eastAsia" w:ascii="国标黑体" w:hAnsi="国标黑体" w:eastAsia="国标黑体" w:cs="国标黑体"/>
          <w:sz w:val="32"/>
          <w:szCs w:val="32"/>
          <w:highlight w:val="none"/>
          <w:lang w:eastAsia="zh-CN"/>
        </w:rPr>
        <w:t>县</w:t>
      </w:r>
      <w:r>
        <w:rPr>
          <w:rFonts w:hint="eastAsia" w:ascii="国标黑体" w:hAnsi="国标黑体" w:eastAsia="国标黑体" w:cs="国标黑体"/>
          <w:sz w:val="32"/>
          <w:szCs w:val="32"/>
          <w:highlight w:val="none"/>
        </w:rPr>
        <w:t>分局，并按规定接受各级生态环境行政主管部门监督检查。</w:t>
      </w:r>
      <w:r>
        <w:rPr>
          <w:rFonts w:hint="eastAsia" w:ascii="国标黑体" w:hAnsi="国标黑体" w:eastAsia="国标黑体" w:cs="国标黑体"/>
          <w:sz w:val="32"/>
          <w:szCs w:val="32"/>
          <w:highlight w:val="none"/>
          <w:lang w:eastAsia="zh-CN"/>
        </w:rPr>
        <w:t>我局委托四平市生态环境局</w:t>
      </w:r>
      <w:r>
        <w:rPr>
          <w:rFonts w:hint="eastAsia" w:ascii="国标黑体" w:hAnsi="国标黑体" w:eastAsia="国标黑体" w:cs="国标黑体"/>
          <w:sz w:val="32"/>
          <w:szCs w:val="32"/>
          <w:highlight w:val="none"/>
          <w:lang w:val="en-US" w:eastAsia="zh-CN"/>
        </w:rPr>
        <w:t>梨树</w:t>
      </w:r>
      <w:r>
        <w:rPr>
          <w:rFonts w:hint="eastAsia" w:ascii="国标黑体" w:hAnsi="国标黑体" w:eastAsia="国标黑体" w:cs="国标黑体"/>
          <w:sz w:val="32"/>
          <w:szCs w:val="32"/>
          <w:highlight w:val="none"/>
          <w:lang w:eastAsia="zh-CN"/>
        </w:rPr>
        <w:t>县分局负责对该项目环境保护措施落实情况进行监督检查。</w:t>
      </w:r>
    </w:p>
    <w:p w14:paraId="7D30446E">
      <w:pPr>
        <w:adjustRightInd w:val="0"/>
        <w:snapToGrid w:val="0"/>
        <w:spacing w:line="600" w:lineRule="exact"/>
        <w:ind w:firstLine="640" w:firstLineChars="200"/>
        <w:contextualSpacing/>
        <w:rPr>
          <w:rFonts w:hint="eastAsia" w:ascii="国标黑体" w:hAnsi="国标黑体" w:eastAsia="国标黑体" w:cs="国标黑体"/>
          <w:sz w:val="32"/>
          <w:szCs w:val="32"/>
          <w:highlight w:val="none"/>
          <w:lang w:eastAsia="zh-CN"/>
        </w:rPr>
      </w:pPr>
    </w:p>
    <w:p w14:paraId="017D7EBA">
      <w:pPr>
        <w:adjustRightInd w:val="0"/>
        <w:snapToGrid w:val="0"/>
        <w:spacing w:line="600" w:lineRule="exact"/>
        <w:contextualSpacing/>
        <w:rPr>
          <w:rFonts w:hint="eastAsia" w:ascii="国标黑体" w:hAnsi="国标黑体" w:eastAsia="国标黑体" w:cs="国标黑体"/>
          <w:sz w:val="32"/>
          <w:szCs w:val="32"/>
          <w:highlight w:val="none"/>
          <w:lang w:eastAsia="zh-CN"/>
        </w:rPr>
      </w:pPr>
    </w:p>
    <w:p w14:paraId="5980882C">
      <w:pPr>
        <w:adjustRightInd w:val="0"/>
        <w:snapToGrid w:val="0"/>
        <w:spacing w:line="600" w:lineRule="exact"/>
        <w:ind w:firstLine="5760" w:firstLineChars="1800"/>
        <w:contextualSpacing/>
        <w:rPr>
          <w:rFonts w:hint="eastAsia" w:ascii="仿宋_GB2312" w:hAnsi="Times New Roman" w:eastAsia="仿宋_GB2312" w:cs="仿宋_GB2312"/>
          <w:color w:val="000000"/>
          <w:kern w:val="0"/>
          <w:sz w:val="32"/>
          <w:szCs w:val="32"/>
          <w:lang w:val="en-US" w:eastAsia="zh-CN" w:bidi="ar"/>
        </w:rPr>
      </w:pPr>
      <w:r>
        <w:rPr>
          <w:rFonts w:hint="eastAsia" w:ascii="仿宋_GB2312" w:hAnsi="Times New Roman" w:eastAsia="仿宋_GB2312" w:cs="仿宋_GB2312"/>
          <w:color w:val="000000"/>
          <w:kern w:val="0"/>
          <w:sz w:val="32"/>
          <w:szCs w:val="32"/>
          <w:lang w:val="en-US" w:eastAsia="zh-CN" w:bidi="ar"/>
        </w:rPr>
        <w:t>四平市生态环境局</w:t>
      </w:r>
    </w:p>
    <w:p w14:paraId="22C24DEE">
      <w:pPr>
        <w:adjustRightInd w:val="0"/>
        <w:snapToGrid w:val="0"/>
        <w:spacing w:line="600" w:lineRule="exact"/>
        <w:ind w:firstLine="5760" w:firstLineChars="1800"/>
        <w:contextualSpacing/>
        <w:rPr>
          <w:rFonts w:hint="eastAsia" w:ascii="仿宋_GB2312" w:hAnsi="Times New Roman" w:eastAsia="仿宋_GB2312" w:cs="仿宋_GB2312"/>
          <w:color w:val="000000"/>
          <w:kern w:val="0"/>
          <w:sz w:val="32"/>
          <w:szCs w:val="32"/>
          <w:highlight w:val="none"/>
          <w:lang w:val="en-US" w:eastAsia="zh-CN" w:bidi="ar"/>
        </w:rPr>
      </w:pPr>
      <w:r>
        <w:rPr>
          <w:rFonts w:hint="default" w:ascii="仿宋_GB2312" w:hAnsi="Times New Roman" w:eastAsia="仿宋_GB2312" w:cs="仿宋_GB2312"/>
          <w:color w:val="000000"/>
          <w:kern w:val="0"/>
          <w:sz w:val="32"/>
          <w:szCs w:val="32"/>
          <w:lang w:val="en-US" w:eastAsia="zh-CN" w:bidi="ar"/>
        </w:rPr>
        <w:t>202</w:t>
      </w:r>
      <w:r>
        <w:rPr>
          <w:rFonts w:hint="eastAsia" w:ascii="仿宋_GB2312" w:eastAsia="仿宋_GB2312" w:cs="仿宋_GB2312"/>
          <w:color w:val="000000"/>
          <w:kern w:val="0"/>
          <w:sz w:val="32"/>
          <w:szCs w:val="32"/>
          <w:lang w:val="en-US" w:eastAsia="zh-CN" w:bidi="ar"/>
        </w:rPr>
        <w:t>6</w:t>
      </w:r>
      <w:r>
        <w:rPr>
          <w:rFonts w:hint="default" w:ascii="仿宋_GB2312" w:hAnsi="Times New Roman" w:eastAsia="仿宋_GB2312" w:cs="仿宋_GB2312"/>
          <w:color w:val="000000"/>
          <w:kern w:val="0"/>
          <w:sz w:val="32"/>
          <w:szCs w:val="32"/>
          <w:lang w:val="en-US" w:eastAsia="zh-CN" w:bidi="ar"/>
        </w:rPr>
        <w:t>年</w:t>
      </w:r>
      <w:r>
        <w:rPr>
          <w:rFonts w:hint="eastAsia" w:ascii="仿宋_GB2312" w:eastAsia="仿宋_GB2312" w:cs="仿宋_GB2312"/>
          <w:color w:val="000000"/>
          <w:kern w:val="0"/>
          <w:sz w:val="32"/>
          <w:szCs w:val="32"/>
          <w:highlight w:val="none"/>
          <w:lang w:val="en-US" w:eastAsia="zh-CN" w:bidi="ar"/>
        </w:rPr>
        <w:t>8</w:t>
      </w:r>
      <w:r>
        <w:rPr>
          <w:rFonts w:hint="default" w:ascii="仿宋_GB2312" w:hAnsi="Times New Roman" w:eastAsia="仿宋_GB2312" w:cs="仿宋_GB2312"/>
          <w:color w:val="000000"/>
          <w:kern w:val="0"/>
          <w:sz w:val="32"/>
          <w:szCs w:val="32"/>
          <w:highlight w:val="none"/>
          <w:lang w:val="en-US" w:eastAsia="zh-CN" w:bidi="ar"/>
        </w:rPr>
        <w:t>月</w:t>
      </w:r>
      <w:r>
        <w:rPr>
          <w:rFonts w:hint="eastAsia" w:ascii="仿宋_GB2312" w:eastAsia="仿宋_GB2312" w:cs="仿宋_GB2312"/>
          <w:color w:val="000000"/>
          <w:kern w:val="0"/>
          <w:sz w:val="32"/>
          <w:szCs w:val="32"/>
          <w:highlight w:val="none"/>
          <w:lang w:val="en-US" w:eastAsia="zh-CN" w:bidi="ar"/>
        </w:rPr>
        <w:t>7</w:t>
      </w:r>
      <w:r>
        <w:rPr>
          <w:rFonts w:hint="default" w:ascii="仿宋_GB2312" w:hAnsi="Times New Roman" w:eastAsia="仿宋_GB2312" w:cs="仿宋_GB2312"/>
          <w:color w:val="000000"/>
          <w:kern w:val="0"/>
          <w:sz w:val="32"/>
          <w:szCs w:val="32"/>
          <w:highlight w:val="none"/>
          <w:lang w:val="en-US" w:eastAsia="zh-CN" w:bidi="ar"/>
        </w:rPr>
        <w:t>日</w:t>
      </w:r>
    </w:p>
    <w:p w14:paraId="51F625D3">
      <w:pPr>
        <w:adjustRightInd w:val="0"/>
        <w:snapToGrid w:val="0"/>
        <w:spacing w:line="600" w:lineRule="exact"/>
        <w:ind w:firstLine="640" w:firstLineChars="200"/>
        <w:contextualSpacing/>
        <w:rPr>
          <w:rFonts w:hint="eastAsia" w:ascii="方正仿宋简体" w:hAnsi="仿宋" w:eastAsia="方正仿宋简体" w:cs="Calibri"/>
          <w:sz w:val="32"/>
          <w:szCs w:val="32"/>
          <w:lang w:val="en-US" w:eastAsia="zh-CN"/>
        </w:rPr>
      </w:pPr>
      <w:r>
        <w:rPr>
          <w:rFonts w:hint="eastAsia" w:ascii="方正仿宋简体" w:hAnsi="仿宋" w:eastAsia="方正仿宋简体" w:cs="Calibri"/>
          <w:sz w:val="32"/>
          <w:szCs w:val="32"/>
          <w:lang w:val="en-US" w:eastAsia="zh-CN"/>
        </w:rPr>
        <w:t> </w:t>
      </w:r>
    </w:p>
    <w:p w14:paraId="19494888">
      <w:pPr>
        <w:adjustRightInd w:val="0"/>
        <w:snapToGrid w:val="0"/>
        <w:spacing w:line="600" w:lineRule="exact"/>
        <w:contextualSpacing/>
        <w:rPr>
          <w:rFonts w:hint="eastAsia" w:ascii="仿宋_GB2312" w:hAnsi="仿宋" w:eastAsia="仿宋_GB2312" w:cs="Times New Roman"/>
          <w:color w:val="000000"/>
          <w:kern w:val="2"/>
          <w:sz w:val="32"/>
          <w:szCs w:val="32"/>
          <w:lang w:val="en-US" w:eastAsia="zh-CN" w:bidi="ar-SA"/>
        </w:rPr>
      </w:pPr>
      <w:r>
        <w:rPr>
          <w:rFonts w:hint="eastAsia" w:ascii="方正仿宋简体" w:hAnsi="仿宋" w:eastAsia="方正仿宋简体" w:cs="Calibri"/>
          <w:sz w:val="32"/>
          <w:szCs w:val="32"/>
          <w:lang w:val="en-US" w:eastAsia="zh-CN"/>
        </w:rPr>
        <w:t>行政复议与行政诉讼权利告知：依据《中华人民共和国行政复</w:t>
      </w:r>
      <w:bookmarkStart w:id="0" w:name="_GoBack"/>
      <w:bookmarkEnd w:id="0"/>
      <w:r>
        <w:rPr>
          <w:rFonts w:hint="eastAsia" w:ascii="方正仿宋简体" w:hAnsi="仿宋" w:eastAsia="方正仿宋简体" w:cs="Calibri"/>
          <w:sz w:val="32"/>
          <w:szCs w:val="32"/>
          <w:lang w:val="en-US" w:eastAsia="zh-CN"/>
        </w:rPr>
        <w:t>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r>
        <w:rPr>
          <w:rFonts w:hint="eastAsia" w:ascii="方正仿宋简体" w:hAnsi="仿宋" w:eastAsia="方正仿宋简体" w:cs="Calibri"/>
          <w:sz w:val="32"/>
          <w:szCs w:val="32"/>
          <w:lang w:val="en-US" w:eastAsia="zh-CN"/>
        </w:rPr>
        <w:br w:type="textWrapping"/>
      </w:r>
      <w:r>
        <w:rPr>
          <w:rFonts w:hint="eastAsia" w:ascii="方正仿宋简体" w:hAnsi="仿宋" w:eastAsia="方正仿宋简体" w:cs="Calibri"/>
          <w:sz w:val="32"/>
          <w:szCs w:val="32"/>
          <w:lang w:val="en-US" w:eastAsia="zh-CN"/>
        </w:rPr>
        <w:t> 联系电话：0434-3261108     邮箱：sphfs123@163.com</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4F"/>
    <w:family w:val="roman"/>
    <w:pitch w:val="default"/>
    <w:sig w:usb0="00000000" w:usb1="00000000" w:usb2="00000009" w:usb3="00000000" w:csb0="400001FF" w:csb1="FFFF0000"/>
  </w:font>
  <w:font w:name="宋体">
    <w:altName w:val="方正书宋_GBK"/>
    <w:panose1 w:val="02010600030101010101"/>
    <w:charset w:val="34"/>
    <w:family w:val="auto"/>
    <w:pitch w:val="default"/>
    <w:sig w:usb0="00000000" w:usb1="0000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仿宋">
    <w:altName w:val="方正仿宋_GBK"/>
    <w:panose1 w:val="02010609060101010101"/>
    <w:charset w:val="86"/>
    <w:family w:val="modern"/>
    <w:pitch w:val="default"/>
    <w:sig w:usb0="00000000" w:usb1="00000000" w:usb2="00000016" w:usb3="00000000" w:csb0="00040001" w:csb1="00000000"/>
  </w:font>
  <w:font w:name="方正大标宋简体">
    <w:altName w:val="方正书宋_GBK"/>
    <w:panose1 w:val="03000509000000000000"/>
    <w:charset w:val="86"/>
    <w:family w:val="script"/>
    <w:pitch w:val="default"/>
    <w:sig w:usb0="00000000" w:usb1="00000000" w:usb2="00000010" w:usb3="00000000" w:csb0="00040000" w:csb1="00000000"/>
  </w:font>
  <w:font w:name="方正仿宋简体">
    <w:altName w:val="方正仿宋_GBK"/>
    <w:panose1 w:val="02010601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黑体">
    <w:panose1 w:val="020005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3DE"/>
    <w:rsid w:val="00010A8E"/>
    <w:rsid w:val="00025DAC"/>
    <w:rsid w:val="00031650"/>
    <w:rsid w:val="00034427"/>
    <w:rsid w:val="000528B0"/>
    <w:rsid w:val="000736D8"/>
    <w:rsid w:val="000747BA"/>
    <w:rsid w:val="0007491C"/>
    <w:rsid w:val="00090E2B"/>
    <w:rsid w:val="0009452E"/>
    <w:rsid w:val="000C35B1"/>
    <w:rsid w:val="000C42C7"/>
    <w:rsid w:val="000C6A3E"/>
    <w:rsid w:val="000D684B"/>
    <w:rsid w:val="000E4655"/>
    <w:rsid w:val="000E531A"/>
    <w:rsid w:val="00100E52"/>
    <w:rsid w:val="00104CF5"/>
    <w:rsid w:val="00111C4E"/>
    <w:rsid w:val="001149B7"/>
    <w:rsid w:val="001235F9"/>
    <w:rsid w:val="001242F8"/>
    <w:rsid w:val="00135FC4"/>
    <w:rsid w:val="001458D1"/>
    <w:rsid w:val="001508D6"/>
    <w:rsid w:val="00165DC8"/>
    <w:rsid w:val="00177ADC"/>
    <w:rsid w:val="00181DA3"/>
    <w:rsid w:val="001868E5"/>
    <w:rsid w:val="0018783E"/>
    <w:rsid w:val="00194E59"/>
    <w:rsid w:val="001A2A51"/>
    <w:rsid w:val="001A58BE"/>
    <w:rsid w:val="001B00A3"/>
    <w:rsid w:val="001B0E03"/>
    <w:rsid w:val="001B17D8"/>
    <w:rsid w:val="001B4411"/>
    <w:rsid w:val="001B7E84"/>
    <w:rsid w:val="001C7135"/>
    <w:rsid w:val="001C74C1"/>
    <w:rsid w:val="001D5F8A"/>
    <w:rsid w:val="001E7146"/>
    <w:rsid w:val="00210177"/>
    <w:rsid w:val="00210956"/>
    <w:rsid w:val="00210A5F"/>
    <w:rsid w:val="0021112B"/>
    <w:rsid w:val="002130DB"/>
    <w:rsid w:val="00217CBF"/>
    <w:rsid w:val="00227AD6"/>
    <w:rsid w:val="0023507D"/>
    <w:rsid w:val="00237DD8"/>
    <w:rsid w:val="002407EB"/>
    <w:rsid w:val="00240E76"/>
    <w:rsid w:val="0024397A"/>
    <w:rsid w:val="00243C1F"/>
    <w:rsid w:val="002800FA"/>
    <w:rsid w:val="00284D8B"/>
    <w:rsid w:val="00296347"/>
    <w:rsid w:val="002B2B32"/>
    <w:rsid w:val="002B667D"/>
    <w:rsid w:val="002B7F2F"/>
    <w:rsid w:val="002C0813"/>
    <w:rsid w:val="002D1A0B"/>
    <w:rsid w:val="002D75F6"/>
    <w:rsid w:val="002E04C1"/>
    <w:rsid w:val="002E0690"/>
    <w:rsid w:val="002E19F3"/>
    <w:rsid w:val="002E3234"/>
    <w:rsid w:val="002F4D02"/>
    <w:rsid w:val="0030182E"/>
    <w:rsid w:val="00303581"/>
    <w:rsid w:val="003106E8"/>
    <w:rsid w:val="00311E6B"/>
    <w:rsid w:val="00320FAE"/>
    <w:rsid w:val="00340A44"/>
    <w:rsid w:val="00342BA4"/>
    <w:rsid w:val="003437DD"/>
    <w:rsid w:val="00343830"/>
    <w:rsid w:val="0034613B"/>
    <w:rsid w:val="00367BA0"/>
    <w:rsid w:val="00373A89"/>
    <w:rsid w:val="00377AED"/>
    <w:rsid w:val="003826DE"/>
    <w:rsid w:val="00387A8B"/>
    <w:rsid w:val="00395026"/>
    <w:rsid w:val="003A0B5E"/>
    <w:rsid w:val="003A1182"/>
    <w:rsid w:val="003C188B"/>
    <w:rsid w:val="003C7A73"/>
    <w:rsid w:val="003D1877"/>
    <w:rsid w:val="003E228A"/>
    <w:rsid w:val="003F4DA3"/>
    <w:rsid w:val="0040379E"/>
    <w:rsid w:val="00405519"/>
    <w:rsid w:val="00407CE7"/>
    <w:rsid w:val="00410605"/>
    <w:rsid w:val="00410A81"/>
    <w:rsid w:val="004174B0"/>
    <w:rsid w:val="004178A4"/>
    <w:rsid w:val="00423D68"/>
    <w:rsid w:val="00434EEB"/>
    <w:rsid w:val="00442032"/>
    <w:rsid w:val="00443096"/>
    <w:rsid w:val="004432E7"/>
    <w:rsid w:val="00451E49"/>
    <w:rsid w:val="00454912"/>
    <w:rsid w:val="004705D8"/>
    <w:rsid w:val="00474E82"/>
    <w:rsid w:val="004836B6"/>
    <w:rsid w:val="004A7CE6"/>
    <w:rsid w:val="004B7B51"/>
    <w:rsid w:val="004D0B9B"/>
    <w:rsid w:val="004E153F"/>
    <w:rsid w:val="004E1F22"/>
    <w:rsid w:val="004E2747"/>
    <w:rsid w:val="004F4CD9"/>
    <w:rsid w:val="004F6D38"/>
    <w:rsid w:val="00500350"/>
    <w:rsid w:val="00531A53"/>
    <w:rsid w:val="00534197"/>
    <w:rsid w:val="00536E83"/>
    <w:rsid w:val="00537DAC"/>
    <w:rsid w:val="00572985"/>
    <w:rsid w:val="00580D66"/>
    <w:rsid w:val="00583240"/>
    <w:rsid w:val="00585707"/>
    <w:rsid w:val="005923DE"/>
    <w:rsid w:val="005A0CDA"/>
    <w:rsid w:val="005A19A9"/>
    <w:rsid w:val="005B4CA9"/>
    <w:rsid w:val="005C2342"/>
    <w:rsid w:val="005C37FE"/>
    <w:rsid w:val="005D51D2"/>
    <w:rsid w:val="005D5464"/>
    <w:rsid w:val="005D7A7B"/>
    <w:rsid w:val="005E4DB7"/>
    <w:rsid w:val="005F3538"/>
    <w:rsid w:val="005F5919"/>
    <w:rsid w:val="00605AD7"/>
    <w:rsid w:val="00607EDA"/>
    <w:rsid w:val="00623983"/>
    <w:rsid w:val="00627039"/>
    <w:rsid w:val="006311F7"/>
    <w:rsid w:val="00631CF9"/>
    <w:rsid w:val="006427EC"/>
    <w:rsid w:val="00642B57"/>
    <w:rsid w:val="00662F8E"/>
    <w:rsid w:val="0066317D"/>
    <w:rsid w:val="006754B9"/>
    <w:rsid w:val="006825EC"/>
    <w:rsid w:val="00687D23"/>
    <w:rsid w:val="00687D55"/>
    <w:rsid w:val="00695A99"/>
    <w:rsid w:val="006A02BC"/>
    <w:rsid w:val="006A228A"/>
    <w:rsid w:val="006A52D8"/>
    <w:rsid w:val="006B39F0"/>
    <w:rsid w:val="006B447B"/>
    <w:rsid w:val="006C02DB"/>
    <w:rsid w:val="006D3EF7"/>
    <w:rsid w:val="006D4BB0"/>
    <w:rsid w:val="006F7011"/>
    <w:rsid w:val="00707D70"/>
    <w:rsid w:val="0071363C"/>
    <w:rsid w:val="00715E8B"/>
    <w:rsid w:val="00720DDC"/>
    <w:rsid w:val="00725C70"/>
    <w:rsid w:val="00732FE9"/>
    <w:rsid w:val="007369BA"/>
    <w:rsid w:val="00744F7E"/>
    <w:rsid w:val="0075320B"/>
    <w:rsid w:val="007569D2"/>
    <w:rsid w:val="0075769B"/>
    <w:rsid w:val="00762389"/>
    <w:rsid w:val="00772D98"/>
    <w:rsid w:val="00772F94"/>
    <w:rsid w:val="007748CD"/>
    <w:rsid w:val="0079068C"/>
    <w:rsid w:val="00790771"/>
    <w:rsid w:val="00794B15"/>
    <w:rsid w:val="007A4697"/>
    <w:rsid w:val="007A774B"/>
    <w:rsid w:val="007A7DCB"/>
    <w:rsid w:val="007B084C"/>
    <w:rsid w:val="007B5B9A"/>
    <w:rsid w:val="007B77C5"/>
    <w:rsid w:val="007D06C7"/>
    <w:rsid w:val="007D098E"/>
    <w:rsid w:val="007D4C4E"/>
    <w:rsid w:val="007D622D"/>
    <w:rsid w:val="007E2C7C"/>
    <w:rsid w:val="007E32B3"/>
    <w:rsid w:val="007E415D"/>
    <w:rsid w:val="007E4285"/>
    <w:rsid w:val="007F360E"/>
    <w:rsid w:val="008064BD"/>
    <w:rsid w:val="00806CE1"/>
    <w:rsid w:val="00807D0F"/>
    <w:rsid w:val="00810A42"/>
    <w:rsid w:val="00812A1A"/>
    <w:rsid w:val="0081448B"/>
    <w:rsid w:val="00825240"/>
    <w:rsid w:val="00830762"/>
    <w:rsid w:val="00843F5C"/>
    <w:rsid w:val="008624D2"/>
    <w:rsid w:val="0086720C"/>
    <w:rsid w:val="00875B98"/>
    <w:rsid w:val="00876C33"/>
    <w:rsid w:val="00887F54"/>
    <w:rsid w:val="008A04DB"/>
    <w:rsid w:val="008A35E4"/>
    <w:rsid w:val="008C26B4"/>
    <w:rsid w:val="008C4112"/>
    <w:rsid w:val="008D18C2"/>
    <w:rsid w:val="008D31E1"/>
    <w:rsid w:val="008E24B7"/>
    <w:rsid w:val="008F01F6"/>
    <w:rsid w:val="008F2ACF"/>
    <w:rsid w:val="008F7D6B"/>
    <w:rsid w:val="00905B74"/>
    <w:rsid w:val="00906E6B"/>
    <w:rsid w:val="0090714D"/>
    <w:rsid w:val="00912F06"/>
    <w:rsid w:val="009137D5"/>
    <w:rsid w:val="00920C10"/>
    <w:rsid w:val="0092183A"/>
    <w:rsid w:val="00930BAE"/>
    <w:rsid w:val="00947915"/>
    <w:rsid w:val="00947EAF"/>
    <w:rsid w:val="00952339"/>
    <w:rsid w:val="00983907"/>
    <w:rsid w:val="00997A11"/>
    <w:rsid w:val="009A38A3"/>
    <w:rsid w:val="009A5EDF"/>
    <w:rsid w:val="009B4D83"/>
    <w:rsid w:val="009B5384"/>
    <w:rsid w:val="009B624A"/>
    <w:rsid w:val="009C1BD8"/>
    <w:rsid w:val="009D4C6E"/>
    <w:rsid w:val="009E78DD"/>
    <w:rsid w:val="009F6EC6"/>
    <w:rsid w:val="00A1307E"/>
    <w:rsid w:val="00A23A0C"/>
    <w:rsid w:val="00A25893"/>
    <w:rsid w:val="00A26C5F"/>
    <w:rsid w:val="00A5306A"/>
    <w:rsid w:val="00A57CF9"/>
    <w:rsid w:val="00A60850"/>
    <w:rsid w:val="00A625D1"/>
    <w:rsid w:val="00A66D36"/>
    <w:rsid w:val="00A712B1"/>
    <w:rsid w:val="00A7286C"/>
    <w:rsid w:val="00A757E1"/>
    <w:rsid w:val="00A75EFA"/>
    <w:rsid w:val="00A9400F"/>
    <w:rsid w:val="00A97E47"/>
    <w:rsid w:val="00AA1213"/>
    <w:rsid w:val="00AA2AC2"/>
    <w:rsid w:val="00AA4078"/>
    <w:rsid w:val="00AA49DB"/>
    <w:rsid w:val="00AB4974"/>
    <w:rsid w:val="00AC2A47"/>
    <w:rsid w:val="00AC42BA"/>
    <w:rsid w:val="00AD2A9A"/>
    <w:rsid w:val="00AD5EB7"/>
    <w:rsid w:val="00AE097F"/>
    <w:rsid w:val="00AE6074"/>
    <w:rsid w:val="00AF6A7E"/>
    <w:rsid w:val="00B00DDA"/>
    <w:rsid w:val="00B014F1"/>
    <w:rsid w:val="00B029BC"/>
    <w:rsid w:val="00B13F74"/>
    <w:rsid w:val="00B3028C"/>
    <w:rsid w:val="00B30767"/>
    <w:rsid w:val="00B32F29"/>
    <w:rsid w:val="00B33570"/>
    <w:rsid w:val="00B3395B"/>
    <w:rsid w:val="00B4093B"/>
    <w:rsid w:val="00B4537C"/>
    <w:rsid w:val="00B52ACE"/>
    <w:rsid w:val="00B572B6"/>
    <w:rsid w:val="00B64D2F"/>
    <w:rsid w:val="00B6601C"/>
    <w:rsid w:val="00B70E1D"/>
    <w:rsid w:val="00B73058"/>
    <w:rsid w:val="00B73E29"/>
    <w:rsid w:val="00B77C5C"/>
    <w:rsid w:val="00B8091A"/>
    <w:rsid w:val="00B862EC"/>
    <w:rsid w:val="00B86EE0"/>
    <w:rsid w:val="00B87BC6"/>
    <w:rsid w:val="00B933DE"/>
    <w:rsid w:val="00BB4DB0"/>
    <w:rsid w:val="00BD5B95"/>
    <w:rsid w:val="00BE70F5"/>
    <w:rsid w:val="00BE7747"/>
    <w:rsid w:val="00BE7F0A"/>
    <w:rsid w:val="00BF1419"/>
    <w:rsid w:val="00BF1BEC"/>
    <w:rsid w:val="00BF36C0"/>
    <w:rsid w:val="00BF44C4"/>
    <w:rsid w:val="00BF6984"/>
    <w:rsid w:val="00C00693"/>
    <w:rsid w:val="00C01DA4"/>
    <w:rsid w:val="00C053FD"/>
    <w:rsid w:val="00C17796"/>
    <w:rsid w:val="00C30C74"/>
    <w:rsid w:val="00C31DC8"/>
    <w:rsid w:val="00C3552B"/>
    <w:rsid w:val="00C5790B"/>
    <w:rsid w:val="00C74893"/>
    <w:rsid w:val="00C812ED"/>
    <w:rsid w:val="00C95CE0"/>
    <w:rsid w:val="00CB1221"/>
    <w:rsid w:val="00CB4464"/>
    <w:rsid w:val="00CB7A0C"/>
    <w:rsid w:val="00CC318A"/>
    <w:rsid w:val="00CD6C39"/>
    <w:rsid w:val="00CF14AA"/>
    <w:rsid w:val="00CF51A5"/>
    <w:rsid w:val="00CF5411"/>
    <w:rsid w:val="00D03738"/>
    <w:rsid w:val="00D051AA"/>
    <w:rsid w:val="00D057B5"/>
    <w:rsid w:val="00D05C1E"/>
    <w:rsid w:val="00D15B50"/>
    <w:rsid w:val="00D27602"/>
    <w:rsid w:val="00D3337E"/>
    <w:rsid w:val="00D4514D"/>
    <w:rsid w:val="00D52463"/>
    <w:rsid w:val="00D613FD"/>
    <w:rsid w:val="00D62C5B"/>
    <w:rsid w:val="00D636B2"/>
    <w:rsid w:val="00D71FBC"/>
    <w:rsid w:val="00D77A72"/>
    <w:rsid w:val="00D85696"/>
    <w:rsid w:val="00D86A95"/>
    <w:rsid w:val="00DC3BEC"/>
    <w:rsid w:val="00DC3E19"/>
    <w:rsid w:val="00DD6A51"/>
    <w:rsid w:val="00DE67B0"/>
    <w:rsid w:val="00DE71D1"/>
    <w:rsid w:val="00DF313E"/>
    <w:rsid w:val="00DF5CB6"/>
    <w:rsid w:val="00E03476"/>
    <w:rsid w:val="00E069E4"/>
    <w:rsid w:val="00E13792"/>
    <w:rsid w:val="00E204DC"/>
    <w:rsid w:val="00E26664"/>
    <w:rsid w:val="00E33317"/>
    <w:rsid w:val="00E36F4F"/>
    <w:rsid w:val="00E678E1"/>
    <w:rsid w:val="00E765A2"/>
    <w:rsid w:val="00E7676B"/>
    <w:rsid w:val="00E83442"/>
    <w:rsid w:val="00E921C8"/>
    <w:rsid w:val="00EC11A6"/>
    <w:rsid w:val="00EC213E"/>
    <w:rsid w:val="00ED0E7B"/>
    <w:rsid w:val="00ED115B"/>
    <w:rsid w:val="00EE40E5"/>
    <w:rsid w:val="00EE7D03"/>
    <w:rsid w:val="00EF0176"/>
    <w:rsid w:val="00EF5C77"/>
    <w:rsid w:val="00F027D1"/>
    <w:rsid w:val="00F0355E"/>
    <w:rsid w:val="00F3471E"/>
    <w:rsid w:val="00F404D1"/>
    <w:rsid w:val="00F43463"/>
    <w:rsid w:val="00F43B88"/>
    <w:rsid w:val="00F6094B"/>
    <w:rsid w:val="00F62221"/>
    <w:rsid w:val="00F704A8"/>
    <w:rsid w:val="00F71386"/>
    <w:rsid w:val="00F7432F"/>
    <w:rsid w:val="00F76A92"/>
    <w:rsid w:val="00F837E1"/>
    <w:rsid w:val="00FB3206"/>
    <w:rsid w:val="00FB6D13"/>
    <w:rsid w:val="00FC2C67"/>
    <w:rsid w:val="00FC7C31"/>
    <w:rsid w:val="00FE52D3"/>
    <w:rsid w:val="00FF5056"/>
    <w:rsid w:val="03963CC3"/>
    <w:rsid w:val="08497805"/>
    <w:rsid w:val="09CA499C"/>
    <w:rsid w:val="0BAE7929"/>
    <w:rsid w:val="12271199"/>
    <w:rsid w:val="12575B99"/>
    <w:rsid w:val="14F1200A"/>
    <w:rsid w:val="1D4C2E3E"/>
    <w:rsid w:val="1D95675A"/>
    <w:rsid w:val="213F307F"/>
    <w:rsid w:val="21AE0C02"/>
    <w:rsid w:val="240434D6"/>
    <w:rsid w:val="27451630"/>
    <w:rsid w:val="28682F40"/>
    <w:rsid w:val="2A314283"/>
    <w:rsid w:val="2B6B78B8"/>
    <w:rsid w:val="2EA460F8"/>
    <w:rsid w:val="33B85813"/>
    <w:rsid w:val="3D3D787A"/>
    <w:rsid w:val="3F4A7ADE"/>
    <w:rsid w:val="42040020"/>
    <w:rsid w:val="47A63CC6"/>
    <w:rsid w:val="4C9B0838"/>
    <w:rsid w:val="50DF7FC3"/>
    <w:rsid w:val="552D12DA"/>
    <w:rsid w:val="58166169"/>
    <w:rsid w:val="587B4AAF"/>
    <w:rsid w:val="59437B8E"/>
    <w:rsid w:val="5B81682B"/>
    <w:rsid w:val="5BC60AFD"/>
    <w:rsid w:val="5E1D49E2"/>
    <w:rsid w:val="64D4770D"/>
    <w:rsid w:val="66BE76B7"/>
    <w:rsid w:val="683B64F9"/>
    <w:rsid w:val="698436A8"/>
    <w:rsid w:val="6DFB155F"/>
    <w:rsid w:val="6EEF179F"/>
    <w:rsid w:val="72281C0E"/>
    <w:rsid w:val="767716C2"/>
    <w:rsid w:val="77770F51"/>
    <w:rsid w:val="77A067E2"/>
    <w:rsid w:val="7EC9770F"/>
    <w:rsid w:val="7F57F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List"/>
    <w:basedOn w:val="1"/>
    <w:qFormat/>
    <w:uiPriority w:val="0"/>
    <w:pPr>
      <w:ind w:left="200" w:hanging="200" w:hangingChars="200"/>
    </w:pPr>
  </w:style>
  <w:style w:type="paragraph" w:styleId="3">
    <w:name w:val="Document Map"/>
    <w:basedOn w:val="1"/>
    <w:link w:val="22"/>
    <w:semiHidden/>
    <w:unhideWhenUsed/>
    <w:qFormat/>
    <w:uiPriority w:val="99"/>
    <w:rPr>
      <w:rFonts w:ascii="宋体"/>
      <w:sz w:val="18"/>
      <w:szCs w:val="18"/>
    </w:rPr>
  </w:style>
  <w:style w:type="paragraph" w:styleId="4">
    <w:name w:val="annotation text"/>
    <w:basedOn w:val="1"/>
    <w:semiHidden/>
    <w:unhideWhenUsed/>
    <w:qFormat/>
    <w:uiPriority w:val="99"/>
    <w:pPr>
      <w:jc w:val="left"/>
    </w:pPr>
  </w:style>
  <w:style w:type="paragraph" w:styleId="5">
    <w:name w:val="Body Text"/>
    <w:next w:val="6"/>
    <w:semiHidden/>
    <w:qFormat/>
    <w:uiPriority w:val="0"/>
    <w:pPr>
      <w:widowControl w:val="0"/>
      <w:snapToGrid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6">
    <w:name w:val="默认段落"/>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Balloon Text"/>
    <w:basedOn w:val="1"/>
    <w:link w:val="19"/>
    <w:semiHidden/>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13">
    <w:name w:val="正文格式"/>
    <w:basedOn w:val="1"/>
    <w:qFormat/>
    <w:locked/>
    <w:uiPriority w:val="0"/>
    <w:pPr>
      <w:spacing w:line="360" w:lineRule="auto"/>
      <w:ind w:firstLine="482"/>
    </w:pPr>
  </w:style>
  <w:style w:type="paragraph" w:customStyle="1" w:styleId="14">
    <w:name w:val="意见正文编号"/>
    <w:basedOn w:val="1"/>
    <w:qFormat/>
    <w:uiPriority w:val="0"/>
    <w:pPr>
      <w:spacing w:line="360" w:lineRule="auto"/>
      <w:ind w:firstLine="560" w:firstLineChars="200"/>
      <w:outlineLvl w:val="0"/>
    </w:pPr>
    <w:rPr>
      <w:rFonts w:ascii="仿宋_GB2312" w:hAnsi="宋体" w:eastAsia="仿宋_GB2312" w:cs="Arial"/>
      <w:bCs/>
      <w:color w:val="FF0000"/>
      <w:kern w:val="40"/>
      <w:sz w:val="28"/>
      <w:szCs w:val="28"/>
    </w:rPr>
  </w:style>
  <w:style w:type="character" w:customStyle="1" w:styleId="15">
    <w:name w:val="页眉 Char"/>
    <w:basedOn w:val="12"/>
    <w:link w:val="9"/>
    <w:qFormat/>
    <w:uiPriority w:val="99"/>
    <w:rPr>
      <w:rFonts w:ascii="Times New Roman" w:hAnsi="Times New Roman" w:eastAsia="宋体" w:cs="Times New Roman"/>
      <w:sz w:val="18"/>
      <w:szCs w:val="18"/>
    </w:rPr>
  </w:style>
  <w:style w:type="character" w:customStyle="1" w:styleId="16">
    <w:name w:val="页脚 Char"/>
    <w:basedOn w:val="12"/>
    <w:link w:val="8"/>
    <w:qFormat/>
    <w:uiPriority w:val="99"/>
    <w:rPr>
      <w:rFonts w:ascii="Times New Roman" w:hAnsi="Times New Roman" w:eastAsia="宋体" w:cs="Times New Roman"/>
      <w:sz w:val="18"/>
      <w:szCs w:val="18"/>
    </w:rPr>
  </w:style>
  <w:style w:type="character" w:customStyle="1" w:styleId="17">
    <w:name w:val="评估意见正文内容 Char"/>
    <w:basedOn w:val="12"/>
    <w:link w:val="18"/>
    <w:qFormat/>
    <w:uiPriority w:val="0"/>
    <w:rPr>
      <w:rFonts w:ascii="仿宋_GB2312" w:hAnsi="宋体" w:eastAsia="仿宋_GB2312"/>
      <w:bCs/>
      <w:sz w:val="32"/>
      <w:szCs w:val="23"/>
    </w:rPr>
  </w:style>
  <w:style w:type="paragraph" w:customStyle="1" w:styleId="18">
    <w:name w:val="评估意见正文内容"/>
    <w:basedOn w:val="1"/>
    <w:link w:val="17"/>
    <w:qFormat/>
    <w:uiPriority w:val="0"/>
    <w:pPr>
      <w:spacing w:line="360" w:lineRule="auto"/>
      <w:ind w:firstLine="640" w:firstLineChars="200"/>
    </w:pPr>
    <w:rPr>
      <w:rFonts w:ascii="仿宋_GB2312" w:hAnsi="宋体" w:eastAsia="仿宋_GB2312" w:cstheme="minorBidi"/>
      <w:bCs/>
      <w:sz w:val="32"/>
      <w:szCs w:val="23"/>
    </w:rPr>
  </w:style>
  <w:style w:type="character" w:customStyle="1" w:styleId="19">
    <w:name w:val="批注框文本 Char"/>
    <w:basedOn w:val="12"/>
    <w:link w:val="7"/>
    <w:semiHidden/>
    <w:qFormat/>
    <w:uiPriority w:val="99"/>
    <w:rPr>
      <w:rFonts w:ascii="Times New Roman" w:hAnsi="Times New Roman" w:eastAsia="宋体" w:cs="Times New Roman"/>
      <w:sz w:val="18"/>
      <w:szCs w:val="18"/>
    </w:rPr>
  </w:style>
  <w:style w:type="paragraph" w:customStyle="1" w:styleId="20">
    <w:name w:val="默认段落字体 Para Char Char Char Char Char Char Char Char Char Char"/>
    <w:basedOn w:val="3"/>
    <w:qFormat/>
    <w:uiPriority w:val="0"/>
    <w:pPr>
      <w:shd w:val="clear" w:color="auto" w:fill="000080"/>
      <w:adjustRightInd w:val="0"/>
      <w:spacing w:line="436" w:lineRule="exact"/>
      <w:ind w:left="357"/>
      <w:jc w:val="left"/>
      <w:outlineLvl w:val="3"/>
    </w:pPr>
    <w:rPr>
      <w:rFonts w:ascii="Tahoma" w:hAnsi="Tahoma"/>
      <w:b/>
      <w:sz w:val="24"/>
      <w:szCs w:val="24"/>
    </w:rPr>
  </w:style>
  <w:style w:type="paragraph" w:customStyle="1" w:styleId="21">
    <w:name w:val="样式 正文11 + 首行缩进:  2 字符"/>
    <w:basedOn w:val="1"/>
    <w:qFormat/>
    <w:uiPriority w:val="99"/>
    <w:pPr>
      <w:spacing w:line="500" w:lineRule="exact"/>
      <w:ind w:firstLine="560" w:firstLineChars="200"/>
    </w:pPr>
    <w:rPr>
      <w:rFonts w:ascii="宋体" w:hAnsi="宋体"/>
      <w:color w:val="FF0000"/>
      <w:sz w:val="28"/>
      <w:szCs w:val="24"/>
    </w:rPr>
  </w:style>
  <w:style w:type="character" w:customStyle="1" w:styleId="22">
    <w:name w:val="文档结构图 Char"/>
    <w:basedOn w:val="12"/>
    <w:link w:val="3"/>
    <w:semiHidden/>
    <w:qFormat/>
    <w:uiPriority w:val="99"/>
    <w:rPr>
      <w:rFonts w:ascii="宋体" w:hAnsi="Times New Roman" w:eastAsia="宋体" w:cs="Times New Roman"/>
      <w:sz w:val="18"/>
      <w:szCs w:val="18"/>
    </w:rPr>
  </w:style>
  <w:style w:type="paragraph" w:styleId="23">
    <w:name w:val="List Paragraph"/>
    <w:basedOn w:val="1"/>
    <w:qFormat/>
    <w:uiPriority w:val="34"/>
    <w:pPr>
      <w:ind w:firstLine="420" w:firstLineChars="200"/>
    </w:pPr>
  </w:style>
  <w:style w:type="character" w:customStyle="1" w:styleId="24">
    <w:name w:val="fontstyle01"/>
    <w:basedOn w:val="12"/>
    <w:qFormat/>
    <w:uiPriority w:val="0"/>
    <w:rPr>
      <w:rFonts w:ascii="宋体" w:hAnsi="宋体" w:eastAsia="宋体" w:cs="宋体"/>
      <w:color w:val="00000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tyleName="APA" Version="6" SelectedStyle="\APASixthEditionOfficeOnline.xsl" xmlns:b="http://schemas.openxmlformats.org/officeDocument/2006/bibliography"/>

</file>

<file path=customXml/itemProps1.xml><?xml version="1.0" encoding="utf-8"?>
<ds:datastoreItem xmlns:ds="http://schemas.openxmlformats.org/officeDocument/2006/customXml" ds:itemID="{0253A499-B5D2-4CCB-8ED7-B19C02477A9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1219</Words>
  <Characters>1351</Characters>
  <Lines>7</Lines>
  <Paragraphs>2</Paragraphs>
  <TotalTime>0</TotalTime>
  <ScaleCrop>false</ScaleCrop>
  <LinksUpToDate>false</LinksUpToDate>
  <CharactersWithSpaces>1353</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2017-08-15T09:27:00Z</dcterms:created>
  <dc:creator>Administrator</dc:creator>
  <cp:lastModifiedBy>uos</cp:lastModifiedBy>
  <cp:lastPrinted>2026-04-18T05:11:00Z</cp:lastPrinted>
  <dcterms:modified xsi:type="dcterms:W3CDTF">2026-08-11T13:43:27Z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976DE536B01541D695B567FDF608165E</vt:lpwstr>
  </property>
  <property fmtid="{D5CDD505-2E9C-101B-9397-08002B2CF9AE}" pid="4" name="KSOTemplateDocerSaveRecord">
    <vt:lpwstr>eyJoZGlkIjoiYWY4NTg3MTVhZDg2ZjBmODdjZDU0YTgyMzdiYzliZjgiLCJ1c2VySWQiOiI0Nzg3Njg5MjUifQ==</vt:lpwstr>
  </property>
</Properties>
</file>