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ACC"/>
  <w:body>
    <w:p w14:paraId="440BA7BC">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1474" w:right="0" w:hanging="1264"/>
        <w:jc w:val="both"/>
      </w:pPr>
      <w:r>
        <w:rPr>
          <w:rFonts w:ascii="仿宋" w:hAnsi="仿宋" w:eastAsia="仿宋" w:cs="仿宋"/>
          <w:b/>
          <w:bCs/>
          <w:color w:val="000000"/>
          <w:sz w:val="40"/>
          <w:szCs w:val="40"/>
        </w:rPr>
        <w:t>环评批复公示：</w:t>
      </w:r>
    </w:p>
    <w:p w14:paraId="350316A4">
      <w:pPr>
        <w:spacing w:line="600" w:lineRule="exact"/>
        <w:jc w:val="both"/>
        <w:rPr>
          <w:rFonts w:hint="eastAsia" w:ascii="方正大标宋简体" w:hAnsi="宋体" w:eastAsia="方正大标宋简体"/>
          <w:sz w:val="44"/>
          <w:szCs w:val="44"/>
        </w:rPr>
      </w:pPr>
    </w:p>
    <w:p w14:paraId="748A9ECD">
      <w:pPr>
        <w:pStyle w:val="13"/>
        <w:rPr>
          <w:rFonts w:hint="eastAsia" w:ascii="方正大标宋简体" w:hAnsi="宋体" w:eastAsia="方正大标宋简体"/>
          <w:sz w:val="44"/>
          <w:szCs w:val="44"/>
        </w:rPr>
      </w:pPr>
    </w:p>
    <w:p w14:paraId="35C99935">
      <w:pPr>
        <w:pStyle w:val="13"/>
        <w:rPr>
          <w:rFonts w:hint="eastAsia" w:ascii="方正大标宋简体" w:hAnsi="宋体" w:eastAsia="方正大标宋简体"/>
          <w:sz w:val="44"/>
          <w:szCs w:val="44"/>
        </w:rPr>
      </w:pPr>
    </w:p>
    <w:p w14:paraId="3757D17A">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default" w:ascii="方正仿宋简体" w:hAnsi="方正仿宋简体" w:eastAsia="方正仿宋简体" w:cs="方正仿宋简体"/>
          <w:color w:val="000000"/>
          <w:sz w:val="32"/>
          <w:szCs w:val="32"/>
        </w:rPr>
      </w:pPr>
      <w:r>
        <w:rPr>
          <w:rFonts w:ascii="方正仿宋简体" w:hAnsi="方正仿宋简体" w:eastAsia="方正仿宋简体" w:cs="方正仿宋简体"/>
          <w:color w:val="000000"/>
          <w:sz w:val="32"/>
          <w:szCs w:val="32"/>
        </w:rPr>
        <w:t>四环审表（辐）字〔</w:t>
      </w:r>
      <w:r>
        <w:rPr>
          <w:rFonts w:hint="default" w:ascii="方正仿宋简体" w:hAnsi="方正仿宋简体" w:eastAsia="方正仿宋简体" w:cs="方正仿宋简体"/>
          <w:color w:val="000000"/>
          <w:sz w:val="32"/>
          <w:szCs w:val="32"/>
        </w:rPr>
        <w:t>202</w:t>
      </w:r>
      <w:r>
        <w:rPr>
          <w:rFonts w:hint="eastAsia" w:ascii="方正仿宋简体" w:hAnsi="方正仿宋简体" w:eastAsia="方正仿宋简体" w:cs="方正仿宋简体"/>
          <w:color w:val="000000"/>
          <w:sz w:val="32"/>
          <w:szCs w:val="32"/>
          <w:lang w:val="en-US" w:eastAsia="zh-CN"/>
        </w:rPr>
        <w:t>6</w:t>
      </w:r>
      <w:r>
        <w:rPr>
          <w:rFonts w:hint="default"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color w:val="000000"/>
          <w:sz w:val="32"/>
          <w:szCs w:val="32"/>
          <w:lang w:val="en-US" w:eastAsia="zh-CN"/>
        </w:rPr>
        <w:t>1</w:t>
      </w:r>
      <w:r>
        <w:rPr>
          <w:rFonts w:hint="default" w:ascii="方正仿宋简体" w:hAnsi="方正仿宋简体" w:eastAsia="方正仿宋简体" w:cs="方正仿宋简体"/>
          <w:color w:val="000000"/>
          <w:sz w:val="32"/>
          <w:szCs w:val="32"/>
        </w:rPr>
        <w:t>号</w:t>
      </w:r>
    </w:p>
    <w:p w14:paraId="3E67ED6E">
      <w:pPr>
        <w:pStyle w:val="10"/>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0"/>
        <w:jc w:val="center"/>
        <w:rPr>
          <w:rFonts w:hint="eastAsia" w:ascii="方正仿宋简体" w:hAnsi="方正仿宋简体" w:eastAsia="方正仿宋简体" w:cs="方正仿宋简体"/>
          <w:color w:val="000000"/>
          <w:sz w:val="32"/>
          <w:szCs w:val="32"/>
        </w:rPr>
      </w:pPr>
    </w:p>
    <w:p w14:paraId="60B253F8">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四平市生态环境局关于</w:t>
      </w:r>
      <w:r>
        <w:rPr>
          <w:rFonts w:hint="eastAsia" w:ascii="方正小标宋简体" w:hAnsi="方正小标宋简体" w:eastAsia="方正小标宋简体" w:cs="方正小标宋简体"/>
          <w:sz w:val="44"/>
          <w:szCs w:val="44"/>
          <w:lang w:val="en-US" w:eastAsia="zh-CN"/>
        </w:rPr>
        <w:t>吉林四平伊通中深层地热供暖示范项目190MW风电220kV送出工程</w:t>
      </w:r>
      <w:r>
        <w:rPr>
          <w:rFonts w:hint="eastAsia" w:ascii="方正小标宋简体" w:hAnsi="方正小标宋简体" w:eastAsia="方正小标宋简体" w:cs="方正小标宋简体"/>
          <w:sz w:val="44"/>
          <w:szCs w:val="44"/>
          <w:highlight w:val="none"/>
          <w:lang w:eastAsia="zh-CN"/>
        </w:rPr>
        <w:t>环境</w:t>
      </w:r>
      <w:r>
        <w:rPr>
          <w:rFonts w:hint="eastAsia" w:ascii="方正小标宋简体" w:hAnsi="方正小标宋简体" w:eastAsia="方正小标宋简体" w:cs="方正小标宋简体"/>
          <w:sz w:val="44"/>
          <w:szCs w:val="44"/>
          <w:lang w:eastAsia="zh-CN"/>
        </w:rPr>
        <w:t>影响报告表的批复</w:t>
      </w:r>
    </w:p>
    <w:p w14:paraId="1BD6634A">
      <w:pPr>
        <w:spacing w:line="600" w:lineRule="exact"/>
        <w:rPr>
          <w:rFonts w:ascii="方正大标宋简体" w:hAnsi="仿宋" w:eastAsia="方正大标宋简体"/>
          <w:sz w:val="28"/>
          <w:szCs w:val="28"/>
        </w:rPr>
      </w:pPr>
    </w:p>
    <w:p w14:paraId="2B1F375B">
      <w:pPr>
        <w:adjustRightInd w:val="0"/>
        <w:snapToGrid w:val="0"/>
        <w:spacing w:line="600" w:lineRule="exact"/>
        <w:contextualSpacing/>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国网吉林省电力有限公司四平供电公司：</w:t>
      </w:r>
    </w:p>
    <w:p w14:paraId="1D5F7C63">
      <w:pPr>
        <w:keepNext w:val="0"/>
        <w:keepLines w:val="0"/>
        <w:widowControl/>
        <w:suppressLineNumbers w:val="0"/>
        <w:ind w:firstLine="640" w:firstLineChars="200"/>
        <w:jc w:val="left"/>
        <w:rPr>
          <w:rFonts w:hint="eastAsia"/>
          <w:highlight w:val="none"/>
          <w:lang w:eastAsia="zh-CN"/>
        </w:rPr>
      </w:pPr>
      <w:r>
        <w:rPr>
          <w:rFonts w:hint="eastAsia" w:ascii="仿宋_GB2312" w:hAnsi="仿宋" w:eastAsia="仿宋_GB2312"/>
          <w:sz w:val="32"/>
          <w:szCs w:val="32"/>
          <w:highlight w:val="none"/>
        </w:rPr>
        <w:t>你单位报送的《国网四平供电公司关于审批吉林四平伊通中深层地热供暖示范项目190MW 风电220kV送出工程环境影响报告表的函》及《</w:t>
      </w:r>
      <w:r>
        <w:rPr>
          <w:rFonts w:hint="eastAsia" w:ascii="仿宋_GB2312" w:hAnsi="仿宋" w:eastAsia="仿宋_GB2312"/>
          <w:sz w:val="32"/>
          <w:szCs w:val="32"/>
          <w:highlight w:val="none"/>
          <w:lang w:val="en-US" w:eastAsia="zh-CN"/>
        </w:rPr>
        <w:t>吉林四平伊通中深层地热供暖示范项目190MW风电220kV送出工程环境影响报告表</w:t>
      </w:r>
      <w:r>
        <w:rPr>
          <w:rFonts w:hint="eastAsia" w:ascii="仿宋_GB2312" w:hAnsi="仿宋" w:eastAsia="仿宋_GB2312"/>
          <w:sz w:val="32"/>
          <w:szCs w:val="32"/>
          <w:highlight w:val="none"/>
        </w:rPr>
        <w:t>》收悉，经研究，批复如下：</w:t>
      </w:r>
    </w:p>
    <w:p w14:paraId="069482FF">
      <w:pPr>
        <w:numPr>
          <w:ilvl w:val="0"/>
          <w:numId w:val="0"/>
        </w:numPr>
        <w:adjustRightInd w:val="0"/>
        <w:snapToGrid w:val="0"/>
        <w:spacing w:line="600" w:lineRule="exact"/>
        <w:ind w:firstLine="640" w:firstLineChars="200"/>
        <w:contextualSpacing/>
        <w:rPr>
          <w:rFonts w:hint="eastAsia" w:ascii="国标黑体" w:hAnsi="国标黑体" w:eastAsia="国标黑体" w:cs="国标黑体"/>
          <w:sz w:val="32"/>
          <w:szCs w:val="32"/>
          <w:highlight w:val="none"/>
          <w:lang w:eastAsia="zh-CN"/>
        </w:rPr>
      </w:pPr>
      <w:r>
        <w:rPr>
          <w:rFonts w:hint="eastAsia" w:ascii="国标黑体" w:hAnsi="国标黑体" w:eastAsia="国标黑体" w:cs="国标黑体"/>
          <w:sz w:val="32"/>
          <w:szCs w:val="32"/>
          <w:highlight w:val="none"/>
          <w:lang w:eastAsia="zh-CN"/>
        </w:rPr>
        <w:t>一、工程概况</w:t>
      </w:r>
    </w:p>
    <w:p w14:paraId="1D7B8FBE">
      <w:pPr>
        <w:numPr>
          <w:ilvl w:val="0"/>
          <w:numId w:val="0"/>
        </w:numPr>
        <w:adjustRightInd w:val="0"/>
        <w:snapToGrid w:val="0"/>
        <w:spacing w:line="600" w:lineRule="exact"/>
        <w:ind w:firstLine="640" w:firstLineChars="200"/>
        <w:contextualSpacing/>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该工程</w:t>
      </w:r>
      <w:r>
        <w:rPr>
          <w:rFonts w:hint="eastAsia" w:ascii="仿宋_GB2312" w:hAnsi="仿宋" w:eastAsia="仿宋_GB2312"/>
          <w:sz w:val="32"/>
          <w:szCs w:val="32"/>
          <w:highlight w:val="none"/>
        </w:rPr>
        <w:t>建设地点位于吉林省四平市伊通县</w:t>
      </w:r>
      <w:r>
        <w:rPr>
          <w:rFonts w:hint="eastAsia" w:ascii="仿宋_GB2312" w:hAnsi="仿宋" w:eastAsia="仿宋_GB2312"/>
          <w:sz w:val="32"/>
          <w:szCs w:val="32"/>
          <w:highlight w:val="none"/>
          <w:lang w:eastAsia="zh-CN"/>
        </w:rPr>
        <w:t>境内。</w:t>
      </w:r>
    </w:p>
    <w:p w14:paraId="02C0EF98">
      <w:pPr>
        <w:numPr>
          <w:ilvl w:val="0"/>
          <w:numId w:val="0"/>
        </w:numPr>
        <w:adjustRightInd w:val="0"/>
        <w:snapToGrid w:val="0"/>
        <w:spacing w:line="600" w:lineRule="exact"/>
        <w:ind w:firstLine="640" w:firstLineChars="200"/>
        <w:contextualSpacing/>
        <w:rPr>
          <w:rFonts w:hint="eastAsia" w:ascii="仿宋_GB2312" w:hAnsi="仿宋" w:eastAsia="仿宋_GB2312"/>
          <w:sz w:val="32"/>
          <w:szCs w:val="32"/>
          <w:highlight w:val="none"/>
        </w:rPr>
      </w:pPr>
      <w:r>
        <w:rPr>
          <w:rFonts w:hint="eastAsia" w:ascii="仿宋_GB2312" w:hAnsi="仿宋" w:eastAsia="仿宋_GB2312"/>
          <w:sz w:val="32"/>
          <w:szCs w:val="32"/>
          <w:highlight w:val="none"/>
          <w:lang w:eastAsia="zh-CN"/>
        </w:rPr>
        <w:t>（一）</w:t>
      </w:r>
      <w:r>
        <w:rPr>
          <w:rFonts w:hint="eastAsia" w:ascii="仿宋_GB2312" w:hAnsi="仿宋" w:eastAsia="仿宋_GB2312"/>
          <w:sz w:val="32"/>
          <w:szCs w:val="32"/>
          <w:highlight w:val="none"/>
        </w:rPr>
        <w:t>伊通220kV变电站～伊通配套190MW风电项目升压站间220kV线路工程</w:t>
      </w:r>
    </w:p>
    <w:p w14:paraId="49789C98">
      <w:pPr>
        <w:numPr>
          <w:ilvl w:val="0"/>
          <w:numId w:val="0"/>
        </w:numPr>
        <w:adjustRightInd w:val="0"/>
        <w:snapToGrid w:val="0"/>
        <w:spacing w:line="600" w:lineRule="exact"/>
        <w:ind w:firstLine="640" w:firstLineChars="200"/>
        <w:contextualSpacing/>
        <w:rPr>
          <w:rFonts w:hint="eastAsia" w:ascii="仿宋_GB2312" w:hAnsi="仿宋" w:eastAsia="仿宋_GB2312"/>
          <w:sz w:val="32"/>
          <w:szCs w:val="32"/>
          <w:highlight w:val="none"/>
        </w:rPr>
      </w:pPr>
      <w:r>
        <w:rPr>
          <w:rFonts w:hint="eastAsia" w:ascii="仿宋_GB2312" w:hAnsi="仿宋" w:eastAsia="仿宋_GB2312"/>
          <w:sz w:val="32"/>
          <w:szCs w:val="32"/>
          <w:highlight w:val="none"/>
        </w:rPr>
        <w:t>新建伊通220kV变电站至伊通配套190MW风电项目升压站220kV架空线路，单回路架设，新建铁塔49基，采用JL3/G1A-400/35型钢芯铝绞线，线路长度约15.1km。</w:t>
      </w:r>
    </w:p>
    <w:p w14:paraId="277B457B">
      <w:pPr>
        <w:numPr>
          <w:ilvl w:val="0"/>
          <w:numId w:val="0"/>
        </w:numPr>
        <w:adjustRightInd w:val="0"/>
        <w:snapToGrid w:val="0"/>
        <w:spacing w:line="600" w:lineRule="exact"/>
        <w:ind w:firstLine="640" w:firstLineChars="200"/>
        <w:contextualSpacing/>
        <w:rPr>
          <w:rFonts w:hint="eastAsia"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sz w:val="32"/>
          <w:szCs w:val="32"/>
          <w:highlight w:val="none"/>
          <w:lang w:eastAsia="zh-CN"/>
        </w:rPr>
        <w:t>二</w:t>
      </w:r>
      <w:r>
        <w:rPr>
          <w:rFonts w:hint="eastAsia" w:ascii="仿宋_GB2312" w:hAnsi="仿宋" w:eastAsia="仿宋_GB2312"/>
          <w:sz w:val="32"/>
          <w:szCs w:val="32"/>
          <w:highlight w:val="none"/>
        </w:rPr>
        <w:t>）伊通220kV变电站220kV间隔扩建工程</w:t>
      </w:r>
    </w:p>
    <w:p w14:paraId="69D679CB">
      <w:pPr>
        <w:adjustRightInd w:val="0"/>
        <w:snapToGrid w:val="0"/>
        <w:spacing w:line="600" w:lineRule="exact"/>
        <w:ind w:firstLine="640" w:firstLineChars="200"/>
        <w:contextualSpacing/>
        <w:rPr>
          <w:rFonts w:hint="eastAsia" w:ascii="仿宋_GB2312" w:hAnsi="仿宋" w:eastAsia="仿宋_GB2312"/>
          <w:sz w:val="32"/>
          <w:szCs w:val="32"/>
          <w:highlight w:val="none"/>
        </w:rPr>
      </w:pPr>
      <w:r>
        <w:rPr>
          <w:rFonts w:hint="eastAsia" w:ascii="仿宋_GB2312" w:hAnsi="仿宋" w:eastAsia="仿宋_GB2312"/>
          <w:sz w:val="32"/>
          <w:szCs w:val="32"/>
          <w:highlight w:val="none"/>
        </w:rPr>
        <w:t>利用伊通220kV变电站南侧第1预留间隔进行扩建，间隔内设备新增。</w:t>
      </w:r>
    </w:p>
    <w:p w14:paraId="4EF047DA">
      <w:pPr>
        <w:adjustRightInd w:val="0"/>
        <w:snapToGrid w:val="0"/>
        <w:spacing w:line="600" w:lineRule="exact"/>
        <w:ind w:firstLine="640" w:firstLineChars="200"/>
        <w:contextualSpacing/>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lang w:val="en-US" w:eastAsia="zh-CN"/>
        </w:rPr>
        <w:t>项目总投资2495万元，其中环保投资34.1万元。</w:t>
      </w:r>
    </w:p>
    <w:p w14:paraId="75C6CF98">
      <w:pPr>
        <w:numPr>
          <w:ilvl w:val="0"/>
          <w:numId w:val="0"/>
        </w:numPr>
        <w:adjustRightInd w:val="0"/>
        <w:snapToGrid w:val="0"/>
        <w:spacing w:line="600" w:lineRule="exact"/>
        <w:ind w:firstLine="640" w:firstLineChars="200"/>
        <w:contextualSpacing/>
        <w:rPr>
          <w:rFonts w:hint="eastAsia" w:ascii="仿宋_GB2312" w:hAnsi="仿宋" w:eastAsia="仿宋_GB2312" w:cs="仿宋"/>
          <w:sz w:val="32"/>
          <w:szCs w:val="32"/>
          <w:highlight w:val="none"/>
        </w:rPr>
      </w:pPr>
      <w:r>
        <w:rPr>
          <w:rFonts w:hint="eastAsia" w:ascii="国标黑体" w:hAnsi="国标黑体" w:eastAsia="国标黑体" w:cs="国标黑体"/>
          <w:sz w:val="32"/>
          <w:szCs w:val="32"/>
          <w:highlight w:val="none"/>
          <w:lang w:eastAsia="zh-CN"/>
        </w:rPr>
        <w:t>二、批复意见</w:t>
      </w:r>
    </w:p>
    <w:p w14:paraId="684A57DB">
      <w:pPr>
        <w:spacing w:line="600" w:lineRule="exact"/>
        <w:ind w:firstLine="640" w:firstLineChars="200"/>
        <w:jc w:val="left"/>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根据国家有关法律法规，在你单位认真落实环境影响报告表提出的各项污染防治措施的前提下，原则同意按照环境影响报告表所列项目的地点、性质、规模进行项目建设。</w:t>
      </w:r>
    </w:p>
    <w:p w14:paraId="4C781CBD">
      <w:pPr>
        <w:spacing w:line="600" w:lineRule="exact"/>
        <w:ind w:firstLine="640" w:firstLineChars="200"/>
        <w:jc w:val="left"/>
        <w:rPr>
          <w:rFonts w:hint="eastAsia" w:ascii="仿宋_GB2312" w:hAnsi="仿宋" w:eastAsia="仿宋_GB2312" w:cs="仿宋"/>
          <w:sz w:val="32"/>
          <w:szCs w:val="32"/>
          <w:highlight w:val="none"/>
        </w:rPr>
      </w:pPr>
      <w:r>
        <w:rPr>
          <w:rFonts w:hint="eastAsia" w:ascii="国标黑体" w:hAnsi="国标黑体" w:eastAsia="国标黑体" w:cs="国标黑体"/>
          <w:sz w:val="32"/>
          <w:szCs w:val="32"/>
          <w:highlight w:val="none"/>
          <w:lang w:eastAsia="zh-CN"/>
        </w:rPr>
        <w:t>三、项目建设和运行中应重点做好以下环境保护工作</w:t>
      </w:r>
    </w:p>
    <w:p w14:paraId="518DC7B9">
      <w:pPr>
        <w:spacing w:line="600" w:lineRule="exact"/>
        <w:ind w:firstLine="640" w:firstLineChars="200"/>
        <w:jc w:val="left"/>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（一）严格执行《吉林省黑土地保护条例》</w:t>
      </w:r>
      <w:r>
        <w:rPr>
          <w:rFonts w:hint="eastAsia" w:ascii="仿宋_GB2312" w:hAnsi="仿宋" w:eastAsia="仿宋_GB2312" w:cs="仿宋"/>
          <w:sz w:val="32"/>
          <w:szCs w:val="32"/>
          <w:highlight w:val="none"/>
          <w:lang w:eastAsia="zh-CN"/>
        </w:rPr>
        <w:t>、</w:t>
      </w:r>
      <w:r>
        <w:rPr>
          <w:rFonts w:hint="eastAsia" w:ascii="仿宋_GB2312" w:hAnsi="仿宋" w:eastAsia="仿宋_GB2312" w:cs="仿宋"/>
          <w:sz w:val="32"/>
          <w:szCs w:val="32"/>
          <w:highlight w:val="none"/>
        </w:rPr>
        <w:t>《吉林省建设占用耕地耕作层土壤剥离利用管理办法》和《四平市黑土地保护条例》等要求，落实黑土地保护及表土剥离管理责任。</w:t>
      </w:r>
    </w:p>
    <w:p w14:paraId="4AD4B0D9">
      <w:pPr>
        <w:spacing w:line="600" w:lineRule="exact"/>
        <w:ind w:firstLine="640" w:firstLineChars="200"/>
        <w:jc w:val="left"/>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w:t>
      </w:r>
      <w:r>
        <w:rPr>
          <w:rFonts w:hint="eastAsia" w:ascii="仿宋_GB2312" w:hAnsi="仿宋" w:eastAsia="仿宋_GB2312" w:cs="仿宋"/>
          <w:sz w:val="32"/>
          <w:szCs w:val="32"/>
          <w:highlight w:val="none"/>
          <w:lang w:eastAsia="zh-CN"/>
        </w:rPr>
        <w:t>二</w:t>
      </w:r>
      <w:r>
        <w:rPr>
          <w:rFonts w:hint="eastAsia" w:ascii="仿宋_GB2312" w:hAnsi="仿宋" w:eastAsia="仿宋_GB2312" w:cs="仿宋"/>
          <w:sz w:val="32"/>
          <w:szCs w:val="32"/>
          <w:highlight w:val="none"/>
        </w:rPr>
        <w:t>）严格落实控制工频电场、工频磁场的各项环境保护措施，确保工程建成投运后，周围区域工频电场强度、工频磁感应强度符合《电磁环境控制限值》（GB8702-2014）中4000v/m、100μT标准限值要求，并按要求设置警示和防护标志。</w:t>
      </w:r>
    </w:p>
    <w:p w14:paraId="2D26FFBD">
      <w:pPr>
        <w:spacing w:line="600" w:lineRule="exact"/>
        <w:ind w:firstLine="640" w:firstLineChars="200"/>
        <w:jc w:val="left"/>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w:t>
      </w:r>
      <w:r>
        <w:rPr>
          <w:rFonts w:hint="eastAsia" w:ascii="仿宋_GB2312" w:hAnsi="仿宋" w:eastAsia="仿宋_GB2312" w:cs="仿宋"/>
          <w:sz w:val="32"/>
          <w:szCs w:val="32"/>
          <w:highlight w:val="none"/>
          <w:lang w:eastAsia="zh-CN"/>
        </w:rPr>
        <w:t>三</w:t>
      </w:r>
      <w:r>
        <w:rPr>
          <w:rFonts w:hint="eastAsia" w:ascii="仿宋_GB2312" w:hAnsi="仿宋" w:eastAsia="仿宋_GB2312" w:cs="仿宋"/>
          <w:sz w:val="32"/>
          <w:szCs w:val="32"/>
          <w:highlight w:val="none"/>
        </w:rPr>
        <w:t>）采取有效的噪声防治措施，确保工程建成投运后，输电线路周围区域噪声符合《声环境质量标准》（GB3096-2008）中</w:t>
      </w:r>
      <w:r>
        <w:rPr>
          <w:rFonts w:hint="eastAsia" w:ascii="仿宋_GB2312" w:hAnsi="仿宋" w:eastAsia="仿宋_GB2312" w:cs="仿宋"/>
          <w:sz w:val="32"/>
          <w:szCs w:val="32"/>
          <w:highlight w:val="none"/>
          <w:lang w:val="en-US" w:eastAsia="zh-CN"/>
        </w:rPr>
        <w:t>相应声环境功能区标准要求</w:t>
      </w:r>
      <w:r>
        <w:rPr>
          <w:rFonts w:hint="eastAsia" w:ascii="仿宋_GB2312" w:hAnsi="仿宋" w:eastAsia="仿宋_GB2312" w:cs="仿宋"/>
          <w:sz w:val="32"/>
          <w:szCs w:val="32"/>
          <w:highlight w:val="none"/>
        </w:rPr>
        <w:t>，变电站厂界噪声符合《工业企业厂界环境噪声排放标准》（GB12348－2008）</w:t>
      </w:r>
      <w:r>
        <w:rPr>
          <w:rFonts w:hint="eastAsia" w:ascii="仿宋_GB2312" w:hAnsi="仿宋" w:eastAsia="仿宋_GB2312" w:cs="仿宋"/>
          <w:sz w:val="32"/>
          <w:szCs w:val="32"/>
          <w:highlight w:val="none"/>
          <w:lang w:val="en-US" w:eastAsia="zh-CN"/>
        </w:rPr>
        <w:t>相应标准</w:t>
      </w:r>
      <w:r>
        <w:rPr>
          <w:rFonts w:hint="eastAsia" w:ascii="仿宋_GB2312" w:hAnsi="仿宋" w:eastAsia="仿宋_GB2312" w:cs="仿宋"/>
          <w:sz w:val="32"/>
          <w:szCs w:val="32"/>
          <w:highlight w:val="none"/>
        </w:rPr>
        <w:t>。</w:t>
      </w:r>
    </w:p>
    <w:p w14:paraId="7AA4BA25">
      <w:pPr>
        <w:spacing w:line="600" w:lineRule="exact"/>
        <w:ind w:firstLine="640" w:firstLineChars="200"/>
        <w:jc w:val="left"/>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w:t>
      </w:r>
      <w:r>
        <w:rPr>
          <w:rFonts w:hint="eastAsia" w:ascii="仿宋_GB2312" w:hAnsi="仿宋" w:eastAsia="仿宋_GB2312" w:cs="仿宋"/>
          <w:sz w:val="32"/>
          <w:szCs w:val="32"/>
          <w:highlight w:val="none"/>
          <w:lang w:eastAsia="zh-CN"/>
        </w:rPr>
        <w:t>四</w:t>
      </w:r>
      <w:r>
        <w:rPr>
          <w:rFonts w:hint="eastAsia" w:ascii="仿宋_GB2312" w:hAnsi="仿宋" w:eastAsia="仿宋_GB2312" w:cs="仿宋"/>
          <w:sz w:val="32"/>
          <w:szCs w:val="32"/>
          <w:highlight w:val="none"/>
        </w:rPr>
        <w:t>）加强施工期的环境保护工作，施工过程中严格控制施工边界，减少临时占地面积，施工材料有序堆放，减少生态破坏。采取有效防尘、降噪措施，产生的固体垃圾应分类集中堆放，及时清运。应减少对地表植被的扰动，施工结束后及时进行植被恢复和场地平整。</w:t>
      </w:r>
    </w:p>
    <w:p w14:paraId="4C557951">
      <w:pPr>
        <w:spacing w:line="600" w:lineRule="exact"/>
        <w:ind w:firstLine="640" w:firstLineChars="200"/>
        <w:jc w:val="left"/>
        <w:rPr>
          <w:rFonts w:hint="eastAsia" w:ascii="仿宋_GB2312" w:hAnsi="仿宋" w:eastAsia="仿宋_GB2312" w:cs="仿宋"/>
          <w:sz w:val="32"/>
          <w:szCs w:val="32"/>
          <w:highlight w:val="none"/>
        </w:rPr>
      </w:pPr>
      <w:r>
        <w:rPr>
          <w:rFonts w:hint="eastAsia" w:ascii="仿宋_GB2312" w:hAnsi="仿宋" w:eastAsia="仿宋_GB2312" w:cs="仿宋"/>
          <w:sz w:val="32"/>
          <w:szCs w:val="32"/>
          <w:highlight w:val="none"/>
        </w:rPr>
        <w:t>（</w:t>
      </w:r>
      <w:r>
        <w:rPr>
          <w:rFonts w:hint="eastAsia" w:ascii="仿宋_GB2312" w:hAnsi="仿宋" w:eastAsia="仿宋_GB2312" w:cs="仿宋"/>
          <w:sz w:val="32"/>
          <w:szCs w:val="32"/>
          <w:highlight w:val="none"/>
          <w:lang w:eastAsia="zh-CN"/>
        </w:rPr>
        <w:t>五</w:t>
      </w:r>
      <w:r>
        <w:rPr>
          <w:rFonts w:hint="eastAsia" w:ascii="仿宋_GB2312" w:hAnsi="仿宋" w:eastAsia="仿宋_GB2312" w:cs="仿宋"/>
          <w:sz w:val="32"/>
          <w:szCs w:val="32"/>
          <w:highlight w:val="none"/>
        </w:rPr>
        <w:t>）加强公众沟通和科普宣传，及时解决公众提出的合理环境诉求，及时公开项目建设与环境保护信息，主动接受社会监督。</w:t>
      </w:r>
    </w:p>
    <w:p w14:paraId="743E1D5E">
      <w:pPr>
        <w:spacing w:line="600" w:lineRule="exact"/>
        <w:ind w:firstLine="640" w:firstLineChars="200"/>
        <w:jc w:val="left"/>
        <w:rPr>
          <w:rFonts w:hint="eastAsia" w:ascii="仿宋_GB2312" w:hAnsi="仿宋" w:eastAsia="仿宋_GB2312" w:cs="仿宋"/>
          <w:sz w:val="32"/>
          <w:szCs w:val="32"/>
          <w:highlight w:val="none"/>
          <w:lang w:eastAsia="zh-CN"/>
        </w:rPr>
      </w:pPr>
      <w:r>
        <w:rPr>
          <w:rFonts w:hint="eastAsia" w:ascii="国标黑体" w:hAnsi="国标黑体" w:eastAsia="国标黑体" w:cs="国标黑体"/>
          <w:sz w:val="32"/>
          <w:szCs w:val="32"/>
          <w:highlight w:val="none"/>
          <w:lang w:eastAsia="zh-CN"/>
        </w:rPr>
        <w:t>四、工程建设应严格执行环境保护设施与主体工程同时设计、同时施工、同时投入使用的环境保护“三同时”制度。项目建成后，须依法进行环境保护验收，经验收合格后，方可正式投入运行。</w:t>
      </w:r>
    </w:p>
    <w:p w14:paraId="1DCB6C50">
      <w:pPr>
        <w:numPr>
          <w:ilvl w:val="0"/>
          <w:numId w:val="0"/>
        </w:numPr>
        <w:spacing w:line="600" w:lineRule="exact"/>
        <w:ind w:firstLine="640" w:firstLineChars="200"/>
        <w:jc w:val="left"/>
        <w:rPr>
          <w:rFonts w:hint="eastAsia" w:ascii="仿宋_GB2312" w:hAnsi="仿宋" w:eastAsia="仿宋_GB2312" w:cs="仿宋"/>
          <w:sz w:val="32"/>
          <w:szCs w:val="32"/>
          <w:highlight w:val="none"/>
          <w:lang w:eastAsia="zh-CN"/>
        </w:rPr>
      </w:pPr>
      <w:r>
        <w:rPr>
          <w:rFonts w:hint="eastAsia" w:ascii="国标黑体" w:hAnsi="国标黑体" w:eastAsia="国标黑体" w:cs="国标黑体"/>
          <w:sz w:val="32"/>
          <w:szCs w:val="32"/>
          <w:highlight w:val="none"/>
          <w:lang w:eastAsia="zh-CN"/>
        </w:rPr>
        <w:t>五、</w:t>
      </w:r>
      <w:r>
        <w:rPr>
          <w:rFonts w:hint="eastAsia" w:ascii="国标黑体" w:hAnsi="国标黑体" w:eastAsia="国标黑体" w:cs="国标黑体"/>
          <w:sz w:val="32"/>
          <w:szCs w:val="32"/>
          <w:highlight w:val="none"/>
        </w:rPr>
        <w:t>工程的性质、规模、地点、采用的生产工</w:t>
      </w:r>
      <w:bookmarkStart w:id="0" w:name="_GoBack"/>
      <w:bookmarkEnd w:id="0"/>
      <w:r>
        <w:rPr>
          <w:rFonts w:hint="eastAsia" w:ascii="国标黑体" w:hAnsi="国标黑体" w:eastAsia="国标黑体" w:cs="国标黑体"/>
          <w:sz w:val="32"/>
          <w:szCs w:val="32"/>
          <w:highlight w:val="none"/>
        </w:rPr>
        <w:t>艺或者防</w:t>
      </w:r>
      <w:r>
        <w:rPr>
          <w:rFonts w:hint="eastAsia" w:ascii="国标黑体" w:hAnsi="国标黑体" w:eastAsia="国标黑体" w:cs="国标黑体"/>
          <w:sz w:val="32"/>
          <w:szCs w:val="32"/>
          <w:highlight w:val="none"/>
          <w:lang w:eastAsia="zh-CN"/>
        </w:rPr>
        <w:t>治污染措施发生重大变动的，应当重新报批该项目的环境影响评价文件。本批复自批准之日起超过五年，方决定该项目开工建设，环境影响报告表应当报我局重新审核。</w:t>
      </w:r>
    </w:p>
    <w:p w14:paraId="25AB0AD4">
      <w:pPr>
        <w:adjustRightInd w:val="0"/>
        <w:snapToGrid w:val="0"/>
        <w:spacing w:line="600" w:lineRule="exact"/>
        <w:ind w:firstLine="640" w:firstLineChars="200"/>
        <w:contextualSpacing/>
        <w:rPr>
          <w:rFonts w:hint="eastAsia" w:ascii="国标黑体" w:hAnsi="国标黑体" w:eastAsia="国标黑体" w:cs="国标黑体"/>
          <w:sz w:val="32"/>
          <w:szCs w:val="32"/>
          <w:highlight w:val="none"/>
          <w:lang w:eastAsia="zh-CN"/>
        </w:rPr>
      </w:pPr>
      <w:r>
        <w:rPr>
          <w:rFonts w:hint="eastAsia" w:ascii="国标黑体" w:hAnsi="国标黑体" w:eastAsia="国标黑体" w:cs="国标黑体"/>
          <w:sz w:val="32"/>
          <w:szCs w:val="32"/>
          <w:highlight w:val="none"/>
          <w:lang w:eastAsia="zh-CN"/>
        </w:rPr>
        <w:t>六、</w:t>
      </w:r>
      <w:r>
        <w:rPr>
          <w:rFonts w:hint="eastAsia" w:ascii="国标黑体" w:hAnsi="国标黑体" w:eastAsia="国标黑体" w:cs="国标黑体"/>
          <w:sz w:val="32"/>
          <w:szCs w:val="32"/>
          <w:highlight w:val="none"/>
        </w:rPr>
        <w:t>你单位接此批复后20个工作日内，将环境影响报告表及批复文件送至四平市生态环境局</w:t>
      </w:r>
      <w:r>
        <w:rPr>
          <w:rFonts w:hint="eastAsia" w:ascii="国标黑体" w:hAnsi="国标黑体" w:eastAsia="国标黑体" w:cs="国标黑体"/>
          <w:sz w:val="32"/>
          <w:szCs w:val="32"/>
          <w:highlight w:val="none"/>
          <w:lang w:eastAsia="zh-CN"/>
        </w:rPr>
        <w:t>伊通县</w:t>
      </w:r>
      <w:r>
        <w:rPr>
          <w:rFonts w:hint="eastAsia" w:ascii="国标黑体" w:hAnsi="国标黑体" w:eastAsia="国标黑体" w:cs="国标黑体"/>
          <w:sz w:val="32"/>
          <w:szCs w:val="32"/>
          <w:highlight w:val="none"/>
        </w:rPr>
        <w:t>分局，并按规定接受各级生态环境行政主管部门监督检查。</w:t>
      </w:r>
      <w:r>
        <w:rPr>
          <w:rFonts w:hint="eastAsia" w:ascii="国标黑体" w:hAnsi="国标黑体" w:eastAsia="国标黑体" w:cs="国标黑体"/>
          <w:sz w:val="32"/>
          <w:szCs w:val="32"/>
          <w:highlight w:val="none"/>
          <w:lang w:eastAsia="zh-CN"/>
        </w:rPr>
        <w:t>我局委托四平市生态环境局伊通县分局负责对该项目环境保护措施落实情况等情况进行监督检查。</w:t>
      </w:r>
    </w:p>
    <w:p w14:paraId="017D7EBA">
      <w:pPr>
        <w:adjustRightInd w:val="0"/>
        <w:snapToGrid w:val="0"/>
        <w:spacing w:line="600" w:lineRule="exact"/>
        <w:contextualSpacing/>
        <w:rPr>
          <w:rFonts w:hint="eastAsia" w:ascii="国标黑体" w:hAnsi="国标黑体" w:eastAsia="国标黑体" w:cs="国标黑体"/>
          <w:sz w:val="32"/>
          <w:szCs w:val="32"/>
          <w:highlight w:val="none"/>
          <w:lang w:eastAsia="zh-CN"/>
        </w:rPr>
      </w:pPr>
    </w:p>
    <w:p w14:paraId="5980882C">
      <w:pPr>
        <w:adjustRightInd w:val="0"/>
        <w:snapToGrid w:val="0"/>
        <w:spacing w:line="600" w:lineRule="exact"/>
        <w:ind w:firstLine="5760" w:firstLineChars="1800"/>
        <w:contextualSpacing/>
        <w:rPr>
          <w:rFonts w:hint="eastAsia" w:ascii="仿宋_GB2312" w:hAnsi="Times New Roman" w:eastAsia="仿宋_GB2312" w:cs="仿宋_GB2312"/>
          <w:color w:val="000000"/>
          <w:kern w:val="0"/>
          <w:sz w:val="32"/>
          <w:szCs w:val="32"/>
          <w:lang w:val="en-US" w:eastAsia="zh-CN" w:bidi="ar"/>
        </w:rPr>
      </w:pPr>
      <w:r>
        <w:rPr>
          <w:rFonts w:hint="eastAsia" w:ascii="仿宋_GB2312" w:hAnsi="Times New Roman" w:eastAsia="仿宋_GB2312" w:cs="仿宋_GB2312"/>
          <w:color w:val="000000"/>
          <w:kern w:val="0"/>
          <w:sz w:val="32"/>
          <w:szCs w:val="32"/>
          <w:lang w:val="en-US" w:eastAsia="zh-CN" w:bidi="ar"/>
        </w:rPr>
        <w:t>四平市生态环境局</w:t>
      </w:r>
    </w:p>
    <w:p w14:paraId="22C24DEE">
      <w:pPr>
        <w:adjustRightInd w:val="0"/>
        <w:snapToGrid w:val="0"/>
        <w:spacing w:line="600" w:lineRule="exact"/>
        <w:ind w:firstLine="5760" w:firstLineChars="1800"/>
        <w:contextualSpacing/>
        <w:rPr>
          <w:rFonts w:hint="eastAsia" w:ascii="仿宋_GB2312" w:hAnsi="Times New Roman" w:eastAsia="仿宋_GB2312" w:cs="仿宋_GB2312"/>
          <w:color w:val="000000"/>
          <w:kern w:val="0"/>
          <w:sz w:val="32"/>
          <w:szCs w:val="32"/>
          <w:lang w:val="en-US" w:eastAsia="zh-CN" w:bidi="ar"/>
        </w:rPr>
      </w:pPr>
      <w:r>
        <w:rPr>
          <w:rFonts w:hint="default" w:ascii="仿宋_GB2312" w:hAnsi="Times New Roman" w:eastAsia="仿宋_GB2312" w:cs="仿宋_GB2312"/>
          <w:color w:val="000000"/>
          <w:kern w:val="0"/>
          <w:sz w:val="32"/>
          <w:szCs w:val="32"/>
          <w:lang w:val="en-US" w:eastAsia="zh-CN" w:bidi="ar"/>
        </w:rPr>
        <w:t>202</w:t>
      </w:r>
      <w:r>
        <w:rPr>
          <w:rFonts w:hint="eastAsia" w:ascii="仿宋_GB2312" w:eastAsia="仿宋_GB2312" w:cs="仿宋_GB2312"/>
          <w:color w:val="000000"/>
          <w:kern w:val="0"/>
          <w:sz w:val="32"/>
          <w:szCs w:val="32"/>
          <w:lang w:val="en-US" w:eastAsia="zh-CN" w:bidi="ar"/>
        </w:rPr>
        <w:t>6</w:t>
      </w:r>
      <w:r>
        <w:rPr>
          <w:rFonts w:hint="default" w:ascii="仿宋_GB2312" w:hAnsi="Times New Roman" w:eastAsia="仿宋_GB2312" w:cs="仿宋_GB2312"/>
          <w:color w:val="000000"/>
          <w:kern w:val="0"/>
          <w:sz w:val="32"/>
          <w:szCs w:val="32"/>
          <w:lang w:val="en-US" w:eastAsia="zh-CN" w:bidi="ar"/>
        </w:rPr>
        <w:t>年</w:t>
      </w:r>
      <w:r>
        <w:rPr>
          <w:rFonts w:hint="eastAsia" w:ascii="仿宋_GB2312" w:eastAsia="仿宋_GB2312" w:cs="仿宋_GB2312"/>
          <w:color w:val="000000"/>
          <w:kern w:val="0"/>
          <w:sz w:val="32"/>
          <w:szCs w:val="32"/>
          <w:lang w:val="en-US" w:eastAsia="zh-CN" w:bidi="ar"/>
        </w:rPr>
        <w:t>4</w:t>
      </w:r>
      <w:r>
        <w:rPr>
          <w:rFonts w:hint="default" w:ascii="仿宋_GB2312" w:hAnsi="Times New Roman" w:eastAsia="仿宋_GB2312" w:cs="仿宋_GB2312"/>
          <w:color w:val="000000"/>
          <w:kern w:val="0"/>
          <w:sz w:val="32"/>
          <w:szCs w:val="32"/>
          <w:lang w:val="en-US" w:eastAsia="zh-CN" w:bidi="ar"/>
        </w:rPr>
        <w:t>月</w:t>
      </w:r>
      <w:r>
        <w:rPr>
          <w:rFonts w:hint="eastAsia" w:ascii="仿宋_GB2312" w:eastAsia="仿宋_GB2312" w:cs="仿宋_GB2312"/>
          <w:color w:val="000000"/>
          <w:kern w:val="0"/>
          <w:sz w:val="32"/>
          <w:szCs w:val="32"/>
          <w:lang w:val="en-US" w:eastAsia="zh-CN" w:bidi="ar"/>
        </w:rPr>
        <w:t>17</w:t>
      </w:r>
      <w:r>
        <w:rPr>
          <w:rFonts w:hint="default" w:ascii="仿宋_GB2312" w:hAnsi="Times New Roman" w:eastAsia="仿宋_GB2312" w:cs="仿宋_GB2312"/>
          <w:color w:val="000000"/>
          <w:kern w:val="0"/>
          <w:sz w:val="32"/>
          <w:szCs w:val="32"/>
          <w:lang w:val="en-US" w:eastAsia="zh-CN" w:bidi="ar"/>
        </w:rPr>
        <w:t>日</w:t>
      </w:r>
    </w:p>
    <w:p w14:paraId="51F625D3">
      <w:pPr>
        <w:adjustRightInd w:val="0"/>
        <w:snapToGrid w:val="0"/>
        <w:spacing w:line="600" w:lineRule="exact"/>
        <w:ind w:firstLine="640" w:firstLineChars="200"/>
        <w:contextualSpacing/>
        <w:rPr>
          <w:rFonts w:hint="eastAsia" w:ascii="方正仿宋简体" w:hAnsi="仿宋" w:eastAsia="方正仿宋简体" w:cs="Calibri"/>
          <w:sz w:val="32"/>
          <w:szCs w:val="32"/>
          <w:lang w:val="en-US" w:eastAsia="zh-CN"/>
        </w:rPr>
      </w:pPr>
      <w:r>
        <w:rPr>
          <w:rFonts w:hint="eastAsia" w:ascii="方正仿宋简体" w:hAnsi="仿宋" w:eastAsia="方正仿宋简体" w:cs="Calibri"/>
          <w:sz w:val="32"/>
          <w:szCs w:val="32"/>
          <w:lang w:val="en-US" w:eastAsia="zh-CN"/>
        </w:rPr>
        <w:t> </w:t>
      </w:r>
    </w:p>
    <w:p w14:paraId="19494888">
      <w:pPr>
        <w:adjustRightInd w:val="0"/>
        <w:snapToGrid w:val="0"/>
        <w:spacing w:line="600" w:lineRule="exact"/>
        <w:contextualSpacing/>
        <w:rPr>
          <w:rFonts w:hint="eastAsia" w:ascii="仿宋_GB2312" w:hAnsi="仿宋" w:eastAsia="仿宋_GB2312" w:cs="Times New Roman"/>
          <w:color w:val="000000"/>
          <w:kern w:val="2"/>
          <w:sz w:val="32"/>
          <w:szCs w:val="32"/>
          <w:lang w:val="en-US" w:eastAsia="zh-CN" w:bidi="ar-SA"/>
        </w:rPr>
      </w:pPr>
      <w:r>
        <w:rPr>
          <w:rFonts w:hint="eastAsia" w:ascii="方正仿宋简体" w:hAnsi="仿宋" w:eastAsia="方正仿宋简体" w:cs="Calibri"/>
          <w:sz w:val="32"/>
          <w:szCs w:val="32"/>
          <w:lang w:val="en-US" w:eastAsia="zh-CN"/>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hint="eastAsia" w:ascii="方正仿宋简体" w:hAnsi="仿宋" w:eastAsia="方正仿宋简体" w:cs="Calibri"/>
          <w:sz w:val="32"/>
          <w:szCs w:val="32"/>
          <w:lang w:val="en-US" w:eastAsia="zh-CN"/>
        </w:rPr>
        <w:br w:type="textWrapping"/>
      </w:r>
      <w:r>
        <w:rPr>
          <w:rFonts w:hint="eastAsia" w:ascii="方正仿宋简体" w:hAnsi="仿宋" w:eastAsia="方正仿宋简体" w:cs="Calibri"/>
          <w:sz w:val="32"/>
          <w:szCs w:val="32"/>
          <w:lang w:val="en-US" w:eastAsia="zh-CN"/>
        </w:rPr>
        <w:t> 联系电话：0434-3261108     邮箱：sphfs123@163.com</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3DE"/>
    <w:rsid w:val="00010A8E"/>
    <w:rsid w:val="00025DAC"/>
    <w:rsid w:val="00031650"/>
    <w:rsid w:val="00034427"/>
    <w:rsid w:val="000528B0"/>
    <w:rsid w:val="000736D8"/>
    <w:rsid w:val="000747BA"/>
    <w:rsid w:val="0007491C"/>
    <w:rsid w:val="00090E2B"/>
    <w:rsid w:val="0009452E"/>
    <w:rsid w:val="000C35B1"/>
    <w:rsid w:val="000C42C7"/>
    <w:rsid w:val="000C6A3E"/>
    <w:rsid w:val="000D684B"/>
    <w:rsid w:val="000E4655"/>
    <w:rsid w:val="000E531A"/>
    <w:rsid w:val="00100E52"/>
    <w:rsid w:val="00104CF5"/>
    <w:rsid w:val="00111C4E"/>
    <w:rsid w:val="001149B7"/>
    <w:rsid w:val="001235F9"/>
    <w:rsid w:val="001242F8"/>
    <w:rsid w:val="00135FC4"/>
    <w:rsid w:val="001458D1"/>
    <w:rsid w:val="001508D6"/>
    <w:rsid w:val="00165DC8"/>
    <w:rsid w:val="00177ADC"/>
    <w:rsid w:val="00181DA3"/>
    <w:rsid w:val="001868E5"/>
    <w:rsid w:val="0018783E"/>
    <w:rsid w:val="00194E59"/>
    <w:rsid w:val="001A2A51"/>
    <w:rsid w:val="001A58BE"/>
    <w:rsid w:val="001B00A3"/>
    <w:rsid w:val="001B0E03"/>
    <w:rsid w:val="001B17D8"/>
    <w:rsid w:val="001B4411"/>
    <w:rsid w:val="001B7E84"/>
    <w:rsid w:val="001C7135"/>
    <w:rsid w:val="001C74C1"/>
    <w:rsid w:val="001D5F8A"/>
    <w:rsid w:val="001E7146"/>
    <w:rsid w:val="00210177"/>
    <w:rsid w:val="00210956"/>
    <w:rsid w:val="00210A5F"/>
    <w:rsid w:val="0021112B"/>
    <w:rsid w:val="002130DB"/>
    <w:rsid w:val="00217CBF"/>
    <w:rsid w:val="00227AD6"/>
    <w:rsid w:val="0023507D"/>
    <w:rsid w:val="00237DD8"/>
    <w:rsid w:val="002407EB"/>
    <w:rsid w:val="00240E76"/>
    <w:rsid w:val="0024397A"/>
    <w:rsid w:val="00243C1F"/>
    <w:rsid w:val="002800FA"/>
    <w:rsid w:val="00284D8B"/>
    <w:rsid w:val="00296347"/>
    <w:rsid w:val="002B2B32"/>
    <w:rsid w:val="002B667D"/>
    <w:rsid w:val="002B7F2F"/>
    <w:rsid w:val="002C0813"/>
    <w:rsid w:val="002D1A0B"/>
    <w:rsid w:val="002D75F6"/>
    <w:rsid w:val="002E04C1"/>
    <w:rsid w:val="002E0690"/>
    <w:rsid w:val="002E19F3"/>
    <w:rsid w:val="002E3234"/>
    <w:rsid w:val="002F4D02"/>
    <w:rsid w:val="0030182E"/>
    <w:rsid w:val="00303581"/>
    <w:rsid w:val="003106E8"/>
    <w:rsid w:val="00311E6B"/>
    <w:rsid w:val="00320FAE"/>
    <w:rsid w:val="00340A44"/>
    <w:rsid w:val="00342BA4"/>
    <w:rsid w:val="003437DD"/>
    <w:rsid w:val="00343830"/>
    <w:rsid w:val="0034613B"/>
    <w:rsid w:val="00367BA0"/>
    <w:rsid w:val="00373A89"/>
    <w:rsid w:val="00377AED"/>
    <w:rsid w:val="003826DE"/>
    <w:rsid w:val="00387A8B"/>
    <w:rsid w:val="00395026"/>
    <w:rsid w:val="003A0B5E"/>
    <w:rsid w:val="003A1182"/>
    <w:rsid w:val="003C188B"/>
    <w:rsid w:val="003C7A73"/>
    <w:rsid w:val="003D1877"/>
    <w:rsid w:val="003E228A"/>
    <w:rsid w:val="003F4DA3"/>
    <w:rsid w:val="0040379E"/>
    <w:rsid w:val="00405519"/>
    <w:rsid w:val="00407CE7"/>
    <w:rsid w:val="00410605"/>
    <w:rsid w:val="00410A81"/>
    <w:rsid w:val="004174B0"/>
    <w:rsid w:val="004178A4"/>
    <w:rsid w:val="00423D68"/>
    <w:rsid w:val="00434EEB"/>
    <w:rsid w:val="00442032"/>
    <w:rsid w:val="00443096"/>
    <w:rsid w:val="004432E7"/>
    <w:rsid w:val="00451E49"/>
    <w:rsid w:val="00454912"/>
    <w:rsid w:val="004705D8"/>
    <w:rsid w:val="00474E82"/>
    <w:rsid w:val="004836B6"/>
    <w:rsid w:val="004A7CE6"/>
    <w:rsid w:val="004B7B51"/>
    <w:rsid w:val="004D0B9B"/>
    <w:rsid w:val="004E153F"/>
    <w:rsid w:val="004E1F22"/>
    <w:rsid w:val="004E2747"/>
    <w:rsid w:val="004F4CD9"/>
    <w:rsid w:val="004F6D38"/>
    <w:rsid w:val="00500350"/>
    <w:rsid w:val="00531A53"/>
    <w:rsid w:val="00534197"/>
    <w:rsid w:val="00536E83"/>
    <w:rsid w:val="00537DAC"/>
    <w:rsid w:val="00572985"/>
    <w:rsid w:val="00580D66"/>
    <w:rsid w:val="00583240"/>
    <w:rsid w:val="00585707"/>
    <w:rsid w:val="005923DE"/>
    <w:rsid w:val="005A0CDA"/>
    <w:rsid w:val="005A19A9"/>
    <w:rsid w:val="005B4CA9"/>
    <w:rsid w:val="005C2342"/>
    <w:rsid w:val="005C37FE"/>
    <w:rsid w:val="005D51D2"/>
    <w:rsid w:val="005D5464"/>
    <w:rsid w:val="005D7A7B"/>
    <w:rsid w:val="005E4DB7"/>
    <w:rsid w:val="005F3538"/>
    <w:rsid w:val="005F5919"/>
    <w:rsid w:val="00605AD7"/>
    <w:rsid w:val="00607EDA"/>
    <w:rsid w:val="00623983"/>
    <w:rsid w:val="00627039"/>
    <w:rsid w:val="006311F7"/>
    <w:rsid w:val="00631CF9"/>
    <w:rsid w:val="006427EC"/>
    <w:rsid w:val="00642B57"/>
    <w:rsid w:val="00662F8E"/>
    <w:rsid w:val="0066317D"/>
    <w:rsid w:val="006754B9"/>
    <w:rsid w:val="006825EC"/>
    <w:rsid w:val="00687D23"/>
    <w:rsid w:val="00687D55"/>
    <w:rsid w:val="00695A99"/>
    <w:rsid w:val="006A02BC"/>
    <w:rsid w:val="006A228A"/>
    <w:rsid w:val="006A52D8"/>
    <w:rsid w:val="006B39F0"/>
    <w:rsid w:val="006B447B"/>
    <w:rsid w:val="006C02DB"/>
    <w:rsid w:val="006D3EF7"/>
    <w:rsid w:val="006D4BB0"/>
    <w:rsid w:val="006F7011"/>
    <w:rsid w:val="00707D70"/>
    <w:rsid w:val="0071363C"/>
    <w:rsid w:val="00715E8B"/>
    <w:rsid w:val="00720DDC"/>
    <w:rsid w:val="00725C70"/>
    <w:rsid w:val="00732FE9"/>
    <w:rsid w:val="007369BA"/>
    <w:rsid w:val="00744F7E"/>
    <w:rsid w:val="0075320B"/>
    <w:rsid w:val="007569D2"/>
    <w:rsid w:val="0075769B"/>
    <w:rsid w:val="00762389"/>
    <w:rsid w:val="00772D98"/>
    <w:rsid w:val="00772F94"/>
    <w:rsid w:val="007748CD"/>
    <w:rsid w:val="0079068C"/>
    <w:rsid w:val="00790771"/>
    <w:rsid w:val="00794B15"/>
    <w:rsid w:val="007A4697"/>
    <w:rsid w:val="007A774B"/>
    <w:rsid w:val="007A7DCB"/>
    <w:rsid w:val="007B084C"/>
    <w:rsid w:val="007B5B9A"/>
    <w:rsid w:val="007B77C5"/>
    <w:rsid w:val="007D06C7"/>
    <w:rsid w:val="007D098E"/>
    <w:rsid w:val="007D4C4E"/>
    <w:rsid w:val="007D622D"/>
    <w:rsid w:val="007E2C7C"/>
    <w:rsid w:val="007E32B3"/>
    <w:rsid w:val="007E415D"/>
    <w:rsid w:val="007E4285"/>
    <w:rsid w:val="007F360E"/>
    <w:rsid w:val="008064BD"/>
    <w:rsid w:val="00806CE1"/>
    <w:rsid w:val="00807D0F"/>
    <w:rsid w:val="00810A42"/>
    <w:rsid w:val="00812A1A"/>
    <w:rsid w:val="0081448B"/>
    <w:rsid w:val="00825240"/>
    <w:rsid w:val="00830762"/>
    <w:rsid w:val="00843F5C"/>
    <w:rsid w:val="008624D2"/>
    <w:rsid w:val="0086720C"/>
    <w:rsid w:val="00875B98"/>
    <w:rsid w:val="00876C33"/>
    <w:rsid w:val="00887F54"/>
    <w:rsid w:val="008A04DB"/>
    <w:rsid w:val="008A35E4"/>
    <w:rsid w:val="008C26B4"/>
    <w:rsid w:val="008C4112"/>
    <w:rsid w:val="008D18C2"/>
    <w:rsid w:val="008D31E1"/>
    <w:rsid w:val="008E24B7"/>
    <w:rsid w:val="008F01F6"/>
    <w:rsid w:val="008F2ACF"/>
    <w:rsid w:val="008F7D6B"/>
    <w:rsid w:val="00905B74"/>
    <w:rsid w:val="00906E6B"/>
    <w:rsid w:val="0090714D"/>
    <w:rsid w:val="00912F06"/>
    <w:rsid w:val="009137D5"/>
    <w:rsid w:val="00920C10"/>
    <w:rsid w:val="0092183A"/>
    <w:rsid w:val="00930BAE"/>
    <w:rsid w:val="00947915"/>
    <w:rsid w:val="00947EAF"/>
    <w:rsid w:val="00952339"/>
    <w:rsid w:val="00983907"/>
    <w:rsid w:val="00997A11"/>
    <w:rsid w:val="009A38A3"/>
    <w:rsid w:val="009A5EDF"/>
    <w:rsid w:val="009B4D83"/>
    <w:rsid w:val="009B5384"/>
    <w:rsid w:val="009B624A"/>
    <w:rsid w:val="009C1BD8"/>
    <w:rsid w:val="009D4C6E"/>
    <w:rsid w:val="009E78DD"/>
    <w:rsid w:val="009F6EC6"/>
    <w:rsid w:val="00A1307E"/>
    <w:rsid w:val="00A23A0C"/>
    <w:rsid w:val="00A25893"/>
    <w:rsid w:val="00A26C5F"/>
    <w:rsid w:val="00A5306A"/>
    <w:rsid w:val="00A57CF9"/>
    <w:rsid w:val="00A60850"/>
    <w:rsid w:val="00A625D1"/>
    <w:rsid w:val="00A66D36"/>
    <w:rsid w:val="00A712B1"/>
    <w:rsid w:val="00A7286C"/>
    <w:rsid w:val="00A757E1"/>
    <w:rsid w:val="00A75EFA"/>
    <w:rsid w:val="00A9400F"/>
    <w:rsid w:val="00A97E47"/>
    <w:rsid w:val="00AA1213"/>
    <w:rsid w:val="00AA2AC2"/>
    <w:rsid w:val="00AA4078"/>
    <w:rsid w:val="00AA49DB"/>
    <w:rsid w:val="00AB4974"/>
    <w:rsid w:val="00AC2A47"/>
    <w:rsid w:val="00AC42BA"/>
    <w:rsid w:val="00AD2A9A"/>
    <w:rsid w:val="00AD5EB7"/>
    <w:rsid w:val="00AE097F"/>
    <w:rsid w:val="00AE6074"/>
    <w:rsid w:val="00AF6A7E"/>
    <w:rsid w:val="00B00DDA"/>
    <w:rsid w:val="00B014F1"/>
    <w:rsid w:val="00B029BC"/>
    <w:rsid w:val="00B13F74"/>
    <w:rsid w:val="00B3028C"/>
    <w:rsid w:val="00B30767"/>
    <w:rsid w:val="00B32F29"/>
    <w:rsid w:val="00B33570"/>
    <w:rsid w:val="00B3395B"/>
    <w:rsid w:val="00B4093B"/>
    <w:rsid w:val="00B4537C"/>
    <w:rsid w:val="00B52ACE"/>
    <w:rsid w:val="00B572B6"/>
    <w:rsid w:val="00B64D2F"/>
    <w:rsid w:val="00B6601C"/>
    <w:rsid w:val="00B70E1D"/>
    <w:rsid w:val="00B73058"/>
    <w:rsid w:val="00B73E29"/>
    <w:rsid w:val="00B77C5C"/>
    <w:rsid w:val="00B8091A"/>
    <w:rsid w:val="00B862EC"/>
    <w:rsid w:val="00B86EE0"/>
    <w:rsid w:val="00B87BC6"/>
    <w:rsid w:val="00B933DE"/>
    <w:rsid w:val="00BB4DB0"/>
    <w:rsid w:val="00BD5B95"/>
    <w:rsid w:val="00BE70F5"/>
    <w:rsid w:val="00BE7747"/>
    <w:rsid w:val="00BE7F0A"/>
    <w:rsid w:val="00BF1419"/>
    <w:rsid w:val="00BF1BEC"/>
    <w:rsid w:val="00BF36C0"/>
    <w:rsid w:val="00BF44C4"/>
    <w:rsid w:val="00BF6984"/>
    <w:rsid w:val="00C00693"/>
    <w:rsid w:val="00C01DA4"/>
    <w:rsid w:val="00C053FD"/>
    <w:rsid w:val="00C17796"/>
    <w:rsid w:val="00C30C74"/>
    <w:rsid w:val="00C31DC8"/>
    <w:rsid w:val="00C3552B"/>
    <w:rsid w:val="00C5790B"/>
    <w:rsid w:val="00C74893"/>
    <w:rsid w:val="00C812ED"/>
    <w:rsid w:val="00C95CE0"/>
    <w:rsid w:val="00CB1221"/>
    <w:rsid w:val="00CB4464"/>
    <w:rsid w:val="00CB7A0C"/>
    <w:rsid w:val="00CC318A"/>
    <w:rsid w:val="00CD6C39"/>
    <w:rsid w:val="00CF14AA"/>
    <w:rsid w:val="00CF51A5"/>
    <w:rsid w:val="00CF5411"/>
    <w:rsid w:val="00D03738"/>
    <w:rsid w:val="00D051AA"/>
    <w:rsid w:val="00D057B5"/>
    <w:rsid w:val="00D05C1E"/>
    <w:rsid w:val="00D15B50"/>
    <w:rsid w:val="00D27602"/>
    <w:rsid w:val="00D3337E"/>
    <w:rsid w:val="00D4514D"/>
    <w:rsid w:val="00D52463"/>
    <w:rsid w:val="00D613FD"/>
    <w:rsid w:val="00D62C5B"/>
    <w:rsid w:val="00D636B2"/>
    <w:rsid w:val="00D71FBC"/>
    <w:rsid w:val="00D77A72"/>
    <w:rsid w:val="00D85696"/>
    <w:rsid w:val="00D86A95"/>
    <w:rsid w:val="00DC3BEC"/>
    <w:rsid w:val="00DC3E19"/>
    <w:rsid w:val="00DD6A51"/>
    <w:rsid w:val="00DE67B0"/>
    <w:rsid w:val="00DE71D1"/>
    <w:rsid w:val="00DF313E"/>
    <w:rsid w:val="00DF5CB6"/>
    <w:rsid w:val="00E03476"/>
    <w:rsid w:val="00E069E4"/>
    <w:rsid w:val="00E13792"/>
    <w:rsid w:val="00E204DC"/>
    <w:rsid w:val="00E26664"/>
    <w:rsid w:val="00E33317"/>
    <w:rsid w:val="00E36F4F"/>
    <w:rsid w:val="00E678E1"/>
    <w:rsid w:val="00E765A2"/>
    <w:rsid w:val="00E7676B"/>
    <w:rsid w:val="00E83442"/>
    <w:rsid w:val="00E921C8"/>
    <w:rsid w:val="00EC11A6"/>
    <w:rsid w:val="00EC213E"/>
    <w:rsid w:val="00ED0E7B"/>
    <w:rsid w:val="00ED115B"/>
    <w:rsid w:val="00EE40E5"/>
    <w:rsid w:val="00EE7D03"/>
    <w:rsid w:val="00EF0176"/>
    <w:rsid w:val="00EF5C77"/>
    <w:rsid w:val="00F027D1"/>
    <w:rsid w:val="00F0355E"/>
    <w:rsid w:val="00F3471E"/>
    <w:rsid w:val="00F404D1"/>
    <w:rsid w:val="00F43463"/>
    <w:rsid w:val="00F43B88"/>
    <w:rsid w:val="00F6094B"/>
    <w:rsid w:val="00F62221"/>
    <w:rsid w:val="00F704A8"/>
    <w:rsid w:val="00F71386"/>
    <w:rsid w:val="00F7432F"/>
    <w:rsid w:val="00F76A92"/>
    <w:rsid w:val="00F837E1"/>
    <w:rsid w:val="00FB3206"/>
    <w:rsid w:val="00FB6D13"/>
    <w:rsid w:val="00FC2C67"/>
    <w:rsid w:val="00FC7C31"/>
    <w:rsid w:val="00FE52D3"/>
    <w:rsid w:val="00FF5056"/>
    <w:rsid w:val="03963CC3"/>
    <w:rsid w:val="08497805"/>
    <w:rsid w:val="09CA499C"/>
    <w:rsid w:val="0BAE7929"/>
    <w:rsid w:val="12575B99"/>
    <w:rsid w:val="14F1200A"/>
    <w:rsid w:val="1D4C2E3E"/>
    <w:rsid w:val="1D95675A"/>
    <w:rsid w:val="213F307F"/>
    <w:rsid w:val="240434D6"/>
    <w:rsid w:val="27451630"/>
    <w:rsid w:val="28682F40"/>
    <w:rsid w:val="2B6B78B8"/>
    <w:rsid w:val="2EA460F8"/>
    <w:rsid w:val="33B85813"/>
    <w:rsid w:val="3D3D787A"/>
    <w:rsid w:val="3F4A7ADE"/>
    <w:rsid w:val="42040020"/>
    <w:rsid w:val="47A63CC6"/>
    <w:rsid w:val="4C9B0838"/>
    <w:rsid w:val="50DF7FC3"/>
    <w:rsid w:val="552D12DA"/>
    <w:rsid w:val="58166169"/>
    <w:rsid w:val="587B4AAF"/>
    <w:rsid w:val="59437B8E"/>
    <w:rsid w:val="5B81682B"/>
    <w:rsid w:val="5BC60AFD"/>
    <w:rsid w:val="5E1D49E2"/>
    <w:rsid w:val="64D4770D"/>
    <w:rsid w:val="66BE76B7"/>
    <w:rsid w:val="683B64F9"/>
    <w:rsid w:val="698436A8"/>
    <w:rsid w:val="6EEF179F"/>
    <w:rsid w:val="72281C0E"/>
    <w:rsid w:val="767716C2"/>
    <w:rsid w:val="77A067E2"/>
    <w:rsid w:val="7EC97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2"/>
    <w:semiHidden/>
    <w:unhideWhenUsed/>
    <w:qFormat/>
    <w:uiPriority w:val="99"/>
    <w:rPr>
      <w:rFonts w:ascii="宋体"/>
      <w:sz w:val="18"/>
      <w:szCs w:val="18"/>
    </w:rPr>
  </w:style>
  <w:style w:type="paragraph" w:styleId="3">
    <w:name w:val="annotation text"/>
    <w:basedOn w:val="1"/>
    <w:semiHidden/>
    <w:unhideWhenUsed/>
    <w:qFormat/>
    <w:uiPriority w:val="99"/>
    <w:pPr>
      <w:jc w:val="left"/>
    </w:pPr>
  </w:style>
  <w:style w:type="paragraph" w:styleId="4">
    <w:name w:val="Body Text"/>
    <w:next w:val="5"/>
    <w:semiHidden/>
    <w:qFormat/>
    <w:uiPriority w:val="0"/>
    <w:pPr>
      <w:widowControl w:val="0"/>
      <w:snapToGrid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5">
    <w:name w:val="默认段落"/>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Balloon Text"/>
    <w:basedOn w:val="1"/>
    <w:link w:val="19"/>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w:basedOn w:val="1"/>
    <w:qFormat/>
    <w:uiPriority w:val="0"/>
    <w:pPr>
      <w:ind w:left="200" w:hanging="200" w:hangingChars="200"/>
    </w:p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13">
    <w:name w:val="正文格式"/>
    <w:basedOn w:val="1"/>
    <w:qFormat/>
    <w:locked/>
    <w:uiPriority w:val="0"/>
    <w:pPr>
      <w:spacing w:line="360" w:lineRule="auto"/>
      <w:ind w:firstLine="482"/>
    </w:pPr>
  </w:style>
  <w:style w:type="paragraph" w:customStyle="1" w:styleId="14">
    <w:name w:val="意见正文编号"/>
    <w:basedOn w:val="1"/>
    <w:qFormat/>
    <w:uiPriority w:val="0"/>
    <w:pPr>
      <w:spacing w:line="360" w:lineRule="auto"/>
      <w:ind w:firstLine="560" w:firstLineChars="200"/>
      <w:outlineLvl w:val="0"/>
    </w:pPr>
    <w:rPr>
      <w:rFonts w:ascii="仿宋_GB2312" w:hAnsi="宋体" w:eastAsia="仿宋_GB2312" w:cs="Arial"/>
      <w:bCs/>
      <w:color w:val="FF0000"/>
      <w:kern w:val="40"/>
      <w:sz w:val="28"/>
      <w:szCs w:val="28"/>
    </w:rPr>
  </w:style>
  <w:style w:type="character" w:customStyle="1" w:styleId="15">
    <w:name w:val="页眉 Char"/>
    <w:basedOn w:val="12"/>
    <w:link w:val="8"/>
    <w:qFormat/>
    <w:uiPriority w:val="99"/>
    <w:rPr>
      <w:rFonts w:ascii="Times New Roman" w:hAnsi="Times New Roman" w:eastAsia="宋体" w:cs="Times New Roman"/>
      <w:sz w:val="18"/>
      <w:szCs w:val="18"/>
    </w:rPr>
  </w:style>
  <w:style w:type="character" w:customStyle="1" w:styleId="16">
    <w:name w:val="页脚 Char"/>
    <w:basedOn w:val="12"/>
    <w:link w:val="7"/>
    <w:qFormat/>
    <w:uiPriority w:val="99"/>
    <w:rPr>
      <w:rFonts w:ascii="Times New Roman" w:hAnsi="Times New Roman" w:eastAsia="宋体" w:cs="Times New Roman"/>
      <w:sz w:val="18"/>
      <w:szCs w:val="18"/>
    </w:rPr>
  </w:style>
  <w:style w:type="character" w:customStyle="1" w:styleId="17">
    <w:name w:val="评估意见正文内容 Char"/>
    <w:basedOn w:val="12"/>
    <w:link w:val="18"/>
    <w:qFormat/>
    <w:uiPriority w:val="0"/>
    <w:rPr>
      <w:rFonts w:ascii="仿宋_GB2312" w:hAnsi="宋体" w:eastAsia="仿宋_GB2312"/>
      <w:bCs/>
      <w:sz w:val="32"/>
      <w:szCs w:val="23"/>
    </w:rPr>
  </w:style>
  <w:style w:type="paragraph" w:customStyle="1" w:styleId="18">
    <w:name w:val="评估意见正文内容"/>
    <w:basedOn w:val="1"/>
    <w:link w:val="17"/>
    <w:qFormat/>
    <w:uiPriority w:val="0"/>
    <w:pPr>
      <w:spacing w:line="360" w:lineRule="auto"/>
      <w:ind w:firstLine="640" w:firstLineChars="200"/>
    </w:pPr>
    <w:rPr>
      <w:rFonts w:ascii="仿宋_GB2312" w:hAnsi="宋体" w:eastAsia="仿宋_GB2312" w:cstheme="minorBidi"/>
      <w:bCs/>
      <w:sz w:val="32"/>
      <w:szCs w:val="23"/>
    </w:rPr>
  </w:style>
  <w:style w:type="character" w:customStyle="1" w:styleId="19">
    <w:name w:val="批注框文本 Char"/>
    <w:basedOn w:val="12"/>
    <w:link w:val="6"/>
    <w:semiHidden/>
    <w:qFormat/>
    <w:uiPriority w:val="99"/>
    <w:rPr>
      <w:rFonts w:ascii="Times New Roman" w:hAnsi="Times New Roman" w:eastAsia="宋体" w:cs="Times New Roman"/>
      <w:sz w:val="18"/>
      <w:szCs w:val="18"/>
    </w:rPr>
  </w:style>
  <w:style w:type="paragraph" w:customStyle="1" w:styleId="20">
    <w:name w:val="默认段落字体 Para Char Char Char Char Char Char Char Char Char Char"/>
    <w:basedOn w:val="2"/>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21">
    <w:name w:val="样式 正文11 + 首行缩进:  2 字符"/>
    <w:basedOn w:val="1"/>
    <w:qFormat/>
    <w:uiPriority w:val="99"/>
    <w:pPr>
      <w:spacing w:line="500" w:lineRule="exact"/>
      <w:ind w:firstLine="560" w:firstLineChars="200"/>
    </w:pPr>
    <w:rPr>
      <w:rFonts w:ascii="宋体" w:hAnsi="宋体"/>
      <w:color w:val="FF0000"/>
      <w:sz w:val="28"/>
      <w:szCs w:val="24"/>
    </w:rPr>
  </w:style>
  <w:style w:type="character" w:customStyle="1" w:styleId="22">
    <w:name w:val="文档结构图 Char"/>
    <w:basedOn w:val="12"/>
    <w:link w:val="2"/>
    <w:semiHidden/>
    <w:qFormat/>
    <w:uiPriority w:val="99"/>
    <w:rPr>
      <w:rFonts w:ascii="宋体" w:hAnsi="Times New Roman" w:eastAsia="宋体" w:cs="Times New Roman"/>
      <w:sz w:val="18"/>
      <w:szCs w:val="18"/>
    </w:rPr>
  </w:style>
  <w:style w:type="paragraph" w:styleId="23">
    <w:name w:val="List Paragraph"/>
    <w:basedOn w:val="1"/>
    <w:qFormat/>
    <w:uiPriority w:val="34"/>
    <w:pPr>
      <w:ind w:firstLine="420" w:firstLineChars="200"/>
    </w:pPr>
  </w:style>
  <w:style w:type="character" w:customStyle="1" w:styleId="24">
    <w:name w:val="fontstyle01"/>
    <w:basedOn w:val="12"/>
    <w:qFormat/>
    <w:uiPriority w:val="0"/>
    <w:rPr>
      <w:rFonts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0253A499-B5D2-4CCB-8ED7-B19C02477A9C}">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1410</Words>
  <Characters>1568</Characters>
  <Lines>7</Lines>
  <Paragraphs>2</Paragraphs>
  <TotalTime>29</TotalTime>
  <ScaleCrop>false</ScaleCrop>
  <LinksUpToDate>false</LinksUpToDate>
  <CharactersWithSpaces>1576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2017-08-14T09:27:00Z</dcterms:created>
  <dc:creator>Administrator</dc:creator>
  <cp:lastModifiedBy>Maserati.</cp:lastModifiedBy>
  <cp:lastPrinted>2026-04-17T05:11:31Z</cp:lastPrinted>
  <dcterms:modified xsi:type="dcterms:W3CDTF">2026-04-17T05:11:33Z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976DE536B01541D695B567FDF608165E</vt:lpwstr>
  </property>
  <property fmtid="{D5CDD505-2E9C-101B-9397-08002B2CF9AE}" pid="4" name="KSOTemplateDocerSaveRecord">
    <vt:lpwstr>eyJoZGlkIjoiNmU5OWMwYmMzYTljYjQ3ZmFlZTY1NWM2MmFiMjFlMTYiLCJ1c2VySWQiOiIzMDY2NDE1MzEifQ==</vt:lpwstr>
  </property>
</Properties>
</file>