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79467">
      <w:pPr>
        <w:rPr>
          <w:rFonts w:hint="default" w:ascii="仿宋_GB2312" w:hAnsi="仿宋_GB2312" w:eastAsia="仿宋_GB2312" w:cs="仿宋_GB2312"/>
          <w:sz w:val="36"/>
          <w:szCs w:val="36"/>
          <w:lang w:val="en-US" w:eastAsia="zh-CN"/>
        </w:rPr>
      </w:pPr>
    </w:p>
    <w:p w14:paraId="0C0A68D7">
      <w:pPr>
        <w:rPr>
          <w:rFonts w:ascii="仿宋_GB2312" w:hAnsi="仿宋_GB2312" w:eastAsia="仿宋_GB2312" w:cs="仿宋_GB2312"/>
          <w:sz w:val="36"/>
          <w:szCs w:val="36"/>
        </w:rPr>
      </w:pPr>
    </w:p>
    <w:p w14:paraId="7C601FFF">
      <w:pPr>
        <w:rPr>
          <w:rFonts w:ascii="仿宋_GB2312" w:hAnsi="仿宋_GB2312" w:eastAsia="仿宋_GB2312" w:cs="仿宋_GB2312"/>
          <w:sz w:val="36"/>
          <w:szCs w:val="36"/>
        </w:rPr>
      </w:pPr>
    </w:p>
    <w:p w14:paraId="0F7CDD47">
      <w:pPr>
        <w:rPr>
          <w:rFonts w:hint="eastAsia" w:ascii="仿宋_GB2312" w:hAnsi="仿宋_GB2312" w:eastAsia="仿宋_GB2312" w:cs="仿宋_GB2312"/>
          <w:sz w:val="36"/>
          <w:szCs w:val="36"/>
        </w:rPr>
      </w:pPr>
    </w:p>
    <w:p w14:paraId="65DC8A4D">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14:paraId="2939C4A3">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14:paraId="649699F0">
      <w:pPr>
        <w:adjustRightInd w:val="0"/>
        <w:snapToGrid w:val="0"/>
        <w:spacing w:line="288" w:lineRule="auto"/>
        <w:jc w:val="center"/>
        <w:outlineLvl w:val="0"/>
        <w:rPr>
          <w:rFonts w:ascii="华文仿宋" w:hAnsi="华文仿宋" w:eastAsia="华文仿宋" w:cs="华文仿宋"/>
          <w:color w:val="000000"/>
          <w:kern w:val="44"/>
          <w:sz w:val="44"/>
          <w:szCs w:val="44"/>
        </w:rPr>
      </w:pPr>
    </w:p>
    <w:p w14:paraId="421BE684">
      <w:pPr>
        <w:jc w:val="center"/>
        <w:rPr>
          <w:rFonts w:eastAsia="仿宋"/>
          <w:sz w:val="52"/>
          <w:szCs w:val="52"/>
        </w:rPr>
      </w:pPr>
    </w:p>
    <w:p w14:paraId="29CC82D9">
      <w:pPr>
        <w:ind w:firstLine="1040"/>
        <w:rPr>
          <w:rFonts w:eastAsia="仿宋"/>
          <w:sz w:val="44"/>
          <w:szCs w:val="44"/>
        </w:rPr>
      </w:pPr>
    </w:p>
    <w:p w14:paraId="4A0F8E43">
      <w:pPr>
        <w:ind w:firstLine="1040"/>
        <w:rPr>
          <w:rFonts w:eastAsia="仿宋"/>
          <w:sz w:val="44"/>
          <w:szCs w:val="44"/>
        </w:rPr>
      </w:pPr>
    </w:p>
    <w:p w14:paraId="5BDB5D0B">
      <w:pPr>
        <w:ind w:firstLine="1040"/>
        <w:rPr>
          <w:rFonts w:eastAsia="仿宋"/>
          <w:sz w:val="44"/>
          <w:szCs w:val="44"/>
        </w:rPr>
      </w:pPr>
    </w:p>
    <w:p w14:paraId="62C350D0">
      <w:pPr>
        <w:ind w:firstLine="1040"/>
        <w:rPr>
          <w:rFonts w:eastAsia="仿宋"/>
          <w:sz w:val="44"/>
          <w:szCs w:val="44"/>
        </w:rPr>
      </w:pPr>
    </w:p>
    <w:p w14:paraId="288AA084">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项目名称：</w:t>
      </w:r>
      <w:r>
        <w:rPr>
          <w:rFonts w:hint="eastAsia" w:ascii="仿宋_GB2312" w:hAnsi="Times New Roman" w:eastAsia="仿宋_GB2312" w:cs="Times New Roman"/>
          <w:sz w:val="36"/>
          <w:szCs w:val="36"/>
          <w:u w:val="single"/>
        </w:rPr>
        <w:t xml:space="preserve">   年产</w:t>
      </w:r>
      <w:r>
        <w:rPr>
          <w:rFonts w:hint="eastAsia" w:ascii="仿宋_GB2312" w:hAnsi="Times New Roman" w:eastAsia="仿宋_GB2312" w:cs="Times New Roman"/>
          <w:sz w:val="36"/>
          <w:szCs w:val="36"/>
          <w:u w:val="single"/>
          <w:lang w:val="en-US" w:eastAsia="zh-CN"/>
        </w:rPr>
        <w:t>5000</w:t>
      </w:r>
      <w:r>
        <w:rPr>
          <w:rFonts w:hint="eastAsia" w:ascii="仿宋_GB2312" w:hAnsi="Times New Roman" w:eastAsia="仿宋_GB2312" w:cs="Times New Roman"/>
          <w:sz w:val="36"/>
          <w:szCs w:val="36"/>
          <w:u w:val="single"/>
        </w:rPr>
        <w:t xml:space="preserve">吨可膨胀石墨项目            </w:t>
      </w:r>
      <w:r>
        <w:rPr>
          <w:rFonts w:hint="eastAsia" w:ascii="仿宋_GB2312" w:eastAsia="仿宋_GB2312"/>
          <w:sz w:val="36"/>
          <w:szCs w:val="36"/>
          <w:u w:val="single"/>
        </w:rPr>
        <w:t xml:space="preserve">            </w:t>
      </w:r>
    </w:p>
    <w:p w14:paraId="1C1AB566">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 xml:space="preserve">  </w:t>
      </w:r>
      <w:r>
        <w:rPr>
          <w:rFonts w:hint="eastAsia" w:ascii="仿宋_GB2312" w:hAnsi="Times New Roman" w:eastAsia="仿宋_GB2312" w:cs="Times New Roman"/>
          <w:sz w:val="36"/>
          <w:szCs w:val="36"/>
          <w:u w:val="single"/>
        </w:rPr>
        <w:t xml:space="preserve">四平墨麟新材料有限公司 </w:t>
      </w:r>
      <w:r>
        <w:rPr>
          <w:rFonts w:hint="eastAsia" w:ascii="仿宋_GB2312" w:eastAsia="仿宋_GB2312"/>
          <w:sz w:val="36"/>
          <w:szCs w:val="36"/>
          <w:u w:val="single"/>
        </w:rPr>
        <w:t xml:space="preserve">               </w:t>
      </w:r>
    </w:p>
    <w:p w14:paraId="0FF49B21">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2026年1月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14:paraId="3891CE4C">
      <w:pPr>
        <w:adjustRightInd w:val="0"/>
        <w:snapToGrid w:val="0"/>
        <w:spacing w:line="288" w:lineRule="auto"/>
        <w:ind w:firstLine="1040"/>
        <w:rPr>
          <w:rFonts w:ascii="仿宋_GB2312" w:eastAsia="仿宋_GB2312"/>
          <w:sz w:val="36"/>
          <w:szCs w:val="36"/>
          <w:u w:val="single"/>
        </w:rPr>
      </w:pPr>
      <w:bookmarkStart w:id="0" w:name="_Hlk57884087"/>
    </w:p>
    <w:p w14:paraId="634799D2">
      <w:pPr>
        <w:adjustRightInd w:val="0"/>
        <w:snapToGrid w:val="0"/>
        <w:spacing w:line="288" w:lineRule="auto"/>
        <w:ind w:firstLine="1040"/>
        <w:rPr>
          <w:rFonts w:ascii="仿宋_GB2312" w:eastAsia="仿宋_GB2312"/>
          <w:sz w:val="36"/>
          <w:szCs w:val="36"/>
        </w:rPr>
      </w:pPr>
    </w:p>
    <w:p w14:paraId="11E410CD">
      <w:pPr>
        <w:adjustRightInd w:val="0"/>
        <w:snapToGrid w:val="0"/>
        <w:spacing w:line="288" w:lineRule="auto"/>
        <w:ind w:firstLine="1040"/>
        <w:rPr>
          <w:rFonts w:ascii="仿宋_GB2312" w:eastAsia="仿宋_GB2312"/>
          <w:sz w:val="36"/>
          <w:szCs w:val="36"/>
        </w:rPr>
      </w:pPr>
    </w:p>
    <w:p w14:paraId="53765F64">
      <w:pPr>
        <w:adjustRightInd w:val="0"/>
        <w:snapToGrid w:val="0"/>
        <w:spacing w:line="288" w:lineRule="auto"/>
        <w:ind w:firstLine="1040"/>
        <w:rPr>
          <w:rFonts w:hint="eastAsia" w:ascii="仿宋_GB2312" w:eastAsia="仿宋_GB2312"/>
          <w:sz w:val="36"/>
          <w:szCs w:val="36"/>
        </w:rPr>
      </w:pPr>
    </w:p>
    <w:p w14:paraId="7BEC45E8">
      <w:pPr>
        <w:adjustRightInd w:val="0"/>
        <w:snapToGrid w:val="0"/>
        <w:spacing w:line="288" w:lineRule="auto"/>
        <w:ind w:firstLine="1040"/>
        <w:rPr>
          <w:rFonts w:hint="eastAsia" w:ascii="仿宋_GB2312" w:eastAsia="仿宋_GB2312"/>
          <w:sz w:val="36"/>
          <w:szCs w:val="36"/>
        </w:rPr>
      </w:pPr>
    </w:p>
    <w:bookmarkEnd w:id="0"/>
    <w:p w14:paraId="0D788D11">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14:paraId="34460CE4">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76DB2AD6">
      <w:pPr>
        <w:pStyle w:val="18"/>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56"/>
        <w:gridCol w:w="1260"/>
        <w:gridCol w:w="2104"/>
        <w:gridCol w:w="1840"/>
        <w:gridCol w:w="3110"/>
      </w:tblGrid>
      <w:tr w14:paraId="07365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16" w:type="dxa"/>
            <w:gridSpan w:val="2"/>
            <w:noWrap w:val="0"/>
            <w:tcMar>
              <w:top w:w="16" w:type="dxa"/>
              <w:left w:w="16" w:type="dxa"/>
              <w:right w:w="16" w:type="dxa"/>
            </w:tcMar>
            <w:vAlign w:val="center"/>
          </w:tcPr>
          <w:p w14:paraId="3253EDFA">
            <w:pPr>
              <w:adjustRightInd w:val="0"/>
              <w:snapToGrid w:val="0"/>
              <w:jc w:val="center"/>
              <w:rPr>
                <w:rFonts w:ascii="宋体" w:hAnsi="宋体" w:cs="宋体"/>
                <w:sz w:val="24"/>
                <w:szCs w:val="24"/>
              </w:rPr>
            </w:pPr>
            <w:r>
              <w:rPr>
                <w:rFonts w:hint="eastAsia" w:ascii="宋体" w:hAnsi="宋体" w:cs="宋体"/>
                <w:sz w:val="24"/>
                <w:szCs w:val="24"/>
              </w:rPr>
              <w:t>建设项目名称</w:t>
            </w:r>
          </w:p>
        </w:tc>
        <w:tc>
          <w:tcPr>
            <w:tcW w:w="7054" w:type="dxa"/>
            <w:gridSpan w:val="3"/>
            <w:noWrap w:val="0"/>
            <w:vAlign w:val="center"/>
          </w:tcPr>
          <w:p w14:paraId="01E4D9A5">
            <w:pPr>
              <w:adjustRightInd w:val="0"/>
              <w:snapToGrid w:val="0"/>
              <w:jc w:val="center"/>
              <w:rPr>
                <w:rFonts w:ascii="宋体" w:hAnsi="宋体" w:cs="宋体"/>
                <w:sz w:val="24"/>
                <w:szCs w:val="24"/>
              </w:rPr>
            </w:pPr>
            <w:r>
              <w:rPr>
                <w:rFonts w:hint="eastAsia" w:ascii="宋体" w:hAnsi="宋体" w:eastAsia="宋体" w:cs="宋体"/>
                <w:sz w:val="24"/>
                <w:szCs w:val="24"/>
              </w:rPr>
              <w:t>年产膨胀石墨</w:t>
            </w:r>
            <w:r>
              <w:rPr>
                <w:rFonts w:hint="eastAsia" w:ascii="宋体" w:hAnsi="宋体" w:cs="宋体"/>
                <w:sz w:val="24"/>
                <w:szCs w:val="24"/>
                <w:lang w:val="en-US" w:eastAsia="zh-CN"/>
              </w:rPr>
              <w:t>5000</w:t>
            </w:r>
            <w:r>
              <w:rPr>
                <w:rFonts w:hint="eastAsia" w:ascii="宋体" w:hAnsi="宋体" w:eastAsia="宋体" w:cs="宋体"/>
                <w:sz w:val="24"/>
                <w:szCs w:val="24"/>
              </w:rPr>
              <w:t>吨项目</w:t>
            </w:r>
          </w:p>
        </w:tc>
      </w:tr>
      <w:tr w14:paraId="03DE7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16" w:type="dxa"/>
            <w:gridSpan w:val="2"/>
            <w:noWrap w:val="0"/>
            <w:tcMar>
              <w:top w:w="16" w:type="dxa"/>
              <w:left w:w="16" w:type="dxa"/>
              <w:right w:w="16" w:type="dxa"/>
            </w:tcMar>
            <w:vAlign w:val="center"/>
          </w:tcPr>
          <w:p w14:paraId="76A15EA1">
            <w:pPr>
              <w:adjustRightInd w:val="0"/>
              <w:snapToGrid w:val="0"/>
              <w:jc w:val="center"/>
              <w:rPr>
                <w:rFonts w:ascii="宋体" w:hAnsi="宋体" w:cs="宋体"/>
                <w:sz w:val="24"/>
                <w:szCs w:val="24"/>
              </w:rPr>
            </w:pPr>
            <w:r>
              <w:rPr>
                <w:rFonts w:hint="eastAsia" w:ascii="宋体" w:hAnsi="宋体" w:cs="宋体"/>
                <w:sz w:val="24"/>
                <w:szCs w:val="24"/>
              </w:rPr>
              <w:t>项目代码</w:t>
            </w:r>
          </w:p>
        </w:tc>
        <w:tc>
          <w:tcPr>
            <w:tcW w:w="7054" w:type="dxa"/>
            <w:gridSpan w:val="3"/>
            <w:noWrap w:val="0"/>
            <w:vAlign w:val="center"/>
          </w:tcPr>
          <w:p w14:paraId="712E30FF">
            <w:pPr>
              <w:adjustRightInd w:val="0"/>
              <w:snapToGrid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w:t>
            </w:r>
          </w:p>
        </w:tc>
      </w:tr>
      <w:tr w14:paraId="425AF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16" w:type="dxa"/>
            <w:gridSpan w:val="2"/>
            <w:noWrap w:val="0"/>
            <w:tcMar>
              <w:top w:w="16" w:type="dxa"/>
              <w:left w:w="16" w:type="dxa"/>
              <w:right w:w="16" w:type="dxa"/>
            </w:tcMar>
            <w:vAlign w:val="center"/>
          </w:tcPr>
          <w:p w14:paraId="49415616">
            <w:pPr>
              <w:adjustRightInd w:val="0"/>
              <w:snapToGrid w:val="0"/>
              <w:jc w:val="center"/>
              <w:rPr>
                <w:rFonts w:hint="eastAsia" w:ascii="宋体" w:hAnsi="宋体" w:cs="宋体"/>
                <w:sz w:val="24"/>
                <w:szCs w:val="24"/>
              </w:rPr>
            </w:pPr>
            <w:r>
              <w:rPr>
                <w:rFonts w:hint="eastAsia" w:ascii="宋体" w:hAnsi="宋体" w:cs="宋体"/>
                <w:sz w:val="24"/>
                <w:szCs w:val="24"/>
              </w:rPr>
              <w:t>建设单位联系人</w:t>
            </w:r>
          </w:p>
        </w:tc>
        <w:tc>
          <w:tcPr>
            <w:tcW w:w="2104" w:type="dxa"/>
            <w:noWrap w:val="0"/>
            <w:vAlign w:val="center"/>
          </w:tcPr>
          <w:p w14:paraId="1E8AC45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杨成</w:t>
            </w:r>
          </w:p>
        </w:tc>
        <w:tc>
          <w:tcPr>
            <w:tcW w:w="1840" w:type="dxa"/>
            <w:noWrap w:val="0"/>
            <w:vAlign w:val="center"/>
          </w:tcPr>
          <w:p w14:paraId="0E785D5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3110" w:type="dxa"/>
            <w:noWrap w:val="0"/>
            <w:vAlign w:val="center"/>
          </w:tcPr>
          <w:p w14:paraId="45BB91E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18043632862</w:t>
            </w:r>
          </w:p>
        </w:tc>
      </w:tr>
      <w:tr w14:paraId="0D9BA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16" w:type="dxa"/>
            <w:gridSpan w:val="2"/>
            <w:noWrap w:val="0"/>
            <w:tcMar>
              <w:top w:w="16" w:type="dxa"/>
              <w:left w:w="16" w:type="dxa"/>
              <w:right w:w="16" w:type="dxa"/>
            </w:tcMar>
            <w:vAlign w:val="center"/>
          </w:tcPr>
          <w:p w14:paraId="17A7005B">
            <w:pPr>
              <w:adjustRightInd w:val="0"/>
              <w:snapToGrid w:val="0"/>
              <w:jc w:val="center"/>
              <w:rPr>
                <w:rFonts w:ascii="宋体" w:hAnsi="宋体" w:cs="宋体"/>
                <w:sz w:val="24"/>
                <w:szCs w:val="24"/>
              </w:rPr>
            </w:pPr>
            <w:r>
              <w:rPr>
                <w:rFonts w:hint="eastAsia" w:ascii="宋体" w:hAnsi="宋体" w:cs="宋体"/>
                <w:sz w:val="24"/>
                <w:szCs w:val="24"/>
              </w:rPr>
              <w:t>建设地点</w:t>
            </w:r>
          </w:p>
        </w:tc>
        <w:tc>
          <w:tcPr>
            <w:tcW w:w="7054" w:type="dxa"/>
            <w:gridSpan w:val="3"/>
            <w:noWrap w:val="0"/>
            <w:vAlign w:val="center"/>
          </w:tcPr>
          <w:p w14:paraId="0A8AAE62">
            <w:pPr>
              <w:adjustRightInd w:val="0"/>
              <w:snapToGrid w:val="0"/>
              <w:jc w:val="center"/>
              <w:rPr>
                <w:rFonts w:ascii="宋体" w:hAnsi="宋体" w:cs="宋体"/>
                <w:sz w:val="24"/>
                <w:szCs w:val="24"/>
              </w:rPr>
            </w:pPr>
            <w:r>
              <w:rPr>
                <w:rFonts w:hint="eastAsia" w:ascii="宋体" w:hAnsi="宋体" w:cs="宋体"/>
                <w:sz w:val="24"/>
                <w:szCs w:val="24"/>
                <w:lang w:val="en-US" w:eastAsia="zh-CN"/>
              </w:rPr>
              <w:t>吉林</w:t>
            </w:r>
            <w:r>
              <w:rPr>
                <w:rFonts w:hint="eastAsia" w:ascii="宋体" w:hAnsi="宋体" w:cs="宋体"/>
                <w:sz w:val="24"/>
                <w:szCs w:val="24"/>
              </w:rPr>
              <w:t>省</w:t>
            </w:r>
            <w:r>
              <w:rPr>
                <w:rFonts w:hint="eastAsia" w:ascii="宋体" w:hAnsi="宋体" w:cs="宋体"/>
                <w:sz w:val="24"/>
                <w:szCs w:val="24"/>
                <w:lang w:val="en-US" w:eastAsia="zh-CN"/>
              </w:rPr>
              <w:t>四</w:t>
            </w:r>
            <w:r>
              <w:rPr>
                <w:rFonts w:hint="eastAsia" w:ascii="宋体" w:hAnsi="宋体" w:eastAsia="宋体" w:cs="宋体"/>
                <w:sz w:val="24"/>
                <w:szCs w:val="24"/>
                <w:lang w:val="en-US" w:eastAsia="zh-CN"/>
              </w:rPr>
              <w:t>平市铁东区经济开发区南宁路7977号</w:t>
            </w:r>
          </w:p>
        </w:tc>
      </w:tr>
      <w:tr w14:paraId="48D49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16" w:type="dxa"/>
            <w:gridSpan w:val="2"/>
            <w:noWrap w:val="0"/>
            <w:tcMar>
              <w:top w:w="16" w:type="dxa"/>
              <w:left w:w="16" w:type="dxa"/>
              <w:right w:w="16" w:type="dxa"/>
            </w:tcMar>
            <w:vAlign w:val="center"/>
          </w:tcPr>
          <w:p w14:paraId="4342BC0F">
            <w:pPr>
              <w:adjustRightInd w:val="0"/>
              <w:snapToGrid w:val="0"/>
              <w:jc w:val="center"/>
              <w:rPr>
                <w:rFonts w:ascii="宋体" w:hAnsi="宋体" w:cs="宋体"/>
                <w:sz w:val="24"/>
                <w:szCs w:val="24"/>
              </w:rPr>
            </w:pPr>
            <w:r>
              <w:rPr>
                <w:rFonts w:hint="eastAsia" w:ascii="宋体" w:hAnsi="宋体" w:cs="宋体"/>
                <w:sz w:val="24"/>
                <w:szCs w:val="24"/>
              </w:rPr>
              <w:t>地理坐标</w:t>
            </w:r>
          </w:p>
        </w:tc>
        <w:tc>
          <w:tcPr>
            <w:tcW w:w="7054" w:type="dxa"/>
            <w:gridSpan w:val="3"/>
            <w:noWrap w:val="0"/>
            <w:vAlign w:val="center"/>
          </w:tcPr>
          <w:p w14:paraId="3A669B1D">
            <w:pPr>
              <w:jc w:val="center"/>
              <w:rPr>
                <w:rFonts w:hint="eastAsia" w:ascii="宋体" w:hAnsi="宋体" w:cs="宋体"/>
                <w:sz w:val="24"/>
                <w:szCs w:val="24"/>
              </w:rPr>
            </w:pPr>
            <w:r>
              <w:rPr>
                <w:rFonts w:hint="eastAsia" w:ascii="宋体" w:hAnsi="宋体" w:cs="宋体"/>
                <w:sz w:val="24"/>
                <w:szCs w:val="24"/>
                <w:u w:val="none"/>
                <w:lang w:val="en-US" w:eastAsia="zh-CN"/>
              </w:rPr>
              <w:t>东经124</w:t>
            </w:r>
            <w:r>
              <w:rPr>
                <w:rFonts w:hint="eastAsia" w:ascii="宋体" w:hAnsi="宋体" w:cs="宋体"/>
                <w:sz w:val="24"/>
                <w:szCs w:val="24"/>
                <w:u w:val="none"/>
              </w:rPr>
              <w:t>度</w:t>
            </w:r>
            <w:r>
              <w:rPr>
                <w:rFonts w:ascii="宋体" w:hAnsi="宋体" w:cs="宋体"/>
                <w:sz w:val="24"/>
                <w:szCs w:val="24"/>
                <w:u w:val="none"/>
              </w:rPr>
              <w:t xml:space="preserve"> </w:t>
            </w:r>
            <w:r>
              <w:rPr>
                <w:rFonts w:hint="eastAsia" w:ascii="宋体" w:hAnsi="宋体" w:cs="宋体"/>
                <w:sz w:val="24"/>
                <w:szCs w:val="24"/>
                <w:u w:val="none"/>
                <w:lang w:val="en-US" w:eastAsia="zh-CN"/>
              </w:rPr>
              <w:t>26</w:t>
            </w:r>
            <w:r>
              <w:rPr>
                <w:rFonts w:hint="eastAsia" w:ascii="宋体" w:hAnsi="宋体" w:cs="宋体"/>
                <w:sz w:val="24"/>
                <w:szCs w:val="24"/>
                <w:u w:val="none"/>
              </w:rPr>
              <w:t>分</w:t>
            </w:r>
            <w:r>
              <w:rPr>
                <w:rFonts w:hint="eastAsia" w:ascii="宋体" w:hAnsi="宋体" w:cs="宋体"/>
                <w:sz w:val="24"/>
                <w:szCs w:val="24"/>
                <w:u w:val="none"/>
                <w:lang w:val="en-US" w:eastAsia="zh-CN"/>
              </w:rPr>
              <w:t>12.250</w:t>
            </w:r>
            <w:r>
              <w:rPr>
                <w:rFonts w:hint="eastAsia" w:ascii="宋体" w:hAnsi="宋体" w:cs="宋体"/>
                <w:sz w:val="24"/>
                <w:szCs w:val="24"/>
                <w:u w:val="none"/>
              </w:rPr>
              <w:t>秒，</w:t>
            </w:r>
            <w:r>
              <w:rPr>
                <w:rFonts w:hint="eastAsia" w:ascii="宋体" w:hAnsi="宋体" w:cs="宋体"/>
                <w:sz w:val="24"/>
                <w:szCs w:val="24"/>
                <w:u w:val="none"/>
                <w:lang w:val="en-US" w:eastAsia="zh-CN"/>
              </w:rPr>
              <w:t>北纬43</w:t>
            </w:r>
            <w:r>
              <w:rPr>
                <w:rFonts w:hint="eastAsia" w:ascii="宋体" w:hAnsi="宋体" w:cs="宋体"/>
                <w:sz w:val="24"/>
                <w:szCs w:val="24"/>
                <w:u w:val="none"/>
              </w:rPr>
              <w:t>度</w:t>
            </w:r>
            <w:r>
              <w:rPr>
                <w:rFonts w:hint="eastAsia" w:ascii="宋体" w:hAnsi="宋体" w:cs="宋体"/>
                <w:sz w:val="24"/>
                <w:szCs w:val="24"/>
                <w:u w:val="none"/>
                <w:lang w:val="en-US" w:eastAsia="zh-CN"/>
              </w:rPr>
              <w:t>7</w:t>
            </w:r>
            <w:r>
              <w:rPr>
                <w:rFonts w:hint="eastAsia" w:ascii="宋体" w:hAnsi="宋体" w:cs="宋体"/>
                <w:sz w:val="24"/>
                <w:szCs w:val="24"/>
                <w:u w:val="none"/>
              </w:rPr>
              <w:t>分</w:t>
            </w:r>
            <w:r>
              <w:rPr>
                <w:rFonts w:ascii="宋体" w:hAnsi="宋体" w:cs="宋体"/>
                <w:sz w:val="24"/>
                <w:szCs w:val="24"/>
                <w:u w:val="none"/>
              </w:rPr>
              <w:t xml:space="preserve"> </w:t>
            </w:r>
            <w:r>
              <w:rPr>
                <w:rFonts w:hint="eastAsia" w:ascii="宋体" w:hAnsi="宋体" w:cs="宋体"/>
                <w:sz w:val="24"/>
                <w:szCs w:val="24"/>
                <w:u w:val="none"/>
                <w:lang w:val="en-US" w:eastAsia="zh-CN"/>
              </w:rPr>
              <w:t>16.523</w:t>
            </w:r>
            <w:r>
              <w:rPr>
                <w:rFonts w:hint="eastAsia" w:ascii="宋体" w:hAnsi="宋体" w:cs="宋体"/>
                <w:sz w:val="24"/>
                <w:szCs w:val="24"/>
                <w:u w:val="none"/>
              </w:rPr>
              <w:t>秒</w:t>
            </w:r>
          </w:p>
        </w:tc>
      </w:tr>
      <w:tr w14:paraId="69771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16" w:type="dxa"/>
            <w:gridSpan w:val="2"/>
            <w:noWrap w:val="0"/>
            <w:tcMar>
              <w:top w:w="16" w:type="dxa"/>
              <w:left w:w="16" w:type="dxa"/>
              <w:right w:w="16" w:type="dxa"/>
            </w:tcMar>
            <w:vAlign w:val="center"/>
          </w:tcPr>
          <w:p w14:paraId="50D16BF1">
            <w:pPr>
              <w:adjustRightInd w:val="0"/>
              <w:snapToGrid w:val="0"/>
              <w:jc w:val="center"/>
              <w:rPr>
                <w:rFonts w:hint="eastAsia" w:ascii="宋体" w:hAnsi="宋体" w:cs="宋体"/>
                <w:sz w:val="24"/>
                <w:szCs w:val="24"/>
              </w:rPr>
            </w:pPr>
            <w:r>
              <w:rPr>
                <w:rFonts w:hint="eastAsia" w:ascii="宋体" w:hAnsi="宋体" w:cs="宋体"/>
                <w:sz w:val="24"/>
                <w:szCs w:val="24"/>
              </w:rPr>
              <w:t>国民经济</w:t>
            </w:r>
          </w:p>
          <w:p w14:paraId="1F948AFB">
            <w:pPr>
              <w:adjustRightInd w:val="0"/>
              <w:snapToGrid w:val="0"/>
              <w:jc w:val="center"/>
              <w:rPr>
                <w:rFonts w:ascii="宋体" w:hAnsi="宋体" w:cs="宋体"/>
                <w:sz w:val="24"/>
                <w:szCs w:val="24"/>
              </w:rPr>
            </w:pPr>
            <w:r>
              <w:rPr>
                <w:rFonts w:hint="eastAsia" w:ascii="宋体" w:hAnsi="宋体" w:cs="宋体"/>
                <w:sz w:val="24"/>
                <w:szCs w:val="24"/>
              </w:rPr>
              <w:t>行业类别</w:t>
            </w:r>
          </w:p>
        </w:tc>
        <w:tc>
          <w:tcPr>
            <w:tcW w:w="2104" w:type="dxa"/>
            <w:noWrap w:val="0"/>
            <w:vAlign w:val="center"/>
          </w:tcPr>
          <w:p w14:paraId="7FABAF8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C3091 石墨及碳素制品 制造</w:t>
            </w:r>
          </w:p>
        </w:tc>
        <w:tc>
          <w:tcPr>
            <w:tcW w:w="1840" w:type="dxa"/>
            <w:noWrap w:val="0"/>
            <w:vAlign w:val="center"/>
          </w:tcPr>
          <w:p w14:paraId="73D72E42">
            <w:pPr>
              <w:adjustRightInd w:val="0"/>
              <w:snapToGrid w:val="0"/>
              <w:jc w:val="center"/>
              <w:rPr>
                <w:rFonts w:hint="eastAsia" w:ascii="宋体" w:hAnsi="宋体" w:eastAsia="宋体" w:cs="宋体"/>
                <w:sz w:val="24"/>
                <w:szCs w:val="24"/>
              </w:rPr>
            </w:pPr>
            <w:bookmarkStart w:id="1" w:name="_Hlk49843745"/>
            <w:r>
              <w:rPr>
                <w:rFonts w:hint="eastAsia" w:ascii="宋体" w:hAnsi="宋体" w:eastAsia="宋体" w:cs="宋体"/>
                <w:sz w:val="24"/>
                <w:szCs w:val="24"/>
              </w:rPr>
              <w:t>建设项目</w:t>
            </w:r>
          </w:p>
          <w:p w14:paraId="55E08DD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行业类别</w:t>
            </w:r>
            <w:bookmarkEnd w:id="1"/>
          </w:p>
        </w:tc>
        <w:tc>
          <w:tcPr>
            <w:tcW w:w="3110" w:type="dxa"/>
            <w:noWrap w:val="0"/>
            <w:vAlign w:val="center"/>
          </w:tcPr>
          <w:p w14:paraId="5D737CD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二十七、非金属矿物制品业</w:t>
            </w:r>
          </w:p>
          <w:p w14:paraId="6DB22BD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30 ，60 石墨及其他非金属矿 物制品制造 309</w:t>
            </w:r>
          </w:p>
        </w:tc>
      </w:tr>
      <w:tr w14:paraId="3E962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16" w:type="dxa"/>
            <w:gridSpan w:val="2"/>
            <w:noWrap w:val="0"/>
            <w:tcMar>
              <w:top w:w="16" w:type="dxa"/>
              <w:left w:w="16" w:type="dxa"/>
              <w:right w:w="16" w:type="dxa"/>
            </w:tcMar>
            <w:vAlign w:val="center"/>
          </w:tcPr>
          <w:p w14:paraId="50CFABAC">
            <w:pPr>
              <w:adjustRightInd w:val="0"/>
              <w:snapToGrid w:val="0"/>
              <w:jc w:val="center"/>
              <w:rPr>
                <w:rFonts w:ascii="宋体" w:hAnsi="宋体" w:cs="宋体"/>
                <w:sz w:val="24"/>
                <w:szCs w:val="24"/>
              </w:rPr>
            </w:pPr>
            <w:r>
              <w:rPr>
                <w:rFonts w:hint="eastAsia" w:ascii="宋体" w:hAnsi="宋体" w:cs="宋体"/>
                <w:sz w:val="24"/>
                <w:szCs w:val="24"/>
              </w:rPr>
              <w:t>建设性质</w:t>
            </w:r>
          </w:p>
        </w:tc>
        <w:tc>
          <w:tcPr>
            <w:tcW w:w="2104" w:type="dxa"/>
            <w:noWrap w:val="0"/>
            <w:vAlign w:val="center"/>
          </w:tcPr>
          <w:p w14:paraId="446DC020">
            <w:pPr>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新建（迁建）</w:t>
            </w:r>
          </w:p>
          <w:p w14:paraId="7E5A49B5">
            <w:pPr>
              <w:jc w:val="left"/>
              <w:rPr>
                <w:rFonts w:hint="eastAsia" w:ascii="宋体" w:hAnsi="宋体" w:cs="宋体"/>
                <w:sz w:val="24"/>
                <w:szCs w:val="24"/>
              </w:rPr>
            </w:pPr>
            <w:r>
              <w:rPr>
                <w:rFonts w:hint="eastAsia" w:ascii="宋体" w:hAnsi="宋体" w:cs="宋体"/>
                <w:sz w:val="24"/>
                <w:szCs w:val="24"/>
              </w:rPr>
              <w:t>□改建</w:t>
            </w:r>
          </w:p>
          <w:p w14:paraId="0CF06ABC">
            <w:pPr>
              <w:jc w:val="left"/>
              <w:rPr>
                <w:rFonts w:hint="eastAsia" w:ascii="宋体" w:hAnsi="宋体" w:cs="宋体"/>
                <w:sz w:val="24"/>
                <w:szCs w:val="24"/>
              </w:rPr>
            </w:pPr>
            <w:r>
              <w:rPr>
                <w:rFonts w:hint="eastAsia" w:ascii="宋体" w:hAnsi="宋体" w:cs="宋体"/>
                <w:sz w:val="24"/>
                <w:szCs w:val="24"/>
              </w:rPr>
              <w:t>□扩建</w:t>
            </w:r>
          </w:p>
          <w:p w14:paraId="29A6E775">
            <w:pPr>
              <w:jc w:val="left"/>
              <w:rPr>
                <w:rFonts w:ascii="宋体" w:hAnsi="宋体" w:cs="宋体"/>
                <w:sz w:val="24"/>
                <w:szCs w:val="24"/>
              </w:rPr>
            </w:pPr>
            <w:r>
              <w:rPr>
                <w:rFonts w:hint="eastAsia" w:ascii="宋体" w:hAnsi="宋体" w:cs="宋体"/>
                <w:sz w:val="24"/>
                <w:szCs w:val="24"/>
              </w:rPr>
              <w:t>□技术改造</w:t>
            </w:r>
          </w:p>
        </w:tc>
        <w:tc>
          <w:tcPr>
            <w:tcW w:w="1840" w:type="dxa"/>
            <w:noWrap w:val="0"/>
            <w:vAlign w:val="center"/>
          </w:tcPr>
          <w:p w14:paraId="3042458D">
            <w:pPr>
              <w:adjustRightInd w:val="0"/>
              <w:snapToGrid w:val="0"/>
              <w:jc w:val="center"/>
              <w:rPr>
                <w:rFonts w:hint="eastAsia" w:ascii="宋体" w:hAnsi="宋体" w:cs="宋体"/>
                <w:sz w:val="24"/>
                <w:szCs w:val="24"/>
              </w:rPr>
            </w:pPr>
            <w:r>
              <w:rPr>
                <w:rFonts w:hint="eastAsia" w:ascii="宋体" w:hAnsi="宋体" w:cs="宋体"/>
                <w:sz w:val="24"/>
                <w:szCs w:val="24"/>
              </w:rPr>
              <w:t>建设项目</w:t>
            </w:r>
          </w:p>
          <w:p w14:paraId="1AC149E5">
            <w:pPr>
              <w:adjustRightInd w:val="0"/>
              <w:snapToGrid w:val="0"/>
              <w:jc w:val="center"/>
              <w:rPr>
                <w:rFonts w:ascii="宋体" w:hAnsi="宋体" w:cs="宋体"/>
                <w:sz w:val="24"/>
                <w:szCs w:val="24"/>
              </w:rPr>
            </w:pPr>
            <w:r>
              <w:rPr>
                <w:rFonts w:hint="eastAsia" w:ascii="宋体" w:hAnsi="宋体" w:cs="宋体"/>
                <w:sz w:val="24"/>
                <w:szCs w:val="24"/>
              </w:rPr>
              <w:t>申报情形</w:t>
            </w:r>
          </w:p>
        </w:tc>
        <w:tc>
          <w:tcPr>
            <w:tcW w:w="3110" w:type="dxa"/>
            <w:noWrap w:val="0"/>
            <w:vAlign w:val="center"/>
          </w:tcPr>
          <w:p w14:paraId="64F1FB48">
            <w:pPr>
              <w:jc w:val="left"/>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首次申报项目</w:t>
            </w:r>
            <w:r>
              <w:rPr>
                <w:rFonts w:ascii="宋体" w:hAnsi="宋体" w:cs="宋体"/>
                <w:sz w:val="24"/>
                <w:szCs w:val="24"/>
              </w:rPr>
              <w:t xml:space="preserve">             </w:t>
            </w:r>
          </w:p>
          <w:p w14:paraId="0BF97389">
            <w:pPr>
              <w:jc w:val="left"/>
              <w:rPr>
                <w:rFonts w:ascii="宋体" w:hAnsi="宋体" w:cs="宋体"/>
                <w:sz w:val="24"/>
                <w:szCs w:val="24"/>
              </w:rPr>
            </w:pPr>
            <w:r>
              <w:rPr>
                <w:rFonts w:hint="eastAsia" w:ascii="宋体" w:hAnsi="宋体" w:cs="宋体"/>
                <w:sz w:val="24"/>
                <w:szCs w:val="24"/>
              </w:rPr>
              <w:t>□不予批准后再次申报项目</w:t>
            </w:r>
          </w:p>
          <w:p w14:paraId="187990D4">
            <w:pPr>
              <w:jc w:val="left"/>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超五年重新审核项目</w:t>
            </w:r>
            <w:r>
              <w:rPr>
                <w:rFonts w:ascii="宋体" w:hAnsi="宋体" w:cs="宋体"/>
                <w:sz w:val="24"/>
                <w:szCs w:val="24"/>
              </w:rPr>
              <w:t xml:space="preserve">     </w:t>
            </w:r>
          </w:p>
          <w:p w14:paraId="53C0B2FD">
            <w:pPr>
              <w:jc w:val="left"/>
              <w:rPr>
                <w:rFonts w:ascii="宋体" w:hAnsi="宋体" w:cs="宋体"/>
                <w:sz w:val="24"/>
                <w:szCs w:val="24"/>
              </w:rPr>
            </w:pPr>
            <w:r>
              <w:rPr>
                <w:rFonts w:hint="eastAsia" w:ascii="宋体" w:hAnsi="宋体" w:cs="宋体"/>
                <w:sz w:val="24"/>
                <w:szCs w:val="24"/>
              </w:rPr>
              <w:t>□重大变动重新报批项目</w:t>
            </w:r>
          </w:p>
        </w:tc>
      </w:tr>
      <w:tr w14:paraId="643DF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16" w:type="dxa"/>
            <w:gridSpan w:val="2"/>
            <w:noWrap w:val="0"/>
            <w:tcMar>
              <w:top w:w="16" w:type="dxa"/>
              <w:left w:w="16" w:type="dxa"/>
              <w:right w:w="16" w:type="dxa"/>
            </w:tcMar>
            <w:vAlign w:val="center"/>
          </w:tcPr>
          <w:p w14:paraId="3A15FBD7">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14:paraId="7EA915D6">
            <w:pPr>
              <w:adjustRightInd w:val="0"/>
              <w:snapToGrid w:val="0"/>
              <w:jc w:val="center"/>
              <w:rPr>
                <w:rFonts w:ascii="宋体" w:hAnsi="宋体" w:cs="宋体"/>
                <w:sz w:val="24"/>
                <w:szCs w:val="24"/>
              </w:rPr>
            </w:pPr>
            <w:r>
              <w:rPr>
                <w:rFonts w:hint="eastAsia" w:ascii="宋体" w:hAnsi="宋体" w:cs="宋体"/>
                <w:sz w:val="24"/>
                <w:szCs w:val="24"/>
              </w:rPr>
              <w:t>备案）部门（选填）</w:t>
            </w:r>
          </w:p>
        </w:tc>
        <w:tc>
          <w:tcPr>
            <w:tcW w:w="2104" w:type="dxa"/>
            <w:noWrap w:val="0"/>
            <w:vAlign w:val="center"/>
          </w:tcPr>
          <w:p w14:paraId="0DB5C398">
            <w:pPr>
              <w:adjustRightInd w:val="0"/>
              <w:snapToGrid w:val="0"/>
              <w:jc w:val="center"/>
              <w:rPr>
                <w:rFonts w:ascii="宋体" w:hAnsi="宋体" w:cs="宋体"/>
                <w:sz w:val="24"/>
                <w:szCs w:val="24"/>
              </w:rPr>
            </w:pPr>
            <w:r>
              <w:rPr>
                <w:rFonts w:hint="eastAsia" w:ascii="宋体" w:hAnsi="宋体" w:cs="宋体"/>
                <w:sz w:val="24"/>
                <w:szCs w:val="24"/>
                <w:lang w:val="en-US" w:eastAsia="zh-CN"/>
              </w:rPr>
              <w:t>/</w:t>
            </w:r>
          </w:p>
        </w:tc>
        <w:tc>
          <w:tcPr>
            <w:tcW w:w="1840" w:type="dxa"/>
            <w:noWrap w:val="0"/>
            <w:vAlign w:val="center"/>
          </w:tcPr>
          <w:p w14:paraId="431C6A38">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14:paraId="0F15D008">
            <w:pPr>
              <w:adjustRightInd w:val="0"/>
              <w:snapToGrid w:val="0"/>
              <w:jc w:val="center"/>
              <w:rPr>
                <w:rFonts w:hint="eastAsia" w:ascii="宋体" w:hAnsi="宋体" w:cs="宋体"/>
                <w:sz w:val="24"/>
                <w:szCs w:val="24"/>
              </w:rPr>
            </w:pPr>
            <w:r>
              <w:rPr>
                <w:rFonts w:hint="eastAsia" w:ascii="宋体" w:hAnsi="宋体" w:cs="宋体"/>
                <w:sz w:val="24"/>
                <w:szCs w:val="24"/>
              </w:rPr>
              <w:t>备案）文号（选填）</w:t>
            </w:r>
          </w:p>
        </w:tc>
        <w:tc>
          <w:tcPr>
            <w:tcW w:w="3110" w:type="dxa"/>
            <w:noWrap w:val="0"/>
            <w:vAlign w:val="center"/>
          </w:tcPr>
          <w:p w14:paraId="51A518B0">
            <w:pPr>
              <w:adjustRightInd w:val="0"/>
              <w:snapToGrid w:val="0"/>
              <w:jc w:val="center"/>
              <w:rPr>
                <w:rFonts w:ascii="宋体" w:hAnsi="宋体" w:cs="宋体"/>
                <w:sz w:val="24"/>
                <w:szCs w:val="24"/>
              </w:rPr>
            </w:pPr>
            <w:r>
              <w:rPr>
                <w:rFonts w:hint="eastAsia" w:ascii="宋体" w:hAnsi="宋体" w:cs="宋体"/>
                <w:sz w:val="24"/>
                <w:szCs w:val="24"/>
                <w:lang w:val="en-US" w:eastAsia="zh-CN"/>
              </w:rPr>
              <w:t>/</w:t>
            </w:r>
          </w:p>
        </w:tc>
      </w:tr>
      <w:tr w14:paraId="475D7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16" w:type="dxa"/>
            <w:gridSpan w:val="2"/>
            <w:noWrap w:val="0"/>
            <w:tcMar>
              <w:top w:w="16" w:type="dxa"/>
              <w:left w:w="16" w:type="dxa"/>
              <w:right w:w="16" w:type="dxa"/>
            </w:tcMar>
            <w:vAlign w:val="center"/>
          </w:tcPr>
          <w:p w14:paraId="44455713">
            <w:pPr>
              <w:adjustRightInd w:val="0"/>
              <w:snapToGrid w:val="0"/>
              <w:jc w:val="center"/>
              <w:rPr>
                <w:rFonts w:ascii="宋体" w:hAnsi="宋体" w:cs="宋体"/>
                <w:sz w:val="24"/>
                <w:szCs w:val="24"/>
              </w:rPr>
            </w:pPr>
            <w:r>
              <w:rPr>
                <w:rFonts w:hint="eastAsia" w:ascii="宋体" w:hAnsi="宋体" w:cs="宋体"/>
                <w:sz w:val="24"/>
                <w:szCs w:val="24"/>
              </w:rPr>
              <w:t>总投资（万元）</w:t>
            </w:r>
          </w:p>
        </w:tc>
        <w:tc>
          <w:tcPr>
            <w:tcW w:w="2104" w:type="dxa"/>
            <w:noWrap w:val="0"/>
            <w:vAlign w:val="center"/>
          </w:tcPr>
          <w:p w14:paraId="25A68F66">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3000</w:t>
            </w:r>
          </w:p>
        </w:tc>
        <w:tc>
          <w:tcPr>
            <w:tcW w:w="1840" w:type="dxa"/>
            <w:noWrap w:val="0"/>
            <w:tcMar>
              <w:top w:w="16" w:type="dxa"/>
              <w:left w:w="16" w:type="dxa"/>
              <w:right w:w="16" w:type="dxa"/>
            </w:tcMar>
            <w:vAlign w:val="center"/>
          </w:tcPr>
          <w:p w14:paraId="7759B4C7">
            <w:pPr>
              <w:adjustRightInd w:val="0"/>
              <w:snapToGrid w:val="0"/>
              <w:jc w:val="center"/>
              <w:rPr>
                <w:rFonts w:ascii="宋体" w:hAnsi="宋体" w:cs="宋体"/>
                <w:sz w:val="24"/>
                <w:szCs w:val="24"/>
              </w:rPr>
            </w:pPr>
            <w:r>
              <w:rPr>
                <w:rFonts w:hint="eastAsia" w:ascii="宋体" w:hAnsi="宋体" w:cs="宋体"/>
                <w:sz w:val="24"/>
                <w:szCs w:val="24"/>
              </w:rPr>
              <w:t>环保投资（万元）</w:t>
            </w:r>
          </w:p>
        </w:tc>
        <w:tc>
          <w:tcPr>
            <w:tcW w:w="3110" w:type="dxa"/>
            <w:noWrap w:val="0"/>
            <w:vAlign w:val="center"/>
          </w:tcPr>
          <w:p w14:paraId="5AC40496">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65</w:t>
            </w:r>
          </w:p>
        </w:tc>
      </w:tr>
      <w:tr w14:paraId="3051F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16" w:type="dxa"/>
            <w:gridSpan w:val="2"/>
            <w:noWrap w:val="0"/>
            <w:tcMar>
              <w:top w:w="16" w:type="dxa"/>
              <w:left w:w="16" w:type="dxa"/>
              <w:right w:w="16" w:type="dxa"/>
            </w:tcMar>
            <w:vAlign w:val="center"/>
          </w:tcPr>
          <w:p w14:paraId="012B40DF">
            <w:pPr>
              <w:adjustRightInd w:val="0"/>
              <w:snapToGrid w:val="0"/>
              <w:jc w:val="center"/>
              <w:rPr>
                <w:rFonts w:ascii="宋体" w:hAnsi="宋体" w:cs="宋体"/>
                <w:sz w:val="24"/>
                <w:szCs w:val="24"/>
              </w:rPr>
            </w:pPr>
            <w:r>
              <w:rPr>
                <w:rFonts w:hint="eastAsia" w:ascii="宋体" w:hAnsi="宋体" w:cs="宋体"/>
                <w:sz w:val="24"/>
                <w:szCs w:val="24"/>
              </w:rPr>
              <w:t>环保投资占比（</w:t>
            </w:r>
            <w:r>
              <w:rPr>
                <w:rFonts w:ascii="宋体" w:hAnsi="宋体" w:cs="宋体"/>
                <w:sz w:val="24"/>
                <w:szCs w:val="24"/>
              </w:rPr>
              <w:t>%</w:t>
            </w:r>
            <w:r>
              <w:rPr>
                <w:rFonts w:hint="eastAsia" w:ascii="宋体" w:hAnsi="宋体" w:cs="宋体"/>
                <w:sz w:val="24"/>
                <w:szCs w:val="24"/>
              </w:rPr>
              <w:t>）</w:t>
            </w:r>
          </w:p>
        </w:tc>
        <w:tc>
          <w:tcPr>
            <w:tcW w:w="2104" w:type="dxa"/>
            <w:noWrap w:val="0"/>
            <w:vAlign w:val="center"/>
          </w:tcPr>
          <w:p w14:paraId="2AE3C168">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2.17</w:t>
            </w:r>
          </w:p>
        </w:tc>
        <w:tc>
          <w:tcPr>
            <w:tcW w:w="1840" w:type="dxa"/>
            <w:noWrap w:val="0"/>
            <w:tcMar>
              <w:top w:w="16" w:type="dxa"/>
              <w:left w:w="16" w:type="dxa"/>
              <w:right w:w="16" w:type="dxa"/>
            </w:tcMar>
            <w:vAlign w:val="center"/>
          </w:tcPr>
          <w:p w14:paraId="2751BDA5">
            <w:pPr>
              <w:adjustRightInd w:val="0"/>
              <w:snapToGrid w:val="0"/>
              <w:jc w:val="center"/>
              <w:rPr>
                <w:rFonts w:ascii="宋体" w:hAnsi="宋体" w:cs="宋体"/>
                <w:sz w:val="24"/>
                <w:szCs w:val="24"/>
              </w:rPr>
            </w:pPr>
            <w:r>
              <w:rPr>
                <w:rFonts w:hint="eastAsia" w:ascii="宋体" w:hAnsi="宋体" w:cs="宋体"/>
                <w:sz w:val="24"/>
                <w:szCs w:val="24"/>
              </w:rPr>
              <w:t>施工工期</w:t>
            </w:r>
          </w:p>
        </w:tc>
        <w:tc>
          <w:tcPr>
            <w:tcW w:w="3110" w:type="dxa"/>
            <w:noWrap w:val="0"/>
            <w:vAlign w:val="center"/>
          </w:tcPr>
          <w:p w14:paraId="4FF411AE">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2个月</w:t>
            </w:r>
          </w:p>
        </w:tc>
      </w:tr>
      <w:tr w14:paraId="2B9D5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16" w:type="dxa"/>
            <w:gridSpan w:val="2"/>
            <w:noWrap w:val="0"/>
            <w:tcMar>
              <w:top w:w="16" w:type="dxa"/>
              <w:left w:w="16" w:type="dxa"/>
              <w:right w:w="16" w:type="dxa"/>
            </w:tcMar>
            <w:vAlign w:val="center"/>
          </w:tcPr>
          <w:p w14:paraId="53B72AFF">
            <w:pPr>
              <w:adjustRightInd w:val="0"/>
              <w:snapToGrid w:val="0"/>
              <w:jc w:val="center"/>
              <w:rPr>
                <w:rFonts w:hint="eastAsia" w:ascii="宋体" w:hAnsi="宋体" w:cs="宋体"/>
                <w:sz w:val="24"/>
                <w:szCs w:val="24"/>
              </w:rPr>
            </w:pPr>
            <w:r>
              <w:rPr>
                <w:rFonts w:hint="eastAsia" w:ascii="宋体" w:hAnsi="宋体" w:cs="宋体"/>
                <w:sz w:val="24"/>
                <w:szCs w:val="24"/>
              </w:rPr>
              <w:t>是否开工建设</w:t>
            </w:r>
          </w:p>
        </w:tc>
        <w:tc>
          <w:tcPr>
            <w:tcW w:w="2104" w:type="dxa"/>
            <w:noWrap w:val="0"/>
            <w:vAlign w:val="center"/>
          </w:tcPr>
          <w:p w14:paraId="5360F87A">
            <w:pPr>
              <w:adjustRightInd w:val="0"/>
              <w:snapToGrid w:val="0"/>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否</w:t>
            </w:r>
          </w:p>
          <w:p w14:paraId="275EDDF5">
            <w:pPr>
              <w:adjustRightInd w:val="0"/>
              <w:snapToGrid w:val="0"/>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是：</w:t>
            </w:r>
            <w:r>
              <w:rPr>
                <w:rFonts w:hint="eastAsia" w:ascii="宋体" w:hAnsi="宋体" w:cs="宋体"/>
                <w:sz w:val="24"/>
                <w:szCs w:val="24"/>
                <w:u w:val="single"/>
              </w:rPr>
              <w:t xml:space="preserve">             </w:t>
            </w:r>
          </w:p>
        </w:tc>
        <w:tc>
          <w:tcPr>
            <w:tcW w:w="1840" w:type="dxa"/>
            <w:noWrap w:val="0"/>
            <w:tcMar>
              <w:top w:w="16" w:type="dxa"/>
              <w:left w:w="16" w:type="dxa"/>
              <w:right w:w="16" w:type="dxa"/>
            </w:tcMar>
            <w:vAlign w:val="center"/>
          </w:tcPr>
          <w:p w14:paraId="0D809BF9">
            <w:pPr>
              <w:adjustRightInd w:val="0"/>
              <w:snapToGrid w:val="0"/>
              <w:jc w:val="center"/>
              <w:rPr>
                <w:rFonts w:ascii="宋体" w:hAnsi="宋体" w:cs="宋体"/>
                <w:spacing w:val="-6"/>
                <w:sz w:val="24"/>
                <w:szCs w:val="24"/>
              </w:rPr>
            </w:pPr>
            <w:r>
              <w:rPr>
                <w:rFonts w:hint="eastAsia" w:ascii="宋体" w:hAnsi="宋体" w:cs="宋体"/>
                <w:spacing w:val="-6"/>
                <w:sz w:val="24"/>
                <w:szCs w:val="24"/>
              </w:rPr>
              <w:t>用地（用海）</w:t>
            </w:r>
          </w:p>
          <w:p w14:paraId="4DC67BA5">
            <w:pPr>
              <w:adjustRightInd w:val="0"/>
              <w:snapToGrid w:val="0"/>
              <w:jc w:val="center"/>
              <w:rPr>
                <w:rFonts w:hint="eastAsia" w:ascii="宋体" w:hAnsi="宋体" w:cs="宋体"/>
                <w:sz w:val="24"/>
                <w:szCs w:val="24"/>
              </w:rPr>
            </w:pPr>
            <w:r>
              <w:rPr>
                <w:rFonts w:hint="eastAsia" w:ascii="宋体" w:hAnsi="宋体" w:cs="宋体"/>
                <w:spacing w:val="-6"/>
                <w:sz w:val="24"/>
                <w:szCs w:val="24"/>
              </w:rPr>
              <w:t>面积（</w:t>
            </w:r>
            <w:r>
              <w:rPr>
                <w:rFonts w:ascii="宋体" w:hAnsi="宋体" w:cs="宋体"/>
                <w:spacing w:val="-6"/>
                <w:sz w:val="24"/>
                <w:szCs w:val="24"/>
              </w:rPr>
              <w:t>m</w:t>
            </w:r>
            <w:r>
              <w:rPr>
                <w:rFonts w:ascii="宋体" w:hAnsi="宋体" w:cs="宋体"/>
                <w:spacing w:val="-6"/>
                <w:sz w:val="24"/>
                <w:szCs w:val="24"/>
                <w:vertAlign w:val="superscript"/>
              </w:rPr>
              <w:t>2</w:t>
            </w:r>
            <w:r>
              <w:rPr>
                <w:rFonts w:hint="eastAsia" w:ascii="宋体" w:hAnsi="宋体" w:cs="宋体"/>
                <w:spacing w:val="-6"/>
                <w:sz w:val="24"/>
                <w:szCs w:val="24"/>
              </w:rPr>
              <w:t>）</w:t>
            </w:r>
          </w:p>
        </w:tc>
        <w:tc>
          <w:tcPr>
            <w:tcW w:w="3110" w:type="dxa"/>
            <w:noWrap w:val="0"/>
            <w:vAlign w:val="center"/>
          </w:tcPr>
          <w:p w14:paraId="6E90B90A">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24985.89</w:t>
            </w:r>
          </w:p>
        </w:tc>
      </w:tr>
      <w:tr w14:paraId="2262B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56" w:type="dxa"/>
            <w:noWrap w:val="0"/>
            <w:vAlign w:val="center"/>
          </w:tcPr>
          <w:p w14:paraId="0702B24E">
            <w:pPr>
              <w:autoSpaceDE w:val="0"/>
              <w:autoSpaceDN w:val="0"/>
              <w:adjustRightInd w:val="0"/>
              <w:snapToGrid w:val="0"/>
              <w:jc w:val="center"/>
              <w:rPr>
                <w:rFonts w:ascii="宋体" w:hAnsi="宋体" w:cs="宋体"/>
                <w:kern w:val="0"/>
                <w:sz w:val="21"/>
                <w:szCs w:val="21"/>
              </w:rPr>
            </w:pPr>
            <w:r>
              <w:rPr>
                <w:rFonts w:hint="eastAsia" w:ascii="宋体" w:hAnsi="宋体" w:cs="宋体"/>
                <w:kern w:val="0"/>
                <w:sz w:val="21"/>
                <w:szCs w:val="21"/>
              </w:rPr>
              <w:t>专项评价设置情况</w:t>
            </w:r>
          </w:p>
        </w:tc>
        <w:tc>
          <w:tcPr>
            <w:tcW w:w="8314" w:type="dxa"/>
            <w:gridSpan w:val="4"/>
            <w:noWrap w:val="0"/>
            <w:vAlign w:val="center"/>
          </w:tcPr>
          <w:p w14:paraId="6A79DD09">
            <w:pPr>
              <w:spacing w:line="360" w:lineRule="auto"/>
              <w:ind w:firstLine="408" w:firstLineChars="200"/>
              <w:jc w:val="both"/>
              <w:rPr>
                <w:spacing w:val="1"/>
              </w:rPr>
            </w:pPr>
            <w:r>
              <w:rPr>
                <w:spacing w:val="-3"/>
              </w:rPr>
              <w:t>本项目与建设项目环境影响报告表编制技术指南（污染影响</w:t>
            </w:r>
            <w:r>
              <w:rPr>
                <w:spacing w:val="1"/>
              </w:rPr>
              <w:t>类</w:t>
            </w:r>
            <w:r>
              <w:rPr>
                <w:spacing w:val="-15"/>
              </w:rPr>
              <w:t>）（</w:t>
            </w:r>
            <w:r>
              <w:rPr>
                <w:spacing w:val="1"/>
              </w:rPr>
              <w:t>试行）专项评价设置情况对比见下表。</w:t>
            </w:r>
          </w:p>
          <w:p w14:paraId="79053B53">
            <w:pPr>
              <w:keepNext w:val="0"/>
              <w:keepLines w:val="0"/>
              <w:pageBreakBefore w:val="0"/>
              <w:widowControl w:val="0"/>
              <w:kinsoku/>
              <w:wordWrap/>
              <w:overflowPunct/>
              <w:topLinePunct w:val="0"/>
              <w:autoSpaceDE/>
              <w:autoSpaceDN/>
              <w:bidi w:val="0"/>
              <w:adjustRightInd/>
              <w:snapToGrid/>
              <w:spacing w:line="240" w:lineRule="atLeast"/>
              <w:ind w:firstLine="1490" w:firstLineChars="700"/>
              <w:jc w:val="both"/>
              <w:textAlignment w:val="auto"/>
              <w:rPr>
                <w:rFonts w:hint="eastAsia" w:ascii="宋体" w:hAnsi="宋体" w:eastAsia="宋体" w:cs="宋体"/>
                <w:b/>
                <w:bCs/>
                <w:spacing w:val="1"/>
                <w:lang w:val="en-US" w:eastAsia="zh-CN"/>
              </w:rPr>
            </w:pPr>
            <w:r>
              <w:rPr>
                <w:rFonts w:hint="eastAsia" w:ascii="宋体" w:hAnsi="宋体" w:eastAsia="宋体" w:cs="宋体"/>
                <w:b/>
                <w:bCs/>
                <w:spacing w:val="1"/>
                <w:lang w:val="en-US" w:eastAsia="zh-CN"/>
              </w:rPr>
              <w:t>表1-1    专项评价设置理由一览表</w:t>
            </w:r>
          </w:p>
          <w:tbl>
            <w:tblPr>
              <w:tblStyle w:val="23"/>
              <w:tblW w:w="4993"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50"/>
              <w:gridCol w:w="3916"/>
              <w:gridCol w:w="940"/>
              <w:gridCol w:w="2352"/>
            </w:tblGrid>
            <w:tr w14:paraId="0B8551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27" w:type="pct"/>
                  <w:tcBorders>
                    <w:tl2br w:val="nil"/>
                    <w:tr2bl w:val="nil"/>
                  </w:tcBorders>
                  <w:noWrap w:val="0"/>
                  <w:vAlign w:val="center"/>
                </w:tcPr>
                <w:p w14:paraId="128A48F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b/>
                      <w:bCs/>
                      <w:spacing w:val="5"/>
                      <w:sz w:val="18"/>
                      <w:szCs w:val="18"/>
                    </w:rPr>
                    <w:t>专项评价类</w:t>
                  </w:r>
                  <w:r>
                    <w:rPr>
                      <w:rFonts w:hint="eastAsia" w:ascii="宋体" w:hAnsi="宋体" w:eastAsia="宋体" w:cs="宋体"/>
                      <w:b/>
                      <w:bCs/>
                      <w:spacing w:val="-3"/>
                      <w:sz w:val="18"/>
                      <w:szCs w:val="18"/>
                    </w:rPr>
                    <w:t>别</w:t>
                  </w:r>
                </w:p>
              </w:tc>
              <w:tc>
                <w:tcPr>
                  <w:tcW w:w="2429" w:type="pct"/>
                  <w:tcBorders>
                    <w:tl2br w:val="nil"/>
                    <w:tr2bl w:val="nil"/>
                  </w:tcBorders>
                  <w:noWrap w:val="0"/>
                  <w:vAlign w:val="center"/>
                </w:tcPr>
                <w:p w14:paraId="6E643B0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b/>
                      <w:bCs/>
                      <w:spacing w:val="5"/>
                      <w:sz w:val="18"/>
                      <w:szCs w:val="18"/>
                    </w:rPr>
                    <w:t>设置原则</w:t>
                  </w:r>
                </w:p>
              </w:tc>
              <w:tc>
                <w:tcPr>
                  <w:tcW w:w="583" w:type="pct"/>
                  <w:tcBorders>
                    <w:tl2br w:val="nil"/>
                    <w:tr2bl w:val="nil"/>
                  </w:tcBorders>
                  <w:noWrap w:val="0"/>
                  <w:vAlign w:val="center"/>
                </w:tcPr>
                <w:p w14:paraId="20CF0AE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b/>
                      <w:bCs/>
                      <w:spacing w:val="6"/>
                      <w:sz w:val="18"/>
                      <w:szCs w:val="18"/>
                    </w:rPr>
                    <w:t>是</w:t>
                  </w:r>
                  <w:r>
                    <w:rPr>
                      <w:rFonts w:hint="eastAsia" w:ascii="宋体" w:hAnsi="宋体" w:eastAsia="宋体" w:cs="宋体"/>
                      <w:b/>
                      <w:bCs/>
                      <w:spacing w:val="4"/>
                      <w:sz w:val="18"/>
                      <w:szCs w:val="18"/>
                    </w:rPr>
                    <w:t>否设置专项评价</w:t>
                  </w:r>
                </w:p>
              </w:tc>
              <w:tc>
                <w:tcPr>
                  <w:tcW w:w="1459" w:type="pct"/>
                  <w:tcBorders>
                    <w:tl2br w:val="nil"/>
                    <w:tr2bl w:val="nil"/>
                  </w:tcBorders>
                  <w:noWrap w:val="0"/>
                  <w:vAlign w:val="center"/>
                </w:tcPr>
                <w:p w14:paraId="7B67EEE7">
                  <w:pPr>
                    <w:pStyle w:val="52"/>
                    <w:keepNext w:val="0"/>
                    <w:keepLines w:val="0"/>
                    <w:pageBreakBefore w:val="0"/>
                    <w:widowControl w:val="0"/>
                    <w:kinsoku/>
                    <w:wordWrap/>
                    <w:overflowPunct/>
                    <w:topLinePunct w:val="0"/>
                    <w:autoSpaceDE/>
                    <w:autoSpaceDN/>
                    <w:bidi w:val="0"/>
                    <w:adjustRightInd/>
                    <w:snapToGrid/>
                    <w:spacing w:line="240" w:lineRule="atLeast"/>
                    <w:ind w:right="66" w:rightChars="0"/>
                    <w:jc w:val="center"/>
                    <w:textAlignment w:val="auto"/>
                    <w:rPr>
                      <w:rFonts w:hint="default" w:ascii="宋体" w:hAnsi="宋体" w:eastAsia="宋体" w:cs="宋体"/>
                      <w:b/>
                      <w:bCs/>
                      <w:spacing w:val="4"/>
                      <w:sz w:val="18"/>
                      <w:szCs w:val="18"/>
                      <w:lang w:val="en-US" w:eastAsia="zh-CN"/>
                    </w:rPr>
                  </w:pPr>
                  <w:r>
                    <w:rPr>
                      <w:rFonts w:hint="eastAsia" w:cs="宋体"/>
                      <w:b/>
                      <w:bCs/>
                      <w:spacing w:val="7"/>
                      <w:sz w:val="18"/>
                      <w:szCs w:val="18"/>
                      <w:lang w:val="en-US" w:eastAsia="zh-CN"/>
                    </w:rPr>
                    <w:t>理由</w:t>
                  </w:r>
                </w:p>
              </w:tc>
            </w:tr>
            <w:tr w14:paraId="433586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6" w:hRule="atLeast"/>
                <w:jc w:val="center"/>
              </w:trPr>
              <w:tc>
                <w:tcPr>
                  <w:tcW w:w="527" w:type="pct"/>
                  <w:tcBorders>
                    <w:tl2br w:val="nil"/>
                    <w:tr2bl w:val="nil"/>
                  </w:tcBorders>
                  <w:noWrap w:val="0"/>
                  <w:vAlign w:val="center"/>
                </w:tcPr>
                <w:p w14:paraId="684809C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3"/>
                      <w:sz w:val="18"/>
                      <w:szCs w:val="18"/>
                    </w:rPr>
                    <w:t>大气</w:t>
                  </w:r>
                </w:p>
              </w:tc>
              <w:tc>
                <w:tcPr>
                  <w:tcW w:w="2429" w:type="pct"/>
                  <w:tcBorders>
                    <w:tl2br w:val="nil"/>
                    <w:tr2bl w:val="nil"/>
                  </w:tcBorders>
                  <w:noWrap w:val="0"/>
                  <w:vAlign w:val="center"/>
                </w:tcPr>
                <w:p w14:paraId="43A63D6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8"/>
                      <w:sz w:val="18"/>
                      <w:szCs w:val="18"/>
                    </w:rPr>
                    <w:t>排放含有毒物有害污染</w:t>
                  </w:r>
                  <w:r>
                    <w:rPr>
                      <w:rFonts w:hint="eastAsia" w:ascii="宋体" w:hAnsi="宋体" w:eastAsia="宋体" w:cs="宋体"/>
                      <w:sz w:val="18"/>
                      <w:szCs w:val="18"/>
                    </w:rPr>
                    <w:t>物</w:t>
                  </w:r>
                  <w:r>
                    <w:rPr>
                      <w:rFonts w:hint="eastAsia" w:ascii="宋体" w:hAnsi="宋体" w:eastAsia="宋体" w:cs="宋体"/>
                      <w:spacing w:val="-22"/>
                      <w:sz w:val="18"/>
                      <w:szCs w:val="18"/>
                    </w:rPr>
                    <w:t xml:space="preserve"> </w:t>
                  </w:r>
                  <w:r>
                    <w:rPr>
                      <w:rFonts w:hint="eastAsia" w:ascii="宋体" w:hAnsi="宋体" w:eastAsia="宋体" w:cs="宋体"/>
                      <w:sz w:val="18"/>
                      <w:szCs w:val="18"/>
                    </w:rPr>
                    <w:t>、二噁英</w:t>
                  </w:r>
                  <w:r>
                    <w:rPr>
                      <w:rFonts w:hint="eastAsia" w:ascii="宋体" w:hAnsi="宋体" w:eastAsia="宋体" w:cs="宋体"/>
                      <w:sz w:val="18"/>
                      <w:szCs w:val="18"/>
                      <w:highlight w:val="none"/>
                    </w:rPr>
                    <w:t>、苯</w:t>
                  </w:r>
                  <w:r>
                    <w:rPr>
                      <w:rFonts w:hint="eastAsia" w:ascii="宋体" w:hAnsi="宋体" w:eastAsia="宋体" w:cs="宋体"/>
                      <w:sz w:val="18"/>
                      <w:szCs w:val="18"/>
                    </w:rPr>
                    <w:t>并[a]芘、</w:t>
                  </w:r>
                  <w:r>
                    <w:rPr>
                      <w:rFonts w:hint="eastAsia" w:ascii="宋体" w:hAnsi="宋体" w:eastAsia="宋体" w:cs="宋体"/>
                      <w:spacing w:val="6"/>
                      <w:sz w:val="18"/>
                      <w:szCs w:val="18"/>
                    </w:rPr>
                    <w:t>氰化物、氯气且环境空气</w:t>
                  </w:r>
                  <w:r>
                    <w:rPr>
                      <w:rFonts w:hint="eastAsia" w:ascii="宋体" w:hAnsi="宋体" w:eastAsia="宋体" w:cs="宋体"/>
                      <w:spacing w:val="5"/>
                      <w:sz w:val="18"/>
                      <w:szCs w:val="18"/>
                    </w:rPr>
                    <w:t>保护目标</w:t>
                  </w:r>
                  <w:r>
                    <w:rPr>
                      <w:rFonts w:hint="eastAsia" w:ascii="宋体" w:hAnsi="宋体" w:eastAsia="宋体" w:cs="宋体"/>
                      <w:spacing w:val="-43"/>
                      <w:sz w:val="18"/>
                      <w:szCs w:val="18"/>
                    </w:rPr>
                    <w:t xml:space="preserve"> </w:t>
                  </w:r>
                  <w:r>
                    <w:rPr>
                      <w:rFonts w:hint="eastAsia" w:ascii="宋体" w:hAnsi="宋体" w:eastAsia="宋体" w:cs="宋体"/>
                      <w:spacing w:val="5"/>
                      <w:sz w:val="18"/>
                      <w:szCs w:val="18"/>
                    </w:rPr>
                    <w:t>的建设项目</w:t>
                  </w:r>
                </w:p>
              </w:tc>
              <w:tc>
                <w:tcPr>
                  <w:tcW w:w="583" w:type="pct"/>
                  <w:tcBorders>
                    <w:tl2br w:val="nil"/>
                    <w:tr2bl w:val="nil"/>
                  </w:tcBorders>
                  <w:noWrap w:val="0"/>
                  <w:vAlign w:val="center"/>
                </w:tcPr>
                <w:p w14:paraId="65E2DDF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rPr>
                    <w:t>否</w:t>
                  </w:r>
                </w:p>
              </w:tc>
              <w:tc>
                <w:tcPr>
                  <w:tcW w:w="1459" w:type="pct"/>
                  <w:tcBorders>
                    <w:tl2br w:val="nil"/>
                    <w:tr2bl w:val="nil"/>
                  </w:tcBorders>
                  <w:noWrap w:val="0"/>
                  <w:vAlign w:val="center"/>
                </w:tcPr>
                <w:p w14:paraId="5BD443AB">
                  <w:pPr>
                    <w:pStyle w:val="52"/>
                    <w:keepNext w:val="0"/>
                    <w:keepLines w:val="0"/>
                    <w:pageBreakBefore w:val="0"/>
                    <w:widowControl w:val="0"/>
                    <w:kinsoku/>
                    <w:wordWrap/>
                    <w:overflowPunct/>
                    <w:topLinePunct w:val="0"/>
                    <w:autoSpaceDE/>
                    <w:autoSpaceDN/>
                    <w:bidi w:val="0"/>
                    <w:adjustRightInd/>
                    <w:snapToGrid/>
                    <w:spacing w:line="240" w:lineRule="atLeast"/>
                    <w:ind w:right="24" w:rightChars="0"/>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本项目不涉及</w:t>
                  </w:r>
                </w:p>
              </w:tc>
            </w:tr>
            <w:tr w14:paraId="3CA849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27" w:type="pct"/>
                  <w:tcBorders>
                    <w:tl2br w:val="nil"/>
                    <w:tr2bl w:val="nil"/>
                  </w:tcBorders>
                  <w:noWrap w:val="0"/>
                  <w:vAlign w:val="center"/>
                </w:tcPr>
                <w:p w14:paraId="6EFE524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6"/>
                      <w:sz w:val="18"/>
                      <w:szCs w:val="18"/>
                    </w:rPr>
                    <w:t>地表水</w:t>
                  </w:r>
                </w:p>
              </w:tc>
              <w:tc>
                <w:tcPr>
                  <w:tcW w:w="2429" w:type="pct"/>
                  <w:tcBorders>
                    <w:tl2br w:val="nil"/>
                    <w:tr2bl w:val="nil"/>
                  </w:tcBorders>
                  <w:noWrap w:val="0"/>
                  <w:vAlign w:val="center"/>
                </w:tcPr>
                <w:p w14:paraId="453A155B">
                  <w:pPr>
                    <w:pStyle w:val="52"/>
                    <w:keepNext w:val="0"/>
                    <w:keepLines w:val="0"/>
                    <w:pageBreakBefore w:val="0"/>
                    <w:widowControl w:val="0"/>
                    <w:kinsoku/>
                    <w:wordWrap/>
                    <w:overflowPunct/>
                    <w:topLinePunct w:val="0"/>
                    <w:autoSpaceDE/>
                    <w:autoSpaceDN/>
                    <w:bidi w:val="0"/>
                    <w:adjustRightInd/>
                    <w:snapToGrid/>
                    <w:spacing w:line="240" w:lineRule="atLeast"/>
                    <w:ind w:right="105" w:right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8"/>
                      <w:sz w:val="18"/>
                      <w:szCs w:val="18"/>
                    </w:rPr>
                    <w:t>新增工业废水直排建设</w:t>
                  </w:r>
                  <w:r>
                    <w:rPr>
                      <w:rFonts w:hint="eastAsia" w:ascii="宋体" w:hAnsi="宋体" w:eastAsia="宋体" w:cs="宋体"/>
                      <w:spacing w:val="6"/>
                      <w:sz w:val="18"/>
                      <w:szCs w:val="18"/>
                    </w:rPr>
                    <w:t>项目（槽罐车外送污水处</w:t>
                  </w:r>
                  <w:r>
                    <w:rPr>
                      <w:rFonts w:hint="eastAsia" w:ascii="宋体" w:hAnsi="宋体" w:eastAsia="宋体" w:cs="宋体"/>
                      <w:spacing w:val="7"/>
                      <w:sz w:val="18"/>
                      <w:szCs w:val="18"/>
                    </w:rPr>
                    <w:t>理厂的除外</w:t>
                  </w:r>
                  <w:r>
                    <w:rPr>
                      <w:rFonts w:hint="eastAsia" w:ascii="宋体" w:hAnsi="宋体" w:eastAsia="宋体" w:cs="宋体"/>
                      <w:spacing w:val="1"/>
                      <w:sz w:val="18"/>
                      <w:szCs w:val="18"/>
                    </w:rPr>
                    <w:t>）；</w:t>
                  </w:r>
                  <w:r>
                    <w:rPr>
                      <w:rFonts w:hint="eastAsia" w:ascii="宋体" w:hAnsi="宋体" w:eastAsia="宋体" w:cs="宋体"/>
                      <w:spacing w:val="7"/>
                      <w:sz w:val="18"/>
                      <w:szCs w:val="18"/>
                    </w:rPr>
                    <w:t>新增废水</w:t>
                  </w:r>
                  <w:r>
                    <w:rPr>
                      <w:rFonts w:hint="eastAsia" w:ascii="宋体" w:hAnsi="宋体" w:eastAsia="宋体" w:cs="宋体"/>
                      <w:spacing w:val="17"/>
                      <w:sz w:val="18"/>
                      <w:szCs w:val="18"/>
                    </w:rPr>
                    <w:t>直排的污水集中处理厂</w:t>
                  </w:r>
                </w:p>
              </w:tc>
              <w:tc>
                <w:tcPr>
                  <w:tcW w:w="583" w:type="pct"/>
                  <w:tcBorders>
                    <w:tl2br w:val="nil"/>
                    <w:tr2bl w:val="nil"/>
                  </w:tcBorders>
                  <w:noWrap w:val="0"/>
                  <w:vAlign w:val="center"/>
                </w:tcPr>
                <w:p w14:paraId="0CEE7E5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rPr>
                    <w:t>否</w:t>
                  </w:r>
                </w:p>
              </w:tc>
              <w:tc>
                <w:tcPr>
                  <w:tcW w:w="1459" w:type="pct"/>
                  <w:tcBorders>
                    <w:tl2br w:val="nil"/>
                    <w:tr2bl w:val="nil"/>
                  </w:tcBorders>
                  <w:noWrap w:val="0"/>
                  <w:vAlign w:val="center"/>
                </w:tcPr>
                <w:p w14:paraId="3CA0558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本项目废水间接排放</w:t>
                  </w:r>
                </w:p>
              </w:tc>
            </w:tr>
            <w:tr w14:paraId="1BF9C6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27" w:type="pct"/>
                  <w:tcBorders>
                    <w:tl2br w:val="nil"/>
                    <w:tr2bl w:val="nil"/>
                  </w:tcBorders>
                  <w:noWrap w:val="0"/>
                  <w:vAlign w:val="center"/>
                </w:tcPr>
                <w:p w14:paraId="42C6061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6"/>
                      <w:sz w:val="18"/>
                      <w:szCs w:val="18"/>
                    </w:rPr>
                    <w:t>环境风</w:t>
                  </w:r>
                  <w:r>
                    <w:rPr>
                      <w:rFonts w:hint="eastAsia" w:ascii="宋体" w:hAnsi="宋体" w:eastAsia="宋体" w:cs="宋体"/>
                      <w:sz w:val="18"/>
                      <w:szCs w:val="18"/>
                    </w:rPr>
                    <w:t>险</w:t>
                  </w:r>
                </w:p>
              </w:tc>
              <w:tc>
                <w:tcPr>
                  <w:tcW w:w="2429" w:type="pct"/>
                  <w:tcBorders>
                    <w:tl2br w:val="nil"/>
                    <w:tr2bl w:val="nil"/>
                  </w:tcBorders>
                  <w:noWrap w:val="0"/>
                  <w:vAlign w:val="center"/>
                </w:tcPr>
                <w:p w14:paraId="22DD5F2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8"/>
                      <w:sz w:val="18"/>
                      <w:szCs w:val="18"/>
                    </w:rPr>
                    <w:t>有毒有害和易燃易爆危</w:t>
                  </w:r>
                  <w:r>
                    <w:rPr>
                      <w:rFonts w:hint="eastAsia" w:ascii="宋体" w:hAnsi="宋体" w:eastAsia="宋体" w:cs="宋体"/>
                      <w:spacing w:val="7"/>
                      <w:sz w:val="18"/>
                      <w:szCs w:val="18"/>
                    </w:rPr>
                    <w:t>险物质存储超过临界量</w:t>
                  </w:r>
                  <w:r>
                    <w:rPr>
                      <w:rFonts w:hint="eastAsia" w:ascii="宋体" w:hAnsi="宋体" w:eastAsia="宋体" w:cs="宋体"/>
                      <w:spacing w:val="4"/>
                      <w:sz w:val="18"/>
                      <w:szCs w:val="18"/>
                    </w:rPr>
                    <w:t>的建设项目</w:t>
                  </w:r>
                </w:p>
              </w:tc>
              <w:tc>
                <w:tcPr>
                  <w:tcW w:w="583" w:type="pct"/>
                  <w:tcBorders>
                    <w:tl2br w:val="nil"/>
                    <w:tr2bl w:val="nil"/>
                  </w:tcBorders>
                  <w:noWrap w:val="0"/>
                  <w:vAlign w:val="center"/>
                </w:tcPr>
                <w:p w14:paraId="41DE234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是</w:t>
                  </w:r>
                </w:p>
              </w:tc>
              <w:tc>
                <w:tcPr>
                  <w:tcW w:w="1459" w:type="pct"/>
                  <w:tcBorders>
                    <w:tl2br w:val="nil"/>
                    <w:tr2bl w:val="nil"/>
                  </w:tcBorders>
                  <w:noWrap w:val="0"/>
                  <w:vAlign w:val="center"/>
                </w:tcPr>
                <w:p w14:paraId="0D5C9DC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8"/>
                      <w:sz w:val="18"/>
                      <w:szCs w:val="18"/>
                    </w:rPr>
                    <w:t>本项目风险物质最大</w:t>
                  </w:r>
                  <w:r>
                    <w:rPr>
                      <w:rFonts w:hint="eastAsia" w:ascii="宋体" w:hAnsi="宋体" w:eastAsia="宋体" w:cs="宋体"/>
                      <w:spacing w:val="9"/>
                      <w:sz w:val="18"/>
                      <w:szCs w:val="18"/>
                    </w:rPr>
                    <w:t>储存量超过其临界</w:t>
                  </w:r>
                  <w:r>
                    <w:rPr>
                      <w:rFonts w:hint="eastAsia" w:ascii="宋体" w:hAnsi="宋体" w:eastAsia="宋体" w:cs="宋体"/>
                      <w:sz w:val="18"/>
                      <w:szCs w:val="18"/>
                    </w:rPr>
                    <w:t>量</w:t>
                  </w:r>
                </w:p>
              </w:tc>
            </w:tr>
            <w:tr w14:paraId="26DC45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5" w:hRule="atLeast"/>
                <w:jc w:val="center"/>
              </w:trPr>
              <w:tc>
                <w:tcPr>
                  <w:tcW w:w="527" w:type="pct"/>
                  <w:tcBorders>
                    <w:tl2br w:val="nil"/>
                    <w:tr2bl w:val="nil"/>
                  </w:tcBorders>
                  <w:noWrap w:val="0"/>
                  <w:vAlign w:val="center"/>
                </w:tcPr>
                <w:p w14:paraId="05DAD4C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3"/>
                      <w:sz w:val="18"/>
                      <w:szCs w:val="18"/>
                    </w:rPr>
                    <w:t>生态</w:t>
                  </w:r>
                </w:p>
              </w:tc>
              <w:tc>
                <w:tcPr>
                  <w:tcW w:w="2429" w:type="pct"/>
                  <w:tcBorders>
                    <w:tl2br w:val="nil"/>
                    <w:tr2bl w:val="nil"/>
                  </w:tcBorders>
                  <w:noWrap w:val="0"/>
                  <w:vAlign w:val="center"/>
                </w:tcPr>
                <w:p w14:paraId="7201ED76">
                  <w:pPr>
                    <w:pStyle w:val="52"/>
                    <w:keepNext w:val="0"/>
                    <w:keepLines w:val="0"/>
                    <w:pageBreakBefore w:val="0"/>
                    <w:widowControl w:val="0"/>
                    <w:kinsoku/>
                    <w:wordWrap/>
                    <w:overflowPunct/>
                    <w:topLinePunct w:val="0"/>
                    <w:autoSpaceDE/>
                    <w:autoSpaceDN/>
                    <w:bidi w:val="0"/>
                    <w:adjustRightInd/>
                    <w:snapToGrid/>
                    <w:spacing w:line="240" w:lineRule="atLeast"/>
                    <w:ind w:right="-73" w:right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5"/>
                      <w:sz w:val="18"/>
                      <w:szCs w:val="18"/>
                    </w:rPr>
                    <w:t>取水口下游</w:t>
                  </w:r>
                  <w:r>
                    <w:rPr>
                      <w:rFonts w:hint="eastAsia" w:ascii="宋体" w:hAnsi="宋体" w:eastAsia="宋体" w:cs="宋体"/>
                      <w:spacing w:val="-49"/>
                      <w:sz w:val="18"/>
                      <w:szCs w:val="18"/>
                    </w:rPr>
                    <w:t xml:space="preserve"> </w:t>
                  </w:r>
                  <w:r>
                    <w:rPr>
                      <w:rFonts w:hint="eastAsia" w:ascii="宋体" w:hAnsi="宋体" w:eastAsia="宋体" w:cs="宋体"/>
                      <w:spacing w:val="5"/>
                      <w:sz w:val="18"/>
                      <w:szCs w:val="18"/>
                    </w:rPr>
                    <w:t>500米范围内</w:t>
                  </w:r>
                  <w:r>
                    <w:rPr>
                      <w:rFonts w:hint="eastAsia" w:ascii="宋体" w:hAnsi="宋体" w:eastAsia="宋体" w:cs="宋体"/>
                      <w:spacing w:val="18"/>
                      <w:sz w:val="18"/>
                      <w:szCs w:val="18"/>
                    </w:rPr>
                    <w:t>有重要水生生物的自然</w:t>
                  </w:r>
                  <w:r>
                    <w:rPr>
                      <w:rFonts w:hint="eastAsia" w:cs="宋体"/>
                      <w:spacing w:val="18"/>
                      <w:sz w:val="18"/>
                      <w:szCs w:val="18"/>
                      <w:lang w:eastAsia="zh-CN"/>
                    </w:rPr>
                    <w:t>产卵场</w:t>
                  </w:r>
                  <w:r>
                    <w:rPr>
                      <w:rFonts w:hint="eastAsia" w:ascii="宋体" w:hAnsi="宋体" w:eastAsia="宋体" w:cs="宋体"/>
                      <w:spacing w:val="6"/>
                      <w:sz w:val="18"/>
                      <w:szCs w:val="18"/>
                    </w:rPr>
                    <w:t>、索饵场、越冬场</w:t>
                  </w:r>
                  <w:r>
                    <w:rPr>
                      <w:rFonts w:hint="eastAsia" w:ascii="宋体" w:hAnsi="宋体" w:eastAsia="宋体" w:cs="宋体"/>
                      <w:spacing w:val="5"/>
                      <w:sz w:val="18"/>
                      <w:szCs w:val="18"/>
                    </w:rPr>
                    <w:t xml:space="preserve"> </w:t>
                  </w:r>
                  <w:r>
                    <w:rPr>
                      <w:rFonts w:hint="eastAsia" w:ascii="宋体" w:hAnsi="宋体" w:eastAsia="宋体" w:cs="宋体"/>
                      <w:spacing w:val="18"/>
                      <w:sz w:val="18"/>
                      <w:szCs w:val="18"/>
                    </w:rPr>
                    <w:t>和洄游通道的新增河道</w:t>
                  </w:r>
                  <w:r>
                    <w:rPr>
                      <w:rFonts w:hint="eastAsia" w:ascii="宋体" w:hAnsi="宋体" w:eastAsia="宋体" w:cs="宋体"/>
                      <w:sz w:val="18"/>
                      <w:szCs w:val="18"/>
                    </w:rPr>
                    <w:t xml:space="preserve">  </w:t>
                  </w:r>
                  <w:r>
                    <w:rPr>
                      <w:rFonts w:hint="eastAsia" w:ascii="宋体" w:hAnsi="宋体" w:eastAsia="宋体" w:cs="宋体"/>
                      <w:spacing w:val="18"/>
                      <w:sz w:val="18"/>
                      <w:szCs w:val="18"/>
                    </w:rPr>
                    <w:t>取水的污染类建设项目</w:t>
                  </w:r>
                </w:p>
              </w:tc>
              <w:tc>
                <w:tcPr>
                  <w:tcW w:w="583" w:type="pct"/>
                  <w:tcBorders>
                    <w:tl2br w:val="nil"/>
                    <w:tr2bl w:val="nil"/>
                  </w:tcBorders>
                  <w:noWrap w:val="0"/>
                  <w:vAlign w:val="center"/>
                </w:tcPr>
                <w:p w14:paraId="14D5D2E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rPr>
                    <w:t>否</w:t>
                  </w:r>
                </w:p>
              </w:tc>
              <w:tc>
                <w:tcPr>
                  <w:tcW w:w="1459" w:type="pct"/>
                  <w:tcBorders>
                    <w:tl2br w:val="nil"/>
                    <w:tr2bl w:val="nil"/>
                  </w:tcBorders>
                  <w:noWrap w:val="0"/>
                  <w:vAlign w:val="center"/>
                </w:tcPr>
                <w:p w14:paraId="71988BC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5"/>
                      <w:sz w:val="18"/>
                      <w:szCs w:val="18"/>
                      <w:lang w:val="en-US" w:eastAsia="zh-CN"/>
                    </w:rPr>
                    <w:t>本项目</w:t>
                  </w:r>
                  <w:r>
                    <w:rPr>
                      <w:rFonts w:hint="eastAsia" w:ascii="宋体" w:hAnsi="宋体" w:eastAsia="宋体" w:cs="宋体"/>
                      <w:spacing w:val="5"/>
                      <w:sz w:val="18"/>
                      <w:szCs w:val="18"/>
                    </w:rPr>
                    <w:t>不涉及</w:t>
                  </w:r>
                </w:p>
              </w:tc>
            </w:tr>
            <w:tr w14:paraId="7347D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27" w:type="pct"/>
                  <w:tcBorders>
                    <w:tl2br w:val="nil"/>
                    <w:tr2bl w:val="nil"/>
                  </w:tcBorders>
                  <w:noWrap w:val="0"/>
                  <w:vAlign w:val="center"/>
                </w:tcPr>
                <w:p w14:paraId="2210C5F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5"/>
                      <w:sz w:val="18"/>
                      <w:szCs w:val="18"/>
                    </w:rPr>
                    <w:t>海洋</w:t>
                  </w:r>
                </w:p>
              </w:tc>
              <w:tc>
                <w:tcPr>
                  <w:tcW w:w="2429" w:type="pct"/>
                  <w:tcBorders>
                    <w:tl2br w:val="nil"/>
                    <w:tr2bl w:val="nil"/>
                  </w:tcBorders>
                  <w:noWrap w:val="0"/>
                  <w:vAlign w:val="center"/>
                </w:tcPr>
                <w:p w14:paraId="4C8FEDB2">
                  <w:pPr>
                    <w:pStyle w:val="52"/>
                    <w:keepNext w:val="0"/>
                    <w:keepLines w:val="0"/>
                    <w:pageBreakBefore w:val="0"/>
                    <w:widowControl w:val="0"/>
                    <w:kinsoku/>
                    <w:wordWrap/>
                    <w:overflowPunct/>
                    <w:topLinePunct w:val="0"/>
                    <w:autoSpaceDE/>
                    <w:autoSpaceDN/>
                    <w:bidi w:val="0"/>
                    <w:adjustRightInd/>
                    <w:snapToGrid/>
                    <w:spacing w:line="240" w:lineRule="atLeast"/>
                    <w:ind w:right="-73" w:rightChars="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8"/>
                      <w:sz w:val="18"/>
                      <w:szCs w:val="18"/>
                    </w:rPr>
                    <w:t>直接向海洋排放污染物</w:t>
                  </w:r>
                  <w:r>
                    <w:rPr>
                      <w:rFonts w:hint="eastAsia" w:ascii="宋体" w:hAnsi="宋体" w:eastAsia="宋体" w:cs="宋体"/>
                      <w:spacing w:val="7"/>
                      <w:sz w:val="18"/>
                      <w:szCs w:val="18"/>
                    </w:rPr>
                    <w:t>的海洋工程建设项目</w:t>
                  </w:r>
                </w:p>
              </w:tc>
              <w:tc>
                <w:tcPr>
                  <w:tcW w:w="583" w:type="pct"/>
                  <w:tcBorders>
                    <w:tl2br w:val="nil"/>
                    <w:tr2bl w:val="nil"/>
                  </w:tcBorders>
                  <w:noWrap w:val="0"/>
                  <w:vAlign w:val="center"/>
                </w:tcPr>
                <w:p w14:paraId="57C4DB5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rPr>
                    <w:t>否</w:t>
                  </w:r>
                </w:p>
              </w:tc>
              <w:tc>
                <w:tcPr>
                  <w:tcW w:w="1459" w:type="pct"/>
                  <w:tcBorders>
                    <w:tl2br w:val="nil"/>
                    <w:tr2bl w:val="nil"/>
                  </w:tcBorders>
                  <w:noWrap w:val="0"/>
                  <w:vAlign w:val="center"/>
                </w:tcPr>
                <w:p w14:paraId="3A0C36A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pacing w:val="5"/>
                      <w:sz w:val="18"/>
                      <w:szCs w:val="18"/>
                      <w:lang w:val="en-US" w:eastAsia="zh-CN"/>
                    </w:rPr>
                    <w:t>本项目</w:t>
                  </w:r>
                  <w:r>
                    <w:rPr>
                      <w:rFonts w:hint="eastAsia" w:ascii="宋体" w:hAnsi="宋体" w:eastAsia="宋体" w:cs="宋体"/>
                      <w:spacing w:val="5"/>
                      <w:sz w:val="18"/>
                      <w:szCs w:val="18"/>
                    </w:rPr>
                    <w:t>不涉及</w:t>
                  </w:r>
                </w:p>
              </w:tc>
            </w:tr>
          </w:tbl>
          <w:p w14:paraId="4952D30A">
            <w:pPr>
              <w:autoSpaceDE w:val="0"/>
              <w:autoSpaceDN w:val="0"/>
              <w:adjustRightInd w:val="0"/>
              <w:snapToGrid w:val="0"/>
              <w:ind w:firstLine="416" w:firstLineChars="200"/>
              <w:jc w:val="both"/>
              <w:rPr>
                <w:rFonts w:ascii="宋体" w:hAnsi="宋体" w:cs="宋体"/>
                <w:kern w:val="0"/>
                <w:sz w:val="24"/>
                <w:szCs w:val="24"/>
              </w:rPr>
            </w:pPr>
            <w:r>
              <w:rPr>
                <w:spacing w:val="-1"/>
              </w:rPr>
              <w:t>根据专项评价设置原则表，本项目</w:t>
            </w:r>
            <w:r>
              <w:rPr>
                <w:rFonts w:hint="eastAsia"/>
                <w:spacing w:val="-1"/>
                <w:lang w:val="en-US" w:eastAsia="zh-CN"/>
              </w:rPr>
              <w:t>需设置环境风险</w:t>
            </w:r>
            <w:r>
              <w:rPr>
                <w:spacing w:val="-1"/>
              </w:rPr>
              <w:t>专项评价。</w:t>
            </w:r>
          </w:p>
        </w:tc>
      </w:tr>
      <w:tr w14:paraId="07E29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6" w:type="dxa"/>
            <w:noWrap w:val="0"/>
            <w:vAlign w:val="center"/>
          </w:tcPr>
          <w:p w14:paraId="1B15782C">
            <w:pPr>
              <w:autoSpaceDE w:val="0"/>
              <w:autoSpaceDN w:val="0"/>
              <w:adjustRightInd w:val="0"/>
              <w:snapToGrid w:val="0"/>
              <w:jc w:val="center"/>
              <w:rPr>
                <w:rFonts w:hint="eastAsia" w:ascii="宋体" w:hAnsi="宋体" w:cs="宋体"/>
                <w:kern w:val="0"/>
                <w:sz w:val="21"/>
                <w:szCs w:val="21"/>
              </w:rPr>
            </w:pPr>
            <w:r>
              <w:rPr>
                <w:rFonts w:hint="eastAsia" w:ascii="宋体" w:hAnsi="宋体" w:cs="宋体"/>
                <w:sz w:val="21"/>
                <w:szCs w:val="21"/>
              </w:rPr>
              <w:t>规划情况</w:t>
            </w:r>
          </w:p>
        </w:tc>
        <w:tc>
          <w:tcPr>
            <w:tcW w:w="8314" w:type="dxa"/>
            <w:gridSpan w:val="4"/>
            <w:noWrap w:val="0"/>
            <w:vAlign w:val="center"/>
          </w:tcPr>
          <w:p w14:paraId="09340BF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规划名称：《吉林四平经济开发区总体规划</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（2025-2035年）；</w:t>
            </w:r>
          </w:p>
          <w:p w14:paraId="023A2491">
            <w:pPr>
              <w:autoSpaceDE w:val="0"/>
              <w:autoSpaceDN w:val="0"/>
              <w:adjustRightInd w:val="0"/>
              <w:snapToGrid w:val="0"/>
              <w:rPr>
                <w:rFonts w:ascii="宋体" w:hAnsi="宋体" w:cs="宋体"/>
                <w:kern w:val="0"/>
                <w:sz w:val="24"/>
                <w:szCs w:val="24"/>
              </w:rPr>
            </w:pPr>
            <w:r>
              <w:rPr>
                <w:rFonts w:hint="eastAsia" w:ascii="宋体" w:hAnsi="宋体" w:eastAsia="宋体" w:cs="宋体"/>
                <w:color w:val="auto"/>
                <w:sz w:val="21"/>
                <w:szCs w:val="21"/>
                <w:highlight w:val="none"/>
                <w:lang w:val="en-US" w:eastAsia="zh-CN"/>
              </w:rPr>
              <w:t>编制单位：四平经济开发区管理委员会</w:t>
            </w:r>
          </w:p>
        </w:tc>
      </w:tr>
      <w:tr w14:paraId="541F6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6" w:type="dxa"/>
            <w:noWrap w:val="0"/>
            <w:vAlign w:val="center"/>
          </w:tcPr>
          <w:p w14:paraId="42B9895E">
            <w:pPr>
              <w:adjustRightInd w:val="0"/>
              <w:snapToGrid w:val="0"/>
              <w:jc w:val="center"/>
              <w:rPr>
                <w:rFonts w:ascii="宋体" w:hAnsi="宋体" w:cs="宋体"/>
                <w:sz w:val="21"/>
                <w:szCs w:val="21"/>
              </w:rPr>
            </w:pPr>
            <w:r>
              <w:rPr>
                <w:rFonts w:hint="eastAsia" w:ascii="宋体" w:hAnsi="宋体" w:cs="宋体"/>
                <w:sz w:val="21"/>
                <w:szCs w:val="21"/>
              </w:rPr>
              <w:t>规划环境影响</w:t>
            </w:r>
          </w:p>
          <w:p w14:paraId="59D5F9A6">
            <w:pPr>
              <w:adjustRightInd w:val="0"/>
              <w:snapToGrid w:val="0"/>
              <w:jc w:val="center"/>
              <w:rPr>
                <w:rFonts w:hint="eastAsia" w:ascii="宋体" w:hAnsi="宋体" w:cs="宋体"/>
                <w:kern w:val="0"/>
                <w:sz w:val="21"/>
                <w:szCs w:val="21"/>
              </w:rPr>
            </w:pPr>
            <w:r>
              <w:rPr>
                <w:rFonts w:hint="eastAsia" w:ascii="宋体" w:hAnsi="宋体" w:cs="宋体"/>
                <w:sz w:val="21"/>
                <w:szCs w:val="21"/>
              </w:rPr>
              <w:t>评价情况</w:t>
            </w:r>
          </w:p>
        </w:tc>
        <w:tc>
          <w:tcPr>
            <w:tcW w:w="8314" w:type="dxa"/>
            <w:gridSpan w:val="4"/>
            <w:noWrap w:val="0"/>
            <w:vAlign w:val="center"/>
          </w:tcPr>
          <w:p w14:paraId="2B67E22E">
            <w:pPr>
              <w:keepNext w:val="0"/>
              <w:keepLines w:val="0"/>
              <w:pageBreakBefore w:val="0"/>
              <w:widowControl w:val="0"/>
              <w:kinsoku/>
              <w:wordWrap/>
              <w:overflowPunct/>
              <w:topLinePunct w:val="0"/>
              <w:autoSpaceDE w:val="0"/>
              <w:autoSpaceDN w:val="0"/>
              <w:bidi w:val="0"/>
              <w:adjustRightInd/>
              <w:snapToGrid/>
              <w:spacing w:line="3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吉林省生态环境厅于2021年8月6日出具对《</w:t>
            </w:r>
            <w:r>
              <w:rPr>
                <w:rFonts w:hint="eastAsia" w:ascii="仿宋_GB2312" w:eastAsia="仿宋_GB2312"/>
                <w:szCs w:val="32"/>
              </w:rPr>
              <w:t>《</w:t>
            </w:r>
            <w:r>
              <w:rPr>
                <w:rFonts w:hint="eastAsia" w:ascii="仿宋_GB2312" w:hAnsi="仿宋_GB2312" w:eastAsia="仿宋_GB2312"/>
              </w:rPr>
              <w:t>吉林四平经济开发区总体规划（2025-2035年）</w:t>
            </w:r>
            <w:r>
              <w:rPr>
                <w:rFonts w:hint="eastAsia" w:ascii="宋体" w:hAnsi="宋体" w:eastAsia="宋体" w:cs="宋体"/>
                <w:color w:val="auto"/>
                <w:sz w:val="21"/>
                <w:szCs w:val="21"/>
                <w:highlight w:val="none"/>
                <w:lang w:val="en-US" w:eastAsia="zh-CN"/>
              </w:rPr>
              <w:t>环境影响报告书》的审查意见，批文号为：吉环环评字〔202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号。</w:t>
            </w:r>
          </w:p>
          <w:p w14:paraId="4680BA1E">
            <w:pPr>
              <w:pStyle w:val="31"/>
            </w:pPr>
          </w:p>
        </w:tc>
      </w:tr>
      <w:tr w14:paraId="37A3F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556" w:type="dxa"/>
            <w:noWrap w:val="0"/>
            <w:vAlign w:val="center"/>
          </w:tcPr>
          <w:p w14:paraId="311910D7">
            <w:pPr>
              <w:autoSpaceDE w:val="0"/>
              <w:autoSpaceDN w:val="0"/>
              <w:adjustRightInd w:val="0"/>
              <w:snapToGrid w:val="0"/>
              <w:jc w:val="center"/>
              <w:rPr>
                <w:rFonts w:hint="eastAsia" w:ascii="宋体" w:hAnsi="宋体" w:cs="宋体"/>
                <w:kern w:val="0"/>
                <w:sz w:val="21"/>
                <w:szCs w:val="21"/>
              </w:rPr>
            </w:pPr>
            <w:r>
              <w:rPr>
                <w:rFonts w:hint="eastAsia" w:ascii="宋体" w:hAnsi="宋体" w:cs="宋体"/>
                <w:kern w:val="0"/>
                <w:sz w:val="21"/>
                <w:szCs w:val="21"/>
              </w:rPr>
              <w:t>规划及规划环境</w:t>
            </w:r>
          </w:p>
          <w:p w14:paraId="2B063F23">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1"/>
                <w:szCs w:val="21"/>
              </w:rPr>
              <w:t>影响评价符合性分析</w:t>
            </w:r>
          </w:p>
        </w:tc>
        <w:tc>
          <w:tcPr>
            <w:tcW w:w="8314" w:type="dxa"/>
            <w:gridSpan w:val="4"/>
            <w:noWrap w:val="0"/>
            <w:vAlign w:val="center"/>
          </w:tcPr>
          <w:p w14:paraId="42FFA57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420" w:firstLineChars="200"/>
              <w:jc w:val="both"/>
              <w:textAlignment w:val="auto"/>
              <w:outlineLvl w:val="9"/>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依据《《吉林四平经济开发区总体规划（2025-2035年）》，本项目在该总体规划的</w:t>
            </w:r>
            <w:r>
              <w:rPr>
                <w:rFonts w:hint="default" w:ascii="宋体" w:hAnsi="宋体" w:eastAsia="宋体" w:cs="宋体"/>
                <w:color w:val="auto"/>
                <w:kern w:val="0"/>
                <w:sz w:val="21"/>
                <w:szCs w:val="21"/>
                <w:lang w:val="en-US" w:eastAsia="zh-CN"/>
              </w:rPr>
              <w:t>平东老工业区</w:t>
            </w:r>
            <w:r>
              <w:rPr>
                <w:rFonts w:hint="eastAsia" w:ascii="宋体" w:hAnsi="宋体" w:eastAsia="宋体" w:cs="宋体"/>
                <w:color w:val="auto"/>
                <w:kern w:val="0"/>
                <w:sz w:val="21"/>
                <w:szCs w:val="21"/>
                <w:lang w:val="en-US" w:eastAsia="zh-CN"/>
              </w:rPr>
              <w:t>，用地为工业用地。以下是与四平经济开发区规划结论符合性分析具体内容：</w:t>
            </w:r>
          </w:p>
          <w:p w14:paraId="601C7EAC">
            <w:pPr>
              <w:keepNext w:val="0"/>
              <w:keepLines w:val="0"/>
              <w:pageBreakBefore w:val="0"/>
              <w:widowControl w:val="0"/>
              <w:kinsoku/>
              <w:wordWrap/>
              <w:overflowPunct/>
              <w:topLinePunct w:val="0"/>
              <w:autoSpaceDE w:val="0"/>
              <w:autoSpaceDN w:val="0"/>
              <w:bidi w:val="0"/>
              <w:adjustRightInd w:val="0"/>
              <w:snapToGrid w:val="0"/>
              <w:spacing w:line="400" w:lineRule="exact"/>
              <w:ind w:right="0" w:rightChars="0"/>
              <w:jc w:val="center"/>
              <w:textAlignment w:val="auto"/>
              <w:outlineLvl w:val="9"/>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表1-</w:t>
            </w:r>
            <w:r>
              <w:rPr>
                <w:rFonts w:hint="eastAsia" w:ascii="宋体" w:hAnsi="宋体" w:cs="宋体"/>
                <w:b/>
                <w:bCs/>
                <w:color w:val="auto"/>
                <w:kern w:val="0"/>
                <w:sz w:val="21"/>
                <w:szCs w:val="21"/>
                <w:lang w:val="en-US" w:eastAsia="zh-CN"/>
              </w:rPr>
              <w:t xml:space="preserve">2    </w:t>
            </w:r>
            <w:r>
              <w:rPr>
                <w:rFonts w:hint="eastAsia" w:ascii="宋体" w:hAnsi="宋体" w:eastAsia="宋体" w:cs="宋体"/>
                <w:b/>
                <w:bCs/>
                <w:color w:val="auto"/>
                <w:kern w:val="0"/>
                <w:sz w:val="21"/>
                <w:szCs w:val="21"/>
                <w:lang w:val="en-US" w:eastAsia="zh-CN"/>
              </w:rPr>
              <w:t>规划及规划环境影响评价符合性分析</w:t>
            </w:r>
          </w:p>
          <w:tbl>
            <w:tblPr>
              <w:tblStyle w:val="2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87"/>
              <w:gridCol w:w="45"/>
              <w:gridCol w:w="2760"/>
              <w:gridCol w:w="15"/>
              <w:gridCol w:w="655"/>
            </w:tblGrid>
            <w:tr w14:paraId="3BB6D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2844" w:type="pct"/>
                  <w:tcBorders>
                    <w:tl2br w:val="nil"/>
                    <w:tr2bl w:val="nil"/>
                  </w:tcBorders>
                  <w:noWrap w:val="0"/>
                  <w:vAlign w:val="top"/>
                </w:tcPr>
                <w:p w14:paraId="126B2CE1">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outlineLvl w:val="9"/>
                    <w:rPr>
                      <w:rFonts w:hint="default"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相关要求</w:t>
                  </w:r>
                </w:p>
              </w:tc>
              <w:tc>
                <w:tcPr>
                  <w:tcW w:w="1748" w:type="pct"/>
                  <w:gridSpan w:val="3"/>
                  <w:tcBorders>
                    <w:tl2br w:val="nil"/>
                    <w:tr2bl w:val="nil"/>
                  </w:tcBorders>
                  <w:noWrap w:val="0"/>
                  <w:vAlign w:val="top"/>
                </w:tcPr>
                <w:p w14:paraId="60C02668">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outlineLvl w:val="9"/>
                    <w:rPr>
                      <w:rFonts w:hint="default"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项目概况</w:t>
                  </w:r>
                </w:p>
              </w:tc>
              <w:tc>
                <w:tcPr>
                  <w:tcW w:w="406" w:type="pct"/>
                  <w:tcBorders>
                    <w:tl2br w:val="nil"/>
                    <w:tr2bl w:val="nil"/>
                  </w:tcBorders>
                  <w:noWrap w:val="0"/>
                  <w:vAlign w:val="top"/>
                </w:tcPr>
                <w:p w14:paraId="6C004A48">
                  <w:pPr>
                    <w:keepNext w:val="0"/>
                    <w:keepLines w:val="0"/>
                    <w:pageBreakBefore w:val="0"/>
                    <w:widowControl w:val="0"/>
                    <w:kinsoku/>
                    <w:wordWrap/>
                    <w:overflowPunct/>
                    <w:topLinePunct w:val="0"/>
                    <w:autoSpaceDE w:val="0"/>
                    <w:autoSpaceDN w:val="0"/>
                    <w:bidi w:val="0"/>
                    <w:adjustRightInd w:val="0"/>
                    <w:snapToGrid w:val="0"/>
                    <w:spacing w:line="300" w:lineRule="exact"/>
                    <w:ind w:right="0" w:rightChars="0" w:firstLine="0" w:firstLineChars="0"/>
                    <w:jc w:val="center"/>
                    <w:textAlignment w:val="auto"/>
                    <w:outlineLvl w:val="9"/>
                    <w:rPr>
                      <w:rFonts w:hint="default"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符合性</w:t>
                  </w:r>
                </w:p>
              </w:tc>
            </w:tr>
            <w:tr w14:paraId="166EB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5000" w:type="pct"/>
                  <w:gridSpan w:val="5"/>
                  <w:tcBorders>
                    <w:tl2br w:val="nil"/>
                    <w:tr2bl w:val="nil"/>
                  </w:tcBorders>
                  <w:noWrap w:val="0"/>
                  <w:vAlign w:val="top"/>
                </w:tcPr>
                <w:p w14:paraId="462C08B4">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与规划的符合性分析</w:t>
                  </w:r>
                </w:p>
              </w:tc>
            </w:tr>
            <w:tr w14:paraId="7DB76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844" w:type="pct"/>
                  <w:tcBorders>
                    <w:tl2br w:val="nil"/>
                    <w:tr2bl w:val="nil"/>
                  </w:tcBorders>
                  <w:noWrap w:val="0"/>
                  <w:vAlign w:val="top"/>
                </w:tcPr>
                <w:p w14:paraId="40A5A940">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360" w:firstLineChars="200"/>
                    <w:jc w:val="both"/>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开发区分为医药食品产业园区（</w:t>
                  </w:r>
                  <w:bookmarkStart w:id="2" w:name="OLE_LINK9"/>
                  <w:bookmarkStart w:id="3" w:name="OLE_LINK10"/>
                  <w:r>
                    <w:rPr>
                      <w:rFonts w:hint="eastAsia" w:ascii="宋体" w:hAnsi="宋体" w:eastAsia="宋体" w:cs="宋体"/>
                      <w:color w:val="auto"/>
                      <w:kern w:val="0"/>
                      <w:sz w:val="18"/>
                      <w:szCs w:val="18"/>
                      <w:lang w:val="en-US" w:eastAsia="zh-CN"/>
                    </w:rPr>
                    <w:t>重点发展医药、食品及保健品制造、酒、饮料等</w:t>
                  </w:r>
                  <w:bookmarkEnd w:id="2"/>
                  <w:bookmarkEnd w:id="3"/>
                  <w:r>
                    <w:rPr>
                      <w:rFonts w:hint="eastAsia" w:ascii="宋体" w:hAnsi="宋体" w:eastAsia="宋体" w:cs="宋体"/>
                      <w:color w:val="auto"/>
                      <w:kern w:val="0"/>
                      <w:sz w:val="18"/>
                      <w:szCs w:val="18"/>
                      <w:lang w:val="en-US" w:eastAsia="zh-CN"/>
                    </w:rPr>
                    <w:t>）、</w:t>
                  </w:r>
                  <w:bookmarkStart w:id="4" w:name="_Hlk217569665"/>
                  <w:r>
                    <w:rPr>
                      <w:rFonts w:hint="eastAsia" w:ascii="宋体" w:hAnsi="宋体" w:eastAsia="宋体" w:cs="宋体"/>
                      <w:color w:val="auto"/>
                      <w:kern w:val="0"/>
                      <w:sz w:val="18"/>
                      <w:szCs w:val="18"/>
                      <w:lang w:val="en-US" w:eastAsia="zh-CN"/>
                    </w:rPr>
                    <w:t>农副产品加工产业园</w:t>
                  </w:r>
                  <w:bookmarkEnd w:id="4"/>
                  <w:r>
                    <w:rPr>
                      <w:rFonts w:hint="eastAsia" w:ascii="宋体" w:hAnsi="宋体" w:eastAsia="宋体" w:cs="宋体"/>
                      <w:color w:val="auto"/>
                      <w:kern w:val="0"/>
                      <w:sz w:val="18"/>
                      <w:szCs w:val="18"/>
                      <w:lang w:val="en-US" w:eastAsia="zh-CN"/>
                    </w:rPr>
                    <w:t>（重点发展农副食品加工业</w:t>
                  </w:r>
                  <w:bookmarkStart w:id="5" w:name="OLE_LINK34"/>
                  <w:bookmarkStart w:id="6" w:name="OLE_LINK33"/>
                  <w:r>
                    <w:rPr>
                      <w:rFonts w:hint="eastAsia" w:ascii="宋体" w:hAnsi="宋体" w:eastAsia="宋体" w:cs="宋体"/>
                      <w:color w:val="auto"/>
                      <w:kern w:val="0"/>
                      <w:sz w:val="18"/>
                      <w:szCs w:val="18"/>
                      <w:lang w:val="en-US" w:eastAsia="zh-CN"/>
                    </w:rPr>
                    <w:t>、生物质材料综合利用</w:t>
                  </w:r>
                  <w:bookmarkEnd w:id="5"/>
                  <w:bookmarkEnd w:id="6"/>
                  <w:r>
                    <w:rPr>
                      <w:rFonts w:hint="eastAsia" w:ascii="宋体" w:hAnsi="宋体" w:eastAsia="宋体" w:cs="宋体"/>
                      <w:color w:val="auto"/>
                      <w:kern w:val="0"/>
                      <w:sz w:val="18"/>
                      <w:szCs w:val="18"/>
                      <w:lang w:val="en-US" w:eastAsia="zh-CN"/>
                    </w:rPr>
                    <w:t>等）、平东老工业区（重点发展换热器、农机等通用、专用设备制造、非金属矿物制品业、塑料及包装制品制造、电子器件制造、物流仓储业等）、</w:t>
                  </w:r>
                  <w:r>
                    <w:rPr>
                      <w:rFonts w:hint="eastAsia" w:ascii="宋体" w:hAnsi="宋体" w:eastAsia="宋体" w:cs="宋体"/>
                      <w:b/>
                      <w:bCs/>
                      <w:color w:val="000000" w:themeColor="text1"/>
                      <w:kern w:val="0"/>
                      <w:sz w:val="18"/>
                      <w:szCs w:val="18"/>
                      <w:lang w:val="en-US" w:eastAsia="zh-CN"/>
                      <w14:textFill>
                        <w14:solidFill>
                          <w14:schemeClr w14:val="tx1"/>
                        </w14:solidFill>
                      </w14:textFill>
                    </w:rPr>
                    <w:t>新材料产业园区（重点发展生物质新材料、医用新材料、高性能金属材料、非金属新材料等）</w:t>
                  </w:r>
                  <w:r>
                    <w:rPr>
                      <w:rFonts w:hint="eastAsia" w:ascii="宋体" w:hAnsi="宋体" w:eastAsia="宋体" w:cs="宋体"/>
                      <w:color w:val="auto"/>
                      <w:kern w:val="0"/>
                      <w:sz w:val="18"/>
                      <w:szCs w:val="18"/>
                      <w:lang w:val="en-US" w:eastAsia="zh-CN"/>
                    </w:rPr>
                    <w:t>、汽车与装备制造产业园区（重点发展汽车制造业、金属制品业、专用设备制造、通用设备制造、清洁能源及新能源制造、电气机械和器材制造业；兼顾发展汽车维修保养服务、汽车检测认证中心、氢能储运设备、废弃资源综合利用等）、市政设施配套产业园区（重点发展非金属矿物制品、废弃资源综合利用，兼顾发展市政配套相关产业）、产城融合区（重点发展生活配套服务设施）、产学康养区（重点发展社会事业与服务业、商业、旅游业等</w:t>
                  </w:r>
                  <w:r>
                    <w:rPr>
                      <w:rFonts w:hint="eastAsia" w:ascii="宋体" w:hAnsi="宋体" w:cs="宋体"/>
                      <w:color w:val="auto"/>
                      <w:kern w:val="0"/>
                      <w:sz w:val="18"/>
                      <w:szCs w:val="18"/>
                      <w:lang w:val="en-US" w:eastAsia="zh-CN"/>
                    </w:rPr>
                    <w:t>。</w:t>
                  </w:r>
                </w:p>
              </w:tc>
              <w:tc>
                <w:tcPr>
                  <w:tcW w:w="1748" w:type="pct"/>
                  <w:gridSpan w:val="3"/>
                  <w:tcBorders>
                    <w:tl2br w:val="nil"/>
                    <w:tr2bl w:val="nil"/>
                  </w:tcBorders>
                  <w:noWrap w:val="0"/>
                  <w:vAlign w:val="top"/>
                </w:tcPr>
                <w:p w14:paraId="5DD2F407">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360" w:firstLineChars="20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本项目位</w:t>
                  </w:r>
                  <w:r>
                    <w:rPr>
                      <w:rFonts w:hint="eastAsia" w:ascii="宋体" w:hAnsi="宋体" w:eastAsia="宋体" w:cs="宋体"/>
                      <w:b w:val="0"/>
                      <w:bCs w:val="0"/>
                      <w:color w:val="auto"/>
                      <w:kern w:val="0"/>
                      <w:sz w:val="18"/>
                      <w:szCs w:val="18"/>
                      <w:lang w:val="en-US" w:eastAsia="zh-CN"/>
                    </w:rPr>
                    <w:t>于</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新材料产业园区（重点发展生物质新材料、医用新材料、高性能金属材料、非金属新材料等）</w:t>
                  </w:r>
                  <w:r>
                    <w:rPr>
                      <w:rFonts w:hint="eastAsia" w:ascii="宋体" w:hAnsi="宋体" w:cs="宋体"/>
                      <w:b w:val="0"/>
                      <w:bCs w:val="0"/>
                      <w:color w:val="000000" w:themeColor="text1"/>
                      <w:kern w:val="0"/>
                      <w:sz w:val="18"/>
                      <w:szCs w:val="18"/>
                      <w:lang w:val="en-US" w:eastAsia="zh-CN"/>
                      <w14:textFill>
                        <w14:solidFill>
                          <w14:schemeClr w14:val="tx1"/>
                        </w14:solidFill>
                      </w14:textFill>
                    </w:rPr>
                    <w:t>，属于非金属新材料与规划相符。</w:t>
                  </w:r>
                </w:p>
              </w:tc>
              <w:tc>
                <w:tcPr>
                  <w:tcW w:w="406" w:type="pct"/>
                  <w:tcBorders>
                    <w:tl2br w:val="nil"/>
                    <w:tr2bl w:val="nil"/>
                  </w:tcBorders>
                  <w:noWrap w:val="0"/>
                  <w:vAlign w:val="center"/>
                </w:tcPr>
                <w:p w14:paraId="3839D58D">
                  <w:pPr>
                    <w:keepNext w:val="0"/>
                    <w:keepLines w:val="0"/>
                    <w:pageBreakBefore w:val="0"/>
                    <w:widowControl w:val="0"/>
                    <w:kinsoku/>
                    <w:wordWrap/>
                    <w:overflowPunct/>
                    <w:topLinePunct w:val="0"/>
                    <w:autoSpaceDE w:val="0"/>
                    <w:autoSpaceDN w:val="0"/>
                    <w:bidi w:val="0"/>
                    <w:adjustRightInd w:val="0"/>
                    <w:snapToGrid w:val="0"/>
                    <w:spacing w:line="300" w:lineRule="exact"/>
                    <w:ind w:right="0" w:rightChars="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符合</w:t>
                  </w:r>
                </w:p>
              </w:tc>
            </w:tr>
            <w:tr w14:paraId="53164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8" w:hRule="atLeast"/>
              </w:trPr>
              <w:tc>
                <w:tcPr>
                  <w:tcW w:w="2844" w:type="pct"/>
                  <w:tcBorders>
                    <w:tl2br w:val="nil"/>
                    <w:tr2bl w:val="nil"/>
                  </w:tcBorders>
                  <w:noWrap w:val="0"/>
                  <w:vAlign w:val="top"/>
                </w:tcPr>
                <w:p w14:paraId="6A2A6C9C">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基础设施规划：</w:t>
                  </w:r>
                </w:p>
                <w:p w14:paraId="4344575E">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　　1、供水</w:t>
                  </w:r>
                  <w:r>
                    <w:rPr>
                      <w:rFonts w:hint="eastAsia" w:ascii="宋体" w:hAnsi="宋体" w:eastAsia="宋体" w:cs="宋体"/>
                      <w:color w:val="auto"/>
                      <w:kern w:val="0"/>
                      <w:sz w:val="18"/>
                      <w:szCs w:val="18"/>
                      <w:highlight w:val="none"/>
                      <w:lang w:val="en-US" w:eastAsia="zh-CN"/>
                    </w:rPr>
                    <w:t>：企业生产和生活用水依托区外现有的四平市第二供水厂（水源引自山门水库）、第四供水厂（水源引自下三台水库和引松入平工程）及四平市规划的再生水厂（预计远期建成运行）供给。</w:t>
                  </w:r>
                </w:p>
                <w:p w14:paraId="29C9E87C">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　　2、排水：废水排入现有的中核四平环保科技有限公司（四平市污水处理厂）处理，山门镇污水处理厂</w:t>
                  </w:r>
                  <w:r>
                    <w:rPr>
                      <w:rFonts w:hint="eastAsia" w:ascii="宋体" w:hAnsi="宋体" w:cs="宋体"/>
                      <w:color w:val="auto"/>
                      <w:kern w:val="0"/>
                      <w:sz w:val="18"/>
                      <w:szCs w:val="18"/>
                      <w:highlight w:val="none"/>
                      <w:lang w:val="en-US" w:eastAsia="zh-CN"/>
                    </w:rPr>
                    <w:t>以及山门镇污水处理厂</w:t>
                  </w:r>
                  <w:r>
                    <w:rPr>
                      <w:rFonts w:hint="eastAsia" w:ascii="宋体" w:hAnsi="宋体" w:eastAsia="宋体" w:cs="宋体"/>
                      <w:color w:val="auto"/>
                      <w:kern w:val="0"/>
                      <w:sz w:val="18"/>
                      <w:szCs w:val="18"/>
                      <w:highlight w:val="none"/>
                      <w:lang w:val="en-US" w:eastAsia="zh-CN"/>
                    </w:rPr>
                    <w:t>出水水质满足《城镇污水处理厂污染物排放标准》中一级A标准要求后排入条子河。</w:t>
                  </w:r>
                </w:p>
                <w:p w14:paraId="27C51DB2">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highlight w:val="none"/>
                      <w:lang w:val="en-US" w:eastAsia="zh-CN"/>
                    </w:rPr>
                    <w:t>　　3、供热：开发区以四平热电厂和规划区域锅炉房为热源。分别为大健康分散式热源，汽车产业园分散式热源</w:t>
                  </w:r>
                  <w:r>
                    <w:rPr>
                      <w:rFonts w:hint="eastAsia" w:ascii="宋体" w:hAnsi="宋体" w:cs="宋体"/>
                      <w:color w:val="auto"/>
                      <w:kern w:val="0"/>
                      <w:sz w:val="18"/>
                      <w:szCs w:val="18"/>
                      <w:highlight w:val="none"/>
                      <w:lang w:val="en-US" w:eastAsia="zh-CN"/>
                    </w:rPr>
                    <w:t>以及山门镇热源。</w:t>
                  </w:r>
                </w:p>
              </w:tc>
              <w:tc>
                <w:tcPr>
                  <w:tcW w:w="1748" w:type="pct"/>
                  <w:gridSpan w:val="3"/>
                  <w:tcBorders>
                    <w:tl2br w:val="nil"/>
                    <w:tr2bl w:val="nil"/>
                  </w:tcBorders>
                  <w:noWrap w:val="0"/>
                  <w:vAlign w:val="top"/>
                </w:tcPr>
                <w:p w14:paraId="0A48B36F">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1、供水：企业用自来水作为水源。</w:t>
                  </w:r>
                </w:p>
                <w:p w14:paraId="50A76C39">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2、排水：废水经自建污水处理站预处理达标后，经市政污水管网排入四平市污水处理厂处理。</w:t>
                  </w:r>
                </w:p>
                <w:p w14:paraId="5702003E">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3、供热：本项目取暖采用电取暖。</w:t>
                  </w:r>
                </w:p>
              </w:tc>
              <w:tc>
                <w:tcPr>
                  <w:tcW w:w="406" w:type="pct"/>
                  <w:tcBorders>
                    <w:tl2br w:val="nil"/>
                    <w:tr2bl w:val="nil"/>
                  </w:tcBorders>
                  <w:noWrap w:val="0"/>
                  <w:vAlign w:val="center"/>
                </w:tcPr>
                <w:p w14:paraId="0C808A46">
                  <w:pPr>
                    <w:keepNext w:val="0"/>
                    <w:keepLines w:val="0"/>
                    <w:pageBreakBefore w:val="0"/>
                    <w:widowControl w:val="0"/>
                    <w:kinsoku/>
                    <w:wordWrap/>
                    <w:overflowPunct/>
                    <w:topLinePunct w:val="0"/>
                    <w:autoSpaceDE w:val="0"/>
                    <w:autoSpaceDN w:val="0"/>
                    <w:bidi w:val="0"/>
                    <w:adjustRightInd w:val="0"/>
                    <w:snapToGrid w:val="0"/>
                    <w:spacing w:line="300" w:lineRule="exact"/>
                    <w:ind w:right="0" w:rightChars="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符合</w:t>
                  </w:r>
                </w:p>
              </w:tc>
            </w:tr>
            <w:tr w14:paraId="05BCC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 w:hRule="atLeast"/>
              </w:trPr>
              <w:tc>
                <w:tcPr>
                  <w:tcW w:w="5000" w:type="pct"/>
                  <w:gridSpan w:val="5"/>
                  <w:tcBorders>
                    <w:tl2br w:val="nil"/>
                    <w:tr2bl w:val="nil"/>
                  </w:tcBorders>
                  <w:noWrap w:val="0"/>
                  <w:vAlign w:val="top"/>
                </w:tcPr>
                <w:p w14:paraId="2097FA94">
                  <w:pPr>
                    <w:keepNext w:val="0"/>
                    <w:keepLines w:val="0"/>
                    <w:pageBreakBefore w:val="0"/>
                    <w:widowControl w:val="0"/>
                    <w:kinsoku/>
                    <w:wordWrap/>
                    <w:overflowPunct/>
                    <w:topLinePunct w:val="0"/>
                    <w:autoSpaceDE w:val="0"/>
                    <w:autoSpaceDN w:val="0"/>
                    <w:bidi w:val="0"/>
                    <w:adjustRightInd w:val="0"/>
                    <w:snapToGrid w:val="0"/>
                    <w:spacing w:line="300" w:lineRule="exact"/>
                    <w:ind w:right="0" w:rightChars="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规划环评结论符合性</w:t>
                  </w:r>
                </w:p>
              </w:tc>
            </w:tr>
            <w:tr w14:paraId="298E1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8" w:hRule="atLeast"/>
              </w:trPr>
              <w:tc>
                <w:tcPr>
                  <w:tcW w:w="2844" w:type="pct"/>
                  <w:tcBorders>
                    <w:tl2br w:val="nil"/>
                    <w:tr2bl w:val="nil"/>
                  </w:tcBorders>
                  <w:noWrap w:val="0"/>
                  <w:vAlign w:val="top"/>
                </w:tcPr>
                <w:p w14:paraId="663412A1">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360" w:firstLineChars="200"/>
                    <w:jc w:val="both"/>
                    <w:textAlignment w:val="auto"/>
                    <w:outlineLvl w:val="9"/>
                    <w:rPr>
                      <w:rFonts w:hint="eastAsia" w:ascii="宋体" w:hAnsi="宋体" w:eastAsia="宋体" w:cs="宋体"/>
                      <w:color w:val="00B050"/>
                      <w:kern w:val="0"/>
                      <w:sz w:val="18"/>
                      <w:szCs w:val="18"/>
                      <w:highlight w:val="none"/>
                      <w:u w:val="single"/>
                      <w:lang w:val="en-US" w:eastAsia="zh-CN"/>
                    </w:rPr>
                  </w:pPr>
                  <w:r>
                    <w:rPr>
                      <w:rFonts w:hint="eastAsia" w:ascii="宋体" w:hAnsi="宋体" w:eastAsia="宋体" w:cs="宋体"/>
                      <w:color w:val="00B050"/>
                      <w:kern w:val="0"/>
                      <w:sz w:val="18"/>
                      <w:szCs w:val="18"/>
                      <w:highlight w:val="none"/>
                      <w:u w:val="single"/>
                      <w:lang w:val="en-US" w:eastAsia="zh-CN"/>
                    </w:rPr>
                    <w:t>该规划与相关政策要求、区域发展战略、上层规划、吉林省生态环境分区管控方案及相关功能区划总体协调；在发展定位与目标、产业布局、发展规模、基础设施规划等方面的设置合理可行。规划实施对区域水环境、环境空气和土壤的影响处于可接受水平，区域噪声可稳定达标；在实施绿化建设、水土保持等生态修复与补偿措施后，对区域生态环境影响总体可控。入区企业拟采取的环境风险防控措施合理可行，在落实风险防范措施的前提下，环境风险可得到有效管控。</w:t>
                  </w:r>
                </w:p>
                <w:p w14:paraId="20CC70E1">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360" w:firstLineChars="200"/>
                    <w:jc w:val="both"/>
                    <w:textAlignment w:val="auto"/>
                    <w:outlineLvl w:val="9"/>
                    <w:rPr>
                      <w:rFonts w:hint="eastAsia" w:ascii="宋体" w:hAnsi="宋体" w:eastAsia="宋体" w:cs="宋体"/>
                      <w:color w:val="00B050"/>
                      <w:kern w:val="0"/>
                      <w:sz w:val="18"/>
                      <w:szCs w:val="18"/>
                      <w:highlight w:val="none"/>
                      <w:u w:val="single"/>
                      <w:lang w:val="en-US" w:eastAsia="zh-CN"/>
                    </w:rPr>
                  </w:pPr>
                  <w:r>
                    <w:rPr>
                      <w:rFonts w:hint="eastAsia" w:ascii="宋体" w:hAnsi="宋体" w:eastAsia="宋体" w:cs="宋体"/>
                      <w:color w:val="00B050"/>
                      <w:kern w:val="0"/>
                      <w:sz w:val="18"/>
                      <w:szCs w:val="18"/>
                      <w:highlight w:val="none"/>
                      <w:u w:val="single"/>
                      <w:lang w:val="en-US" w:eastAsia="zh-CN"/>
                    </w:rPr>
                    <w:t>建议开发区管委会依据规划环评要求制定并实施跟踪评价计划，按监测方案开展定期监测，构建完善的环境管理体系，加强对区内企业的环境监管，确保规划实施过程中生态环境质量持续改善。</w:t>
                  </w:r>
                </w:p>
              </w:tc>
              <w:tc>
                <w:tcPr>
                  <w:tcW w:w="1748" w:type="pct"/>
                  <w:gridSpan w:val="3"/>
                  <w:tcBorders>
                    <w:tl2br w:val="nil"/>
                    <w:tr2bl w:val="nil"/>
                  </w:tcBorders>
                  <w:noWrap w:val="0"/>
                  <w:vAlign w:val="top"/>
                </w:tcPr>
                <w:p w14:paraId="5A2B9ADE">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00B050"/>
                      <w:kern w:val="0"/>
                      <w:sz w:val="18"/>
                      <w:szCs w:val="18"/>
                      <w:highlight w:val="none"/>
                      <w:u w:val="single"/>
                      <w:lang w:val="en-US" w:eastAsia="zh-CN"/>
                    </w:rPr>
                  </w:pPr>
                  <w:r>
                    <w:rPr>
                      <w:rFonts w:hint="eastAsia" w:ascii="宋体" w:hAnsi="宋体" w:cs="宋体"/>
                      <w:color w:val="00B050"/>
                      <w:kern w:val="0"/>
                      <w:sz w:val="18"/>
                      <w:szCs w:val="18"/>
                      <w:u w:val="single"/>
                      <w:lang w:val="en-US" w:eastAsia="zh-CN"/>
                    </w:rPr>
                    <w:t>本项目符合开发区规划，项目</w:t>
                  </w:r>
                  <w:r>
                    <w:rPr>
                      <w:rFonts w:hint="eastAsia" w:ascii="宋体" w:hAnsi="宋体" w:eastAsia="宋体" w:cs="宋体"/>
                      <w:color w:val="00B050"/>
                      <w:kern w:val="0"/>
                      <w:sz w:val="18"/>
                      <w:szCs w:val="18"/>
                      <w:highlight w:val="none"/>
                      <w:u w:val="single"/>
                      <w:lang w:val="en-US" w:eastAsia="zh-CN"/>
                    </w:rPr>
                    <w:t>拟采取的环境风险防控措施合理可行，在落实风险防范措施的前提下，环境风险可得到有效管控。</w:t>
                  </w:r>
                </w:p>
                <w:p w14:paraId="08566DAF">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00B050"/>
                      <w:kern w:val="0"/>
                      <w:sz w:val="18"/>
                      <w:szCs w:val="18"/>
                      <w:u w:val="single"/>
                      <w:lang w:val="en-US" w:eastAsia="zh-CN"/>
                    </w:rPr>
                  </w:pPr>
                </w:p>
              </w:tc>
              <w:tc>
                <w:tcPr>
                  <w:tcW w:w="406" w:type="pct"/>
                  <w:tcBorders>
                    <w:tl2br w:val="nil"/>
                    <w:tr2bl w:val="nil"/>
                  </w:tcBorders>
                  <w:noWrap w:val="0"/>
                  <w:vAlign w:val="center"/>
                </w:tcPr>
                <w:p w14:paraId="76FD857C">
                  <w:pPr>
                    <w:keepNext w:val="0"/>
                    <w:keepLines w:val="0"/>
                    <w:pageBreakBefore w:val="0"/>
                    <w:widowControl w:val="0"/>
                    <w:kinsoku/>
                    <w:wordWrap/>
                    <w:overflowPunct/>
                    <w:topLinePunct w:val="0"/>
                    <w:autoSpaceDE w:val="0"/>
                    <w:autoSpaceDN w:val="0"/>
                    <w:bidi w:val="0"/>
                    <w:adjustRightInd w:val="0"/>
                    <w:snapToGrid w:val="0"/>
                    <w:spacing w:line="300" w:lineRule="exact"/>
                    <w:ind w:right="0" w:rightChars="0" w:firstLine="0" w:firstLineChars="0"/>
                    <w:jc w:val="center"/>
                    <w:textAlignment w:val="auto"/>
                    <w:outlineLvl w:val="9"/>
                    <w:rPr>
                      <w:rFonts w:hint="default" w:ascii="宋体" w:hAnsi="宋体" w:eastAsia="宋体" w:cs="宋体"/>
                      <w:color w:val="00B050"/>
                      <w:kern w:val="0"/>
                      <w:sz w:val="18"/>
                      <w:szCs w:val="18"/>
                      <w:u w:val="single"/>
                      <w:lang w:val="en-US" w:eastAsia="zh-CN"/>
                    </w:rPr>
                  </w:pPr>
                  <w:r>
                    <w:rPr>
                      <w:rFonts w:hint="eastAsia" w:ascii="宋体" w:hAnsi="宋体" w:cs="宋体"/>
                      <w:color w:val="00B050"/>
                      <w:kern w:val="0"/>
                      <w:sz w:val="18"/>
                      <w:szCs w:val="18"/>
                      <w:u w:val="single"/>
                      <w:lang w:val="en-US" w:eastAsia="zh-CN"/>
                    </w:rPr>
                    <w:t>符合</w:t>
                  </w:r>
                </w:p>
              </w:tc>
            </w:tr>
            <w:tr w14:paraId="42B3F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00" w:type="pct"/>
                  <w:gridSpan w:val="5"/>
                  <w:tcBorders>
                    <w:tl2br w:val="nil"/>
                    <w:tr2bl w:val="nil"/>
                  </w:tcBorders>
                  <w:noWrap w:val="0"/>
                  <w:vAlign w:val="top"/>
                </w:tcPr>
                <w:p w14:paraId="39CFD279">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与规划环评审查意见的相符性</w:t>
                  </w:r>
                </w:p>
              </w:tc>
            </w:tr>
            <w:tr w14:paraId="68053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00" w:type="pct"/>
                  <w:gridSpan w:val="5"/>
                  <w:tcBorders>
                    <w:tl2br w:val="nil"/>
                    <w:tr2bl w:val="nil"/>
                  </w:tcBorders>
                  <w:noWrap w:val="0"/>
                  <w:vAlign w:val="top"/>
                </w:tcPr>
                <w:p w14:paraId="49C424A5">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对规划优化调整和实施的建议（摘录与项目相关的要求）</w:t>
                  </w:r>
                </w:p>
              </w:tc>
            </w:tr>
            <w:tr w14:paraId="2CAA3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4" w:type="pct"/>
                  <w:tcBorders>
                    <w:tl2br w:val="nil"/>
                    <w:tr2bl w:val="nil"/>
                  </w:tcBorders>
                  <w:noWrap w:val="0"/>
                  <w:vAlign w:val="top"/>
                </w:tcPr>
                <w:p w14:paraId="00794274">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二）严格入园项目环境准入管理。开发区引进建设项目应严格落实生态环境分区管控准入要求，加强入园项目的布局和准入管理。新、改、扩建项目应满足重点污染物排放总量控制、碳排放达峰目标、生态环境准入清单、及环评文件审批原则要求，并采用先进适用的工艺技术和装备，单位产品物耗、能耗、水耗等达到国内清洁生产先进水平，将试点行业碳排放影响评价纳入项目环境影响评价中。禁止不符合规划产业定位的企业扩建，着力推动开发区产业结构调整和转型升级。</w:t>
                  </w:r>
                </w:p>
                <w:p w14:paraId="6BE29F9A">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p>
              </w:tc>
              <w:tc>
                <w:tcPr>
                  <w:tcW w:w="1748" w:type="pct"/>
                  <w:gridSpan w:val="3"/>
                  <w:tcBorders>
                    <w:tl2br w:val="nil"/>
                    <w:tr2bl w:val="nil"/>
                  </w:tcBorders>
                  <w:noWrap w:val="0"/>
                  <w:vAlign w:val="top"/>
                </w:tcPr>
                <w:p w14:paraId="513A8B89">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本项目</w:t>
                  </w:r>
                  <w:r>
                    <w:rPr>
                      <w:rFonts w:hint="eastAsia" w:ascii="宋体" w:hAnsi="宋体" w:cs="宋体"/>
                      <w:color w:val="auto"/>
                      <w:kern w:val="0"/>
                      <w:sz w:val="18"/>
                      <w:szCs w:val="18"/>
                      <w:lang w:val="en-US" w:eastAsia="zh-CN"/>
                    </w:rPr>
                    <w:t>符合</w:t>
                  </w:r>
                  <w:r>
                    <w:rPr>
                      <w:rFonts w:hint="eastAsia" w:ascii="宋体" w:hAnsi="宋体" w:eastAsia="宋体" w:cs="宋体"/>
                      <w:color w:val="auto"/>
                      <w:kern w:val="0"/>
                      <w:sz w:val="18"/>
                      <w:szCs w:val="18"/>
                      <w:lang w:val="en-US" w:eastAsia="zh-CN"/>
                    </w:rPr>
                    <w:t>生态环境分区管控准入要求</w:t>
                  </w:r>
                  <w:r>
                    <w:rPr>
                      <w:rFonts w:hint="eastAsia" w:ascii="宋体" w:hAnsi="宋体" w:cs="宋体"/>
                      <w:color w:val="auto"/>
                      <w:kern w:val="0"/>
                      <w:sz w:val="18"/>
                      <w:szCs w:val="18"/>
                      <w:lang w:val="en-US" w:eastAsia="zh-CN"/>
                    </w:rPr>
                    <w:t>，</w:t>
                  </w:r>
                  <w:r>
                    <w:rPr>
                      <w:rFonts w:hint="eastAsia" w:ascii="宋体" w:hAnsi="宋体" w:eastAsia="宋体" w:cs="宋体"/>
                      <w:color w:val="auto"/>
                      <w:kern w:val="0"/>
                      <w:sz w:val="18"/>
                      <w:szCs w:val="18"/>
                      <w:lang w:val="en-US" w:eastAsia="zh-CN"/>
                    </w:rPr>
                    <w:t>采用先进适用的工艺技术和装备，单位产品物耗、能耗、水耗等达到国内清洁生产先进水平</w:t>
                  </w:r>
                  <w:r>
                    <w:rPr>
                      <w:rFonts w:hint="eastAsia" w:ascii="宋体" w:hAnsi="宋体" w:cs="宋体"/>
                      <w:color w:val="auto"/>
                      <w:kern w:val="0"/>
                      <w:sz w:val="18"/>
                      <w:szCs w:val="18"/>
                      <w:lang w:val="en-US" w:eastAsia="zh-CN"/>
                    </w:rPr>
                    <w:t>。</w:t>
                  </w:r>
                </w:p>
              </w:tc>
              <w:tc>
                <w:tcPr>
                  <w:tcW w:w="406" w:type="pct"/>
                  <w:tcBorders>
                    <w:tl2br w:val="nil"/>
                    <w:tr2bl w:val="nil"/>
                  </w:tcBorders>
                  <w:noWrap w:val="0"/>
                  <w:vAlign w:val="center"/>
                </w:tcPr>
                <w:p w14:paraId="64844A4F">
                  <w:pPr>
                    <w:keepNext w:val="0"/>
                    <w:keepLines w:val="0"/>
                    <w:pageBreakBefore w:val="0"/>
                    <w:widowControl w:val="0"/>
                    <w:kinsoku/>
                    <w:wordWrap/>
                    <w:overflowPunct/>
                    <w:topLinePunct w:val="0"/>
                    <w:autoSpaceDE w:val="0"/>
                    <w:autoSpaceDN w:val="0"/>
                    <w:bidi w:val="0"/>
                    <w:adjustRightInd w:val="0"/>
                    <w:snapToGrid w:val="0"/>
                    <w:spacing w:line="300" w:lineRule="exact"/>
                    <w:ind w:right="0" w:rightChars="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符合</w:t>
                  </w:r>
                </w:p>
              </w:tc>
            </w:tr>
            <w:tr w14:paraId="3E0AE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4" w:type="pct"/>
                  <w:tcBorders>
                    <w:tl2br w:val="nil"/>
                    <w:tr2bl w:val="nil"/>
                  </w:tcBorders>
                  <w:noWrap w:val="0"/>
                  <w:vAlign w:val="top"/>
                </w:tcPr>
                <w:p w14:paraId="3DE55E11">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四）依法依规科学开展各类开发建设活动。开发区在规划期内开发占用少量农田，须严格落实《中华人民共和国土地管理法》相关要求，尽量不占或者少占耕地；确需占用耕地的，要在依法报批用地前，补充数量相等、质量相同的耕地，依法办理建设用地审批手续。</w:t>
                  </w:r>
                </w:p>
              </w:tc>
              <w:tc>
                <w:tcPr>
                  <w:tcW w:w="1748" w:type="pct"/>
                  <w:gridSpan w:val="3"/>
                  <w:tcBorders>
                    <w:tl2br w:val="nil"/>
                    <w:tr2bl w:val="nil"/>
                  </w:tcBorders>
                  <w:noWrap w:val="0"/>
                  <w:vAlign w:val="top"/>
                </w:tcPr>
                <w:p w14:paraId="0473A073">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本项目利用原有废弃厂房，无新增用地</w:t>
                  </w:r>
                  <w:r>
                    <w:rPr>
                      <w:rFonts w:hint="eastAsia" w:ascii="宋体" w:hAnsi="宋体" w:eastAsia="宋体" w:cs="宋体"/>
                      <w:color w:val="auto"/>
                      <w:kern w:val="0"/>
                      <w:sz w:val="18"/>
                      <w:szCs w:val="18"/>
                      <w:lang w:val="en-US" w:eastAsia="zh-CN"/>
                    </w:rPr>
                    <w:t>。</w:t>
                  </w:r>
                </w:p>
              </w:tc>
              <w:tc>
                <w:tcPr>
                  <w:tcW w:w="406" w:type="pct"/>
                  <w:tcBorders>
                    <w:tl2br w:val="nil"/>
                    <w:tr2bl w:val="nil"/>
                  </w:tcBorders>
                  <w:noWrap w:val="0"/>
                  <w:vAlign w:val="center"/>
                </w:tcPr>
                <w:p w14:paraId="07A77968">
                  <w:pPr>
                    <w:keepNext w:val="0"/>
                    <w:keepLines w:val="0"/>
                    <w:pageBreakBefore w:val="0"/>
                    <w:widowControl w:val="0"/>
                    <w:kinsoku/>
                    <w:wordWrap/>
                    <w:overflowPunct/>
                    <w:topLinePunct w:val="0"/>
                    <w:autoSpaceDE w:val="0"/>
                    <w:autoSpaceDN w:val="0"/>
                    <w:bidi w:val="0"/>
                    <w:adjustRightInd w:val="0"/>
                    <w:snapToGrid w:val="0"/>
                    <w:spacing w:line="300" w:lineRule="exact"/>
                    <w:ind w:right="0" w:rightChars="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符合</w:t>
                  </w:r>
                </w:p>
              </w:tc>
            </w:tr>
            <w:tr w14:paraId="152B2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4" w:type="pct"/>
                  <w:tcBorders>
                    <w:tl2br w:val="nil"/>
                    <w:tr2bl w:val="nil"/>
                  </w:tcBorders>
                  <w:noWrap w:val="0"/>
                  <w:vAlign w:val="top"/>
                </w:tcPr>
                <w:p w14:paraId="7237FC3D">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八）强化污染物总量排放管控。按照《关于规划环境影响评价加强空间管制、总量管控和环境准入的指导意见（试行）》（环办环评〔2016〕14号）中严格总量管控的相关要求，确定主要控制污染物因子总量管控限值。</w:t>
                  </w:r>
                </w:p>
              </w:tc>
              <w:tc>
                <w:tcPr>
                  <w:tcW w:w="1748" w:type="pct"/>
                  <w:gridSpan w:val="3"/>
                  <w:tcBorders>
                    <w:tl2br w:val="nil"/>
                    <w:tr2bl w:val="nil"/>
                  </w:tcBorders>
                  <w:noWrap w:val="0"/>
                  <w:vAlign w:val="top"/>
                </w:tcPr>
                <w:p w14:paraId="70FB5E53">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360" w:firstLineChars="200"/>
                    <w:jc w:val="both"/>
                    <w:textAlignment w:val="auto"/>
                    <w:outlineLvl w:val="9"/>
                    <w:rPr>
                      <w:rFonts w:hint="default" w:ascii="宋体" w:hAnsi="宋体" w:eastAsia="宋体" w:cs="宋体"/>
                      <w:color w:val="auto"/>
                      <w:kern w:val="0"/>
                      <w:sz w:val="18"/>
                      <w:szCs w:val="18"/>
                      <w:lang w:val="en-US" w:eastAsia="zh-CN"/>
                    </w:rPr>
                  </w:pPr>
                  <w:r>
                    <w:rPr>
                      <w:rFonts w:hint="default" w:ascii="宋体" w:hAnsi="宋体" w:eastAsia="宋体" w:cs="宋体"/>
                      <w:color w:val="auto"/>
                      <w:kern w:val="0"/>
                      <w:sz w:val="18"/>
                      <w:szCs w:val="18"/>
                      <w:lang w:val="en-US" w:eastAsia="zh-CN"/>
                    </w:rPr>
                    <w:t>依据吉林省生态环境厅《关于进一步明确建设项目主要污染物排放总量审核有关事宜的复函》</w:t>
                  </w:r>
                  <w:r>
                    <w:rPr>
                      <w:rFonts w:hint="eastAsia" w:ascii="宋体" w:hAnsi="宋体" w:cs="宋体"/>
                      <w:color w:val="auto"/>
                      <w:kern w:val="0"/>
                      <w:sz w:val="18"/>
                      <w:szCs w:val="18"/>
                      <w:lang w:val="en-US" w:eastAsia="zh-CN"/>
                    </w:rPr>
                    <w:t>本项目无需要申请总量。</w:t>
                  </w:r>
                </w:p>
              </w:tc>
              <w:tc>
                <w:tcPr>
                  <w:tcW w:w="406" w:type="pct"/>
                  <w:tcBorders>
                    <w:tl2br w:val="nil"/>
                    <w:tr2bl w:val="nil"/>
                  </w:tcBorders>
                  <w:noWrap w:val="0"/>
                  <w:vAlign w:val="center"/>
                </w:tcPr>
                <w:p w14:paraId="06289EFF">
                  <w:pPr>
                    <w:keepNext w:val="0"/>
                    <w:keepLines w:val="0"/>
                    <w:pageBreakBefore w:val="0"/>
                    <w:widowControl w:val="0"/>
                    <w:kinsoku/>
                    <w:wordWrap/>
                    <w:overflowPunct/>
                    <w:topLinePunct w:val="0"/>
                    <w:autoSpaceDE w:val="0"/>
                    <w:autoSpaceDN w:val="0"/>
                    <w:bidi w:val="0"/>
                    <w:adjustRightInd w:val="0"/>
                    <w:snapToGrid w:val="0"/>
                    <w:spacing w:line="300" w:lineRule="exact"/>
                    <w:ind w:right="0" w:rightChars="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符合</w:t>
                  </w:r>
                </w:p>
              </w:tc>
            </w:tr>
            <w:tr w14:paraId="321A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2844" w:type="pct"/>
                  <w:tcBorders>
                    <w:tl2br w:val="nil"/>
                    <w:tr2bl w:val="nil"/>
                  </w:tcBorders>
                  <w:noWrap w:val="0"/>
                  <w:vAlign w:val="top"/>
                </w:tcPr>
                <w:p w14:paraId="61C1212C">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（九）</w:t>
                  </w:r>
                  <w:r>
                    <w:rPr>
                      <w:rFonts w:hint="default" w:ascii="宋体" w:hAnsi="宋体" w:eastAsia="宋体" w:cs="宋体"/>
                      <w:color w:val="auto"/>
                      <w:kern w:val="0"/>
                      <w:sz w:val="18"/>
                      <w:szCs w:val="18"/>
                      <w:lang w:val="en-US" w:eastAsia="zh-CN"/>
                    </w:rPr>
                    <w:t>强化水环境风险防范。对企业现有地下水污染防治设施进行定期巡检，按照不同的防渗要求做好防渗工作，制定地下水跟踪监测计划，定期跟踪监测，合理布置地下水监测井。严格落实《中华人民共和国水污染防治法》要求，禁止在饮用水水源保护区等保护范围内设置排污口，禁止新建与供水设施和保护水源无关的建设项目。开发区应建立健全环境风险防范和生态安全保障体系，立即组织编制环境风险应急预案并落实各项风险防范措施，建立企业、开发区及政府的环境风险防范体系联动机制，实现有效衔接，杜绝环境风险事故发生。</w:t>
                  </w:r>
                </w:p>
              </w:tc>
              <w:tc>
                <w:tcPr>
                  <w:tcW w:w="1748" w:type="pct"/>
                  <w:gridSpan w:val="3"/>
                  <w:tcBorders>
                    <w:tl2br w:val="nil"/>
                    <w:tr2bl w:val="nil"/>
                  </w:tcBorders>
                  <w:noWrap w:val="0"/>
                  <w:vAlign w:val="top"/>
                </w:tcPr>
                <w:p w14:paraId="3C4C6DC5">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本项目</w:t>
                  </w:r>
                  <w:r>
                    <w:rPr>
                      <w:rFonts w:hint="eastAsia" w:ascii="宋体" w:hAnsi="宋体" w:cs="宋体"/>
                      <w:color w:val="auto"/>
                      <w:kern w:val="0"/>
                      <w:sz w:val="18"/>
                      <w:szCs w:val="18"/>
                      <w:lang w:val="en-US" w:eastAsia="zh-CN"/>
                    </w:rPr>
                    <w:t>不在</w:t>
                  </w:r>
                  <w:r>
                    <w:rPr>
                      <w:rFonts w:hint="default" w:ascii="宋体" w:hAnsi="宋体" w:eastAsia="宋体" w:cs="宋体"/>
                      <w:color w:val="auto"/>
                      <w:kern w:val="0"/>
                      <w:sz w:val="18"/>
                      <w:szCs w:val="18"/>
                      <w:lang w:val="en-US" w:eastAsia="zh-CN"/>
                    </w:rPr>
                    <w:t>饮用水水源保护区等保护范围内设置排污口，</w:t>
                  </w:r>
                  <w:r>
                    <w:rPr>
                      <w:rFonts w:hint="eastAsia" w:ascii="宋体" w:hAnsi="宋体" w:cs="宋体"/>
                      <w:color w:val="auto"/>
                      <w:kern w:val="0"/>
                      <w:sz w:val="18"/>
                      <w:szCs w:val="18"/>
                      <w:lang w:val="en-US" w:eastAsia="zh-CN"/>
                    </w:rPr>
                    <w:t>采取相应的地下水污染防治措施，项目建成后将</w:t>
                  </w:r>
                  <w:r>
                    <w:rPr>
                      <w:rFonts w:hint="default" w:ascii="宋体" w:hAnsi="宋体" w:eastAsia="宋体" w:cs="宋体"/>
                      <w:color w:val="auto"/>
                      <w:kern w:val="0"/>
                      <w:sz w:val="18"/>
                      <w:szCs w:val="18"/>
                      <w:lang w:val="en-US" w:eastAsia="zh-CN"/>
                    </w:rPr>
                    <w:t>编制环境风险应急预案并落实各项风险防范措施，</w:t>
                  </w:r>
                  <w:r>
                    <w:rPr>
                      <w:rFonts w:hint="eastAsia" w:ascii="宋体" w:hAnsi="宋体" w:cs="宋体"/>
                      <w:color w:val="auto"/>
                      <w:kern w:val="0"/>
                      <w:sz w:val="18"/>
                      <w:szCs w:val="18"/>
                      <w:lang w:val="en-US" w:eastAsia="zh-CN"/>
                    </w:rPr>
                    <w:t>可避免</w:t>
                  </w:r>
                  <w:r>
                    <w:rPr>
                      <w:rFonts w:hint="default" w:ascii="宋体" w:hAnsi="宋体" w:eastAsia="宋体" w:cs="宋体"/>
                      <w:color w:val="auto"/>
                      <w:kern w:val="0"/>
                      <w:sz w:val="18"/>
                      <w:szCs w:val="18"/>
                      <w:lang w:val="en-US" w:eastAsia="zh-CN"/>
                    </w:rPr>
                    <w:t>环境风险事故发生。</w:t>
                  </w:r>
                </w:p>
              </w:tc>
              <w:tc>
                <w:tcPr>
                  <w:tcW w:w="406" w:type="pct"/>
                  <w:tcBorders>
                    <w:tl2br w:val="nil"/>
                    <w:tr2bl w:val="nil"/>
                  </w:tcBorders>
                  <w:noWrap w:val="0"/>
                  <w:vAlign w:val="center"/>
                </w:tcPr>
                <w:p w14:paraId="0903195B">
                  <w:pPr>
                    <w:keepNext w:val="0"/>
                    <w:keepLines w:val="0"/>
                    <w:pageBreakBefore w:val="0"/>
                    <w:widowControl w:val="0"/>
                    <w:kinsoku/>
                    <w:wordWrap/>
                    <w:overflowPunct/>
                    <w:topLinePunct w:val="0"/>
                    <w:autoSpaceDE w:val="0"/>
                    <w:autoSpaceDN w:val="0"/>
                    <w:bidi w:val="0"/>
                    <w:adjustRightInd w:val="0"/>
                    <w:snapToGrid w:val="0"/>
                    <w:spacing w:line="300" w:lineRule="exact"/>
                    <w:ind w:right="0" w:rightChars="0" w:firstLine="0" w:firstLineChars="0"/>
                    <w:jc w:val="center"/>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符合</w:t>
                  </w:r>
                </w:p>
              </w:tc>
            </w:tr>
            <w:tr w14:paraId="0CD4E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00" w:type="pct"/>
                  <w:gridSpan w:val="5"/>
                  <w:tcBorders>
                    <w:tl2br w:val="nil"/>
                    <w:tr2bl w:val="nil"/>
                  </w:tcBorders>
                  <w:noWrap w:val="0"/>
                  <w:vAlign w:val="top"/>
                </w:tcPr>
                <w:p w14:paraId="66FD87AD">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b/>
                      <w:bCs/>
                      <w:color w:val="auto"/>
                      <w:kern w:val="0"/>
                      <w:sz w:val="18"/>
                      <w:szCs w:val="18"/>
                      <w:lang w:val="en-US" w:eastAsia="zh-CN"/>
                    </w:rPr>
                    <w:t>对规划包含的近期建设项目环境影响评价的建议（吉环环评字〔2021〕30号）</w:t>
                  </w:r>
                </w:p>
              </w:tc>
            </w:tr>
            <w:tr w14:paraId="1229C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4" w:type="pct"/>
                  <w:tcBorders>
                    <w:tl2br w:val="nil"/>
                    <w:tr2bl w:val="nil"/>
                  </w:tcBorders>
                  <w:noWrap w:val="0"/>
                  <w:vAlign w:val="top"/>
                </w:tcPr>
                <w:p w14:paraId="25E4B179">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（一）规划包含的建设项目开展环境影响评价时，应以本规划环评的结论及审查意见作为其环境影响评价的依据之一。</w:t>
                  </w:r>
                </w:p>
              </w:tc>
              <w:tc>
                <w:tcPr>
                  <w:tcW w:w="1748" w:type="pct"/>
                  <w:gridSpan w:val="3"/>
                  <w:tcBorders>
                    <w:tl2br w:val="nil"/>
                    <w:tr2bl w:val="nil"/>
                  </w:tcBorders>
                  <w:noWrap w:val="0"/>
                  <w:vAlign w:val="top"/>
                </w:tcPr>
                <w:p w14:paraId="1787DAB7">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本项目位于规划用地范围内，评价以规划环评审查意见为依据</w:t>
                  </w:r>
                </w:p>
              </w:tc>
              <w:tc>
                <w:tcPr>
                  <w:tcW w:w="406" w:type="pct"/>
                  <w:tcBorders>
                    <w:tl2br w:val="nil"/>
                    <w:tr2bl w:val="nil"/>
                  </w:tcBorders>
                  <w:noWrap w:val="0"/>
                  <w:vAlign w:val="center"/>
                </w:tcPr>
                <w:p w14:paraId="785B1119">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符合</w:t>
                  </w:r>
                </w:p>
              </w:tc>
            </w:tr>
            <w:tr w14:paraId="3EAB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4" w:type="pct"/>
                  <w:tcBorders>
                    <w:tl2br w:val="nil"/>
                    <w:tr2bl w:val="nil"/>
                  </w:tcBorders>
                  <w:noWrap w:val="0"/>
                  <w:vAlign w:val="top"/>
                </w:tcPr>
                <w:p w14:paraId="3EDF2416">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（二）对符合准入条件的项目，在开展环境影响评价时，可结合项目具体情况，在导则规定的时效期内，直接引用结论。</w:t>
                  </w:r>
                </w:p>
              </w:tc>
              <w:tc>
                <w:tcPr>
                  <w:tcW w:w="1748" w:type="pct"/>
                  <w:gridSpan w:val="3"/>
                  <w:tcBorders>
                    <w:tl2br w:val="nil"/>
                    <w:tr2bl w:val="nil"/>
                  </w:tcBorders>
                  <w:noWrap w:val="0"/>
                  <w:vAlign w:val="top"/>
                </w:tcPr>
                <w:p w14:paraId="2A750A31">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将规划环评及审查意见作为本项目环境影响评价的依据</w:t>
                  </w:r>
                </w:p>
              </w:tc>
              <w:tc>
                <w:tcPr>
                  <w:tcW w:w="406" w:type="pct"/>
                  <w:tcBorders>
                    <w:tl2br w:val="nil"/>
                    <w:tr2bl w:val="nil"/>
                  </w:tcBorders>
                  <w:noWrap w:val="0"/>
                  <w:vAlign w:val="center"/>
                </w:tcPr>
                <w:p w14:paraId="4F3A1ECD">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符合</w:t>
                  </w:r>
                </w:p>
              </w:tc>
            </w:tr>
            <w:tr w14:paraId="4DC90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00" w:type="pct"/>
                  <w:gridSpan w:val="5"/>
                  <w:tcBorders>
                    <w:top w:val="single" w:color="auto" w:sz="4" w:space="0"/>
                    <w:bottom w:val="single" w:color="auto" w:sz="4" w:space="0"/>
                    <w:tl2br w:val="nil"/>
                    <w:tr2bl w:val="nil"/>
                  </w:tcBorders>
                  <w:noWrap w:val="0"/>
                  <w:vAlign w:val="top"/>
                </w:tcPr>
                <w:p w14:paraId="621B1A89">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环境准入负面清单</w:t>
                  </w:r>
                </w:p>
              </w:tc>
            </w:tr>
            <w:tr w14:paraId="133AC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72" w:type="pct"/>
                  <w:gridSpan w:val="2"/>
                  <w:tcBorders>
                    <w:top w:val="single" w:color="auto" w:sz="4" w:space="0"/>
                    <w:right w:val="single" w:color="auto" w:sz="4" w:space="0"/>
                    <w:tl2br w:val="nil"/>
                    <w:tr2bl w:val="nil"/>
                  </w:tcBorders>
                  <w:noWrap w:val="0"/>
                  <w:vAlign w:val="top"/>
                </w:tcPr>
                <w:p w14:paraId="43E14C56">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default" w:ascii="宋体" w:hAnsi="宋体" w:eastAsia="宋体" w:cs="宋体"/>
                      <w:b/>
                      <w:bCs/>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规划环评中环境准入负面清单</w:t>
                  </w:r>
                </w:p>
              </w:tc>
              <w:tc>
                <w:tcPr>
                  <w:tcW w:w="1711" w:type="pct"/>
                  <w:tcBorders>
                    <w:top w:val="single" w:color="auto" w:sz="4" w:space="0"/>
                    <w:left w:val="single" w:color="auto" w:sz="4" w:space="0"/>
                    <w:right w:val="single" w:color="auto" w:sz="4" w:space="0"/>
                    <w:tl2br w:val="nil"/>
                    <w:tr2bl w:val="nil"/>
                  </w:tcBorders>
                  <w:noWrap w:val="0"/>
                  <w:vAlign w:val="top"/>
                </w:tcPr>
                <w:p w14:paraId="4BD5ABFE">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本项目不在规划环评的环境准入负面清单内</w:t>
                  </w:r>
                </w:p>
              </w:tc>
              <w:tc>
                <w:tcPr>
                  <w:tcW w:w="415" w:type="pct"/>
                  <w:gridSpan w:val="2"/>
                  <w:tcBorders>
                    <w:top w:val="single" w:color="auto" w:sz="4" w:space="0"/>
                    <w:left w:val="single" w:color="auto" w:sz="4" w:space="0"/>
                    <w:tl2br w:val="nil"/>
                    <w:tr2bl w:val="nil"/>
                  </w:tcBorders>
                  <w:noWrap w:val="0"/>
                  <w:vAlign w:val="top"/>
                </w:tcPr>
                <w:p w14:paraId="568997BC">
                  <w:pPr>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both"/>
                    <w:textAlignment w:val="auto"/>
                    <w:outlineLvl w:val="9"/>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符合</w:t>
                  </w:r>
                </w:p>
              </w:tc>
            </w:tr>
          </w:tbl>
          <w:p w14:paraId="1AECD479">
            <w:pPr>
              <w:autoSpaceDE w:val="0"/>
              <w:autoSpaceDN w:val="0"/>
              <w:adjustRightInd w:val="0"/>
              <w:snapToGrid w:val="0"/>
              <w:jc w:val="center"/>
              <w:rPr>
                <w:rFonts w:ascii="宋体" w:hAnsi="宋体" w:cs="宋体"/>
                <w:kern w:val="0"/>
                <w:sz w:val="24"/>
                <w:szCs w:val="24"/>
              </w:rPr>
            </w:pPr>
          </w:p>
        </w:tc>
      </w:tr>
      <w:tr w14:paraId="33BDD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56" w:type="dxa"/>
            <w:noWrap w:val="0"/>
            <w:vAlign w:val="center"/>
          </w:tcPr>
          <w:p w14:paraId="16A40246">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其他符合性分析</w:t>
            </w:r>
          </w:p>
        </w:tc>
        <w:tc>
          <w:tcPr>
            <w:tcW w:w="8314" w:type="dxa"/>
            <w:gridSpan w:val="4"/>
            <w:noWrap w:val="0"/>
            <w:vAlign w:val="center"/>
          </w:tcPr>
          <w:p w14:paraId="50E58459">
            <w:pPr>
              <w:pStyle w:val="52"/>
              <w:keepNext w:val="0"/>
              <w:keepLines w:val="0"/>
              <w:pageBreakBefore w:val="0"/>
              <w:widowControl w:val="0"/>
              <w:kinsoku/>
              <w:wordWrap/>
              <w:overflowPunct/>
              <w:topLinePunct w:val="0"/>
              <w:autoSpaceDE/>
              <w:autoSpaceDN/>
              <w:bidi w:val="0"/>
              <w:adjustRightInd/>
              <w:snapToGrid/>
              <w:spacing w:line="360" w:lineRule="auto"/>
              <w:ind w:left="109" w:right="32" w:firstLine="421"/>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1、产业政策相符性</w:t>
            </w:r>
          </w:p>
          <w:p w14:paraId="35D5138D">
            <w:pPr>
              <w:pStyle w:val="52"/>
              <w:keepNext w:val="0"/>
              <w:keepLines w:val="0"/>
              <w:pageBreakBefore w:val="0"/>
              <w:widowControl w:val="0"/>
              <w:kinsoku/>
              <w:wordWrap/>
              <w:overflowPunct/>
              <w:topLinePunct w:val="0"/>
              <w:autoSpaceDE/>
              <w:autoSpaceDN/>
              <w:bidi w:val="0"/>
              <w:adjustRightInd/>
              <w:snapToGrid/>
              <w:spacing w:line="360" w:lineRule="auto"/>
              <w:ind w:left="109" w:right="32" w:firstLine="421"/>
              <w:jc w:val="both"/>
              <w:textAlignment w:val="auto"/>
              <w:rPr>
                <w:rFonts w:hint="eastAsia" w:ascii="宋体" w:hAnsi="宋体" w:eastAsia="宋体" w:cs="宋体"/>
                <w:b/>
                <w:bCs/>
                <w:sz w:val="24"/>
                <w:szCs w:val="24"/>
                <w:lang w:val="en-US" w:eastAsia="zh-CN"/>
              </w:rPr>
            </w:pPr>
            <w:r>
              <w:rPr>
                <w:rFonts w:hint="eastAsia" w:ascii="宋体" w:hAnsi="宋体" w:eastAsia="宋体" w:cs="宋体"/>
                <w:spacing w:val="9"/>
                <w:sz w:val="24"/>
                <w:szCs w:val="24"/>
              </w:rPr>
              <w:t>本项目属于石墨及其他非金属矿物制品制造项目，根据《产业结构调</w:t>
            </w:r>
            <w:r>
              <w:rPr>
                <w:rFonts w:hint="eastAsia" w:ascii="宋体" w:hAnsi="宋体" w:eastAsia="宋体" w:cs="宋体"/>
                <w:spacing w:val="-1"/>
                <w:sz w:val="24"/>
                <w:szCs w:val="24"/>
              </w:rPr>
              <w:t>整指导目录（20</w:t>
            </w:r>
            <w:r>
              <w:rPr>
                <w:rFonts w:hint="eastAsia" w:ascii="宋体" w:hAnsi="宋体" w:eastAsia="宋体" w:cs="宋体"/>
                <w:spacing w:val="-1"/>
                <w:sz w:val="24"/>
                <w:szCs w:val="24"/>
                <w:lang w:val="en-US" w:eastAsia="zh-CN"/>
              </w:rPr>
              <w:t>24</w:t>
            </w:r>
            <w:r>
              <w:rPr>
                <w:rFonts w:hint="eastAsia" w:ascii="宋体" w:hAnsi="宋体" w:eastAsia="宋体" w:cs="宋体"/>
                <w:spacing w:val="-1"/>
                <w:sz w:val="24"/>
                <w:szCs w:val="24"/>
              </w:rPr>
              <w:t>年本）》的规</w:t>
            </w:r>
            <w:r>
              <w:rPr>
                <w:rFonts w:hint="eastAsia" w:ascii="宋体" w:hAnsi="宋体" w:eastAsia="宋体" w:cs="宋体"/>
                <w:spacing w:val="-2"/>
                <w:sz w:val="24"/>
                <w:szCs w:val="24"/>
              </w:rPr>
              <w:t>定，本项目属于“鼓励类”“十</w:t>
            </w:r>
            <w:r>
              <w:rPr>
                <w:rFonts w:hint="eastAsia" w:ascii="宋体" w:hAnsi="宋体" w:eastAsia="宋体" w:cs="宋体"/>
                <w:spacing w:val="6"/>
                <w:sz w:val="24"/>
                <w:szCs w:val="24"/>
              </w:rPr>
              <w:t>二、建材9</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、环境治理、节能储能、电子信息、保温隔热、农</w:t>
            </w:r>
            <w:r>
              <w:rPr>
                <w:rFonts w:hint="eastAsia" w:ascii="宋体" w:hAnsi="宋体" w:eastAsia="宋体" w:cs="宋体"/>
                <w:spacing w:val="5"/>
                <w:sz w:val="24"/>
                <w:szCs w:val="24"/>
              </w:rPr>
              <w:t>业用等非金属</w:t>
            </w:r>
            <w:r>
              <w:rPr>
                <w:rFonts w:hint="eastAsia" w:ascii="宋体" w:hAnsi="宋体" w:eastAsia="宋体" w:cs="宋体"/>
                <w:spacing w:val="3"/>
                <w:sz w:val="24"/>
                <w:szCs w:val="24"/>
              </w:rPr>
              <w:t>矿物功能材料生产及其技术装备开发应用；”项目，符合国家产</w:t>
            </w:r>
            <w:r>
              <w:rPr>
                <w:rFonts w:hint="eastAsia" w:ascii="宋体" w:hAnsi="宋体" w:eastAsia="宋体" w:cs="宋体"/>
                <w:spacing w:val="2"/>
                <w:sz w:val="24"/>
                <w:szCs w:val="24"/>
              </w:rPr>
              <w:t>业政策要求。</w:t>
            </w:r>
          </w:p>
          <w:p w14:paraId="6DB9344F">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与</w:t>
            </w:r>
            <w:r>
              <w:rPr>
                <w:rFonts w:hint="eastAsia" w:ascii="宋体" w:hAnsi="宋体" w:eastAsia="宋体" w:cs="宋体"/>
                <w:b/>
                <w:bCs/>
                <w:sz w:val="24"/>
                <w:szCs w:val="24"/>
                <w:lang w:val="en-US" w:eastAsia="zh-CN"/>
              </w:rPr>
              <w:t>生态环境分区管控</w:t>
            </w:r>
            <w:r>
              <w:rPr>
                <w:rFonts w:hint="eastAsia" w:ascii="宋体" w:hAnsi="宋体" w:eastAsia="宋体" w:cs="宋体"/>
                <w:b/>
                <w:bCs/>
                <w:sz w:val="24"/>
                <w:szCs w:val="24"/>
              </w:rPr>
              <w:t>符合性分析</w:t>
            </w:r>
          </w:p>
          <w:p w14:paraId="496771EB">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根据《中共吉林省委办公厅吉林</w:t>
            </w:r>
            <w:r>
              <w:rPr>
                <w:rFonts w:hint="eastAsia" w:ascii="宋体" w:hAnsi="宋体" w:eastAsia="宋体" w:cs="宋体"/>
                <w:spacing w:val="1"/>
                <w:sz w:val="24"/>
                <w:szCs w:val="24"/>
                <w:lang w:val="en-US" w:eastAsia="zh-CN"/>
              </w:rPr>
              <w:t>省人民政府办公厅印发《关于加强生态环境分区管控的若干措施》（2024年），进一步加强生态环境分区管控，严守生态保护红线、环境质量底线、资源利用上线，筑牢生态安全屏障，结合吉林实际，科学确定生态环境管控单元，落实管控要求。</w:t>
            </w:r>
          </w:p>
          <w:p w14:paraId="3E507C0D">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（1）生态保护红线</w:t>
            </w:r>
          </w:p>
          <w:p w14:paraId="558A4794">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本项目所在区域不涉及水源地保护区以及其他自然保护区等特殊重要生态功能区，不在吉林省禁止开发区和其他保护区域内，</w:t>
            </w:r>
            <w:r>
              <w:rPr>
                <w:rFonts w:hint="eastAsia" w:ascii="宋体" w:hAnsi="宋体" w:eastAsia="宋体" w:cs="宋体"/>
                <w:color w:val="auto"/>
                <w:sz w:val="24"/>
                <w:szCs w:val="24"/>
                <w:u w:val="none"/>
              </w:rPr>
              <w:t>根据吉林省生态环境厅关于印发《吉林省生态环境准入清单》的函（吉环函〔2024〕158号）、吉林省</w:t>
            </w:r>
            <w:r>
              <w:rPr>
                <w:rFonts w:hint="eastAsia" w:ascii="宋体" w:hAnsi="宋体" w:eastAsia="宋体" w:cs="宋体"/>
                <w:color w:val="auto"/>
                <w:sz w:val="24"/>
                <w:szCs w:val="24"/>
                <w:u w:val="none"/>
                <w:lang w:val="en-US" w:eastAsia="zh-CN"/>
              </w:rPr>
              <w:t>生态环境分区管控</w:t>
            </w:r>
            <w:r>
              <w:rPr>
                <w:rFonts w:hint="eastAsia" w:ascii="宋体" w:hAnsi="宋体" w:eastAsia="宋体" w:cs="宋体"/>
                <w:color w:val="auto"/>
                <w:sz w:val="24"/>
                <w:szCs w:val="24"/>
                <w:u w:val="none"/>
              </w:rPr>
              <w:t>数据应用平台对项目选址的研判分析结果</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本项目所在区域生态空间管控分区不在生态红线内，符合生态保护红线保护要求。</w:t>
            </w:r>
          </w:p>
          <w:p w14:paraId="7CD462B1">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（2）环境质量底线</w:t>
            </w:r>
          </w:p>
          <w:p w14:paraId="22413FD7">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环境质量底线是国家和地方设置的大气、水和土壤环境质量目标也是改善环境质量的基准线。</w:t>
            </w:r>
          </w:p>
          <w:p w14:paraId="3991FDDB">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①环境空气</w:t>
            </w:r>
          </w:p>
          <w:p w14:paraId="39D36946">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本项目位于</w:t>
            </w:r>
            <w:r>
              <w:rPr>
                <w:rFonts w:hint="eastAsia" w:ascii="宋体" w:hAnsi="宋体" w:eastAsia="宋体" w:cs="宋体"/>
                <w:spacing w:val="1"/>
                <w:sz w:val="24"/>
                <w:szCs w:val="24"/>
              </w:rPr>
              <w:t>大气环境高排放重点管控区</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根据《</w:t>
            </w:r>
            <w:bookmarkStart w:id="7" w:name="_Toc27787"/>
            <w:bookmarkStart w:id="8" w:name="_Toc9162"/>
            <w:r>
              <w:rPr>
                <w:rFonts w:hint="eastAsia" w:ascii="宋体" w:hAnsi="宋体" w:eastAsia="宋体" w:cs="宋体"/>
                <w:spacing w:val="1"/>
                <w:sz w:val="24"/>
                <w:szCs w:val="24"/>
                <w:lang w:val="en-US" w:eastAsia="zh-CN"/>
              </w:rPr>
              <w:t>四平市</w:t>
            </w:r>
            <w:r>
              <w:rPr>
                <w:rFonts w:hint="eastAsia" w:ascii="宋体" w:hAnsi="宋体" w:eastAsia="宋体" w:cs="宋体"/>
                <w:spacing w:val="1"/>
                <w:sz w:val="24"/>
                <w:szCs w:val="24"/>
              </w:rPr>
              <w:t>生态环境分区管控研究报告</w:t>
            </w:r>
            <w:bookmarkEnd w:id="7"/>
            <w:bookmarkEnd w:id="8"/>
            <w:r>
              <w:rPr>
                <w:rFonts w:hint="eastAsia" w:ascii="宋体" w:hAnsi="宋体" w:eastAsia="宋体" w:cs="宋体"/>
                <w:spacing w:val="1"/>
                <w:sz w:val="24"/>
                <w:szCs w:val="24"/>
              </w:rPr>
              <w:t>（202</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版）</w:t>
            </w:r>
            <w:r>
              <w:rPr>
                <w:rFonts w:hint="eastAsia" w:ascii="宋体" w:hAnsi="宋体" w:eastAsia="宋体" w:cs="宋体"/>
                <w:spacing w:val="1"/>
                <w:sz w:val="24"/>
                <w:szCs w:val="24"/>
                <w:lang w:val="en-US" w:eastAsia="zh-CN"/>
              </w:rPr>
              <w:t>》中对该管控区的要求是“严格控制钢铁、焦化、电解铝、铸造、水泥和平板玻璃等行业新增产能。深化工业污染治理，持续推进工业污染源全面达标排放，加大工业污染源烟气高效脱硫脱硝、除尘改造力度。有条件的工业园区/工业集聚区建设集中的喷涂工程中心。推进园区循环化改造，积极推广园区集中供热。一体推进重点行业大气污染深度治理与节能，推动大型燃煤锅炉、钢铁、水泥等行业超低排放改造。四平市的工业园区/工业集聚区应严格管理涉及易导致环境风险的有毒有害和易燃易爆物质的生产、使用、贮运等新建、改扩建项目。”</w:t>
            </w:r>
          </w:p>
          <w:p w14:paraId="28D8709B">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本项目</w:t>
            </w:r>
            <w:r>
              <w:rPr>
                <w:rFonts w:hint="eastAsia" w:ascii="宋体" w:hAnsi="宋体" w:eastAsia="宋体" w:cs="宋体"/>
                <w:spacing w:val="1"/>
                <w:sz w:val="24"/>
                <w:szCs w:val="24"/>
                <w:lang w:val="en-US" w:eastAsia="zh-CN"/>
              </w:rPr>
              <w:t>不属于需要严格控制的钢铁、焦化、电解铝、铸造等行业，生产过程产生的酸雾和颗粒物经过源头控制及末端治理后，污染物经治理后能够达标排放；</w:t>
            </w:r>
            <w:r>
              <w:rPr>
                <w:rFonts w:hint="eastAsia" w:ascii="宋体" w:hAnsi="宋体" w:eastAsia="宋体" w:cs="宋体"/>
                <w:spacing w:val="1"/>
                <w:sz w:val="24"/>
                <w:szCs w:val="24"/>
                <w:highlight w:val="none"/>
                <w:lang w:val="en-US" w:eastAsia="zh-CN"/>
              </w:rPr>
              <w:t>取暖采用集中供热，</w:t>
            </w:r>
            <w:r>
              <w:rPr>
                <w:rFonts w:hint="eastAsia" w:ascii="宋体" w:hAnsi="宋体" w:eastAsia="宋体" w:cs="宋体"/>
                <w:spacing w:val="1"/>
                <w:sz w:val="24"/>
                <w:szCs w:val="24"/>
                <w:lang w:val="en-US" w:eastAsia="zh-CN"/>
              </w:rPr>
              <w:t>生产过程中使用的环境风险物质均严格管理，从大气环境影响评价结论可知</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项目对周围大气环境影响可以接受，</w:t>
            </w:r>
            <w:r>
              <w:rPr>
                <w:rFonts w:hint="eastAsia" w:ascii="宋体" w:hAnsi="宋体" w:eastAsia="宋体" w:cs="宋体"/>
                <w:spacing w:val="1"/>
                <w:sz w:val="24"/>
                <w:szCs w:val="24"/>
              </w:rPr>
              <w:t>不会突破项目所在区域大气环境质量底线。</w:t>
            </w:r>
          </w:p>
          <w:p w14:paraId="4D38BAFE">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②地表水</w:t>
            </w:r>
          </w:p>
          <w:p w14:paraId="36DFA69D">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本项目</w:t>
            </w:r>
            <w:r>
              <w:rPr>
                <w:rFonts w:hint="eastAsia" w:ascii="宋体" w:hAnsi="宋体" w:eastAsia="宋体" w:cs="宋体"/>
                <w:color w:val="auto"/>
                <w:spacing w:val="1"/>
                <w:sz w:val="24"/>
                <w:szCs w:val="24"/>
                <w:lang w:val="en-US" w:eastAsia="zh-CN"/>
              </w:rPr>
              <w:t>位于</w:t>
            </w:r>
            <w:r>
              <w:rPr>
                <w:rFonts w:hint="eastAsia" w:ascii="宋体" w:hAnsi="宋体" w:eastAsia="宋体" w:cs="宋体"/>
                <w:color w:val="auto"/>
                <w:spacing w:val="1"/>
                <w:sz w:val="24"/>
                <w:szCs w:val="24"/>
              </w:rPr>
              <w:t>水环境工业污染重点管控区，</w:t>
            </w:r>
            <w:r>
              <w:rPr>
                <w:rFonts w:hint="eastAsia" w:ascii="宋体" w:hAnsi="宋体" w:eastAsia="宋体" w:cs="宋体"/>
                <w:color w:val="auto"/>
                <w:spacing w:val="1"/>
                <w:sz w:val="24"/>
                <w:szCs w:val="24"/>
                <w:lang w:val="en-US" w:eastAsia="zh-CN"/>
              </w:rPr>
              <w:t>具体管控要求为“</w:t>
            </w:r>
            <w:r>
              <w:rPr>
                <w:rFonts w:hint="eastAsia" w:ascii="宋体" w:hAnsi="宋体" w:eastAsia="宋体" w:cs="宋体"/>
                <w:color w:val="auto"/>
                <w:spacing w:val="1"/>
                <w:sz w:val="24"/>
                <w:szCs w:val="24"/>
              </w:rPr>
              <w:t>坚持</w:t>
            </w:r>
            <w:r>
              <w:rPr>
                <w:rFonts w:hint="eastAsia" w:ascii="宋体" w:hAnsi="宋体" w:eastAsia="宋体" w:cs="宋体"/>
                <w:color w:val="auto"/>
                <w:spacing w:val="1"/>
                <w:sz w:val="24"/>
                <w:szCs w:val="24"/>
                <w:lang w:eastAsia="zh-CN"/>
              </w:rPr>
              <w:t>“管</w:t>
            </w:r>
            <w:r>
              <w:rPr>
                <w:rFonts w:hint="eastAsia" w:ascii="宋体" w:hAnsi="宋体" w:eastAsia="宋体" w:cs="宋体"/>
                <w:color w:val="auto"/>
                <w:spacing w:val="1"/>
                <w:sz w:val="24"/>
                <w:szCs w:val="24"/>
              </w:rPr>
              <w:t>住新的、</w:t>
            </w:r>
            <w:r>
              <w:rPr>
                <w:rFonts w:hint="eastAsia" w:ascii="宋体" w:hAnsi="宋体" w:eastAsia="宋体" w:cs="宋体"/>
                <w:color w:val="auto"/>
                <w:spacing w:val="1"/>
                <w:sz w:val="24"/>
                <w:szCs w:val="24"/>
                <w:lang w:eastAsia="zh-CN"/>
              </w:rPr>
              <w:t>管</w:t>
            </w:r>
            <w:r>
              <w:rPr>
                <w:rFonts w:hint="eastAsia" w:ascii="宋体" w:hAnsi="宋体" w:eastAsia="宋体" w:cs="宋体"/>
                <w:color w:val="auto"/>
                <w:spacing w:val="1"/>
                <w:sz w:val="24"/>
                <w:szCs w:val="24"/>
              </w:rPr>
              <w:t>好老的</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。强化总量控制指标管理，根据</w:t>
            </w:r>
            <w:r>
              <w:rPr>
                <w:rFonts w:hint="eastAsia" w:ascii="宋体" w:hAnsi="宋体" w:cs="宋体"/>
                <w:color w:val="auto"/>
                <w:spacing w:val="1"/>
                <w:sz w:val="24"/>
                <w:szCs w:val="24"/>
                <w:lang w:eastAsia="zh-CN"/>
              </w:rPr>
              <w:t>区域</w:t>
            </w:r>
            <w:r>
              <w:rPr>
                <w:rFonts w:hint="eastAsia" w:ascii="宋体" w:hAnsi="宋体" w:eastAsia="宋体" w:cs="宋体"/>
                <w:color w:val="auto"/>
                <w:spacing w:val="1"/>
                <w:sz w:val="24"/>
                <w:szCs w:val="24"/>
              </w:rPr>
              <w:t>水环境容量、实行新、改、扩建项目污染物等量或减量置换，严格控制新增水污染物。建立覆盖所有固定污染源的排污许可制度，逐个明确排放浓度限值和总量控制指标，督促企业加大污染治理力度，实现连续稳定达标排放。</w:t>
            </w:r>
            <w:r>
              <w:rPr>
                <w:rFonts w:hint="eastAsia" w:ascii="宋体" w:hAnsi="宋体" w:eastAsia="宋体" w:cs="宋体"/>
                <w:color w:val="auto"/>
                <w:spacing w:val="1"/>
                <w:sz w:val="24"/>
                <w:szCs w:val="24"/>
                <w:lang w:val="en-US" w:eastAsia="zh-CN"/>
              </w:rPr>
              <w:t>”</w:t>
            </w:r>
          </w:p>
          <w:p w14:paraId="449C79D0">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本项目</w:t>
            </w:r>
            <w:r>
              <w:rPr>
                <w:rFonts w:hint="eastAsia" w:ascii="宋体" w:hAnsi="宋体" w:eastAsia="宋体" w:cs="宋体"/>
                <w:color w:val="auto"/>
                <w:spacing w:val="1"/>
                <w:sz w:val="24"/>
                <w:szCs w:val="24"/>
                <w:highlight w:val="none"/>
                <w:lang w:val="en-US" w:eastAsia="zh-CN"/>
              </w:rPr>
              <w:t>废水经处理达标后，经市政污水管网排</w:t>
            </w:r>
            <w:r>
              <w:rPr>
                <w:rFonts w:hint="eastAsia" w:ascii="宋体" w:hAnsi="宋体" w:eastAsia="宋体" w:cs="宋体"/>
                <w:color w:val="auto"/>
                <w:spacing w:val="1"/>
                <w:sz w:val="24"/>
                <w:szCs w:val="24"/>
                <w:lang w:val="en-US" w:eastAsia="zh-CN"/>
              </w:rPr>
              <w:t>入四平市污水处理厂处理，不设置入河排污口，不新增水污染物；项目投产前按要求执行排污许可制度。</w:t>
            </w:r>
          </w:p>
          <w:p w14:paraId="3CDB9FCD">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综上，本项目</w:t>
            </w:r>
            <w:r>
              <w:rPr>
                <w:rFonts w:hint="eastAsia" w:ascii="宋体" w:hAnsi="宋体" w:eastAsia="宋体" w:cs="宋体"/>
                <w:color w:val="auto"/>
                <w:spacing w:val="1"/>
                <w:sz w:val="24"/>
                <w:szCs w:val="24"/>
              </w:rPr>
              <w:t>对地表水环境影响较小，项目满足分区管控要求。</w:t>
            </w:r>
          </w:p>
          <w:p w14:paraId="76D0A8BF">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（3）资源利用</w:t>
            </w:r>
            <w:r>
              <w:rPr>
                <w:rFonts w:hint="eastAsia" w:ascii="宋体" w:hAnsi="宋体" w:cs="宋体"/>
                <w:spacing w:val="1"/>
                <w:sz w:val="24"/>
                <w:szCs w:val="24"/>
                <w:lang w:eastAsia="zh-CN"/>
              </w:rPr>
              <w:t>上限</w:t>
            </w:r>
          </w:p>
          <w:p w14:paraId="4A85EB0D">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土地资源：</w:t>
            </w:r>
            <w:r>
              <w:rPr>
                <w:rFonts w:hint="eastAsia" w:ascii="宋体" w:hAnsi="宋体" w:eastAsia="宋体" w:cs="宋体"/>
                <w:spacing w:val="1"/>
                <w:sz w:val="24"/>
                <w:szCs w:val="24"/>
                <w:lang w:val="en-US" w:eastAsia="zh-CN"/>
              </w:rPr>
              <w:t>本项目用地为工业用地，不新增建设用地，项目建设</w:t>
            </w:r>
            <w:r>
              <w:rPr>
                <w:rFonts w:hint="eastAsia" w:ascii="宋体" w:hAnsi="宋体" w:eastAsia="宋体" w:cs="宋体"/>
                <w:spacing w:val="1"/>
                <w:sz w:val="24"/>
                <w:szCs w:val="24"/>
              </w:rPr>
              <w:t>不影响区域土地资源总量。</w:t>
            </w:r>
          </w:p>
          <w:p w14:paraId="6F977729">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水资源：本项目不属于高耗水项目，</w:t>
            </w:r>
            <w:r>
              <w:rPr>
                <w:rFonts w:hint="eastAsia" w:ascii="宋体" w:hAnsi="宋体" w:eastAsia="宋体" w:cs="宋体"/>
                <w:spacing w:val="1"/>
                <w:sz w:val="24"/>
                <w:szCs w:val="24"/>
                <w:lang w:val="en-US" w:eastAsia="zh-CN"/>
              </w:rPr>
              <w:t>水源采用自来水，不开采地下水，</w:t>
            </w:r>
            <w:r>
              <w:rPr>
                <w:rFonts w:hint="eastAsia" w:ascii="宋体" w:hAnsi="宋体" w:eastAsia="宋体" w:cs="宋体"/>
                <w:spacing w:val="1"/>
                <w:sz w:val="24"/>
                <w:szCs w:val="24"/>
              </w:rPr>
              <w:t>因此，项目对区域水资源总量影响很小。</w:t>
            </w:r>
          </w:p>
          <w:p w14:paraId="487CAEA8">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能源：本项目</w:t>
            </w:r>
            <w:r>
              <w:rPr>
                <w:rFonts w:hint="eastAsia" w:ascii="宋体" w:hAnsi="宋体" w:eastAsia="宋体" w:cs="宋体"/>
                <w:spacing w:val="1"/>
                <w:sz w:val="24"/>
                <w:szCs w:val="24"/>
                <w:lang w:val="en-US" w:eastAsia="zh-CN"/>
              </w:rPr>
              <w:t>使用清洁能源电能和天然气</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不使用高污染燃料，不属于高耗能项目。</w:t>
            </w:r>
          </w:p>
          <w:p w14:paraId="169EF753">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综上，项目资源利用合理，未触及当地资源利用</w:t>
            </w:r>
            <w:r>
              <w:rPr>
                <w:rFonts w:hint="eastAsia" w:ascii="宋体" w:hAnsi="宋体" w:cs="宋体"/>
                <w:spacing w:val="1"/>
                <w:sz w:val="24"/>
                <w:szCs w:val="24"/>
                <w:lang w:eastAsia="zh-CN"/>
              </w:rPr>
              <w:t>上限</w:t>
            </w:r>
            <w:r>
              <w:rPr>
                <w:rFonts w:hint="eastAsia" w:ascii="宋体" w:hAnsi="宋体" w:eastAsia="宋体" w:cs="宋体"/>
                <w:spacing w:val="1"/>
                <w:sz w:val="24"/>
                <w:szCs w:val="24"/>
              </w:rPr>
              <w:t>。因此，本项目符合资源利用上线要求。</w:t>
            </w:r>
          </w:p>
          <w:p w14:paraId="56980A14">
            <w:pPr>
              <w:pStyle w:val="5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环境准入负面清单</w:t>
            </w:r>
          </w:p>
          <w:p w14:paraId="40338D55">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4"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1）环境准入负面清单</w:t>
            </w:r>
          </w:p>
          <w:p w14:paraId="3A85A38D">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4" w:firstLineChars="200"/>
              <w:jc w:val="both"/>
              <w:textAlignment w:val="auto"/>
              <w:rPr>
                <w:rFonts w:hint="eastAsia" w:ascii="宋体" w:hAnsi="宋体" w:eastAsia="宋体" w:cs="宋体"/>
                <w:spacing w:val="1"/>
                <w:sz w:val="24"/>
                <w:szCs w:val="24"/>
                <w:lang w:val="en-US"/>
              </w:rPr>
            </w:pPr>
            <w:r>
              <w:rPr>
                <w:rFonts w:hint="eastAsia" w:ascii="宋体" w:hAnsi="宋体" w:eastAsia="宋体" w:cs="宋体"/>
                <w:spacing w:val="1"/>
                <w:sz w:val="24"/>
                <w:szCs w:val="24"/>
                <w:lang w:val="en-US" w:eastAsia="zh-CN"/>
              </w:rPr>
              <w:t>对照《吉林四平经济开发区规划环境影响评价报告书》</w:t>
            </w:r>
            <w:r>
              <w:rPr>
                <w:rFonts w:hint="eastAsia" w:ascii="宋体" w:hAnsi="宋体" w:eastAsia="宋体" w:cs="宋体"/>
                <w:spacing w:val="1"/>
                <w:sz w:val="24"/>
                <w:szCs w:val="24"/>
                <w:highlight w:val="none"/>
                <w:lang w:val="en-US" w:eastAsia="zh-CN"/>
              </w:rPr>
              <w:t>（2025年）</w:t>
            </w:r>
            <w:r>
              <w:rPr>
                <w:rFonts w:hint="eastAsia" w:ascii="宋体" w:hAnsi="宋体" w:eastAsia="宋体" w:cs="宋体"/>
                <w:spacing w:val="1"/>
                <w:sz w:val="24"/>
                <w:szCs w:val="24"/>
                <w:lang w:val="en-US" w:eastAsia="zh-CN"/>
              </w:rPr>
              <w:t>中对开发区环境准入负面清单，本项目不属于限制类和淘汰类。</w:t>
            </w:r>
          </w:p>
          <w:p w14:paraId="6644DFBB">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生态环境准入清单</w:t>
            </w:r>
          </w:p>
          <w:p w14:paraId="37801A4C">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根据《吉林省生态环境厅关于印发&lt;吉林省生态环境准入清单&gt;的函》（吉政函</w:t>
            </w:r>
            <w:r>
              <w:rPr>
                <w:rFonts w:hint="eastAsia" w:ascii="宋体" w:hAnsi="宋体" w:cs="宋体"/>
                <w:spacing w:val="1"/>
                <w:sz w:val="24"/>
                <w:szCs w:val="24"/>
                <w:lang w:eastAsia="zh-CN"/>
              </w:rPr>
              <w:t>〔2024〕158号</w:t>
            </w:r>
            <w:r>
              <w:rPr>
                <w:rFonts w:hint="eastAsia" w:ascii="宋体" w:hAnsi="宋体" w:eastAsia="宋体" w:cs="宋体"/>
                <w:spacing w:val="1"/>
                <w:sz w:val="24"/>
                <w:szCs w:val="24"/>
              </w:rPr>
              <w:t>），以环境管控单元为基础，从空间布局约束、污染物排放管控、风险管控防控、资源开发利用效率四个维度，建立生态环境准入清单。</w:t>
            </w:r>
          </w:p>
          <w:p w14:paraId="1FF2061F">
            <w:pPr>
              <w:pStyle w:val="54"/>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根据吉林省生态环境分区管控平台公开端落图结果，</w:t>
            </w:r>
            <w:r>
              <w:rPr>
                <w:rFonts w:hint="eastAsia" w:ascii="宋体" w:hAnsi="宋体" w:cs="宋体"/>
                <w:spacing w:val="1"/>
                <w:sz w:val="24"/>
                <w:szCs w:val="24"/>
                <w:lang w:val="en-US" w:eastAsia="zh-CN"/>
              </w:rPr>
              <w:t>本</w:t>
            </w:r>
            <w:r>
              <w:rPr>
                <w:rFonts w:hint="eastAsia" w:ascii="宋体" w:hAnsi="宋体" w:eastAsia="宋体" w:cs="宋体"/>
                <w:spacing w:val="1"/>
                <w:sz w:val="24"/>
                <w:szCs w:val="24"/>
                <w:lang w:val="en-US" w:eastAsia="zh-CN"/>
              </w:rPr>
              <w:t>项目位于重点管控单元-吉林四平经济开发区，编号：</w:t>
            </w:r>
            <w:r>
              <w:rPr>
                <w:rFonts w:hint="eastAsia" w:ascii="宋体" w:hAnsi="宋体" w:eastAsia="宋体" w:cs="宋体"/>
                <w:spacing w:val="1"/>
                <w:sz w:val="24"/>
                <w:szCs w:val="24"/>
              </w:rPr>
              <w:t>ZH22030320001</w:t>
            </w:r>
            <w:r>
              <w:rPr>
                <w:rFonts w:hint="eastAsia" w:ascii="宋体" w:hAnsi="宋体" w:eastAsia="宋体" w:cs="宋体"/>
                <w:spacing w:val="1"/>
                <w:sz w:val="24"/>
                <w:szCs w:val="24"/>
                <w:lang w:eastAsia="zh-CN"/>
              </w:rPr>
              <w:t>。</w:t>
            </w:r>
          </w:p>
          <w:p w14:paraId="2A66CF28">
            <w:pPr>
              <w:pStyle w:val="54"/>
              <w:keepNext w:val="0"/>
              <w:keepLines w:val="0"/>
              <w:pageBreakBefore w:val="0"/>
              <w:widowControl w:val="0"/>
              <w:kinsoku/>
              <w:wordWrap/>
              <w:overflowPunct/>
              <w:topLinePunct w:val="0"/>
              <w:autoSpaceDE/>
              <w:autoSpaceDN/>
              <w:bidi w:val="0"/>
              <w:adjustRightInd/>
              <w:snapToGrid/>
              <w:spacing w:before="40" w:line="360" w:lineRule="auto"/>
              <w:ind w:left="0" w:right="0" w:firstLine="484"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本项目与</w:t>
            </w:r>
            <w:r>
              <w:rPr>
                <w:rFonts w:hint="default" w:ascii="宋体" w:hAnsi="宋体" w:eastAsia="宋体" w:cs="宋体"/>
                <w:spacing w:val="1"/>
                <w:sz w:val="24"/>
                <w:szCs w:val="24"/>
                <w:lang w:val="en-US" w:eastAsia="zh-CN"/>
              </w:rPr>
              <w:t>吉林省生态环境清单总体准入要求</w:t>
            </w:r>
            <w:r>
              <w:rPr>
                <w:rFonts w:hint="eastAsia" w:ascii="宋体" w:hAnsi="宋体" w:eastAsia="宋体" w:cs="宋体"/>
                <w:spacing w:val="1"/>
                <w:sz w:val="24"/>
                <w:szCs w:val="24"/>
                <w:lang w:val="en-US" w:eastAsia="zh-CN"/>
              </w:rPr>
              <w:t>的符合性见表1-</w:t>
            </w:r>
            <w:r>
              <w:rPr>
                <w:rFonts w:hint="eastAsia" w:ascii="宋体" w:hAnsi="宋体" w:cs="宋体"/>
                <w:spacing w:val="1"/>
                <w:sz w:val="24"/>
                <w:szCs w:val="24"/>
                <w:lang w:val="en-US" w:eastAsia="zh-CN"/>
              </w:rPr>
              <w:t>3</w:t>
            </w:r>
            <w:r>
              <w:rPr>
                <w:rFonts w:hint="eastAsia" w:ascii="宋体" w:hAnsi="宋体" w:eastAsia="宋体" w:cs="宋体"/>
                <w:spacing w:val="1"/>
                <w:sz w:val="24"/>
                <w:szCs w:val="24"/>
                <w:lang w:val="en-US" w:eastAsia="zh-CN"/>
              </w:rPr>
              <w:t>，与四平市</w:t>
            </w:r>
            <w:r>
              <w:rPr>
                <w:rFonts w:hint="default" w:ascii="宋体" w:hAnsi="宋体" w:eastAsia="宋体" w:cs="宋体"/>
                <w:spacing w:val="1"/>
                <w:sz w:val="24"/>
                <w:szCs w:val="24"/>
                <w:lang w:val="en-US" w:eastAsia="zh-CN"/>
              </w:rPr>
              <w:t>生态环境清单总体准入要求</w:t>
            </w:r>
            <w:r>
              <w:rPr>
                <w:rFonts w:hint="eastAsia" w:ascii="宋体" w:hAnsi="宋体" w:eastAsia="宋体" w:cs="宋体"/>
                <w:spacing w:val="1"/>
                <w:sz w:val="24"/>
                <w:szCs w:val="24"/>
                <w:lang w:val="en-US" w:eastAsia="zh-CN"/>
              </w:rPr>
              <w:t>的符合性见表1-</w:t>
            </w:r>
            <w:r>
              <w:rPr>
                <w:rFonts w:hint="eastAsia" w:ascii="宋体" w:hAnsi="宋体" w:cs="宋体"/>
                <w:spacing w:val="1"/>
                <w:sz w:val="24"/>
                <w:szCs w:val="24"/>
                <w:lang w:val="en-US" w:eastAsia="zh-CN"/>
              </w:rPr>
              <w:t>4</w:t>
            </w:r>
            <w:r>
              <w:rPr>
                <w:rFonts w:hint="eastAsia" w:ascii="宋体" w:hAnsi="宋体" w:eastAsia="宋体" w:cs="宋体"/>
                <w:spacing w:val="1"/>
                <w:sz w:val="24"/>
                <w:szCs w:val="24"/>
                <w:lang w:val="en-US" w:eastAsia="zh-CN"/>
              </w:rPr>
              <w:t>，与所在管控单元吉林四平经济开发区准入要求符合性见表1-</w:t>
            </w:r>
            <w:r>
              <w:rPr>
                <w:rFonts w:hint="eastAsia" w:ascii="宋体" w:hAnsi="宋体" w:cs="宋体"/>
                <w:spacing w:val="1"/>
                <w:sz w:val="24"/>
                <w:szCs w:val="24"/>
                <w:lang w:val="en-US" w:eastAsia="zh-CN"/>
              </w:rPr>
              <w:t>5</w:t>
            </w:r>
            <w:r>
              <w:rPr>
                <w:rFonts w:hint="eastAsia" w:ascii="宋体" w:hAnsi="宋体" w:eastAsia="宋体" w:cs="宋体"/>
                <w:spacing w:val="1"/>
                <w:sz w:val="24"/>
                <w:szCs w:val="24"/>
                <w:lang w:val="en-US" w:eastAsia="zh-CN"/>
              </w:rPr>
              <w:t>。</w:t>
            </w:r>
          </w:p>
          <w:p w14:paraId="734ABE1E">
            <w:pPr>
              <w:pStyle w:val="54"/>
              <w:keepNext w:val="0"/>
              <w:keepLines w:val="0"/>
              <w:pageBreakBefore w:val="0"/>
              <w:widowControl w:val="0"/>
              <w:kinsoku/>
              <w:wordWrap/>
              <w:overflowPunct/>
              <w:topLinePunct w:val="0"/>
              <w:autoSpaceDE/>
              <w:autoSpaceDN/>
              <w:bidi w:val="0"/>
              <w:adjustRightInd/>
              <w:snapToGrid/>
              <w:spacing w:before="40" w:line="360" w:lineRule="auto"/>
              <w:ind w:left="0" w:right="0" w:firstLine="484" w:firstLineChars="200"/>
              <w:jc w:val="both"/>
              <w:textAlignment w:val="auto"/>
              <w:rPr>
                <w:rFonts w:hint="eastAsia" w:ascii="宋体" w:hAnsi="宋体" w:eastAsia="宋体" w:cs="宋体"/>
                <w:spacing w:val="1"/>
                <w:sz w:val="24"/>
                <w:szCs w:val="24"/>
                <w:lang w:val="en-US" w:eastAsia="zh-CN"/>
              </w:rPr>
            </w:pPr>
          </w:p>
          <w:p w14:paraId="489DF757">
            <w:pPr>
              <w:pStyle w:val="54"/>
              <w:keepNext w:val="0"/>
              <w:keepLines w:val="0"/>
              <w:pageBreakBefore w:val="0"/>
              <w:widowControl w:val="0"/>
              <w:kinsoku/>
              <w:wordWrap/>
              <w:overflowPunct/>
              <w:topLinePunct w:val="0"/>
              <w:autoSpaceDE/>
              <w:autoSpaceDN/>
              <w:bidi w:val="0"/>
              <w:adjustRightInd/>
              <w:snapToGrid/>
              <w:spacing w:before="40" w:line="360" w:lineRule="auto"/>
              <w:ind w:right="0"/>
              <w:jc w:val="both"/>
              <w:textAlignment w:val="auto"/>
              <w:rPr>
                <w:rFonts w:hint="eastAsia" w:ascii="宋体" w:hAnsi="宋体" w:eastAsia="宋体" w:cs="宋体"/>
                <w:spacing w:val="1"/>
                <w:sz w:val="24"/>
                <w:szCs w:val="24"/>
                <w:lang w:val="en-US" w:eastAsia="zh-CN"/>
              </w:rPr>
            </w:pPr>
          </w:p>
          <w:p w14:paraId="1A5F3076">
            <w:pPr>
              <w:autoSpaceDE w:val="0"/>
              <w:autoSpaceDN w:val="0"/>
              <w:adjustRightInd w:val="0"/>
              <w:snapToGrid w:val="0"/>
              <w:jc w:val="both"/>
              <w:rPr>
                <w:rFonts w:ascii="宋体" w:hAnsi="宋体" w:cs="宋体"/>
                <w:kern w:val="0"/>
                <w:sz w:val="24"/>
                <w:szCs w:val="24"/>
              </w:rPr>
            </w:pPr>
          </w:p>
        </w:tc>
      </w:tr>
    </w:tbl>
    <w:p w14:paraId="2542B85A">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2"/>
      </w:tblGrid>
      <w:tr w14:paraId="40BA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3652" w:type="dxa"/>
            <w:noWrap w:val="0"/>
            <w:vAlign w:val="top"/>
          </w:tcPr>
          <w:p w14:paraId="7615766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u w:val="none"/>
                <w:lang w:val="en-US" w:eastAsia="zh-CN"/>
              </w:rPr>
            </w:pPr>
            <w:r>
              <w:rPr>
                <w:rFonts w:hint="default" w:ascii="Times New Roman" w:hAnsi="Times New Roman" w:eastAsia="宋体" w:cs="Times New Roman"/>
                <w:b/>
                <w:bCs/>
                <w:color w:val="auto"/>
                <w:kern w:val="0"/>
                <w:sz w:val="18"/>
                <w:szCs w:val="18"/>
                <w:u w:val="none"/>
                <w:lang w:val="en-US" w:eastAsia="zh-CN"/>
              </w:rPr>
              <w:t>表1-</w:t>
            </w:r>
            <w:r>
              <w:rPr>
                <w:rFonts w:hint="eastAsia" w:cs="Times New Roman"/>
                <w:b/>
                <w:bCs/>
                <w:color w:val="auto"/>
                <w:kern w:val="0"/>
                <w:sz w:val="18"/>
                <w:szCs w:val="18"/>
                <w:u w:val="none"/>
                <w:lang w:val="en-US" w:eastAsia="zh-CN"/>
              </w:rPr>
              <w:t>3</w:t>
            </w:r>
            <w:r>
              <w:rPr>
                <w:rFonts w:hint="default" w:ascii="Times New Roman" w:hAnsi="Times New Roman" w:eastAsia="宋体" w:cs="Times New Roman"/>
                <w:b/>
                <w:bCs/>
                <w:color w:val="auto"/>
                <w:kern w:val="0"/>
                <w:sz w:val="18"/>
                <w:szCs w:val="18"/>
                <w:u w:val="none"/>
                <w:lang w:val="en-US" w:eastAsia="zh-CN"/>
              </w:rPr>
              <w:t xml:space="preserve">  吉林省生态环境清单总体准入要求</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8237"/>
              <w:gridCol w:w="2904"/>
              <w:gridCol w:w="992"/>
            </w:tblGrid>
            <w:tr w14:paraId="6A69F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tcBorders>
                    <w:tl2br w:val="nil"/>
                    <w:tr2bl w:val="nil"/>
                  </w:tcBorders>
                  <w:noWrap w:val="0"/>
                  <w:vAlign w:val="center"/>
                </w:tcPr>
                <w:p w14:paraId="3B0CF4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管控领域</w:t>
                  </w:r>
                </w:p>
              </w:tc>
              <w:tc>
                <w:tcPr>
                  <w:tcW w:w="3072" w:type="pct"/>
                  <w:tcBorders>
                    <w:tl2br w:val="nil"/>
                    <w:tr2bl w:val="nil"/>
                  </w:tcBorders>
                  <w:noWrap w:val="0"/>
                  <w:vAlign w:val="center"/>
                </w:tcPr>
                <w:p w14:paraId="76612C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准入要求</w:t>
                  </w:r>
                </w:p>
              </w:tc>
              <w:tc>
                <w:tcPr>
                  <w:tcW w:w="1083" w:type="pct"/>
                  <w:tcBorders>
                    <w:tl2br w:val="nil"/>
                    <w:tr2bl w:val="nil"/>
                  </w:tcBorders>
                  <w:noWrap w:val="0"/>
                  <w:vAlign w:val="center"/>
                </w:tcPr>
                <w:p w14:paraId="3745196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本项目情况</w:t>
                  </w:r>
                </w:p>
              </w:tc>
              <w:tc>
                <w:tcPr>
                  <w:tcW w:w="368" w:type="pct"/>
                  <w:tcBorders>
                    <w:tl2br w:val="nil"/>
                    <w:tr2bl w:val="nil"/>
                  </w:tcBorders>
                  <w:noWrap w:val="0"/>
                  <w:vAlign w:val="center"/>
                </w:tcPr>
                <w:p w14:paraId="0D95372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符合性分析</w:t>
                  </w:r>
                </w:p>
              </w:tc>
            </w:tr>
            <w:tr w14:paraId="40F40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l2br w:val="nil"/>
                    <w:tr2bl w:val="nil"/>
                  </w:tcBorders>
                  <w:noWrap w:val="0"/>
                  <w:vAlign w:val="center"/>
                </w:tcPr>
                <w:p w14:paraId="19B8E4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全省总体准入要求</w:t>
                  </w:r>
                </w:p>
              </w:tc>
            </w:tr>
            <w:tr w14:paraId="7A72D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restart"/>
                  <w:tcBorders>
                    <w:tl2br w:val="nil"/>
                    <w:tr2bl w:val="nil"/>
                  </w:tcBorders>
                  <w:noWrap w:val="0"/>
                  <w:vAlign w:val="center"/>
                </w:tcPr>
                <w:p w14:paraId="29CFC3F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空间布局约束</w:t>
                  </w:r>
                </w:p>
              </w:tc>
              <w:tc>
                <w:tcPr>
                  <w:tcW w:w="3072" w:type="pct"/>
                  <w:tcBorders>
                    <w:tl2br w:val="nil"/>
                    <w:tr2bl w:val="nil"/>
                  </w:tcBorders>
                  <w:noWrap w:val="0"/>
                  <w:vAlign w:val="center"/>
                </w:tcPr>
                <w:p w14:paraId="6C6BAA42">
                  <w:pPr>
                    <w:pStyle w:val="46"/>
                    <w:keepNext w:val="0"/>
                    <w:keepLines w:val="0"/>
                    <w:pageBreakBefore w:val="0"/>
                    <w:widowControl w:val="0"/>
                    <w:kinsoku/>
                    <w:wordWrap/>
                    <w:overflowPunct/>
                    <w:topLinePunct w:val="0"/>
                    <w:bidi w:val="0"/>
                    <w:adjustRightInd w:val="0"/>
                    <w:snapToGrid w:val="0"/>
                    <w:spacing w:beforeLines="0" w:afterLines="0" w:line="260" w:lineRule="exact"/>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禁止新建、扩建《产业结构行）明确的淘汰类项目和引入《市场准入负面清单》（现行）禁止准入类事项，引入项目应符合园区规划、规划环境影响评价和区域产业准入负面清单要求。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083" w:type="pct"/>
                  <w:tcBorders>
                    <w:tl2br w:val="nil"/>
                    <w:tr2bl w:val="nil"/>
                  </w:tcBorders>
                  <w:noWrap w:val="0"/>
                  <w:vAlign w:val="top"/>
                </w:tcPr>
                <w:p w14:paraId="1EDC15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both"/>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本项目属于《产业结构调整指导目录》</w:t>
                  </w:r>
                  <w:r>
                    <w:rPr>
                      <w:rFonts w:hint="eastAsia" w:ascii="Times New Roman" w:hAnsi="Times New Roman" w:eastAsia="宋体" w:cs="Times New Roman"/>
                      <w:color w:val="auto"/>
                      <w:kern w:val="0"/>
                      <w:sz w:val="18"/>
                      <w:szCs w:val="18"/>
                      <w:vertAlign w:val="baseline"/>
                      <w:lang w:val="en-US" w:eastAsia="zh-CN"/>
                    </w:rPr>
                    <w:t>鼓励</w:t>
                  </w:r>
                  <w:r>
                    <w:rPr>
                      <w:rFonts w:hint="default" w:ascii="Times New Roman" w:hAnsi="Times New Roman" w:eastAsia="宋体" w:cs="Times New Roman"/>
                      <w:color w:val="auto"/>
                      <w:kern w:val="0"/>
                      <w:sz w:val="18"/>
                      <w:szCs w:val="18"/>
                      <w:vertAlign w:val="baseline"/>
                      <w:lang w:val="en-US" w:eastAsia="zh-CN"/>
                    </w:rPr>
                    <w:t>类，不在《市场准入负面清单》禁止类。</w:t>
                  </w:r>
                  <w:r>
                    <w:rPr>
                      <w:rFonts w:hint="eastAsia" w:ascii="Times New Roman" w:hAnsi="Times New Roman" w:eastAsia="宋体" w:cs="Times New Roman"/>
                      <w:color w:val="auto"/>
                      <w:kern w:val="0"/>
                      <w:sz w:val="18"/>
                      <w:szCs w:val="18"/>
                      <w:vertAlign w:val="baseline"/>
                      <w:lang w:val="en-US" w:eastAsia="zh-CN"/>
                    </w:rPr>
                    <w:t>符合所在园区规划和相关环保要求。</w:t>
                  </w:r>
                </w:p>
              </w:tc>
              <w:tc>
                <w:tcPr>
                  <w:tcW w:w="368" w:type="pct"/>
                  <w:tcBorders>
                    <w:tl2br w:val="nil"/>
                    <w:tr2bl w:val="nil"/>
                  </w:tcBorders>
                  <w:noWrap w:val="0"/>
                  <w:vAlign w:val="center"/>
                </w:tcPr>
                <w:p w14:paraId="6AFB3C6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符合</w:t>
                  </w:r>
                </w:p>
              </w:tc>
            </w:tr>
            <w:tr w14:paraId="7A2CD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tcBorders>
                    <w:tl2br w:val="nil"/>
                    <w:tr2bl w:val="nil"/>
                  </w:tcBorders>
                  <w:noWrap w:val="0"/>
                  <w:vAlign w:val="center"/>
                </w:tcPr>
                <w:p w14:paraId="0F9EDB9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p>
              </w:tc>
              <w:tc>
                <w:tcPr>
                  <w:tcW w:w="3072" w:type="pct"/>
                  <w:tcBorders>
                    <w:tl2br w:val="nil"/>
                    <w:tr2bl w:val="nil"/>
                  </w:tcBorders>
                  <w:noWrap w:val="0"/>
                  <w:vAlign w:val="center"/>
                </w:tcPr>
                <w:p w14:paraId="433653FC">
                  <w:pPr>
                    <w:pStyle w:val="46"/>
                    <w:keepNext w:val="0"/>
                    <w:keepLines w:val="0"/>
                    <w:pageBreakBefore w:val="0"/>
                    <w:widowControl w:val="0"/>
                    <w:kinsoku/>
                    <w:wordWrap/>
                    <w:overflowPunct/>
                    <w:topLinePunct w:val="0"/>
                    <w:bidi w:val="0"/>
                    <w:adjustRightInd w:val="0"/>
                    <w:snapToGrid w:val="0"/>
                    <w:spacing w:beforeLines="0" w:afterLines="0" w:line="260" w:lineRule="exact"/>
                    <w:contextualSpacing/>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强化产业政策在产业转移过程中的引导和约束作用，严格控制在生态脆弱或环境敏感地区建设“两高”行业项目。……</w:t>
                  </w:r>
                </w:p>
              </w:tc>
              <w:tc>
                <w:tcPr>
                  <w:tcW w:w="1083" w:type="pct"/>
                  <w:tcBorders>
                    <w:tl2br w:val="nil"/>
                    <w:tr2bl w:val="nil"/>
                  </w:tcBorders>
                  <w:noWrap w:val="0"/>
                  <w:vAlign w:val="center"/>
                </w:tcPr>
                <w:p w14:paraId="38716B4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不</w:t>
                  </w:r>
                  <w:r>
                    <w:rPr>
                      <w:rFonts w:hint="eastAsia" w:ascii="Times New Roman" w:hAnsi="Times New Roman" w:eastAsia="宋体" w:cs="Times New Roman"/>
                      <w:color w:val="auto"/>
                      <w:kern w:val="0"/>
                      <w:sz w:val="18"/>
                      <w:szCs w:val="18"/>
                      <w:vertAlign w:val="baseline"/>
                      <w:lang w:val="en-US" w:eastAsia="zh-CN"/>
                    </w:rPr>
                    <w:t>属于“两高”项目</w:t>
                  </w:r>
                  <w:r>
                    <w:rPr>
                      <w:rFonts w:hint="eastAsia" w:ascii="Times New Roman" w:hAnsi="Times New Roman" w:eastAsia="宋体" w:cs="Times New Roman"/>
                      <w:color w:val="000000" w:themeColor="text1"/>
                      <w:kern w:val="0"/>
                      <w:sz w:val="18"/>
                      <w:szCs w:val="18"/>
                      <w:vertAlign w:val="baseline"/>
                      <w:lang w:val="en-US" w:eastAsia="zh-CN"/>
                      <w14:textFill>
                        <w14:solidFill>
                          <w14:schemeClr w14:val="tx1"/>
                        </w14:solidFill>
                      </w14:textFill>
                    </w:rPr>
                    <w:t>，详见附件</w:t>
                  </w:r>
                </w:p>
              </w:tc>
              <w:tc>
                <w:tcPr>
                  <w:tcW w:w="368" w:type="pct"/>
                  <w:tcBorders>
                    <w:tl2br w:val="nil"/>
                    <w:tr2bl w:val="nil"/>
                  </w:tcBorders>
                  <w:noWrap w:val="0"/>
                  <w:vAlign w:val="center"/>
                </w:tcPr>
                <w:p w14:paraId="6260089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符合</w:t>
                  </w:r>
                </w:p>
              </w:tc>
            </w:tr>
            <w:tr w14:paraId="7D0EB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restart"/>
                  <w:tcBorders>
                    <w:tl2br w:val="nil"/>
                    <w:tr2bl w:val="nil"/>
                  </w:tcBorders>
                  <w:noWrap w:val="0"/>
                  <w:vAlign w:val="center"/>
                </w:tcPr>
                <w:p w14:paraId="032D8B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污染物排放管控</w:t>
                  </w:r>
                </w:p>
              </w:tc>
              <w:tc>
                <w:tcPr>
                  <w:tcW w:w="3072" w:type="pct"/>
                  <w:tcBorders>
                    <w:tl2br w:val="nil"/>
                    <w:tr2bl w:val="nil"/>
                  </w:tcBorders>
                  <w:noWrap w:val="0"/>
                  <w:vAlign w:val="center"/>
                </w:tcPr>
                <w:p w14:paraId="336C4C33">
                  <w:pPr>
                    <w:pStyle w:val="46"/>
                    <w:keepNext w:val="0"/>
                    <w:keepLines w:val="0"/>
                    <w:pageBreakBefore w:val="0"/>
                    <w:widowControl w:val="0"/>
                    <w:kinsoku/>
                    <w:wordWrap/>
                    <w:overflowPunct/>
                    <w:topLinePunct w:val="0"/>
                    <w:bidi w:val="0"/>
                    <w:adjustRightInd w:val="0"/>
                    <w:snapToGrid w:val="0"/>
                    <w:spacing w:beforeLines="0" w:afterLines="0" w:line="260" w:lineRule="exact"/>
                    <w:contextualSpacing/>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重大项目原则上应布局在优化开发区和重点开发区，并符合国土空间总体规划。……</w:t>
                  </w:r>
                </w:p>
              </w:tc>
              <w:tc>
                <w:tcPr>
                  <w:tcW w:w="1083" w:type="pct"/>
                  <w:tcBorders>
                    <w:tl2br w:val="nil"/>
                    <w:tr2bl w:val="nil"/>
                  </w:tcBorders>
                  <w:noWrap w:val="0"/>
                  <w:vAlign w:val="center"/>
                </w:tcPr>
                <w:p w14:paraId="68BA75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不</w:t>
                  </w:r>
                  <w:r>
                    <w:rPr>
                      <w:rFonts w:hint="eastAsia" w:ascii="Times New Roman" w:hAnsi="Times New Roman" w:eastAsia="宋体" w:cs="Times New Roman"/>
                      <w:color w:val="auto"/>
                      <w:kern w:val="0"/>
                      <w:sz w:val="18"/>
                      <w:szCs w:val="18"/>
                      <w:vertAlign w:val="baseline"/>
                      <w:lang w:val="en-US" w:eastAsia="zh-CN"/>
                    </w:rPr>
                    <w:t>属于重大项目</w:t>
                  </w:r>
                </w:p>
              </w:tc>
              <w:tc>
                <w:tcPr>
                  <w:tcW w:w="368" w:type="pct"/>
                  <w:tcBorders>
                    <w:tl2br w:val="nil"/>
                    <w:tr2bl w:val="nil"/>
                  </w:tcBorders>
                  <w:noWrap w:val="0"/>
                  <w:vAlign w:val="center"/>
                </w:tcPr>
                <w:p w14:paraId="7E130B3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22136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tcBorders>
                    <w:tl2br w:val="nil"/>
                    <w:tr2bl w:val="nil"/>
                  </w:tcBorders>
                  <w:noWrap w:val="0"/>
                  <w:vAlign w:val="center"/>
                </w:tcPr>
                <w:p w14:paraId="42373B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p>
              </w:tc>
              <w:tc>
                <w:tcPr>
                  <w:tcW w:w="3072" w:type="pct"/>
                  <w:tcBorders>
                    <w:tl2br w:val="nil"/>
                    <w:tr2bl w:val="nil"/>
                  </w:tcBorders>
                  <w:noWrap w:val="0"/>
                  <w:vAlign w:val="center"/>
                </w:tcPr>
                <w:p w14:paraId="50572AC1">
                  <w:pPr>
                    <w:pStyle w:val="46"/>
                    <w:keepNext w:val="0"/>
                    <w:keepLines w:val="0"/>
                    <w:pageBreakBefore w:val="0"/>
                    <w:widowControl w:val="0"/>
                    <w:kinsoku/>
                    <w:wordWrap/>
                    <w:overflowPunct/>
                    <w:topLinePunct w:val="0"/>
                    <w:bidi w:val="0"/>
                    <w:adjustRightInd w:val="0"/>
                    <w:snapToGrid w:val="0"/>
                    <w:spacing w:beforeLines="0" w:afterLines="0" w:line="260" w:lineRule="exact"/>
                    <w:contextualSpacing/>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进一步优化全省化工产业布局，提高化工行业本质安全和绿色发展水平，引领化工园区从规范化发展到高质量发展、促进化工产业转型升级。</w:t>
                  </w:r>
                </w:p>
              </w:tc>
              <w:tc>
                <w:tcPr>
                  <w:tcW w:w="1083" w:type="pct"/>
                  <w:tcBorders>
                    <w:tl2br w:val="nil"/>
                    <w:tr2bl w:val="nil"/>
                  </w:tcBorders>
                  <w:noWrap w:val="0"/>
                  <w:vAlign w:val="center"/>
                </w:tcPr>
                <w:p w14:paraId="0C835C5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不</w:t>
                  </w:r>
                  <w:r>
                    <w:rPr>
                      <w:rFonts w:hint="eastAsia" w:ascii="Times New Roman" w:hAnsi="Times New Roman" w:eastAsia="宋体" w:cs="Times New Roman"/>
                      <w:color w:val="auto"/>
                      <w:kern w:val="0"/>
                      <w:sz w:val="18"/>
                      <w:szCs w:val="18"/>
                      <w:vertAlign w:val="baseline"/>
                      <w:lang w:val="en-US" w:eastAsia="zh-CN"/>
                    </w:rPr>
                    <w:t>属于化工项目</w:t>
                  </w:r>
                </w:p>
              </w:tc>
              <w:tc>
                <w:tcPr>
                  <w:tcW w:w="368" w:type="pct"/>
                  <w:tcBorders>
                    <w:tl2br w:val="nil"/>
                    <w:tr2bl w:val="nil"/>
                  </w:tcBorders>
                  <w:noWrap w:val="0"/>
                  <w:vAlign w:val="center"/>
                </w:tcPr>
                <w:p w14:paraId="34CDDA0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符合</w:t>
                  </w:r>
                </w:p>
              </w:tc>
            </w:tr>
            <w:tr w14:paraId="69947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tcBorders>
                    <w:tl2br w:val="nil"/>
                    <w:tr2bl w:val="nil"/>
                  </w:tcBorders>
                  <w:noWrap w:val="0"/>
                  <w:vAlign w:val="center"/>
                </w:tcPr>
                <w:p w14:paraId="1F4238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p>
              </w:tc>
              <w:tc>
                <w:tcPr>
                  <w:tcW w:w="3072" w:type="pct"/>
                  <w:tcBorders>
                    <w:tl2br w:val="nil"/>
                    <w:tr2bl w:val="nil"/>
                  </w:tcBorders>
                  <w:noWrap w:val="0"/>
                  <w:vAlign w:val="center"/>
                </w:tcPr>
                <w:p w14:paraId="6420A4CD">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落实主要污染物总量控制和排污许可制度。新建、改建、扩建重点行业建设项目实行主要污染物排放等量或倍量削减替代。严格涉VOCs建设项目环境影响评价，逐步推进区域内VOCs排放等量或倍量削减替代。</w:t>
                  </w:r>
                </w:p>
              </w:tc>
              <w:tc>
                <w:tcPr>
                  <w:tcW w:w="1083" w:type="pct"/>
                  <w:tcBorders>
                    <w:tl2br w:val="nil"/>
                    <w:tr2bl w:val="nil"/>
                  </w:tcBorders>
                  <w:noWrap w:val="0"/>
                  <w:vAlign w:val="center"/>
                </w:tcPr>
                <w:p w14:paraId="6723307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u w:val="none"/>
                      <w:vertAlign w:val="baseline"/>
                      <w:lang w:val="en-US" w:eastAsia="zh-CN" w:bidi="ar-SA"/>
                    </w:rPr>
                  </w:pPr>
                  <w:r>
                    <w:rPr>
                      <w:rFonts w:hint="eastAsia" w:ascii="Times New Roman" w:hAnsi="Times New Roman" w:eastAsia="宋体" w:cs="Times New Roman"/>
                      <w:color w:val="auto"/>
                      <w:kern w:val="0"/>
                      <w:sz w:val="18"/>
                      <w:szCs w:val="18"/>
                      <w:u w:val="none"/>
                      <w:vertAlign w:val="baseline"/>
                      <w:lang w:val="en-US" w:eastAsia="zh-CN" w:bidi="ar-SA"/>
                    </w:rPr>
                    <w:t>落实</w:t>
                  </w:r>
                  <w:r>
                    <w:rPr>
                      <w:rFonts w:hint="default" w:ascii="Times New Roman" w:hAnsi="Times New Roman" w:eastAsia="宋体" w:cs="Times New Roman"/>
                      <w:color w:val="auto"/>
                      <w:sz w:val="18"/>
                      <w:szCs w:val="18"/>
                      <w:highlight w:val="none"/>
                    </w:rPr>
                    <w:t>主要污染物总量控制和排污许可制度。</w:t>
                  </w:r>
                </w:p>
              </w:tc>
              <w:tc>
                <w:tcPr>
                  <w:tcW w:w="368" w:type="pct"/>
                  <w:tcBorders>
                    <w:tl2br w:val="nil"/>
                    <w:tr2bl w:val="nil"/>
                  </w:tcBorders>
                  <w:noWrap w:val="0"/>
                  <w:vAlign w:val="center"/>
                </w:tcPr>
                <w:p w14:paraId="0F6524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7540A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tcBorders>
                    <w:tl2br w:val="nil"/>
                    <w:tr2bl w:val="nil"/>
                  </w:tcBorders>
                  <w:noWrap w:val="0"/>
                  <w:vAlign w:val="center"/>
                </w:tcPr>
                <w:p w14:paraId="2A6CB6E2">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Cs/>
                      <w:color w:val="auto"/>
                      <w:kern w:val="0"/>
                      <w:sz w:val="18"/>
                      <w:szCs w:val="18"/>
                      <w:highlight w:val="none"/>
                      <w:lang w:val="en-US" w:eastAsia="zh-CN" w:bidi="ar-SA"/>
                    </w:rPr>
                  </w:pPr>
                </w:p>
              </w:tc>
              <w:tc>
                <w:tcPr>
                  <w:tcW w:w="3072" w:type="pct"/>
                  <w:tcBorders>
                    <w:tl2br w:val="nil"/>
                    <w:tr2bl w:val="nil"/>
                  </w:tcBorders>
                  <w:noWrap w:val="0"/>
                  <w:vAlign w:val="center"/>
                </w:tcPr>
                <w:p w14:paraId="33778D81">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空气质量未达标地区新建项目涉及的二氧化硫、氮氧化物、颗粒物、挥发性有机物（VOCs）排放全面执行大气污染物特别排放限值。</w:t>
                  </w:r>
                </w:p>
              </w:tc>
              <w:tc>
                <w:tcPr>
                  <w:tcW w:w="1083" w:type="pct"/>
                  <w:tcBorders>
                    <w:tl2br w:val="nil"/>
                    <w:tr2bl w:val="nil"/>
                  </w:tcBorders>
                  <w:noWrap w:val="0"/>
                  <w:vAlign w:val="top"/>
                </w:tcPr>
                <w:p w14:paraId="05D788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both"/>
                    <w:textAlignment w:val="auto"/>
                    <w:rPr>
                      <w:rFonts w:hint="default" w:ascii="Times New Roman" w:hAnsi="Times New Roman" w:eastAsia="宋体" w:cs="Times New Roman"/>
                      <w:color w:val="auto"/>
                      <w:kern w:val="0"/>
                      <w:sz w:val="18"/>
                      <w:szCs w:val="18"/>
                      <w:highlight w:val="none"/>
                      <w:u w:val="none"/>
                      <w:vertAlign w:val="baseline"/>
                      <w:lang w:val="en-US" w:eastAsia="zh-CN"/>
                    </w:rPr>
                  </w:pPr>
                  <w:r>
                    <w:rPr>
                      <w:rFonts w:hint="default" w:ascii="Times New Roman" w:hAnsi="Times New Roman" w:eastAsia="宋体" w:cs="Times New Roman"/>
                      <w:color w:val="auto"/>
                      <w:kern w:val="0"/>
                      <w:sz w:val="18"/>
                      <w:szCs w:val="18"/>
                      <w:highlight w:val="none"/>
                      <w:u w:val="none"/>
                      <w:vertAlign w:val="baseline"/>
                      <w:lang w:val="en-US" w:eastAsia="zh-CN"/>
                    </w:rPr>
                    <w:t>四平市属于环境空气质量达标区</w:t>
                  </w:r>
                  <w:r>
                    <w:rPr>
                      <w:rFonts w:hint="eastAsia" w:ascii="Times New Roman" w:hAnsi="Times New Roman" w:eastAsia="宋体" w:cs="Times New Roman"/>
                      <w:color w:val="auto"/>
                      <w:kern w:val="0"/>
                      <w:sz w:val="18"/>
                      <w:szCs w:val="18"/>
                      <w:highlight w:val="none"/>
                      <w:u w:val="none"/>
                      <w:vertAlign w:val="baseline"/>
                      <w:lang w:val="en-US" w:eastAsia="zh-CN"/>
                    </w:rPr>
                    <w:t>，按要求执行</w:t>
                  </w:r>
                  <w:r>
                    <w:rPr>
                      <w:rFonts w:hint="default" w:ascii="Times New Roman" w:hAnsi="Times New Roman" w:eastAsia="宋体" w:cs="Times New Roman"/>
                      <w:color w:val="auto"/>
                      <w:kern w:val="0"/>
                      <w:sz w:val="18"/>
                      <w:szCs w:val="18"/>
                      <w:highlight w:val="none"/>
                      <w:u w:val="none"/>
                      <w:vertAlign w:val="baseline"/>
                      <w:lang w:val="en-US" w:eastAsia="zh-CN"/>
                    </w:rPr>
                    <w:t>。</w:t>
                  </w:r>
                </w:p>
              </w:tc>
              <w:tc>
                <w:tcPr>
                  <w:tcW w:w="368" w:type="pct"/>
                  <w:tcBorders>
                    <w:tl2br w:val="nil"/>
                    <w:tr2bl w:val="nil"/>
                  </w:tcBorders>
                  <w:noWrap w:val="0"/>
                  <w:vAlign w:val="center"/>
                </w:tcPr>
                <w:p w14:paraId="5940568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highlight w:val="none"/>
                      <w:u w:val="none"/>
                      <w:vertAlign w:val="baseline"/>
                      <w:lang w:val="en-US" w:eastAsia="zh-CN"/>
                    </w:rPr>
                  </w:pPr>
                  <w:r>
                    <w:rPr>
                      <w:rFonts w:hint="default" w:ascii="Times New Roman" w:hAnsi="Times New Roman" w:eastAsia="宋体" w:cs="Times New Roman"/>
                      <w:color w:val="auto"/>
                      <w:kern w:val="0"/>
                      <w:sz w:val="18"/>
                      <w:szCs w:val="18"/>
                      <w:highlight w:val="none"/>
                      <w:u w:val="none"/>
                      <w:vertAlign w:val="baseline"/>
                      <w:lang w:val="en-US" w:eastAsia="zh-CN"/>
                    </w:rPr>
                    <w:t>符合</w:t>
                  </w:r>
                </w:p>
              </w:tc>
            </w:tr>
            <w:tr w14:paraId="00781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restart"/>
                  <w:tcBorders>
                    <w:tl2br w:val="nil"/>
                    <w:tr2bl w:val="nil"/>
                  </w:tcBorders>
                  <w:noWrap w:val="0"/>
                  <w:vAlign w:val="center"/>
                </w:tcPr>
                <w:p w14:paraId="3321879C">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
                      <w:color w:val="auto"/>
                      <w:sz w:val="18"/>
                      <w:szCs w:val="18"/>
                      <w:highlight w:val="none"/>
                    </w:rPr>
                    <w:t>环境风险防控</w:t>
                  </w:r>
                </w:p>
              </w:tc>
              <w:tc>
                <w:tcPr>
                  <w:tcW w:w="3072" w:type="pct"/>
                  <w:tcBorders>
                    <w:tl2br w:val="nil"/>
                    <w:tr2bl w:val="nil"/>
                  </w:tcBorders>
                  <w:noWrap w:val="0"/>
                  <w:vAlign w:val="center"/>
                </w:tcPr>
                <w:p w14:paraId="5613E6A9">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到2025年，城镇人口密集区现有不符合防护距离要求的危险化学品生产企业应就地改造达标、搬迁进入规范化工园区或关闭退出，企业安全和环境风险大幅降低。</w:t>
                  </w:r>
                </w:p>
              </w:tc>
              <w:tc>
                <w:tcPr>
                  <w:tcW w:w="1083" w:type="pct"/>
                  <w:tcBorders>
                    <w:tl2br w:val="nil"/>
                    <w:tr2bl w:val="nil"/>
                  </w:tcBorders>
                  <w:noWrap w:val="0"/>
                  <w:vAlign w:val="center"/>
                </w:tcPr>
                <w:p w14:paraId="4C832E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不涉及</w:t>
                  </w:r>
                </w:p>
              </w:tc>
              <w:tc>
                <w:tcPr>
                  <w:tcW w:w="368" w:type="pct"/>
                  <w:tcBorders>
                    <w:tl2br w:val="nil"/>
                    <w:tr2bl w:val="nil"/>
                  </w:tcBorders>
                  <w:noWrap w:val="0"/>
                  <w:vAlign w:val="center"/>
                </w:tcPr>
                <w:p w14:paraId="57A926C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w:t>
                  </w:r>
                </w:p>
              </w:tc>
            </w:tr>
            <w:tr w14:paraId="43BD0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tcBorders>
                    <w:tl2br w:val="nil"/>
                    <w:tr2bl w:val="nil"/>
                  </w:tcBorders>
                  <w:noWrap w:val="0"/>
                  <w:vAlign w:val="center"/>
                </w:tcPr>
                <w:p w14:paraId="195CEC3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p>
              </w:tc>
              <w:tc>
                <w:tcPr>
                  <w:tcW w:w="3072" w:type="pct"/>
                  <w:tcBorders>
                    <w:tl2br w:val="nil"/>
                    <w:tr2bl w:val="nil"/>
                  </w:tcBorders>
                  <w:noWrap w:val="0"/>
                  <w:vAlign w:val="center"/>
                </w:tcPr>
                <w:p w14:paraId="5D92A57D">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bCs w:val="0"/>
                      <w:color w:val="auto"/>
                      <w:kern w:val="0"/>
                      <w:sz w:val="18"/>
                      <w:szCs w:val="18"/>
                      <w:highlight w:val="none"/>
                      <w:lang w:val="en-US" w:eastAsia="zh-CN" w:bidi="ar-SA"/>
                    </w:rPr>
                  </w:pPr>
                  <w:r>
                    <w:rPr>
                      <w:rFonts w:hint="default" w:ascii="Times New Roman" w:hAnsi="Times New Roman" w:eastAsia="宋体" w:cs="Times New Roman"/>
                      <w:bCs w:val="0"/>
                      <w:color w:val="auto"/>
                      <w:sz w:val="18"/>
                      <w:szCs w:val="18"/>
                      <w:highlight w:val="none"/>
                    </w:rPr>
                    <w:t>巩固城市饮用水水源保护与治理成果，加强饮用水水源地规范化建设，</w:t>
                  </w:r>
                  <w:r>
                    <w:rPr>
                      <w:rFonts w:hint="default" w:ascii="Times New Roman" w:hAnsi="Times New Roman" w:eastAsia="宋体" w:cs="Times New Roman"/>
                      <w:color w:val="auto"/>
                      <w:sz w:val="18"/>
                      <w:szCs w:val="18"/>
                      <w:highlight w:val="none"/>
                    </w:rPr>
                    <w:t>完善风险防控与应急能力建设和相关管理措施，</w:t>
                  </w:r>
                  <w:r>
                    <w:rPr>
                      <w:rFonts w:hint="default" w:ascii="Times New Roman" w:hAnsi="Times New Roman" w:eastAsia="宋体" w:cs="Times New Roman"/>
                      <w:bCs w:val="0"/>
                      <w:color w:val="auto"/>
                      <w:sz w:val="18"/>
                      <w:szCs w:val="18"/>
                      <w:highlight w:val="none"/>
                    </w:rPr>
                    <w:t>保证饮用水水源水质达标和水源安全。</w:t>
                  </w:r>
                </w:p>
              </w:tc>
              <w:tc>
                <w:tcPr>
                  <w:tcW w:w="1083" w:type="pct"/>
                  <w:tcBorders>
                    <w:tl2br w:val="nil"/>
                    <w:tr2bl w:val="nil"/>
                  </w:tcBorders>
                  <w:noWrap w:val="0"/>
                  <w:vAlign w:val="center"/>
                </w:tcPr>
                <w:p w14:paraId="24CF2E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不涉及</w:t>
                  </w:r>
                </w:p>
              </w:tc>
              <w:tc>
                <w:tcPr>
                  <w:tcW w:w="368" w:type="pct"/>
                  <w:tcBorders>
                    <w:tl2br w:val="nil"/>
                    <w:tr2bl w:val="nil"/>
                  </w:tcBorders>
                  <w:noWrap w:val="0"/>
                  <w:vAlign w:val="center"/>
                </w:tcPr>
                <w:p w14:paraId="0C82B3A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w:t>
                  </w:r>
                </w:p>
              </w:tc>
            </w:tr>
            <w:tr w14:paraId="6D864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restart"/>
                  <w:tcBorders>
                    <w:tl2br w:val="nil"/>
                    <w:tr2bl w:val="nil"/>
                  </w:tcBorders>
                  <w:noWrap w:val="0"/>
                  <w:vAlign w:val="center"/>
                </w:tcPr>
                <w:p w14:paraId="0066A9C3">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
                      <w:color w:val="auto"/>
                      <w:sz w:val="18"/>
                      <w:szCs w:val="18"/>
                      <w:highlight w:val="none"/>
                    </w:rPr>
                    <w:t>资源利用要求</w:t>
                  </w:r>
                </w:p>
              </w:tc>
              <w:tc>
                <w:tcPr>
                  <w:tcW w:w="3072" w:type="pct"/>
                  <w:tcBorders>
                    <w:tl2br w:val="nil"/>
                    <w:tr2bl w:val="nil"/>
                  </w:tcBorders>
                  <w:noWrap w:val="0"/>
                  <w:vAlign w:val="center"/>
                </w:tcPr>
                <w:p w14:paraId="255B88DB">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083" w:type="pct"/>
                  <w:tcBorders>
                    <w:tl2br w:val="nil"/>
                    <w:tr2bl w:val="nil"/>
                  </w:tcBorders>
                  <w:noWrap w:val="0"/>
                  <w:vAlign w:val="center"/>
                </w:tcPr>
                <w:p w14:paraId="24EA19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不涉及</w:t>
                  </w:r>
                  <w:r>
                    <w:rPr>
                      <w:rFonts w:hint="eastAsia" w:ascii="Times New Roman" w:hAnsi="Times New Roman" w:eastAsia="宋体" w:cs="Times New Roman"/>
                      <w:color w:val="auto"/>
                      <w:kern w:val="0"/>
                      <w:sz w:val="18"/>
                      <w:szCs w:val="18"/>
                      <w:vertAlign w:val="baseline"/>
                      <w:lang w:val="en-US" w:eastAsia="zh-CN"/>
                    </w:rPr>
                    <w:t>以上重点行业，水源采用自来水。</w:t>
                  </w:r>
                </w:p>
              </w:tc>
              <w:tc>
                <w:tcPr>
                  <w:tcW w:w="368" w:type="pct"/>
                  <w:tcBorders>
                    <w:tl2br w:val="nil"/>
                    <w:tr2bl w:val="nil"/>
                  </w:tcBorders>
                  <w:noWrap w:val="0"/>
                  <w:vAlign w:val="center"/>
                </w:tcPr>
                <w:p w14:paraId="2D6079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620E3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tcBorders>
                    <w:tl2br w:val="nil"/>
                    <w:tr2bl w:val="nil"/>
                  </w:tcBorders>
                  <w:noWrap w:val="0"/>
                  <w:vAlign w:val="center"/>
                </w:tcPr>
                <w:p w14:paraId="405EF6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p>
              </w:tc>
              <w:tc>
                <w:tcPr>
                  <w:tcW w:w="3072" w:type="pct"/>
                  <w:tcBorders>
                    <w:tl2br w:val="nil"/>
                    <w:tr2bl w:val="nil"/>
                  </w:tcBorders>
                  <w:noWrap w:val="0"/>
                  <w:vAlign w:val="center"/>
                </w:tcPr>
                <w:p w14:paraId="63E5DE77">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按照《中华人民共和国黑土地保护法》《吉林省黑土地保护条例》实施黑土地保护，加大黑土区水土流失治理力度，发展保护性耕作，促进黑土地可持续发展。</w:t>
                  </w:r>
                </w:p>
              </w:tc>
              <w:tc>
                <w:tcPr>
                  <w:tcW w:w="1083" w:type="pct"/>
                  <w:tcBorders>
                    <w:tl2br w:val="nil"/>
                    <w:tr2bl w:val="nil"/>
                  </w:tcBorders>
                  <w:noWrap w:val="0"/>
                  <w:vAlign w:val="center"/>
                </w:tcPr>
                <w:p w14:paraId="02D89C2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不涉及</w:t>
                  </w:r>
                  <w:r>
                    <w:rPr>
                      <w:rFonts w:hint="eastAsia" w:ascii="Times New Roman" w:hAnsi="Times New Roman" w:eastAsia="宋体" w:cs="Times New Roman"/>
                      <w:color w:val="auto"/>
                      <w:kern w:val="0"/>
                      <w:sz w:val="18"/>
                      <w:szCs w:val="18"/>
                      <w:vertAlign w:val="baseline"/>
                      <w:lang w:val="en-US" w:eastAsia="zh-CN"/>
                    </w:rPr>
                    <w:t>黑土地</w:t>
                  </w:r>
                </w:p>
              </w:tc>
              <w:tc>
                <w:tcPr>
                  <w:tcW w:w="368" w:type="pct"/>
                  <w:tcBorders>
                    <w:tl2br w:val="nil"/>
                    <w:tr2bl w:val="nil"/>
                  </w:tcBorders>
                  <w:noWrap w:val="0"/>
                  <w:vAlign w:val="center"/>
                </w:tcPr>
                <w:p w14:paraId="25D450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highlight w:val="none"/>
                      <w:u w:val="none"/>
                      <w:vertAlign w:val="baseline"/>
                      <w:lang w:val="en-US" w:eastAsia="zh-CN" w:bidi="ar-SA"/>
                    </w:rPr>
                  </w:pPr>
                  <w:r>
                    <w:rPr>
                      <w:rFonts w:hint="default" w:ascii="Times New Roman" w:hAnsi="Times New Roman" w:eastAsia="宋体" w:cs="Times New Roman"/>
                      <w:color w:val="auto"/>
                      <w:kern w:val="0"/>
                      <w:sz w:val="18"/>
                      <w:szCs w:val="18"/>
                      <w:highlight w:val="none"/>
                      <w:u w:val="none"/>
                      <w:vertAlign w:val="baseline"/>
                      <w:lang w:val="en-US" w:eastAsia="zh-CN"/>
                    </w:rPr>
                    <w:t>符合</w:t>
                  </w:r>
                </w:p>
              </w:tc>
            </w:tr>
            <w:tr w14:paraId="5BEFE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tcBorders>
                    <w:tl2br w:val="nil"/>
                    <w:tr2bl w:val="nil"/>
                  </w:tcBorders>
                  <w:noWrap w:val="0"/>
                  <w:vAlign w:val="center"/>
                </w:tcPr>
                <w:p w14:paraId="13C3D3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p>
              </w:tc>
              <w:tc>
                <w:tcPr>
                  <w:tcW w:w="3072" w:type="pct"/>
                  <w:tcBorders>
                    <w:tl2br w:val="nil"/>
                    <w:tr2bl w:val="nil"/>
                  </w:tcBorders>
                  <w:noWrap w:val="0"/>
                  <w:vAlign w:val="center"/>
                </w:tcPr>
                <w:p w14:paraId="6E5B4A72">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严格控制煤炭消费。制定煤炭消费总量控制目标，规范实行煤炭消费控制目标管理和减量（等量）替代管理。</w:t>
                  </w:r>
                </w:p>
              </w:tc>
              <w:tc>
                <w:tcPr>
                  <w:tcW w:w="1083" w:type="pct"/>
                  <w:tcBorders>
                    <w:tl2br w:val="nil"/>
                    <w:tr2bl w:val="nil"/>
                  </w:tcBorders>
                  <w:noWrap w:val="0"/>
                  <w:vAlign w:val="center"/>
                </w:tcPr>
                <w:p w14:paraId="469911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不</w:t>
                  </w:r>
                  <w:r>
                    <w:rPr>
                      <w:rFonts w:hint="eastAsia" w:ascii="Times New Roman" w:hAnsi="Times New Roman" w:eastAsia="宋体" w:cs="Times New Roman"/>
                      <w:color w:val="auto"/>
                      <w:kern w:val="0"/>
                      <w:sz w:val="18"/>
                      <w:szCs w:val="18"/>
                      <w:vertAlign w:val="baseline"/>
                      <w:lang w:val="en-US" w:eastAsia="zh-CN"/>
                    </w:rPr>
                    <w:t>使用煤炭</w:t>
                  </w:r>
                </w:p>
              </w:tc>
              <w:tc>
                <w:tcPr>
                  <w:tcW w:w="368" w:type="pct"/>
                  <w:tcBorders>
                    <w:tl2br w:val="nil"/>
                    <w:tr2bl w:val="nil"/>
                  </w:tcBorders>
                  <w:noWrap w:val="0"/>
                  <w:vAlign w:val="center"/>
                </w:tcPr>
                <w:p w14:paraId="56DFB09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1DF6C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tcBorders>
                    <w:tl2br w:val="nil"/>
                    <w:tr2bl w:val="nil"/>
                  </w:tcBorders>
                  <w:noWrap w:val="0"/>
                  <w:vAlign w:val="center"/>
                </w:tcPr>
                <w:p w14:paraId="0EAA033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p>
              </w:tc>
              <w:tc>
                <w:tcPr>
                  <w:tcW w:w="3072" w:type="pct"/>
                  <w:tcBorders>
                    <w:tl2br w:val="nil"/>
                    <w:tr2bl w:val="nil"/>
                  </w:tcBorders>
                  <w:noWrap w:val="0"/>
                  <w:vAlign w:val="center"/>
                </w:tcPr>
                <w:p w14:paraId="4F9A2315">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rPr>
                    <w:t>高污染燃料禁燃区内，禁止销售、燃用高污染燃料；禁止新建、扩建燃用高污染燃料的设施。</w:t>
                  </w:r>
                </w:p>
              </w:tc>
              <w:tc>
                <w:tcPr>
                  <w:tcW w:w="1083" w:type="pct"/>
                  <w:tcBorders>
                    <w:tl2br w:val="nil"/>
                    <w:tr2bl w:val="nil"/>
                  </w:tcBorders>
                  <w:noWrap w:val="0"/>
                  <w:vAlign w:val="center"/>
                </w:tcPr>
                <w:p w14:paraId="1474958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eastAsia" w:ascii="Times New Roman" w:hAnsi="Times New Roman" w:eastAsia="宋体" w:cs="Times New Roman"/>
                      <w:color w:val="auto"/>
                      <w:kern w:val="0"/>
                      <w:sz w:val="18"/>
                      <w:szCs w:val="18"/>
                      <w:vertAlign w:val="baseline"/>
                      <w:lang w:val="en-US" w:eastAsia="zh-CN"/>
                    </w:rPr>
                    <w:t>使用天然气，属于清洁能源，</w:t>
                  </w:r>
                  <w:r>
                    <w:rPr>
                      <w:rFonts w:hint="default" w:ascii="Times New Roman" w:hAnsi="Times New Roman" w:eastAsia="宋体" w:cs="Times New Roman"/>
                      <w:color w:val="auto"/>
                      <w:kern w:val="0"/>
                      <w:sz w:val="18"/>
                      <w:szCs w:val="18"/>
                      <w:vertAlign w:val="baseline"/>
                      <w:lang w:val="en-US" w:eastAsia="zh-CN"/>
                    </w:rPr>
                    <w:t>不</w:t>
                  </w:r>
                  <w:r>
                    <w:rPr>
                      <w:rFonts w:hint="eastAsia" w:ascii="Times New Roman" w:hAnsi="Times New Roman" w:eastAsia="宋体" w:cs="Times New Roman"/>
                      <w:color w:val="auto"/>
                      <w:kern w:val="0"/>
                      <w:sz w:val="18"/>
                      <w:szCs w:val="18"/>
                      <w:vertAlign w:val="baseline"/>
                      <w:lang w:val="en-US" w:eastAsia="zh-CN"/>
                    </w:rPr>
                    <w:t>使用高污染燃料</w:t>
                  </w:r>
                </w:p>
              </w:tc>
              <w:tc>
                <w:tcPr>
                  <w:tcW w:w="368" w:type="pct"/>
                  <w:tcBorders>
                    <w:tl2br w:val="nil"/>
                    <w:tr2bl w:val="nil"/>
                  </w:tcBorders>
                  <w:noWrap w:val="0"/>
                  <w:vAlign w:val="center"/>
                </w:tcPr>
                <w:p w14:paraId="179F55B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highlight w:val="none"/>
                      <w:u w:val="none"/>
                      <w:vertAlign w:val="baseline"/>
                      <w:lang w:val="en-US" w:eastAsia="zh-CN" w:bidi="ar-SA"/>
                    </w:rPr>
                  </w:pPr>
                  <w:r>
                    <w:rPr>
                      <w:rFonts w:hint="default" w:ascii="Times New Roman" w:hAnsi="Times New Roman" w:eastAsia="宋体" w:cs="Times New Roman"/>
                      <w:color w:val="auto"/>
                      <w:kern w:val="0"/>
                      <w:sz w:val="18"/>
                      <w:szCs w:val="18"/>
                      <w:highlight w:val="none"/>
                      <w:u w:val="none"/>
                      <w:vertAlign w:val="baseline"/>
                      <w:lang w:val="en-US" w:eastAsia="zh-CN"/>
                    </w:rPr>
                    <w:t>符合</w:t>
                  </w:r>
                </w:p>
              </w:tc>
            </w:tr>
            <w:tr w14:paraId="5D2D3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l2br w:val="nil"/>
                    <w:tr2bl w:val="nil"/>
                  </w:tcBorders>
                  <w:noWrap w:val="0"/>
                  <w:vAlign w:val="center"/>
                </w:tcPr>
                <w:p w14:paraId="174058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重点流域总体准入要求（辽河流域）</w:t>
                  </w:r>
                </w:p>
              </w:tc>
            </w:tr>
            <w:tr w14:paraId="62DA5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restart"/>
                  <w:tcBorders>
                    <w:tl2br w:val="nil"/>
                    <w:tr2bl w:val="nil"/>
                  </w:tcBorders>
                  <w:noWrap w:val="0"/>
                  <w:vAlign w:val="center"/>
                </w:tcPr>
                <w:p w14:paraId="27E2AF7A">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rPr>
                  </w:pPr>
                  <w:r>
                    <w:rPr>
                      <w:rFonts w:hint="default" w:ascii="Times New Roman" w:hAnsi="Times New Roman" w:eastAsia="宋体" w:cs="Times New Roman"/>
                      <w:b/>
                      <w:bCs w:val="0"/>
                      <w:color w:val="auto"/>
                      <w:sz w:val="18"/>
                      <w:szCs w:val="18"/>
                      <w:highlight w:val="none"/>
                    </w:rPr>
                    <w:t>空间布局</w:t>
                  </w:r>
                </w:p>
                <w:p w14:paraId="7CA3C4EC">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r>
                    <w:rPr>
                      <w:rFonts w:hint="default" w:ascii="Times New Roman" w:hAnsi="Times New Roman" w:eastAsia="宋体" w:cs="Times New Roman"/>
                      <w:b/>
                      <w:bCs w:val="0"/>
                      <w:color w:val="auto"/>
                      <w:sz w:val="18"/>
                      <w:szCs w:val="18"/>
                      <w:highlight w:val="none"/>
                    </w:rPr>
                    <w:t>约束</w:t>
                  </w:r>
                </w:p>
              </w:tc>
              <w:tc>
                <w:tcPr>
                  <w:tcW w:w="3072" w:type="pct"/>
                  <w:tcBorders>
                    <w:tl2br w:val="nil"/>
                    <w:tr2bl w:val="nil"/>
                  </w:tcBorders>
                  <w:noWrap w:val="0"/>
                  <w:vAlign w:val="center"/>
                </w:tcPr>
                <w:p w14:paraId="2687426F">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限制或禁止发展高耗水产业</w:t>
                  </w:r>
                  <w:r>
                    <w:rPr>
                      <w:rFonts w:hint="eastAsia" w:ascii="Times New Roman" w:hAnsi="Times New Roman" w:eastAsia="宋体" w:cs="Times New Roman"/>
                      <w:color w:val="auto"/>
                      <w:sz w:val="18"/>
                      <w:szCs w:val="18"/>
                      <w:highlight w:val="none"/>
                    </w:rPr>
                    <w:t>。严格环境准入，对水质不达标的区域</w:t>
                  </w:r>
                  <w:r>
                    <w:rPr>
                      <w:rFonts w:hint="default" w:ascii="Times New Roman" w:hAnsi="Times New Roman" w:eastAsia="宋体" w:cs="Times New Roman"/>
                      <w:color w:val="auto"/>
                      <w:sz w:val="18"/>
                      <w:szCs w:val="18"/>
                      <w:highlight w:val="none"/>
                    </w:rPr>
                    <w:t>禁止高耗水和污水排放量大、排放强度高的项目建设，对玉米深加工、化工、纺织印染、屠宰、钢铁、啤酒制造等污染负荷大的行业，加大清洁化改造力度，强化中水回用，提高水资源利用率，促进产业结构调整。</w:t>
                  </w:r>
                </w:p>
              </w:tc>
              <w:tc>
                <w:tcPr>
                  <w:tcW w:w="1083" w:type="pct"/>
                  <w:tcBorders>
                    <w:tl2br w:val="nil"/>
                    <w:tr2bl w:val="nil"/>
                  </w:tcBorders>
                  <w:noWrap w:val="0"/>
                  <w:vAlign w:val="center"/>
                </w:tcPr>
                <w:p w14:paraId="717347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eastAsia" w:ascii="Times New Roman" w:hAnsi="Times New Roman" w:eastAsia="宋体" w:cs="Times New Roman"/>
                      <w:color w:val="auto"/>
                      <w:kern w:val="0"/>
                      <w:sz w:val="18"/>
                      <w:szCs w:val="18"/>
                      <w:vertAlign w:val="baseline"/>
                      <w:lang w:val="en-US" w:eastAsia="zh-CN"/>
                    </w:rPr>
                    <w:t>不属于高耗水产业</w:t>
                  </w:r>
                </w:p>
              </w:tc>
              <w:tc>
                <w:tcPr>
                  <w:tcW w:w="368" w:type="pct"/>
                  <w:tcBorders>
                    <w:tl2br w:val="nil"/>
                    <w:tr2bl w:val="nil"/>
                  </w:tcBorders>
                  <w:noWrap w:val="0"/>
                  <w:vAlign w:val="center"/>
                </w:tcPr>
                <w:p w14:paraId="5B94A0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5F90A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noWrap w:val="0"/>
                  <w:vAlign w:val="top"/>
                </w:tcPr>
                <w:p w14:paraId="4847108C">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p>
              </w:tc>
              <w:tc>
                <w:tcPr>
                  <w:tcW w:w="3072" w:type="pct"/>
                  <w:noWrap w:val="0"/>
                  <w:vAlign w:val="center"/>
                </w:tcPr>
                <w:p w14:paraId="7C5D7822">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河流沿岸严格控制石油加工、化学原料和化学制品制造、医药制造、化学纤维制造、有色金属冶炼、制浆造纸、纺织印染等项目建设。</w:t>
                  </w:r>
                </w:p>
              </w:tc>
              <w:tc>
                <w:tcPr>
                  <w:tcW w:w="1083" w:type="pct"/>
                  <w:noWrap w:val="0"/>
                  <w:vAlign w:val="center"/>
                </w:tcPr>
                <w:p w14:paraId="3F891B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eastAsia" w:ascii="Times New Roman" w:hAnsi="Times New Roman" w:eastAsia="宋体" w:cs="Times New Roman"/>
                      <w:color w:val="auto"/>
                      <w:kern w:val="0"/>
                      <w:sz w:val="18"/>
                      <w:szCs w:val="18"/>
                      <w:vertAlign w:val="baseline"/>
                      <w:lang w:val="en-US" w:eastAsia="zh-CN"/>
                    </w:rPr>
                    <w:t>本项目不在河流沿岸建设</w:t>
                  </w:r>
                </w:p>
              </w:tc>
              <w:tc>
                <w:tcPr>
                  <w:tcW w:w="368" w:type="pct"/>
                  <w:noWrap w:val="0"/>
                  <w:vAlign w:val="center"/>
                </w:tcPr>
                <w:p w14:paraId="517A10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highlight w:val="none"/>
                      <w:u w:val="none"/>
                      <w:vertAlign w:val="baseline"/>
                      <w:lang w:val="en-US" w:eastAsia="zh-CN" w:bidi="ar-SA"/>
                    </w:rPr>
                  </w:pPr>
                  <w:r>
                    <w:rPr>
                      <w:rFonts w:hint="default" w:ascii="Times New Roman" w:hAnsi="Times New Roman" w:eastAsia="宋体" w:cs="Times New Roman"/>
                      <w:color w:val="auto"/>
                      <w:kern w:val="0"/>
                      <w:sz w:val="18"/>
                      <w:szCs w:val="18"/>
                      <w:highlight w:val="none"/>
                      <w:u w:val="none"/>
                      <w:vertAlign w:val="baseline"/>
                      <w:lang w:val="en-US" w:eastAsia="zh-CN"/>
                    </w:rPr>
                    <w:t>符合</w:t>
                  </w:r>
                </w:p>
              </w:tc>
            </w:tr>
            <w:tr w14:paraId="05547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restart"/>
                  <w:noWrap w:val="0"/>
                  <w:vAlign w:val="center"/>
                </w:tcPr>
                <w:p w14:paraId="7F24F353">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rPr>
                  </w:pPr>
                  <w:r>
                    <w:rPr>
                      <w:rFonts w:hint="default" w:ascii="Times New Roman" w:hAnsi="Times New Roman" w:eastAsia="宋体" w:cs="Times New Roman"/>
                      <w:b/>
                      <w:bCs w:val="0"/>
                      <w:color w:val="auto"/>
                      <w:sz w:val="18"/>
                      <w:szCs w:val="18"/>
                      <w:highlight w:val="none"/>
                    </w:rPr>
                    <w:t>污染物</w:t>
                  </w:r>
                </w:p>
                <w:p w14:paraId="2EF31FF9">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r>
                    <w:rPr>
                      <w:rFonts w:hint="default" w:ascii="Times New Roman" w:hAnsi="Times New Roman" w:eastAsia="宋体" w:cs="Times New Roman"/>
                      <w:b/>
                      <w:bCs w:val="0"/>
                      <w:color w:val="auto"/>
                      <w:sz w:val="18"/>
                      <w:szCs w:val="18"/>
                      <w:highlight w:val="none"/>
                    </w:rPr>
                    <w:t>排放管控</w:t>
                  </w:r>
                </w:p>
              </w:tc>
              <w:tc>
                <w:tcPr>
                  <w:tcW w:w="3072" w:type="pct"/>
                  <w:noWrap w:val="0"/>
                  <w:vAlign w:val="center"/>
                </w:tcPr>
                <w:p w14:paraId="36615633">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严格执行《吉林省辽河流域水环境保护条例》。</w:t>
                  </w:r>
                </w:p>
              </w:tc>
              <w:tc>
                <w:tcPr>
                  <w:tcW w:w="1083" w:type="pct"/>
                  <w:noWrap w:val="0"/>
                  <w:vAlign w:val="center"/>
                </w:tcPr>
                <w:p w14:paraId="275CA6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eastAsia" w:ascii="Times New Roman" w:hAnsi="Times New Roman" w:eastAsia="宋体" w:cs="Times New Roman"/>
                      <w:color w:val="auto"/>
                      <w:kern w:val="0"/>
                      <w:sz w:val="18"/>
                      <w:szCs w:val="18"/>
                      <w:vertAlign w:val="baseline"/>
                      <w:lang w:val="en-US" w:eastAsia="zh-CN"/>
                    </w:rPr>
                    <w:t>严格执行</w:t>
                  </w:r>
                  <w:r>
                    <w:rPr>
                      <w:rFonts w:hint="default" w:ascii="Times New Roman" w:hAnsi="Times New Roman" w:eastAsia="宋体" w:cs="Times New Roman"/>
                      <w:color w:val="auto"/>
                      <w:sz w:val="18"/>
                      <w:szCs w:val="18"/>
                      <w:highlight w:val="none"/>
                    </w:rPr>
                    <w:t>《吉林省辽河流域水环境保护条例》</w:t>
                  </w:r>
                </w:p>
              </w:tc>
              <w:tc>
                <w:tcPr>
                  <w:tcW w:w="368" w:type="pct"/>
                  <w:noWrap w:val="0"/>
                  <w:vAlign w:val="center"/>
                </w:tcPr>
                <w:p w14:paraId="3B1D1F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highlight w:val="none"/>
                      <w:u w:val="none"/>
                      <w:vertAlign w:val="baseline"/>
                      <w:lang w:val="en-US" w:eastAsia="zh-CN"/>
                    </w:rPr>
                    <w:t>符合</w:t>
                  </w:r>
                </w:p>
              </w:tc>
            </w:tr>
            <w:tr w14:paraId="4D1A9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noWrap w:val="0"/>
                  <w:vAlign w:val="top"/>
                </w:tcPr>
                <w:p w14:paraId="7D5501C7">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p>
              </w:tc>
              <w:tc>
                <w:tcPr>
                  <w:tcW w:w="3072" w:type="pct"/>
                  <w:noWrap w:val="0"/>
                  <w:vAlign w:val="center"/>
                </w:tcPr>
                <w:p w14:paraId="5281D61A">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推进城镇污水处理设施及配套管网建设与改造，加快雨污分流。满足辽河流域断面水质改善的需求，现有污水处理厂要适时进行提标改造，因地制宜建设人工湿地尾水净化工程。</w:t>
                  </w:r>
                </w:p>
              </w:tc>
              <w:tc>
                <w:tcPr>
                  <w:tcW w:w="1083" w:type="pct"/>
                  <w:noWrap w:val="0"/>
                  <w:vAlign w:val="center"/>
                </w:tcPr>
                <w:p w14:paraId="1EC191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eastAsia" w:ascii="Times New Roman" w:hAnsi="Times New Roman" w:eastAsia="宋体" w:cs="Times New Roman"/>
                      <w:color w:val="auto"/>
                      <w:kern w:val="0"/>
                      <w:sz w:val="18"/>
                      <w:szCs w:val="18"/>
                      <w:vertAlign w:val="baseline"/>
                      <w:lang w:val="en-US" w:eastAsia="zh-CN"/>
                    </w:rPr>
                    <w:t>依托现有市政配套污水管网和污水处理设施</w:t>
                  </w:r>
                </w:p>
              </w:tc>
              <w:tc>
                <w:tcPr>
                  <w:tcW w:w="368" w:type="pct"/>
                  <w:noWrap w:val="0"/>
                  <w:vAlign w:val="center"/>
                </w:tcPr>
                <w:p w14:paraId="557F7B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57474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noWrap w:val="0"/>
                  <w:vAlign w:val="top"/>
                </w:tcPr>
                <w:p w14:paraId="4BE39250">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p>
              </w:tc>
              <w:tc>
                <w:tcPr>
                  <w:tcW w:w="3072" w:type="pct"/>
                  <w:noWrap w:val="0"/>
                  <w:vAlign w:val="center"/>
                </w:tcPr>
                <w:p w14:paraId="6F94E567">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加快入河（湖、库）排污口规范化建设，严控入河湖污染源。</w:t>
                  </w:r>
                </w:p>
              </w:tc>
              <w:tc>
                <w:tcPr>
                  <w:tcW w:w="1083" w:type="pct"/>
                  <w:noWrap w:val="0"/>
                  <w:vAlign w:val="center"/>
                </w:tcPr>
                <w:p w14:paraId="2C7049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eastAsia" w:ascii="Times New Roman" w:hAnsi="Times New Roman" w:eastAsia="宋体" w:cs="Times New Roman"/>
                      <w:color w:val="auto"/>
                      <w:kern w:val="0"/>
                      <w:sz w:val="18"/>
                      <w:szCs w:val="18"/>
                      <w:vertAlign w:val="baseline"/>
                      <w:lang w:val="en-US" w:eastAsia="zh-CN"/>
                    </w:rPr>
                    <w:t>不建设入河排污口</w:t>
                  </w:r>
                </w:p>
              </w:tc>
              <w:tc>
                <w:tcPr>
                  <w:tcW w:w="368" w:type="pct"/>
                  <w:noWrap w:val="0"/>
                  <w:vAlign w:val="center"/>
                </w:tcPr>
                <w:p w14:paraId="2B86BCE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09E13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restart"/>
                  <w:noWrap w:val="0"/>
                  <w:vAlign w:val="center"/>
                </w:tcPr>
                <w:p w14:paraId="3A836514">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r>
                    <w:rPr>
                      <w:rFonts w:hint="default" w:ascii="Times New Roman" w:hAnsi="Times New Roman" w:eastAsia="宋体" w:cs="Times New Roman"/>
                      <w:b/>
                      <w:bCs w:val="0"/>
                      <w:color w:val="auto"/>
                      <w:sz w:val="18"/>
                      <w:szCs w:val="18"/>
                      <w:highlight w:val="none"/>
                    </w:rPr>
                    <w:t>环境风险防控</w:t>
                  </w:r>
                </w:p>
              </w:tc>
              <w:tc>
                <w:tcPr>
                  <w:tcW w:w="3072" w:type="pct"/>
                  <w:noWrap w:val="0"/>
                  <w:vAlign w:val="center"/>
                </w:tcPr>
                <w:p w14:paraId="516D8A0A">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防范沿河环境风险，规范沿河化工园区布局，强化现有重点行业环境隐患排查，合理布局生产装置及危险化学品仓储等设施。</w:t>
                  </w:r>
                </w:p>
              </w:tc>
              <w:tc>
                <w:tcPr>
                  <w:tcW w:w="1083" w:type="pct"/>
                  <w:noWrap w:val="0"/>
                  <w:vAlign w:val="center"/>
                </w:tcPr>
                <w:p w14:paraId="1826CC9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不涉及</w:t>
                  </w:r>
                </w:p>
              </w:tc>
              <w:tc>
                <w:tcPr>
                  <w:tcW w:w="368" w:type="pct"/>
                  <w:noWrap w:val="0"/>
                  <w:vAlign w:val="center"/>
                </w:tcPr>
                <w:p w14:paraId="0270EC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w:t>
                  </w:r>
                </w:p>
              </w:tc>
            </w:tr>
            <w:tr w14:paraId="6E5B8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noWrap w:val="0"/>
                  <w:vAlign w:val="top"/>
                </w:tcPr>
                <w:p w14:paraId="748C21F5">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p>
              </w:tc>
              <w:tc>
                <w:tcPr>
                  <w:tcW w:w="3072" w:type="pct"/>
                  <w:noWrap w:val="0"/>
                  <w:vAlign w:val="center"/>
                </w:tcPr>
                <w:p w14:paraId="42D7612F">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加强饮用水水源地环境风险管控，完善风险防控与应急能力建设和相关管理措施，保证饮用水水源水质达标和安全。</w:t>
                  </w:r>
                </w:p>
              </w:tc>
              <w:tc>
                <w:tcPr>
                  <w:tcW w:w="1083" w:type="pct"/>
                  <w:noWrap w:val="0"/>
                  <w:vAlign w:val="center"/>
                </w:tcPr>
                <w:p w14:paraId="471085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eastAsia" w:ascii="Times New Roman" w:hAnsi="Times New Roman" w:eastAsia="宋体" w:cs="Times New Roman"/>
                      <w:color w:val="auto"/>
                      <w:kern w:val="0"/>
                      <w:sz w:val="18"/>
                      <w:szCs w:val="18"/>
                      <w:vertAlign w:val="baseline"/>
                      <w:lang w:val="en-US" w:eastAsia="zh-CN"/>
                    </w:rPr>
                    <w:t>企业按要求建设风险防控与应急能力、措施</w:t>
                  </w:r>
                </w:p>
              </w:tc>
              <w:tc>
                <w:tcPr>
                  <w:tcW w:w="368" w:type="pct"/>
                  <w:noWrap w:val="0"/>
                  <w:vAlign w:val="center"/>
                </w:tcPr>
                <w:p w14:paraId="0E7758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318C4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restart"/>
                  <w:noWrap w:val="0"/>
                  <w:vAlign w:val="center"/>
                </w:tcPr>
                <w:p w14:paraId="1E0946C3">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r>
                    <w:rPr>
                      <w:rFonts w:hint="default" w:ascii="Times New Roman" w:hAnsi="Times New Roman" w:eastAsia="宋体" w:cs="Times New Roman"/>
                      <w:b/>
                      <w:bCs w:val="0"/>
                      <w:color w:val="auto"/>
                      <w:sz w:val="18"/>
                      <w:szCs w:val="18"/>
                      <w:highlight w:val="none"/>
                    </w:rPr>
                    <w:t>资源利用要求</w:t>
                  </w:r>
                </w:p>
              </w:tc>
              <w:tc>
                <w:tcPr>
                  <w:tcW w:w="3072" w:type="pct"/>
                  <w:noWrap w:val="0"/>
                  <w:vAlign w:val="center"/>
                </w:tcPr>
                <w:p w14:paraId="13FCEB5D">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按照流域生态水量保障实施方案，统筹流域来水和中部城市引松供水工程等水利工程供水能力和任务，科学调控杨木水库、二龙山水库、下三台水库水量，保障东辽河流域生态基流。</w:t>
                  </w:r>
                </w:p>
              </w:tc>
              <w:tc>
                <w:tcPr>
                  <w:tcW w:w="1083" w:type="pct"/>
                  <w:noWrap w:val="0"/>
                  <w:vAlign w:val="center"/>
                </w:tcPr>
                <w:p w14:paraId="61A59E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eastAsia" w:ascii="Times New Roman" w:hAnsi="Times New Roman" w:eastAsia="宋体" w:cs="Times New Roman"/>
                      <w:color w:val="auto"/>
                      <w:kern w:val="0"/>
                      <w:sz w:val="18"/>
                      <w:szCs w:val="18"/>
                      <w:vertAlign w:val="baseline"/>
                      <w:lang w:val="en-US" w:eastAsia="zh-CN" w:bidi="ar-SA"/>
                    </w:rPr>
                    <w:t>采用自来水，不影响生态基流</w:t>
                  </w:r>
                </w:p>
              </w:tc>
              <w:tc>
                <w:tcPr>
                  <w:tcW w:w="368" w:type="pct"/>
                  <w:noWrap w:val="0"/>
                  <w:vAlign w:val="center"/>
                </w:tcPr>
                <w:p w14:paraId="71E242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3C09E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noWrap w:val="0"/>
                  <w:vAlign w:val="top"/>
                </w:tcPr>
                <w:p w14:paraId="71BB1F3E">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p>
              </w:tc>
              <w:tc>
                <w:tcPr>
                  <w:tcW w:w="3072" w:type="pct"/>
                  <w:noWrap w:val="0"/>
                  <w:vAlign w:val="center"/>
                </w:tcPr>
                <w:p w14:paraId="6D58158A">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引导推动造纸、石油化工、玉米深加工等高耗水行业企业实施节水改造和污水深度处理回用，建设节水型企业。</w:t>
                  </w:r>
                </w:p>
              </w:tc>
              <w:tc>
                <w:tcPr>
                  <w:tcW w:w="1083" w:type="pct"/>
                  <w:noWrap w:val="0"/>
                  <w:vAlign w:val="center"/>
                </w:tcPr>
                <w:p w14:paraId="2A02F6A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不涉及</w:t>
                  </w:r>
                  <w:r>
                    <w:rPr>
                      <w:rFonts w:hint="eastAsia" w:ascii="Times New Roman" w:hAnsi="Times New Roman" w:eastAsia="宋体" w:cs="Times New Roman"/>
                      <w:color w:val="auto"/>
                      <w:kern w:val="0"/>
                      <w:sz w:val="18"/>
                      <w:szCs w:val="18"/>
                      <w:vertAlign w:val="baseline"/>
                      <w:lang w:val="en-US" w:eastAsia="zh-CN"/>
                    </w:rPr>
                    <w:t>高耗水行业</w:t>
                  </w:r>
                </w:p>
              </w:tc>
              <w:tc>
                <w:tcPr>
                  <w:tcW w:w="368" w:type="pct"/>
                  <w:noWrap w:val="0"/>
                  <w:vAlign w:val="center"/>
                </w:tcPr>
                <w:p w14:paraId="094B72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vertAlign w:val="baseline"/>
                      <w:lang w:val="en-US" w:eastAsia="zh-CN" w:bidi="ar-SA"/>
                    </w:rPr>
                  </w:pPr>
                  <w:r>
                    <w:rPr>
                      <w:rFonts w:hint="default" w:ascii="Times New Roman" w:hAnsi="Times New Roman" w:eastAsia="宋体" w:cs="Times New Roman"/>
                      <w:color w:val="auto"/>
                      <w:kern w:val="0"/>
                      <w:sz w:val="18"/>
                      <w:szCs w:val="18"/>
                      <w:vertAlign w:val="baseline"/>
                      <w:lang w:val="en-US" w:eastAsia="zh-CN"/>
                    </w:rPr>
                    <w:t>符合</w:t>
                  </w:r>
                </w:p>
              </w:tc>
            </w:tr>
            <w:tr w14:paraId="7B667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5" w:type="pct"/>
                  <w:vMerge w:val="continue"/>
                  <w:noWrap w:val="0"/>
                  <w:vAlign w:val="top"/>
                </w:tcPr>
                <w:p w14:paraId="4D28E0B4">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p>
              </w:tc>
              <w:tc>
                <w:tcPr>
                  <w:tcW w:w="3072" w:type="pct"/>
                  <w:noWrap w:val="0"/>
                  <w:vAlign w:val="center"/>
                </w:tcPr>
                <w:p w14:paraId="1C8FB608">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地下水超采区，禁止农业、工业建设项目和服务业新增取用地下水，并逐步削减超采量，实现地下水采补平衡。深层承压地下水原则上只能作为应急和战略储备水源。</w:t>
                  </w:r>
                </w:p>
              </w:tc>
              <w:tc>
                <w:tcPr>
                  <w:tcW w:w="1083" w:type="pct"/>
                  <w:noWrap w:val="0"/>
                  <w:vAlign w:val="top"/>
                </w:tcPr>
                <w:p w14:paraId="76B70D0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both"/>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采用自来水作为水源，不开采地下水。</w:t>
                  </w:r>
                </w:p>
              </w:tc>
              <w:tc>
                <w:tcPr>
                  <w:tcW w:w="368" w:type="pct"/>
                  <w:noWrap w:val="0"/>
                  <w:vAlign w:val="top"/>
                </w:tcPr>
                <w:p w14:paraId="7F1BE4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eastAsia="宋体" w:cs="Times New Roman"/>
                      <w:color w:val="auto"/>
                      <w:kern w:val="0"/>
                      <w:sz w:val="18"/>
                      <w:szCs w:val="18"/>
                      <w:vertAlign w:val="baseline"/>
                      <w:lang w:val="en-US" w:eastAsia="zh-CN"/>
                    </w:rPr>
                  </w:pPr>
                  <w:r>
                    <w:rPr>
                      <w:rFonts w:hint="default" w:ascii="Times New Roman" w:hAnsi="Times New Roman" w:eastAsia="宋体" w:cs="Times New Roman"/>
                      <w:color w:val="auto"/>
                      <w:kern w:val="0"/>
                      <w:sz w:val="18"/>
                      <w:szCs w:val="18"/>
                      <w:vertAlign w:val="baseline"/>
                      <w:lang w:val="en-US" w:eastAsia="zh-CN"/>
                    </w:rPr>
                    <w:t>符合</w:t>
                  </w:r>
                </w:p>
              </w:tc>
            </w:tr>
          </w:tbl>
          <w:p w14:paraId="5D2F2A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b/>
                <w:bCs/>
                <w:color w:val="auto"/>
                <w:kern w:val="0"/>
                <w:sz w:val="18"/>
                <w:szCs w:val="18"/>
                <w:u w:val="none"/>
                <w:lang w:val="en-US" w:eastAsia="zh-CN"/>
              </w:rPr>
            </w:pPr>
          </w:p>
          <w:p w14:paraId="19DC60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exact"/>
              <w:ind w:left="0" w:leftChars="0" w:firstLine="0" w:firstLineChars="0"/>
              <w:jc w:val="center"/>
              <w:textAlignment w:val="auto"/>
              <w:rPr>
                <w:rFonts w:hint="default" w:ascii="Times New Roman" w:hAnsi="Times New Roman" w:eastAsia="宋体" w:cs="Times New Roman"/>
                <w:color w:val="auto"/>
                <w:kern w:val="0"/>
                <w:sz w:val="18"/>
                <w:szCs w:val="18"/>
                <w:u w:val="none"/>
                <w:lang w:val="en-US" w:eastAsia="zh-CN"/>
              </w:rPr>
            </w:pPr>
            <w:r>
              <w:rPr>
                <w:rFonts w:hint="default" w:ascii="Times New Roman" w:hAnsi="Times New Roman" w:eastAsia="宋体" w:cs="Times New Roman"/>
                <w:b/>
                <w:bCs/>
                <w:color w:val="auto"/>
                <w:kern w:val="0"/>
                <w:sz w:val="18"/>
                <w:szCs w:val="18"/>
                <w:u w:val="none"/>
                <w:lang w:val="en-US" w:eastAsia="zh-CN"/>
              </w:rPr>
              <w:t>表1-</w:t>
            </w:r>
            <w:r>
              <w:rPr>
                <w:rFonts w:hint="eastAsia" w:cs="Times New Roman"/>
                <w:b/>
                <w:bCs/>
                <w:color w:val="auto"/>
                <w:kern w:val="0"/>
                <w:sz w:val="18"/>
                <w:szCs w:val="18"/>
                <w:u w:val="none"/>
                <w:lang w:val="en-US" w:eastAsia="zh-CN"/>
              </w:rPr>
              <w:t xml:space="preserve">4  </w:t>
            </w:r>
            <w:r>
              <w:rPr>
                <w:rFonts w:hint="default" w:ascii="Times New Roman" w:hAnsi="Times New Roman" w:eastAsia="宋体" w:cs="Times New Roman"/>
                <w:b/>
                <w:bCs/>
                <w:color w:val="auto"/>
                <w:kern w:val="0"/>
                <w:sz w:val="18"/>
                <w:szCs w:val="18"/>
                <w:u w:val="none"/>
                <w:lang w:val="en-US" w:eastAsia="zh-CN"/>
              </w:rPr>
              <w:t xml:space="preserve">  四平市生态环境清单总体准入要求</w:t>
            </w:r>
          </w:p>
          <w:tbl>
            <w:tblPr>
              <w:tblStyle w:val="23"/>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737"/>
              <w:gridCol w:w="9399"/>
              <w:gridCol w:w="1641"/>
              <w:gridCol w:w="851"/>
            </w:tblGrid>
            <w:tr w14:paraId="19F03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9" w:type="pct"/>
                  <w:tcBorders>
                    <w:tl2br w:val="nil"/>
                    <w:tr2bl w:val="nil"/>
                  </w:tcBorders>
                  <w:noWrap w:val="0"/>
                  <w:vAlign w:val="center"/>
                </w:tcPr>
                <w:p w14:paraId="077485BD">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r>
                    <w:rPr>
                      <w:rFonts w:hint="default" w:ascii="Times New Roman" w:hAnsi="Times New Roman" w:eastAsia="宋体" w:cs="Times New Roman"/>
                      <w:b/>
                      <w:bCs w:val="0"/>
                      <w:color w:val="auto"/>
                      <w:sz w:val="18"/>
                      <w:szCs w:val="18"/>
                      <w:highlight w:val="none"/>
                    </w:rPr>
                    <w:t>管控类别</w:t>
                  </w:r>
                </w:p>
              </w:tc>
              <w:tc>
                <w:tcPr>
                  <w:tcW w:w="3780" w:type="pct"/>
                  <w:gridSpan w:val="2"/>
                  <w:tcBorders>
                    <w:tl2br w:val="nil"/>
                    <w:tr2bl w:val="nil"/>
                  </w:tcBorders>
                  <w:noWrap w:val="0"/>
                  <w:vAlign w:val="center"/>
                </w:tcPr>
                <w:p w14:paraId="564F0BA9">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r>
                    <w:rPr>
                      <w:rFonts w:hint="default" w:ascii="Times New Roman" w:hAnsi="Times New Roman" w:eastAsia="宋体" w:cs="Times New Roman"/>
                      <w:b/>
                      <w:bCs w:val="0"/>
                      <w:color w:val="auto"/>
                      <w:sz w:val="18"/>
                      <w:szCs w:val="18"/>
                      <w:highlight w:val="none"/>
                    </w:rPr>
                    <w:t>管控要求</w:t>
                  </w:r>
                </w:p>
              </w:tc>
              <w:tc>
                <w:tcPr>
                  <w:tcW w:w="612" w:type="pct"/>
                  <w:tcBorders>
                    <w:tl2br w:val="nil"/>
                    <w:tr2bl w:val="nil"/>
                  </w:tcBorders>
                  <w:noWrap w:val="0"/>
                  <w:vAlign w:val="center"/>
                </w:tcPr>
                <w:p w14:paraId="7CB354CC">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r>
                    <w:rPr>
                      <w:rFonts w:hint="default" w:ascii="Times New Roman" w:hAnsi="Times New Roman" w:eastAsia="宋体" w:cs="Times New Roman"/>
                      <w:b/>
                      <w:bCs w:val="0"/>
                      <w:color w:val="auto"/>
                      <w:sz w:val="18"/>
                      <w:szCs w:val="18"/>
                      <w:highlight w:val="none"/>
                      <w:lang w:val="en-US" w:eastAsia="zh-CN"/>
                    </w:rPr>
                    <w:t>本项目</w:t>
                  </w:r>
                </w:p>
              </w:tc>
              <w:tc>
                <w:tcPr>
                  <w:tcW w:w="317" w:type="pct"/>
                  <w:tcBorders>
                    <w:tl2br w:val="nil"/>
                    <w:tr2bl w:val="nil"/>
                  </w:tcBorders>
                  <w:noWrap w:val="0"/>
                  <w:vAlign w:val="center"/>
                </w:tcPr>
                <w:p w14:paraId="59AFDA34">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
                      <w:bCs w:val="0"/>
                      <w:color w:val="auto"/>
                      <w:sz w:val="18"/>
                      <w:szCs w:val="18"/>
                      <w:highlight w:val="none"/>
                      <w:lang w:val="en-US" w:eastAsia="zh-CN"/>
                    </w:rPr>
                  </w:pPr>
                  <w:r>
                    <w:rPr>
                      <w:rFonts w:hint="default" w:ascii="Times New Roman" w:hAnsi="Times New Roman" w:eastAsia="宋体" w:cs="Times New Roman"/>
                      <w:b/>
                      <w:bCs w:val="0"/>
                      <w:color w:val="auto"/>
                      <w:sz w:val="18"/>
                      <w:szCs w:val="18"/>
                      <w:highlight w:val="none"/>
                      <w:lang w:val="en-US" w:eastAsia="zh-CN"/>
                    </w:rPr>
                    <w:t>符合性分析</w:t>
                  </w:r>
                </w:p>
              </w:tc>
            </w:tr>
            <w:tr w14:paraId="56B86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9" w:type="pct"/>
                  <w:tcBorders>
                    <w:tl2br w:val="nil"/>
                    <w:tr2bl w:val="nil"/>
                  </w:tcBorders>
                  <w:noWrap w:val="0"/>
                  <w:vAlign w:val="center"/>
                </w:tcPr>
                <w:p w14:paraId="57172328">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空间布局约束</w:t>
                  </w:r>
                </w:p>
              </w:tc>
              <w:tc>
                <w:tcPr>
                  <w:tcW w:w="3780" w:type="pct"/>
                  <w:gridSpan w:val="2"/>
                  <w:tcBorders>
                    <w:tl2br w:val="nil"/>
                    <w:tr2bl w:val="nil"/>
                  </w:tcBorders>
                  <w:noWrap w:val="0"/>
                  <w:vAlign w:val="center"/>
                </w:tcPr>
                <w:p w14:paraId="3661259D">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结合产业结构调整和城市转型升级，研究解决结构性污染问题，有计划地推进重污染企业退城入园。</w:t>
                  </w:r>
                </w:p>
              </w:tc>
              <w:tc>
                <w:tcPr>
                  <w:tcW w:w="612" w:type="pct"/>
                  <w:tcBorders>
                    <w:tl2br w:val="nil"/>
                    <w:tr2bl w:val="nil"/>
                  </w:tcBorders>
                  <w:noWrap w:val="0"/>
                  <w:vAlign w:val="center"/>
                </w:tcPr>
                <w:p w14:paraId="64940687">
                  <w:pPr>
                    <w:pStyle w:val="46"/>
                    <w:keepNext w:val="0"/>
                    <w:keepLines w:val="0"/>
                    <w:pageBreakBefore w:val="0"/>
                    <w:widowControl w:val="0"/>
                    <w:kinsoku/>
                    <w:wordWrap/>
                    <w:overflowPunct/>
                    <w:topLinePunct w:val="0"/>
                    <w:bidi w:val="0"/>
                    <w:spacing w:beforeLines="0" w:afterLines="0" w:line="260" w:lineRule="exact"/>
                    <w:jc w:val="both"/>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eastAsia="宋体" w:cs="Times New Roman"/>
                      <w:color w:val="auto"/>
                      <w:sz w:val="18"/>
                      <w:szCs w:val="18"/>
                      <w:highlight w:val="none"/>
                      <w:lang w:val="en-US" w:eastAsia="zh-CN"/>
                    </w:rPr>
                    <w:t>位于规划的产业园区内</w:t>
                  </w:r>
                </w:p>
              </w:tc>
              <w:tc>
                <w:tcPr>
                  <w:tcW w:w="317" w:type="pct"/>
                  <w:tcBorders>
                    <w:tl2br w:val="nil"/>
                    <w:tr2bl w:val="nil"/>
                  </w:tcBorders>
                  <w:noWrap w:val="0"/>
                  <w:vAlign w:val="center"/>
                </w:tcPr>
                <w:p w14:paraId="5789EDFC">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0"/>
                      <w:sz w:val="18"/>
                      <w:szCs w:val="18"/>
                      <w:vertAlign w:val="baseline"/>
                      <w:lang w:val="en-US" w:eastAsia="zh-CN"/>
                    </w:rPr>
                    <w:t>符合</w:t>
                  </w:r>
                </w:p>
              </w:tc>
            </w:tr>
            <w:tr w14:paraId="6B5CB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9" w:type="pct"/>
                  <w:vMerge w:val="restart"/>
                  <w:tcBorders>
                    <w:tl2br w:val="nil"/>
                    <w:tr2bl w:val="nil"/>
                  </w:tcBorders>
                  <w:noWrap w:val="0"/>
                  <w:vAlign w:val="center"/>
                </w:tcPr>
                <w:p w14:paraId="06D2592A">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污染物排放管控</w:t>
                  </w:r>
                </w:p>
              </w:tc>
              <w:tc>
                <w:tcPr>
                  <w:tcW w:w="275" w:type="pct"/>
                  <w:vMerge w:val="restart"/>
                  <w:tcBorders>
                    <w:tl2br w:val="nil"/>
                    <w:tr2bl w:val="nil"/>
                  </w:tcBorders>
                  <w:noWrap w:val="0"/>
                  <w:vAlign w:val="center"/>
                </w:tcPr>
                <w:p w14:paraId="07077E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color w:val="auto"/>
                      <w:kern w:val="0"/>
                      <w:sz w:val="18"/>
                      <w:szCs w:val="18"/>
                    </w:rPr>
                  </w:pPr>
                  <w:r>
                    <w:rPr>
                      <w:rFonts w:hint="default" w:ascii="Times New Roman" w:hAnsi="Times New Roman" w:eastAsia="宋体" w:cs="Times New Roman"/>
                      <w:b w:val="0"/>
                      <w:bCs/>
                      <w:color w:val="auto"/>
                      <w:kern w:val="0"/>
                      <w:sz w:val="18"/>
                      <w:szCs w:val="18"/>
                    </w:rPr>
                    <w:t>环境</w:t>
                  </w:r>
                </w:p>
                <w:p w14:paraId="26983C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rPr>
                    <w:t>质量目标</w:t>
                  </w:r>
                </w:p>
              </w:tc>
              <w:tc>
                <w:tcPr>
                  <w:tcW w:w="3504" w:type="pct"/>
                  <w:tcBorders>
                    <w:tl2br w:val="nil"/>
                    <w:tr2bl w:val="nil"/>
                  </w:tcBorders>
                  <w:noWrap w:val="0"/>
                  <w:vAlign w:val="center"/>
                </w:tcPr>
                <w:p w14:paraId="4A989169">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大气环境质量持续改善。2025年全市PM2.5年均浓度达到29微克/立方米，优良天数比例达到90%；2035年继续改善（沙尘影响不计入）。</w:t>
                  </w:r>
                </w:p>
              </w:tc>
              <w:tc>
                <w:tcPr>
                  <w:tcW w:w="612" w:type="pct"/>
                  <w:tcBorders>
                    <w:tl2br w:val="nil"/>
                    <w:tr2bl w:val="nil"/>
                  </w:tcBorders>
                  <w:noWrap w:val="0"/>
                  <w:vAlign w:val="center"/>
                </w:tcPr>
                <w:p w14:paraId="0A707A15">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eastAsia="宋体" w:cs="Times New Roman"/>
                      <w:color w:val="auto"/>
                      <w:sz w:val="18"/>
                      <w:szCs w:val="18"/>
                      <w:highlight w:val="none"/>
                      <w:lang w:val="en-US" w:eastAsia="zh-CN"/>
                    </w:rPr>
                    <w:t>严格废气治理措施，确保污染物达标排放，不影响大气环境改善计划</w:t>
                  </w:r>
                </w:p>
              </w:tc>
              <w:tc>
                <w:tcPr>
                  <w:tcW w:w="317" w:type="pct"/>
                  <w:tcBorders>
                    <w:tl2br w:val="nil"/>
                    <w:tr2bl w:val="nil"/>
                  </w:tcBorders>
                  <w:noWrap w:val="0"/>
                  <w:vAlign w:val="center"/>
                </w:tcPr>
                <w:p w14:paraId="1F7ACC5E">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符合</w:t>
                  </w:r>
                </w:p>
              </w:tc>
            </w:tr>
            <w:tr w14:paraId="56754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9" w:type="pct"/>
                  <w:vMerge w:val="continue"/>
                  <w:tcBorders>
                    <w:tl2br w:val="nil"/>
                    <w:tr2bl w:val="nil"/>
                  </w:tcBorders>
                  <w:noWrap w:val="0"/>
                  <w:vAlign w:val="center"/>
                </w:tcPr>
                <w:p w14:paraId="2A87580E">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lang w:val="en-US" w:eastAsia="zh-CN"/>
                    </w:rPr>
                  </w:pPr>
                </w:p>
              </w:tc>
              <w:tc>
                <w:tcPr>
                  <w:tcW w:w="275" w:type="pct"/>
                  <w:vMerge w:val="continue"/>
                  <w:tcBorders>
                    <w:tl2br w:val="nil"/>
                    <w:tr2bl w:val="nil"/>
                  </w:tcBorders>
                  <w:noWrap w:val="0"/>
                  <w:vAlign w:val="center"/>
                </w:tcPr>
                <w:p w14:paraId="7A402F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color w:val="auto"/>
                      <w:kern w:val="0"/>
                      <w:sz w:val="18"/>
                      <w:szCs w:val="18"/>
                      <w:lang w:val="en-US" w:eastAsia="zh-CN"/>
                    </w:rPr>
                  </w:pPr>
                </w:p>
              </w:tc>
              <w:tc>
                <w:tcPr>
                  <w:tcW w:w="3504" w:type="pct"/>
                  <w:tcBorders>
                    <w:tl2br w:val="nil"/>
                    <w:tr2bl w:val="nil"/>
                  </w:tcBorders>
                  <w:noWrap w:val="0"/>
                  <w:vAlign w:val="center"/>
                </w:tcPr>
                <w:p w14:paraId="2C7660F4">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水环境质量持续改善。2025年，四平地区水生态环境质量全面改善，劣Ⅴ类水体全面消除，地表水质量达到或好于Ⅲ类水体比例达到90%，河流生态水量得到基本保障，生态环境质量实现根本好转，水生态系统功能初步恢复。2035年，四平地区水生态环境质量在满足水生态功能区要求外，河流生态水量得到根本保障，水生态系统功能全面改善。</w:t>
                  </w:r>
                </w:p>
              </w:tc>
              <w:tc>
                <w:tcPr>
                  <w:tcW w:w="612" w:type="pct"/>
                  <w:tcBorders>
                    <w:tl2br w:val="nil"/>
                    <w:tr2bl w:val="nil"/>
                  </w:tcBorders>
                  <w:noWrap w:val="0"/>
                  <w:vAlign w:val="center"/>
                </w:tcPr>
                <w:p w14:paraId="6EC5502F">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废水间接排放，不设置入河排污口</w:t>
                  </w:r>
                </w:p>
              </w:tc>
              <w:tc>
                <w:tcPr>
                  <w:tcW w:w="317" w:type="pct"/>
                  <w:tcBorders>
                    <w:tl2br w:val="nil"/>
                    <w:tr2bl w:val="nil"/>
                  </w:tcBorders>
                  <w:noWrap w:val="0"/>
                  <w:vAlign w:val="center"/>
                </w:tcPr>
                <w:p w14:paraId="4ABC876B">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符合</w:t>
                  </w:r>
                </w:p>
              </w:tc>
            </w:tr>
            <w:tr w14:paraId="5DB63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9" w:type="pct"/>
                  <w:vMerge w:val="restart"/>
                  <w:tcBorders>
                    <w:tl2br w:val="nil"/>
                    <w:tr2bl w:val="nil"/>
                  </w:tcBorders>
                  <w:noWrap w:val="0"/>
                  <w:vAlign w:val="center"/>
                </w:tcPr>
                <w:p w14:paraId="26538567">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资源利用要求</w:t>
                  </w:r>
                </w:p>
              </w:tc>
              <w:tc>
                <w:tcPr>
                  <w:tcW w:w="275" w:type="pct"/>
                  <w:tcBorders>
                    <w:tl2br w:val="nil"/>
                    <w:tr2bl w:val="nil"/>
                  </w:tcBorders>
                  <w:noWrap w:val="0"/>
                  <w:vAlign w:val="center"/>
                </w:tcPr>
                <w:p w14:paraId="306011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rPr>
                    <w:t>水资源</w:t>
                  </w:r>
                </w:p>
              </w:tc>
              <w:tc>
                <w:tcPr>
                  <w:tcW w:w="3504" w:type="pct"/>
                  <w:tcBorders>
                    <w:tl2br w:val="nil"/>
                    <w:tr2bl w:val="nil"/>
                  </w:tcBorders>
                  <w:noWrap w:val="0"/>
                  <w:vAlign w:val="center"/>
                </w:tcPr>
                <w:p w14:paraId="49007604">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2025年用水量控制在8.11亿立方米，2035年用水量控制在8.8亿立方米。</w:t>
                  </w:r>
                </w:p>
              </w:tc>
              <w:tc>
                <w:tcPr>
                  <w:tcW w:w="612" w:type="pct"/>
                  <w:tcBorders>
                    <w:tl2br w:val="nil"/>
                    <w:tr2bl w:val="nil"/>
                  </w:tcBorders>
                  <w:noWrap w:val="0"/>
                  <w:vAlign w:val="center"/>
                </w:tcPr>
                <w:p w14:paraId="719C77AE">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eastAsia="宋体" w:cs="Times New Roman"/>
                      <w:color w:val="auto"/>
                      <w:sz w:val="18"/>
                      <w:szCs w:val="18"/>
                      <w:highlight w:val="none"/>
                      <w:lang w:val="en-US" w:eastAsia="zh-CN"/>
                    </w:rPr>
                    <w:t>不属于高耗水项目，不影响目标实现</w:t>
                  </w:r>
                </w:p>
              </w:tc>
              <w:tc>
                <w:tcPr>
                  <w:tcW w:w="317" w:type="pct"/>
                  <w:tcBorders>
                    <w:tl2br w:val="nil"/>
                    <w:tr2bl w:val="nil"/>
                  </w:tcBorders>
                  <w:noWrap w:val="0"/>
                  <w:vAlign w:val="center"/>
                </w:tcPr>
                <w:p w14:paraId="0ADCF8C4">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符合</w:t>
                  </w:r>
                </w:p>
              </w:tc>
            </w:tr>
            <w:tr w14:paraId="469C8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9" w:type="pct"/>
                  <w:vMerge w:val="continue"/>
                  <w:tcBorders>
                    <w:tl2br w:val="nil"/>
                    <w:tr2bl w:val="nil"/>
                  </w:tcBorders>
                  <w:noWrap w:val="0"/>
                  <w:vAlign w:val="center"/>
                </w:tcPr>
                <w:p w14:paraId="6D361B99">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lang w:val="en-US" w:eastAsia="zh-CN"/>
                    </w:rPr>
                  </w:pPr>
                </w:p>
              </w:tc>
              <w:tc>
                <w:tcPr>
                  <w:tcW w:w="275" w:type="pct"/>
                  <w:tcBorders>
                    <w:tl2br w:val="nil"/>
                    <w:tr2bl w:val="nil"/>
                  </w:tcBorders>
                  <w:noWrap w:val="0"/>
                  <w:vAlign w:val="center"/>
                </w:tcPr>
                <w:p w14:paraId="41ABAC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rPr>
                    <w:t>土地资源</w:t>
                  </w:r>
                </w:p>
              </w:tc>
              <w:tc>
                <w:tcPr>
                  <w:tcW w:w="3504" w:type="pct"/>
                  <w:tcBorders>
                    <w:tl2br w:val="nil"/>
                    <w:tr2bl w:val="nil"/>
                  </w:tcBorders>
                  <w:noWrap w:val="0"/>
                  <w:vAlign w:val="center"/>
                </w:tcPr>
                <w:p w14:paraId="7CD33894">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2025年耕地保有量不低于6720.71平方千米；永久基本农田保护面积不低于5166.67平方千米；城镇开发边界控制在212.66平方千米以内。</w:t>
                  </w:r>
                </w:p>
              </w:tc>
              <w:tc>
                <w:tcPr>
                  <w:tcW w:w="612" w:type="pct"/>
                  <w:tcBorders>
                    <w:tl2br w:val="nil"/>
                    <w:tr2bl w:val="nil"/>
                  </w:tcBorders>
                  <w:noWrap w:val="0"/>
                  <w:vAlign w:val="center"/>
                </w:tcPr>
                <w:p w14:paraId="52D642A5">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Cs/>
                      <w:color w:val="auto"/>
                      <w:kern w:val="0"/>
                      <w:sz w:val="18"/>
                      <w:szCs w:val="18"/>
                      <w:highlight w:val="none"/>
                      <w:lang w:val="en-US" w:eastAsia="zh-CN" w:bidi="ar-SA"/>
                    </w:rPr>
                  </w:pPr>
                  <w:r>
                    <w:rPr>
                      <w:rFonts w:hint="eastAsia" w:ascii="Times New Roman" w:eastAsia="宋体" w:cs="Times New Roman"/>
                      <w:color w:val="auto"/>
                      <w:sz w:val="18"/>
                      <w:szCs w:val="18"/>
                      <w:highlight w:val="none"/>
                      <w:lang w:val="en-US" w:eastAsia="zh-CN"/>
                    </w:rPr>
                    <w:t>位于城镇开发边界内，不新增占地</w:t>
                  </w:r>
                </w:p>
              </w:tc>
              <w:tc>
                <w:tcPr>
                  <w:tcW w:w="317" w:type="pct"/>
                  <w:tcBorders>
                    <w:tl2br w:val="nil"/>
                    <w:tr2bl w:val="nil"/>
                  </w:tcBorders>
                  <w:noWrap w:val="0"/>
                  <w:vAlign w:val="center"/>
                </w:tcPr>
                <w:p w14:paraId="0A9BCAF8">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符合</w:t>
                  </w:r>
                </w:p>
              </w:tc>
            </w:tr>
            <w:tr w14:paraId="38A3B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9" w:type="pct"/>
                  <w:vMerge w:val="continue"/>
                  <w:noWrap w:val="0"/>
                  <w:vAlign w:val="center"/>
                </w:tcPr>
                <w:p w14:paraId="0A619622">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lang w:val="en-US" w:eastAsia="zh-CN"/>
                    </w:rPr>
                  </w:pPr>
                </w:p>
              </w:tc>
              <w:tc>
                <w:tcPr>
                  <w:tcW w:w="275" w:type="pct"/>
                  <w:noWrap w:val="0"/>
                  <w:vAlign w:val="center"/>
                </w:tcPr>
                <w:p w14:paraId="572AD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color w:val="auto"/>
                      <w:kern w:val="0"/>
                      <w:sz w:val="18"/>
                      <w:szCs w:val="18"/>
                      <w:lang w:val="en-US" w:eastAsia="zh-CN"/>
                    </w:rPr>
                  </w:pPr>
                  <w:r>
                    <w:rPr>
                      <w:rFonts w:hint="default" w:ascii="Times New Roman" w:hAnsi="Times New Roman" w:eastAsia="宋体" w:cs="Times New Roman"/>
                      <w:b w:val="0"/>
                      <w:bCs/>
                      <w:color w:val="auto"/>
                      <w:kern w:val="0"/>
                      <w:sz w:val="18"/>
                      <w:szCs w:val="18"/>
                    </w:rPr>
                    <w:t>能源</w:t>
                  </w:r>
                </w:p>
              </w:tc>
              <w:tc>
                <w:tcPr>
                  <w:tcW w:w="3504" w:type="pct"/>
                  <w:noWrap w:val="0"/>
                  <w:vAlign w:val="center"/>
                </w:tcPr>
                <w:p w14:paraId="44F5C603">
                  <w:pPr>
                    <w:pStyle w:val="46"/>
                    <w:keepNext w:val="0"/>
                    <w:keepLines w:val="0"/>
                    <w:pageBreakBefore w:val="0"/>
                    <w:widowControl w:val="0"/>
                    <w:kinsoku/>
                    <w:wordWrap/>
                    <w:overflowPunct/>
                    <w:topLinePunct w:val="0"/>
                    <w:bidi w:val="0"/>
                    <w:spacing w:beforeLines="0" w:afterLines="0" w:line="260" w:lineRule="exact"/>
                    <w:jc w:val="left"/>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2025年煤炭消费总量控制在1200万吨以内。</w:t>
                  </w:r>
                </w:p>
              </w:tc>
              <w:tc>
                <w:tcPr>
                  <w:tcW w:w="612" w:type="pct"/>
                  <w:noWrap w:val="0"/>
                  <w:vAlign w:val="center"/>
                </w:tcPr>
                <w:p w14:paraId="7DF026A5">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不使用煤炭</w:t>
                  </w:r>
                </w:p>
              </w:tc>
              <w:tc>
                <w:tcPr>
                  <w:tcW w:w="317" w:type="pct"/>
                  <w:noWrap w:val="0"/>
                  <w:vAlign w:val="center"/>
                </w:tcPr>
                <w:p w14:paraId="6DC21092">
                  <w:pPr>
                    <w:pStyle w:val="46"/>
                    <w:keepNext w:val="0"/>
                    <w:keepLines w:val="0"/>
                    <w:pageBreakBefore w:val="0"/>
                    <w:widowControl w:val="0"/>
                    <w:kinsoku/>
                    <w:wordWrap/>
                    <w:overflowPunct/>
                    <w:topLinePunct w:val="0"/>
                    <w:bidi w:val="0"/>
                    <w:spacing w:beforeLines="0" w:afterLines="0" w:line="260" w:lineRule="exact"/>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符合</w:t>
                  </w:r>
                </w:p>
              </w:tc>
            </w:tr>
          </w:tbl>
          <w:p w14:paraId="13FA5843">
            <w:pPr>
              <w:keepNext w:val="0"/>
              <w:keepLines w:val="0"/>
              <w:pageBreakBefore w:val="0"/>
              <w:kinsoku/>
              <w:wordWrap/>
              <w:overflowPunct/>
              <w:topLinePunct w:val="0"/>
              <w:bidi w:val="0"/>
              <w:spacing w:line="260" w:lineRule="exact"/>
              <w:jc w:val="center"/>
              <w:textAlignment w:val="auto"/>
              <w:rPr>
                <w:rFonts w:hint="default" w:ascii="Times New Roman" w:hAnsi="Times New Roman" w:eastAsia="宋体" w:cs="Times New Roman"/>
                <w:b/>
                <w:bCs/>
                <w:color w:val="auto"/>
                <w:spacing w:val="-1"/>
                <w:sz w:val="18"/>
                <w:szCs w:val="18"/>
                <w:u w:val="none"/>
              </w:rPr>
            </w:pPr>
          </w:p>
          <w:p w14:paraId="7E23B7B8">
            <w:pPr>
              <w:keepNext w:val="0"/>
              <w:keepLines w:val="0"/>
              <w:pageBreakBefore w:val="0"/>
              <w:kinsoku/>
              <w:wordWrap/>
              <w:overflowPunct/>
              <w:topLinePunct w:val="0"/>
              <w:bidi w:val="0"/>
              <w:spacing w:line="260" w:lineRule="exact"/>
              <w:jc w:val="center"/>
              <w:textAlignment w:val="auto"/>
              <w:rPr>
                <w:rFonts w:hint="default" w:ascii="Times New Roman" w:hAnsi="Times New Roman" w:eastAsia="宋体" w:cs="Times New Roman"/>
                <w:b/>
                <w:bCs/>
                <w:color w:val="auto"/>
                <w:spacing w:val="-1"/>
                <w:sz w:val="18"/>
                <w:szCs w:val="18"/>
                <w:u w:val="none"/>
                <w:lang w:eastAsia="zh-CN"/>
              </w:rPr>
            </w:pPr>
            <w:r>
              <w:rPr>
                <w:rFonts w:hint="default" w:ascii="Times New Roman" w:hAnsi="Times New Roman" w:eastAsia="宋体" w:cs="Times New Roman"/>
                <w:b/>
                <w:bCs/>
                <w:color w:val="auto"/>
                <w:spacing w:val="-1"/>
                <w:sz w:val="18"/>
                <w:szCs w:val="18"/>
                <w:u w:val="none"/>
              </w:rPr>
              <w:t>表1-</w:t>
            </w:r>
            <w:r>
              <w:rPr>
                <w:rFonts w:hint="eastAsia" w:cs="Times New Roman"/>
                <w:b/>
                <w:bCs/>
                <w:color w:val="auto"/>
                <w:spacing w:val="-1"/>
                <w:sz w:val="18"/>
                <w:szCs w:val="18"/>
                <w:u w:val="none"/>
                <w:lang w:val="en-US" w:eastAsia="zh-CN"/>
              </w:rPr>
              <w:t xml:space="preserve">5 </w:t>
            </w:r>
            <w:r>
              <w:rPr>
                <w:rFonts w:hint="default" w:ascii="Times New Roman" w:hAnsi="Times New Roman" w:eastAsia="宋体" w:cs="Times New Roman"/>
                <w:b/>
                <w:bCs/>
                <w:color w:val="auto"/>
                <w:spacing w:val="-1"/>
                <w:sz w:val="18"/>
                <w:szCs w:val="18"/>
                <w:u w:val="none"/>
              </w:rPr>
              <w:t xml:space="preserve">   与</w:t>
            </w:r>
            <w:r>
              <w:rPr>
                <w:rFonts w:hint="default" w:ascii="Times New Roman" w:hAnsi="Times New Roman" w:eastAsia="宋体" w:cs="Times New Roman"/>
                <w:b/>
                <w:bCs/>
                <w:color w:val="auto"/>
                <w:spacing w:val="-1"/>
                <w:sz w:val="18"/>
                <w:szCs w:val="18"/>
                <w:u w:val="none"/>
                <w:lang w:val="en-US" w:eastAsia="zh-CN"/>
              </w:rPr>
              <w:t>所在管控单元的</w:t>
            </w:r>
            <w:r>
              <w:rPr>
                <w:rFonts w:hint="default" w:ascii="Times New Roman" w:hAnsi="Times New Roman" w:eastAsia="宋体" w:cs="Times New Roman"/>
                <w:b/>
                <w:bCs/>
                <w:color w:val="auto"/>
                <w:spacing w:val="-1"/>
                <w:sz w:val="18"/>
                <w:szCs w:val="18"/>
                <w:u w:val="none"/>
              </w:rPr>
              <w:t>符合性分析</w:t>
            </w:r>
          </w:p>
          <w:tbl>
            <w:tblPr>
              <w:tblStyle w:val="2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280"/>
              <w:gridCol w:w="1261"/>
              <w:gridCol w:w="781"/>
              <w:gridCol w:w="738"/>
              <w:gridCol w:w="5691"/>
              <w:gridCol w:w="1411"/>
              <w:gridCol w:w="793"/>
            </w:tblGrid>
            <w:tr w14:paraId="50DB8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9" w:type="pct"/>
                  <w:noWrap w:val="0"/>
                  <w:vAlign w:val="center"/>
                </w:tcPr>
                <w:p w14:paraId="10BA7F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val="0"/>
                      <w:color w:val="auto"/>
                      <w:kern w:val="0"/>
                      <w:sz w:val="18"/>
                      <w:szCs w:val="18"/>
                      <w:lang w:val="en-US" w:eastAsia="zh-CN" w:bidi="ar-SA"/>
                    </w:rPr>
                  </w:pPr>
                  <w:r>
                    <w:rPr>
                      <w:rFonts w:hint="default" w:ascii="Times New Roman" w:hAnsi="Times New Roman" w:eastAsia="宋体" w:cs="Times New Roman"/>
                      <w:b/>
                      <w:bCs w:val="0"/>
                      <w:color w:val="auto"/>
                      <w:kern w:val="0"/>
                      <w:sz w:val="18"/>
                      <w:szCs w:val="18"/>
                    </w:rPr>
                    <w:t>环境管控单元编码</w:t>
                  </w:r>
                </w:p>
              </w:tc>
              <w:tc>
                <w:tcPr>
                  <w:tcW w:w="477" w:type="pct"/>
                  <w:noWrap w:val="0"/>
                  <w:vAlign w:val="center"/>
                </w:tcPr>
                <w:p w14:paraId="041D5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val="0"/>
                      <w:color w:val="auto"/>
                      <w:kern w:val="0"/>
                      <w:sz w:val="18"/>
                      <w:szCs w:val="18"/>
                      <w:lang w:val="en-US" w:eastAsia="zh-CN"/>
                    </w:rPr>
                  </w:pPr>
                  <w:r>
                    <w:rPr>
                      <w:rFonts w:hint="default" w:ascii="Times New Roman" w:hAnsi="Times New Roman" w:eastAsia="宋体" w:cs="Times New Roman"/>
                      <w:b/>
                      <w:bCs w:val="0"/>
                      <w:color w:val="auto"/>
                      <w:kern w:val="0"/>
                      <w:sz w:val="18"/>
                      <w:szCs w:val="18"/>
                    </w:rPr>
                    <w:t>环境管控单元名称</w:t>
                  </w:r>
                </w:p>
              </w:tc>
              <w:tc>
                <w:tcPr>
                  <w:tcW w:w="470" w:type="pct"/>
                  <w:noWrap w:val="0"/>
                  <w:vAlign w:val="center"/>
                </w:tcPr>
                <w:p w14:paraId="71DD9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val="0"/>
                      <w:color w:val="auto"/>
                      <w:kern w:val="0"/>
                      <w:sz w:val="18"/>
                      <w:szCs w:val="18"/>
                      <w:lang w:val="en-US" w:eastAsia="zh-CN" w:bidi="ar-SA"/>
                    </w:rPr>
                  </w:pPr>
                  <w:r>
                    <w:rPr>
                      <w:rFonts w:hint="default" w:ascii="Times New Roman" w:hAnsi="Times New Roman" w:eastAsia="宋体" w:cs="Times New Roman"/>
                      <w:b/>
                      <w:bCs w:val="0"/>
                      <w:color w:val="auto"/>
                      <w:kern w:val="0"/>
                      <w:sz w:val="18"/>
                      <w:szCs w:val="18"/>
                      <w:lang w:val="en-US" w:eastAsia="zh-CN"/>
                    </w:rPr>
                    <w:t>要素分析</w:t>
                  </w:r>
                </w:p>
              </w:tc>
              <w:tc>
                <w:tcPr>
                  <w:tcW w:w="291" w:type="pct"/>
                  <w:noWrap w:val="0"/>
                  <w:vAlign w:val="center"/>
                </w:tcPr>
                <w:p w14:paraId="57D80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val="0"/>
                      <w:color w:val="auto"/>
                      <w:kern w:val="0"/>
                      <w:sz w:val="18"/>
                      <w:szCs w:val="18"/>
                      <w:lang w:val="en-US" w:eastAsia="zh-CN" w:bidi="ar-SA"/>
                    </w:rPr>
                  </w:pPr>
                  <w:r>
                    <w:rPr>
                      <w:rFonts w:hint="default" w:ascii="Times New Roman" w:hAnsi="Times New Roman" w:eastAsia="宋体" w:cs="Times New Roman"/>
                      <w:b/>
                      <w:bCs w:val="0"/>
                      <w:color w:val="auto"/>
                      <w:kern w:val="0"/>
                      <w:sz w:val="18"/>
                      <w:szCs w:val="18"/>
                    </w:rPr>
                    <w:t>管控单元分类</w:t>
                  </w:r>
                </w:p>
              </w:tc>
              <w:tc>
                <w:tcPr>
                  <w:tcW w:w="275" w:type="pct"/>
                  <w:noWrap w:val="0"/>
                  <w:vAlign w:val="center"/>
                </w:tcPr>
                <w:p w14:paraId="0AE76A4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val="0"/>
                      <w:color w:val="auto"/>
                      <w:kern w:val="0"/>
                      <w:sz w:val="18"/>
                      <w:szCs w:val="18"/>
                      <w:lang w:val="en-US" w:eastAsia="zh-CN" w:bidi="ar-SA"/>
                    </w:rPr>
                  </w:pPr>
                  <w:r>
                    <w:rPr>
                      <w:rFonts w:hint="default" w:ascii="Times New Roman" w:hAnsi="Times New Roman" w:eastAsia="宋体" w:cs="Times New Roman"/>
                      <w:b/>
                      <w:bCs w:val="0"/>
                      <w:color w:val="auto"/>
                      <w:kern w:val="0"/>
                      <w:sz w:val="18"/>
                      <w:szCs w:val="18"/>
                    </w:rPr>
                    <w:t>管控类型</w:t>
                  </w:r>
                </w:p>
              </w:tc>
              <w:tc>
                <w:tcPr>
                  <w:tcW w:w="2121" w:type="pct"/>
                  <w:noWrap w:val="0"/>
                  <w:vAlign w:val="center"/>
                </w:tcPr>
                <w:p w14:paraId="7780BDE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val="0"/>
                      <w:color w:val="auto"/>
                      <w:kern w:val="0"/>
                      <w:sz w:val="18"/>
                      <w:szCs w:val="18"/>
                      <w:lang w:val="en-US" w:eastAsia="zh-CN" w:bidi="ar-SA"/>
                    </w:rPr>
                  </w:pPr>
                  <w:r>
                    <w:rPr>
                      <w:rFonts w:hint="default" w:ascii="Times New Roman" w:hAnsi="Times New Roman" w:eastAsia="宋体" w:cs="Times New Roman"/>
                      <w:b/>
                      <w:bCs w:val="0"/>
                      <w:color w:val="auto"/>
                      <w:kern w:val="0"/>
                      <w:sz w:val="18"/>
                      <w:szCs w:val="18"/>
                    </w:rPr>
                    <w:t>管控要求</w:t>
                  </w:r>
                </w:p>
              </w:tc>
              <w:tc>
                <w:tcPr>
                  <w:tcW w:w="526" w:type="pct"/>
                  <w:noWrap w:val="0"/>
                  <w:vAlign w:val="center"/>
                </w:tcPr>
                <w:p w14:paraId="783143A1">
                  <w:pPr>
                    <w:keepNext w:val="0"/>
                    <w:keepLines w:val="0"/>
                    <w:pageBreakBefore w:val="0"/>
                    <w:numPr>
                      <w:ilvl w:val="0"/>
                      <w:numId w:val="0"/>
                    </w:numPr>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val="0"/>
                      <w:color w:val="auto"/>
                      <w:sz w:val="18"/>
                      <w:szCs w:val="18"/>
                      <w:lang w:val="en-US" w:eastAsia="zh-CN"/>
                    </w:rPr>
                  </w:pPr>
                  <w:r>
                    <w:rPr>
                      <w:rFonts w:hint="default" w:ascii="Times New Roman" w:hAnsi="Times New Roman" w:eastAsia="宋体" w:cs="Times New Roman"/>
                      <w:b/>
                      <w:bCs w:val="0"/>
                      <w:color w:val="auto"/>
                      <w:sz w:val="18"/>
                      <w:szCs w:val="18"/>
                      <w:lang w:val="en-US" w:eastAsia="zh-CN"/>
                    </w:rPr>
                    <w:t>本项目</w:t>
                  </w:r>
                </w:p>
              </w:tc>
              <w:tc>
                <w:tcPr>
                  <w:tcW w:w="295" w:type="pct"/>
                  <w:noWrap w:val="0"/>
                  <w:vAlign w:val="center"/>
                </w:tcPr>
                <w:p w14:paraId="5EC09BA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val="0"/>
                      <w:color w:val="auto"/>
                      <w:sz w:val="18"/>
                      <w:szCs w:val="18"/>
                      <w:lang w:val="en-US" w:eastAsia="zh-CN"/>
                    </w:rPr>
                  </w:pPr>
                  <w:r>
                    <w:rPr>
                      <w:rFonts w:hint="default" w:ascii="Times New Roman" w:hAnsi="Times New Roman" w:eastAsia="宋体" w:cs="Times New Roman"/>
                      <w:b/>
                      <w:bCs w:val="0"/>
                      <w:color w:val="auto"/>
                      <w:sz w:val="18"/>
                      <w:szCs w:val="18"/>
                      <w:lang w:val="en-US" w:eastAsia="zh-CN"/>
                    </w:rPr>
                    <w:t>符合性分析</w:t>
                  </w:r>
                </w:p>
              </w:tc>
            </w:tr>
            <w:tr w14:paraId="074FE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9" w:type="pct"/>
                  <w:vMerge w:val="restart"/>
                  <w:noWrap w:val="0"/>
                  <w:vAlign w:val="center"/>
                </w:tcPr>
                <w:p w14:paraId="33288318">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ZH22030320001</w:t>
                  </w:r>
                </w:p>
              </w:tc>
              <w:tc>
                <w:tcPr>
                  <w:tcW w:w="477" w:type="pct"/>
                  <w:vMerge w:val="restart"/>
                  <w:noWrap w:val="0"/>
                  <w:vAlign w:val="center"/>
                </w:tcPr>
                <w:p w14:paraId="6EBB4A87">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吉林四平经济开发区</w:t>
                  </w:r>
                </w:p>
              </w:tc>
              <w:tc>
                <w:tcPr>
                  <w:tcW w:w="470" w:type="pct"/>
                  <w:vMerge w:val="restart"/>
                  <w:noWrap w:val="0"/>
                  <w:vAlign w:val="center"/>
                </w:tcPr>
                <w:p w14:paraId="19F4BEA8">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要素分区：大气环境高排放重点管控区、水环境工业污染重点管控区、高污染燃料禁燃区</w:t>
                  </w:r>
                </w:p>
                <w:p w14:paraId="03E4452F">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291" w:type="pct"/>
                  <w:vMerge w:val="restart"/>
                  <w:noWrap w:val="0"/>
                  <w:vAlign w:val="center"/>
                </w:tcPr>
                <w:p w14:paraId="606C4EFE">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2-重点管控</w:t>
                  </w:r>
                </w:p>
              </w:tc>
              <w:tc>
                <w:tcPr>
                  <w:tcW w:w="275" w:type="pct"/>
                  <w:noWrap w:val="0"/>
                  <w:vAlign w:val="center"/>
                </w:tcPr>
                <w:p w14:paraId="62C93D9E">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空间布局约束</w:t>
                  </w:r>
                </w:p>
              </w:tc>
              <w:tc>
                <w:tcPr>
                  <w:tcW w:w="2121" w:type="pct"/>
                  <w:noWrap w:val="0"/>
                  <w:vAlign w:val="center"/>
                </w:tcPr>
                <w:p w14:paraId="2D50E838">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rPr>
                    <w:t>严格落实规划环评及其批复文件环境准入条件</w:t>
                  </w:r>
                  <w:r>
                    <w:rPr>
                      <w:rFonts w:hint="default" w:ascii="Times New Roman" w:hAnsi="Times New Roman" w:eastAsia="宋体" w:cs="Times New Roman"/>
                      <w:color w:val="auto"/>
                      <w:kern w:val="0"/>
                      <w:sz w:val="18"/>
                      <w:szCs w:val="18"/>
                    </w:rPr>
                    <w:t>。</w:t>
                  </w:r>
                </w:p>
              </w:tc>
              <w:tc>
                <w:tcPr>
                  <w:tcW w:w="526" w:type="pct"/>
                  <w:noWrap w:val="0"/>
                  <w:vAlign w:val="top"/>
                </w:tcPr>
                <w:p w14:paraId="0DA6AD18">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满足规划环评及其准入条件</w:t>
                  </w:r>
                </w:p>
              </w:tc>
              <w:tc>
                <w:tcPr>
                  <w:tcW w:w="295" w:type="pct"/>
                  <w:noWrap w:val="0"/>
                  <w:vAlign w:val="center"/>
                </w:tcPr>
                <w:p w14:paraId="0764535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符合</w:t>
                  </w:r>
                </w:p>
              </w:tc>
            </w:tr>
            <w:tr w14:paraId="39C3E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9" w:type="pct"/>
                  <w:vMerge w:val="continue"/>
                  <w:noWrap w:val="0"/>
                  <w:vAlign w:val="top"/>
                </w:tcPr>
                <w:p w14:paraId="7E8EF25E">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477" w:type="pct"/>
                  <w:vMerge w:val="continue"/>
                  <w:noWrap w:val="0"/>
                  <w:vAlign w:val="top"/>
                </w:tcPr>
                <w:p w14:paraId="20670E16">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470" w:type="pct"/>
                  <w:vMerge w:val="continue"/>
                  <w:noWrap w:val="0"/>
                  <w:vAlign w:val="top"/>
                </w:tcPr>
                <w:p w14:paraId="1DF4FFB5">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291" w:type="pct"/>
                  <w:vMerge w:val="continue"/>
                  <w:noWrap w:val="0"/>
                  <w:vAlign w:val="top"/>
                </w:tcPr>
                <w:p w14:paraId="0645F901">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275" w:type="pct"/>
                  <w:noWrap w:val="0"/>
                  <w:vAlign w:val="center"/>
                </w:tcPr>
                <w:p w14:paraId="689AE359">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污染物排放管控</w:t>
                  </w:r>
                </w:p>
              </w:tc>
              <w:tc>
                <w:tcPr>
                  <w:tcW w:w="2121" w:type="pct"/>
                  <w:noWrap w:val="0"/>
                  <w:vAlign w:val="center"/>
                </w:tcPr>
                <w:p w14:paraId="0EF90955">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1工业涂装等涉及挥发性有机物排放的行业企业属于控制重点，应推广使用低（无）挥发性有机物含量的原辅材料，安装高效集气装置等措施，提升工艺废气、尾气收集处置率。</w:t>
                  </w:r>
                </w:p>
                <w:p w14:paraId="5010E762">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2重点行业污染治理升级改造，推进各类园区循环化改造；强化堆场扬尘控制。</w:t>
                  </w:r>
                </w:p>
                <w:p w14:paraId="79815919">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一体推进重点行业大气污染深度治理与节能降碳，推动大型燃煤锅炉、钢铁、水泥等行业超低排放改造，推动重点行业、重点领域氮氧化物减排，探索开展大气污染物与温室气体排放协同控制改造提升工程试点。</w:t>
                  </w:r>
                </w:p>
                <w:p w14:paraId="1AEBA204">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4执行《吉林省新污染物治理实施方案》相关要求，加强新污染物多环境介质协同治理，全面强化清洁生产和绿色制造。</w:t>
                  </w:r>
                </w:p>
              </w:tc>
              <w:tc>
                <w:tcPr>
                  <w:tcW w:w="526" w:type="pct"/>
                  <w:noWrap w:val="0"/>
                  <w:vAlign w:val="top"/>
                </w:tcPr>
                <w:p w14:paraId="5FDF772D">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不涉及</w:t>
                  </w:r>
                </w:p>
              </w:tc>
              <w:tc>
                <w:tcPr>
                  <w:tcW w:w="295" w:type="pct"/>
                  <w:noWrap w:val="0"/>
                  <w:vAlign w:val="center"/>
                </w:tcPr>
                <w:p w14:paraId="3171494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符合</w:t>
                  </w:r>
                </w:p>
              </w:tc>
            </w:tr>
            <w:tr w14:paraId="01116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9" w:type="pct"/>
                  <w:vMerge w:val="continue"/>
                  <w:noWrap w:val="0"/>
                  <w:vAlign w:val="top"/>
                </w:tcPr>
                <w:p w14:paraId="0CE8F482">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477" w:type="pct"/>
                  <w:vMerge w:val="continue"/>
                  <w:noWrap w:val="0"/>
                  <w:vAlign w:val="top"/>
                </w:tcPr>
                <w:p w14:paraId="63120AE4">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470" w:type="pct"/>
                  <w:vMerge w:val="continue"/>
                  <w:noWrap w:val="0"/>
                  <w:vAlign w:val="top"/>
                </w:tcPr>
                <w:p w14:paraId="49A9ADEF">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291" w:type="pct"/>
                  <w:vMerge w:val="continue"/>
                  <w:noWrap w:val="0"/>
                  <w:vAlign w:val="top"/>
                </w:tcPr>
                <w:p w14:paraId="477F9135">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275" w:type="pct"/>
                  <w:noWrap w:val="0"/>
                  <w:vAlign w:val="center"/>
                </w:tcPr>
                <w:p w14:paraId="5B37AFD9">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环境风险防控</w:t>
                  </w:r>
                </w:p>
              </w:tc>
              <w:tc>
                <w:tcPr>
                  <w:tcW w:w="2121" w:type="pct"/>
                  <w:noWrap w:val="0"/>
                  <w:vAlign w:val="center"/>
                </w:tcPr>
                <w:p w14:paraId="7E409576">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1开发区应制定环境风险应急预案，成立应急组织机构，定期开展应急演练，提高区域环境风险防范能力。</w:t>
                  </w:r>
                </w:p>
                <w:p w14:paraId="51074099">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2</w:t>
                  </w:r>
                  <w:r>
                    <w:rPr>
                      <w:rFonts w:hint="eastAsia" w:ascii="Times New Roman" w:hAnsi="Times New Roman" w:eastAsia="宋体" w:cs="Times New Roman"/>
                      <w:color w:val="auto"/>
                      <w:kern w:val="0"/>
                      <w:sz w:val="18"/>
                      <w:szCs w:val="18"/>
                    </w:rPr>
                    <w:t>严格管理涉及易导致环境风险的有毒有害和易燃易爆物质的生产、使用、贮运等新建、改扩建项目</w:t>
                  </w:r>
                  <w:r>
                    <w:rPr>
                      <w:rFonts w:hint="default" w:ascii="Times New Roman" w:hAnsi="Times New Roman" w:eastAsia="宋体" w:cs="Times New Roman"/>
                      <w:color w:val="auto"/>
                      <w:kern w:val="0"/>
                      <w:sz w:val="18"/>
                      <w:szCs w:val="18"/>
                    </w:rPr>
                    <w:t>。</w:t>
                  </w:r>
                </w:p>
              </w:tc>
              <w:tc>
                <w:tcPr>
                  <w:tcW w:w="526" w:type="pct"/>
                  <w:noWrap w:val="0"/>
                  <w:vAlign w:val="top"/>
                </w:tcPr>
                <w:p w14:paraId="6BC0EF91">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严格企业环境风险管理要求，并设置一定的应急措施，企业按要求编制环境风险应急预案。</w:t>
                  </w:r>
                </w:p>
              </w:tc>
              <w:tc>
                <w:tcPr>
                  <w:tcW w:w="295" w:type="pct"/>
                  <w:noWrap w:val="0"/>
                  <w:vAlign w:val="center"/>
                </w:tcPr>
                <w:p w14:paraId="0180C5C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符合</w:t>
                  </w:r>
                </w:p>
              </w:tc>
            </w:tr>
            <w:tr w14:paraId="27CE9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9" w:type="pct"/>
                  <w:vMerge w:val="continue"/>
                  <w:noWrap w:val="0"/>
                  <w:vAlign w:val="top"/>
                </w:tcPr>
                <w:p w14:paraId="027AC216">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477" w:type="pct"/>
                  <w:vMerge w:val="continue"/>
                  <w:noWrap w:val="0"/>
                  <w:vAlign w:val="top"/>
                </w:tcPr>
                <w:p w14:paraId="6B85FE59">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470" w:type="pct"/>
                  <w:vMerge w:val="continue"/>
                  <w:noWrap w:val="0"/>
                  <w:vAlign w:val="top"/>
                </w:tcPr>
                <w:p w14:paraId="3A489E91">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291" w:type="pct"/>
                  <w:vMerge w:val="continue"/>
                  <w:noWrap w:val="0"/>
                  <w:vAlign w:val="top"/>
                </w:tcPr>
                <w:p w14:paraId="079A9886">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p>
              </w:tc>
              <w:tc>
                <w:tcPr>
                  <w:tcW w:w="275" w:type="pct"/>
                  <w:noWrap w:val="0"/>
                  <w:vAlign w:val="center"/>
                </w:tcPr>
                <w:p w14:paraId="0EFF2B65">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资源开发效率</w:t>
                  </w:r>
                </w:p>
              </w:tc>
              <w:tc>
                <w:tcPr>
                  <w:tcW w:w="2121" w:type="pct"/>
                  <w:noWrap w:val="0"/>
                  <w:vAlign w:val="center"/>
                </w:tcPr>
                <w:p w14:paraId="796476FD">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1完成吉林省下达的产能置换要求。各产业执行对应的清洁生产标准。</w:t>
                  </w:r>
                </w:p>
                <w:p w14:paraId="55D1CAEF">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禁燃区内禁止燃用的高污染燃料按照《高污染燃料目录》中的第Ⅱ类执行；禁燃区内禁止燃用、销售高污染燃料；禁止新建、改建、扩建任何燃用高污染燃料的设施；对于现有的高污染燃料燃用设施，各类燃煤炉窑（灶）等燃用设施的单位，应当在辖区政府或管委会规定的期限内改用天然气、液化石油气、电或者其他清洁能源。</w:t>
                  </w:r>
                </w:p>
                <w:p w14:paraId="694D5351">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3积极推进区内供热（汽）管网建设，尽快实现开发区集中供热。在实现开发区集中供热之前，应采用电加热或清洁能源作为过渡热源。园区新建供热设施执行特别排放限值</w:t>
                  </w:r>
                  <w:r>
                    <w:rPr>
                      <w:rFonts w:hint="eastAsia" w:ascii="Times New Roman" w:hAnsi="Times New Roman" w:eastAsia="宋体" w:cs="Times New Roman"/>
                      <w:color w:val="auto"/>
                      <w:kern w:val="0"/>
                      <w:sz w:val="18"/>
                      <w:szCs w:val="18"/>
                    </w:rPr>
                    <w:t>或按省、市相关文件要求执行排放浓度限值</w:t>
                  </w:r>
                  <w:r>
                    <w:rPr>
                      <w:rFonts w:hint="default" w:ascii="Times New Roman" w:hAnsi="Times New Roman" w:eastAsia="宋体" w:cs="Times New Roman"/>
                      <w:color w:val="auto"/>
                      <w:kern w:val="0"/>
                      <w:sz w:val="18"/>
                      <w:szCs w:val="18"/>
                    </w:rPr>
                    <w:t>。燃用生物质成型燃料必须配备生物质成型燃料专用锅炉，并按规定安装除尘设施。</w:t>
                  </w:r>
                </w:p>
              </w:tc>
              <w:tc>
                <w:tcPr>
                  <w:tcW w:w="526" w:type="pct"/>
                  <w:noWrap w:val="0"/>
                  <w:vAlign w:val="top"/>
                </w:tcPr>
                <w:p w14:paraId="7010674F">
                  <w:pPr>
                    <w:keepNext w:val="0"/>
                    <w:keepLines w:val="0"/>
                    <w:pageBreakBefore w:val="0"/>
                    <w:widowControl/>
                    <w:kinsoku/>
                    <w:wordWrap/>
                    <w:overflowPunct/>
                    <w:topLinePunct w:val="0"/>
                    <w:bidi w:val="0"/>
                    <w:spacing w:line="260" w:lineRule="exact"/>
                    <w:textAlignment w:val="auto"/>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不使用高污染燃料，采用集中供热管网铺设至厂区前采用清洁能源天然气进行供热。</w:t>
                  </w:r>
                </w:p>
              </w:tc>
              <w:tc>
                <w:tcPr>
                  <w:tcW w:w="295" w:type="pct"/>
                  <w:noWrap w:val="0"/>
                  <w:vAlign w:val="center"/>
                </w:tcPr>
                <w:p w14:paraId="36368E69">
                  <w:pPr>
                    <w:keepNext w:val="0"/>
                    <w:keepLines w:val="0"/>
                    <w:pageBreakBefore w:val="0"/>
                    <w:widowControl/>
                    <w:kinsoku/>
                    <w:wordWrap/>
                    <w:overflowPunct/>
                    <w:topLinePunct w:val="0"/>
                    <w:bidi w:val="0"/>
                    <w:spacing w:line="2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sz w:val="18"/>
                      <w:szCs w:val="18"/>
                      <w:lang w:val="en-US" w:eastAsia="zh-CN"/>
                    </w:rPr>
                    <w:t>符合</w:t>
                  </w:r>
                </w:p>
              </w:tc>
            </w:tr>
          </w:tbl>
          <w:p w14:paraId="08BAB952">
            <w:pPr>
              <w:pStyle w:val="20"/>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200" w:right="0" w:rightChars="0"/>
              <w:jc w:val="both"/>
              <w:textAlignment w:val="auto"/>
              <w:rPr>
                <w:rFonts w:hint="eastAsia" w:ascii="Times New Roman" w:hAnsi="Times New Roman" w:eastAsia="宋体" w:cs="Times New Roman"/>
                <w:b/>
                <w:bCs/>
                <w:color w:val="auto"/>
                <w:spacing w:val="0"/>
                <w:w w:val="100"/>
                <w:position w:val="0"/>
                <w:sz w:val="24"/>
                <w:szCs w:val="24"/>
                <w:u w:val="none" w:color="auto"/>
                <w:lang w:val="en-US" w:eastAsia="zh-CN"/>
              </w:rPr>
            </w:pPr>
            <w:r>
              <w:rPr>
                <w:rFonts w:hint="eastAsia" w:ascii="Times New Roman" w:hAnsi="Times New Roman" w:eastAsia="宋体" w:cs="Times New Roman"/>
                <w:b/>
                <w:bCs/>
                <w:color w:val="auto"/>
                <w:spacing w:val="0"/>
                <w:w w:val="100"/>
                <w:position w:val="0"/>
                <w:sz w:val="24"/>
                <w:szCs w:val="24"/>
                <w:u w:val="none" w:color="auto"/>
                <w:lang w:val="en-US" w:eastAsia="zh-CN"/>
              </w:rPr>
              <w:t>3、与相关规划、条例的符合性分析</w:t>
            </w:r>
          </w:p>
          <w:p w14:paraId="4EA40FB5">
            <w:pPr>
              <w:pStyle w:val="5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6" w:firstLineChars="200"/>
              <w:jc w:val="both"/>
              <w:textAlignment w:val="auto"/>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（1）与</w:t>
            </w:r>
            <w:r>
              <w:rPr>
                <w:rFonts w:hint="default" w:ascii="宋体" w:hAnsi="宋体" w:eastAsia="宋体" w:cs="宋体"/>
                <w:b/>
                <w:bCs/>
                <w:spacing w:val="1"/>
                <w:sz w:val="24"/>
                <w:szCs w:val="24"/>
                <w:lang w:val="en-US" w:eastAsia="zh-CN"/>
              </w:rPr>
              <w:t>《吉林省辽河流域水环境保护条例》</w:t>
            </w:r>
            <w:r>
              <w:rPr>
                <w:rFonts w:hint="eastAsia" w:ascii="宋体" w:hAnsi="宋体" w:eastAsia="宋体" w:cs="宋体"/>
                <w:b/>
                <w:bCs/>
                <w:spacing w:val="1"/>
                <w:sz w:val="24"/>
                <w:szCs w:val="24"/>
                <w:lang w:val="en-US" w:eastAsia="zh-CN"/>
              </w:rPr>
              <w:t>的符合性分析</w:t>
            </w:r>
          </w:p>
          <w:p w14:paraId="3AA16F36">
            <w:pPr>
              <w:pStyle w:val="54"/>
              <w:keepNext w:val="0"/>
              <w:keepLines w:val="0"/>
              <w:pageBreakBefore w:val="0"/>
              <w:widowControl w:val="0"/>
              <w:kinsoku/>
              <w:wordWrap/>
              <w:overflowPunct/>
              <w:topLinePunct w:val="0"/>
              <w:autoSpaceDE/>
              <w:autoSpaceDN/>
              <w:bidi w:val="0"/>
              <w:adjustRightInd/>
              <w:snapToGrid/>
              <w:spacing w:before="40" w:line="360" w:lineRule="auto"/>
              <w:ind w:left="0" w:right="0" w:firstLine="486"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b/>
                <w:bCs/>
                <w:spacing w:val="1"/>
                <w:sz w:val="24"/>
                <w:szCs w:val="24"/>
                <w:lang w:val="en-US" w:eastAsia="zh-CN"/>
              </w:rPr>
              <w:t>条例要求：</w:t>
            </w:r>
            <w:r>
              <w:rPr>
                <w:rFonts w:hint="eastAsia" w:ascii="宋体" w:hAnsi="宋体" w:eastAsia="宋体" w:cs="宋体"/>
                <w:spacing w:val="1"/>
                <w:sz w:val="24"/>
                <w:szCs w:val="24"/>
                <w:lang w:val="en-US" w:eastAsia="zh-CN"/>
              </w:rPr>
              <w:t>第三十四条 企业事业单位和其他生产经营者应当采用水资源利用效率高、水污染物排放量少的高效清洁工艺设备，以及废弃物综合利用和污染物无害化处理技术，减少水污染物产生。</w:t>
            </w:r>
          </w:p>
          <w:p w14:paraId="582EB8C8">
            <w:pPr>
              <w:pStyle w:val="54"/>
              <w:keepNext w:val="0"/>
              <w:keepLines w:val="0"/>
              <w:pageBreakBefore w:val="0"/>
              <w:widowControl w:val="0"/>
              <w:kinsoku/>
              <w:wordWrap/>
              <w:overflowPunct/>
              <w:topLinePunct w:val="0"/>
              <w:autoSpaceDE/>
              <w:autoSpaceDN/>
              <w:bidi w:val="0"/>
              <w:adjustRightInd/>
              <w:snapToGrid/>
              <w:spacing w:before="40" w:line="360" w:lineRule="auto"/>
              <w:ind w:left="0" w:right="0" w:firstLine="484"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禁止新建不符合国家产业政策的小型造纸、制革、印染、染料、炼焦、炼硫、炼砷、炼汞、炼油、电镀、农药、石棉、水泥、玻璃、钢铁、火电以及其他严重污染水环境的生产项目。</w:t>
            </w:r>
          </w:p>
          <w:p w14:paraId="2B435C2D">
            <w:pPr>
              <w:pStyle w:val="54"/>
              <w:keepNext w:val="0"/>
              <w:keepLines w:val="0"/>
              <w:pageBreakBefore w:val="0"/>
              <w:widowControl w:val="0"/>
              <w:kinsoku/>
              <w:wordWrap/>
              <w:overflowPunct/>
              <w:topLinePunct w:val="0"/>
              <w:autoSpaceDE/>
              <w:autoSpaceDN/>
              <w:bidi w:val="0"/>
              <w:adjustRightInd/>
              <w:snapToGrid/>
              <w:spacing w:before="40" w:line="360" w:lineRule="auto"/>
              <w:ind w:left="0" w:right="0" w:firstLine="484"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第三十五条 新建有水污染物排放项目应当依据法律法规和有关规定进入工业集聚区。</w:t>
            </w:r>
          </w:p>
          <w:p w14:paraId="66412974">
            <w:pPr>
              <w:pStyle w:val="54"/>
              <w:keepNext w:val="0"/>
              <w:keepLines w:val="0"/>
              <w:pageBreakBefore w:val="0"/>
              <w:widowControl w:val="0"/>
              <w:kinsoku/>
              <w:wordWrap/>
              <w:overflowPunct/>
              <w:topLinePunct w:val="0"/>
              <w:autoSpaceDE/>
              <w:autoSpaceDN/>
              <w:bidi w:val="0"/>
              <w:adjustRightInd/>
              <w:snapToGrid/>
              <w:spacing w:before="40" w:line="360" w:lineRule="auto"/>
              <w:ind w:left="0" w:right="0" w:firstLine="484"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工业集聚区污水集中处理设施运营单位应当保证污水处理设施正常运行，不得擅自停运。</w:t>
            </w:r>
          </w:p>
          <w:p w14:paraId="694F075C">
            <w:pPr>
              <w:pStyle w:val="54"/>
              <w:keepNext w:val="0"/>
              <w:keepLines w:val="0"/>
              <w:pageBreakBefore w:val="0"/>
              <w:widowControl w:val="0"/>
              <w:kinsoku/>
              <w:wordWrap/>
              <w:overflowPunct/>
              <w:topLinePunct w:val="0"/>
              <w:autoSpaceDE/>
              <w:autoSpaceDN/>
              <w:bidi w:val="0"/>
              <w:adjustRightInd/>
              <w:snapToGrid/>
              <w:spacing w:before="40" w:line="360" w:lineRule="auto"/>
              <w:ind w:left="0" w:right="0" w:firstLine="484"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向污水集中处理设施排放工业废水的，应当按照国家有关规定进行预处理，达到集中处理设施处理工艺要求后方可排放。</w:t>
            </w:r>
          </w:p>
          <w:p w14:paraId="366B6906">
            <w:pPr>
              <w:pStyle w:val="54"/>
              <w:keepNext w:val="0"/>
              <w:keepLines w:val="0"/>
              <w:pageBreakBefore w:val="0"/>
              <w:widowControl w:val="0"/>
              <w:kinsoku/>
              <w:wordWrap/>
              <w:overflowPunct/>
              <w:topLinePunct w:val="0"/>
              <w:autoSpaceDE/>
              <w:autoSpaceDN/>
              <w:bidi w:val="0"/>
              <w:adjustRightInd/>
              <w:snapToGrid/>
              <w:spacing w:before="40" w:line="360" w:lineRule="auto"/>
              <w:ind w:left="0" w:right="0" w:firstLine="486" w:firstLineChars="200"/>
              <w:jc w:val="both"/>
              <w:textAlignment w:val="auto"/>
              <w:rPr>
                <w:rFonts w:hint="eastAsia" w:ascii="宋体" w:hAnsi="宋体" w:eastAsia="宋体" w:cs="宋体"/>
                <w:b w:val="0"/>
                <w:bCs w:val="0"/>
                <w:spacing w:val="1"/>
                <w:sz w:val="24"/>
                <w:szCs w:val="24"/>
                <w:lang w:val="en-US" w:eastAsia="zh-CN"/>
              </w:rPr>
            </w:pPr>
            <w:r>
              <w:rPr>
                <w:rFonts w:hint="eastAsia" w:ascii="宋体" w:hAnsi="宋体" w:eastAsia="宋体" w:cs="宋体"/>
                <w:b/>
                <w:bCs/>
                <w:spacing w:val="1"/>
                <w:sz w:val="24"/>
                <w:szCs w:val="24"/>
                <w:lang w:val="en-US" w:eastAsia="zh-CN"/>
              </w:rPr>
              <w:t>符合性分析：</w:t>
            </w:r>
            <w:r>
              <w:rPr>
                <w:rFonts w:hint="eastAsia" w:ascii="宋体" w:hAnsi="宋体" w:eastAsia="宋体" w:cs="宋体"/>
                <w:b w:val="0"/>
                <w:bCs w:val="0"/>
                <w:spacing w:val="1"/>
                <w:sz w:val="24"/>
                <w:szCs w:val="24"/>
                <w:lang w:val="en-US" w:eastAsia="zh-CN"/>
              </w:rPr>
              <w:t>本项目符合国家产业政策，不属于严重污染水环境的生产项目，选址位于工业聚集区，且符合产业布局规划，废水</w:t>
            </w:r>
            <w:r>
              <w:rPr>
                <w:rFonts w:hint="eastAsia" w:ascii="宋体" w:hAnsi="宋体" w:eastAsia="宋体" w:cs="宋体"/>
                <w:b w:val="0"/>
                <w:bCs w:val="0"/>
                <w:spacing w:val="1"/>
                <w:sz w:val="24"/>
                <w:szCs w:val="24"/>
                <w:highlight w:val="none"/>
                <w:lang w:val="en-US" w:eastAsia="zh-CN"/>
              </w:rPr>
              <w:t>经自建污水处理系统处理达标</w:t>
            </w:r>
            <w:r>
              <w:rPr>
                <w:rFonts w:hint="eastAsia" w:ascii="宋体" w:hAnsi="宋体" w:eastAsia="宋体" w:cs="宋体"/>
                <w:b w:val="0"/>
                <w:bCs w:val="0"/>
                <w:spacing w:val="1"/>
                <w:sz w:val="24"/>
                <w:szCs w:val="24"/>
                <w:lang w:val="en-US" w:eastAsia="zh-CN"/>
              </w:rPr>
              <w:t>后，经市政污水管网排入四平市污水处理厂处理，与</w:t>
            </w:r>
            <w:r>
              <w:rPr>
                <w:rFonts w:hint="default" w:ascii="宋体" w:hAnsi="宋体" w:eastAsia="宋体" w:cs="宋体"/>
                <w:b w:val="0"/>
                <w:bCs w:val="0"/>
                <w:spacing w:val="1"/>
                <w:sz w:val="24"/>
                <w:szCs w:val="24"/>
                <w:lang w:val="en-US" w:eastAsia="zh-CN"/>
              </w:rPr>
              <w:t>《吉林省辽河流域水环境保护条例》</w:t>
            </w:r>
            <w:r>
              <w:rPr>
                <w:rFonts w:hint="eastAsia" w:ascii="宋体" w:hAnsi="宋体" w:eastAsia="宋体" w:cs="宋体"/>
                <w:b w:val="0"/>
                <w:bCs w:val="0"/>
                <w:spacing w:val="1"/>
                <w:sz w:val="24"/>
                <w:szCs w:val="24"/>
                <w:lang w:val="en-US" w:eastAsia="zh-CN"/>
              </w:rPr>
              <w:t>要求相符。</w:t>
            </w:r>
          </w:p>
          <w:p w14:paraId="21E2337C">
            <w:pPr>
              <w:pStyle w:val="54"/>
              <w:keepNext w:val="0"/>
              <w:keepLines w:val="0"/>
              <w:pageBreakBefore w:val="0"/>
              <w:widowControl w:val="0"/>
              <w:kinsoku/>
              <w:wordWrap/>
              <w:overflowPunct/>
              <w:topLinePunct w:val="0"/>
              <w:autoSpaceDE/>
              <w:autoSpaceDN/>
              <w:bidi w:val="0"/>
              <w:adjustRightInd/>
              <w:snapToGrid/>
              <w:spacing w:line="360" w:lineRule="auto"/>
              <w:ind w:right="0" w:firstLine="486" w:firstLineChars="200"/>
              <w:jc w:val="both"/>
              <w:textAlignment w:val="auto"/>
              <w:rPr>
                <w:rFonts w:hint="eastAsia" w:ascii="宋体" w:hAnsi="宋体" w:eastAsia="宋体" w:cs="宋体"/>
                <w:b/>
                <w:bCs/>
                <w:spacing w:val="1"/>
                <w:sz w:val="24"/>
                <w:szCs w:val="24"/>
                <w:lang w:val="en-US" w:eastAsia="zh-CN"/>
              </w:rPr>
            </w:pPr>
            <w:r>
              <w:rPr>
                <w:rFonts w:hint="eastAsia" w:ascii="宋体" w:hAnsi="宋体" w:cs="宋体"/>
                <w:b/>
                <w:bCs/>
                <w:spacing w:val="1"/>
                <w:sz w:val="24"/>
                <w:szCs w:val="24"/>
                <w:lang w:val="en-US" w:eastAsia="zh-CN"/>
              </w:rPr>
              <w:t>（2）</w:t>
            </w:r>
            <w:r>
              <w:rPr>
                <w:rFonts w:hint="eastAsia" w:ascii="宋体" w:hAnsi="宋体" w:eastAsia="宋体" w:cs="宋体"/>
                <w:b/>
                <w:bCs/>
                <w:spacing w:val="1"/>
                <w:sz w:val="24"/>
                <w:szCs w:val="24"/>
                <w:lang w:val="en-US" w:eastAsia="zh-CN"/>
              </w:rPr>
              <w:t>《空气质量持续改善行动计划》（四政发〔2024〕9号）</w:t>
            </w:r>
          </w:p>
          <w:p w14:paraId="188EEE34">
            <w:pPr>
              <w:pStyle w:val="54"/>
              <w:keepNext w:val="0"/>
              <w:keepLines w:val="0"/>
              <w:pageBreakBefore w:val="0"/>
              <w:widowControl w:val="0"/>
              <w:kinsoku/>
              <w:wordWrap/>
              <w:overflowPunct/>
              <w:topLinePunct w:val="0"/>
              <w:autoSpaceDE/>
              <w:autoSpaceDN/>
              <w:bidi w:val="0"/>
              <w:adjustRightInd/>
              <w:snapToGrid/>
              <w:spacing w:line="360" w:lineRule="auto"/>
              <w:ind w:leftChars="0" w:right="0" w:firstLine="486" w:firstLineChars="200"/>
              <w:jc w:val="both"/>
              <w:textAlignment w:val="auto"/>
              <w:rPr>
                <w:rFonts w:hint="eastAsia" w:ascii="宋体" w:hAnsi="宋体" w:eastAsia="宋体" w:cs="宋体"/>
                <w:b w:val="0"/>
                <w:bCs w:val="0"/>
                <w:spacing w:val="1"/>
                <w:sz w:val="24"/>
                <w:szCs w:val="24"/>
                <w:lang w:val="en-US" w:eastAsia="zh-CN"/>
              </w:rPr>
            </w:pPr>
            <w:r>
              <w:rPr>
                <w:rFonts w:hint="eastAsia" w:ascii="宋体" w:hAnsi="宋体" w:eastAsia="宋体" w:cs="宋体"/>
                <w:b/>
                <w:bCs/>
                <w:spacing w:val="1"/>
                <w:sz w:val="24"/>
                <w:szCs w:val="24"/>
                <w:lang w:val="en-US" w:eastAsia="zh-CN"/>
              </w:rPr>
              <w:t>行动计划要求</w:t>
            </w:r>
            <w:r>
              <w:rPr>
                <w:rFonts w:hint="eastAsia" w:ascii="宋体" w:hAnsi="宋体" w:eastAsia="宋体" w:cs="宋体"/>
                <w:b w:val="0"/>
                <w:bCs w:val="0"/>
                <w:spacing w:val="1"/>
                <w:sz w:val="24"/>
                <w:szCs w:val="24"/>
                <w:lang w:val="en-US" w:eastAsia="zh-CN"/>
              </w:rPr>
              <w:t>：9. 推进工业炉窑清洁能源替代。推进工业炉窑电代煤，统筹发电侧、电网侧和用电侧保电力安全稳定供应。鼓励支持新改扩建的加热炉、热处理炉、干燥炉、熔化炉采用清洁低碳能源。积极稳妥推进以气代煤，推动生物质、天然气等燃料替代煤燃料。（市生态环境局牵头，市工信局、市发改委等按职责分工负责）。</w:t>
            </w:r>
          </w:p>
          <w:p w14:paraId="7B8E42E8">
            <w:pPr>
              <w:pStyle w:val="54"/>
              <w:keepNext w:val="0"/>
              <w:keepLines w:val="0"/>
              <w:pageBreakBefore w:val="0"/>
              <w:widowControl w:val="0"/>
              <w:kinsoku/>
              <w:wordWrap/>
              <w:overflowPunct/>
              <w:topLinePunct w:val="0"/>
              <w:autoSpaceDE/>
              <w:autoSpaceDN/>
              <w:bidi w:val="0"/>
              <w:adjustRightInd/>
              <w:snapToGrid/>
              <w:spacing w:line="360" w:lineRule="auto"/>
              <w:ind w:leftChars="0" w:right="0" w:firstLine="486" w:firstLineChars="200"/>
              <w:jc w:val="both"/>
              <w:textAlignment w:val="auto"/>
              <w:rPr>
                <w:rFonts w:hint="eastAsia" w:ascii="宋体" w:hAnsi="宋体" w:eastAsia="宋体" w:cs="宋体"/>
                <w:b w:val="0"/>
                <w:bCs w:val="0"/>
                <w:spacing w:val="1"/>
                <w:sz w:val="24"/>
                <w:szCs w:val="24"/>
                <w:lang w:val="en-US" w:eastAsia="zh-CN"/>
              </w:rPr>
            </w:pPr>
            <w:r>
              <w:rPr>
                <w:rFonts w:hint="eastAsia" w:ascii="宋体" w:hAnsi="宋体" w:eastAsia="宋体" w:cs="宋体"/>
                <w:b/>
                <w:bCs/>
                <w:spacing w:val="1"/>
                <w:sz w:val="24"/>
                <w:szCs w:val="24"/>
                <w:lang w:val="en-US" w:eastAsia="zh-CN"/>
              </w:rPr>
              <w:t>符合性分析：</w:t>
            </w:r>
            <w:r>
              <w:rPr>
                <w:rFonts w:hint="eastAsia" w:ascii="宋体" w:hAnsi="宋体" w:eastAsia="宋体" w:cs="宋体"/>
                <w:b w:val="0"/>
                <w:bCs w:val="0"/>
                <w:spacing w:val="1"/>
                <w:sz w:val="24"/>
                <w:szCs w:val="24"/>
                <w:lang w:val="en-US" w:eastAsia="zh-CN"/>
              </w:rPr>
              <w:t>本项目工业炉窑采用天然气，从源头降低污染物产生量，符合行动计划要求。</w:t>
            </w:r>
          </w:p>
          <w:p w14:paraId="7FAAE4AA">
            <w:pPr>
              <w:pStyle w:val="72"/>
              <w:rPr>
                <w:rFonts w:hint="default" w:ascii="Times New Roman" w:hAnsi="Times New Roman" w:eastAsia="宋体" w:cs="Times New Roman"/>
                <w:color w:val="auto"/>
                <w:sz w:val="24"/>
                <w:highlight w:val="none"/>
                <w:u w:val="none"/>
                <w:lang w:val="en-US" w:eastAsia="zh-CN"/>
              </w:rPr>
            </w:pPr>
            <w:r>
              <w:rPr>
                <w:rFonts w:hint="eastAsia" w:eastAsia="宋体" w:cs="Times New Roman"/>
                <w:b/>
                <w:bCs/>
                <w:color w:val="auto"/>
                <w:sz w:val="24"/>
                <w:highlight w:val="none"/>
                <w:u w:val="none"/>
                <w:lang w:val="en-US" w:eastAsia="zh-CN"/>
              </w:rPr>
              <w:t>（3）</w:t>
            </w:r>
            <w:r>
              <w:rPr>
                <w:rFonts w:hint="default" w:ascii="Times New Roman" w:hAnsi="Times New Roman" w:eastAsia="宋体" w:cs="Times New Roman"/>
                <w:b/>
                <w:bCs/>
                <w:color w:val="auto"/>
                <w:sz w:val="24"/>
                <w:highlight w:val="none"/>
                <w:u w:val="none"/>
                <w:lang w:val="en-US" w:eastAsia="zh-CN"/>
              </w:rPr>
              <w:t>本项目与《四平市“十四五”生态环境保护总体规划》符合性</w:t>
            </w:r>
          </w:p>
          <w:p w14:paraId="1D636700">
            <w:pPr>
              <w:keepNext w:val="0"/>
              <w:keepLines w:val="0"/>
              <w:pageBreakBefore w:val="0"/>
              <w:kinsoku/>
              <w:wordWrap/>
              <w:overflowPunct/>
              <w:topLinePunct w:val="0"/>
              <w:bidi w:val="0"/>
              <w:spacing w:line="260" w:lineRule="exact"/>
              <w:jc w:val="center"/>
              <w:textAlignment w:val="auto"/>
              <w:rPr>
                <w:rFonts w:hint="default" w:ascii="Times New Roman" w:hAnsi="Times New Roman" w:eastAsia="宋体" w:cs="Times New Roman"/>
                <w:color w:val="00B050"/>
                <w:sz w:val="21"/>
                <w:szCs w:val="21"/>
                <w:highlight w:val="none"/>
                <w:u w:val="single"/>
                <w:lang w:val="en-US" w:eastAsia="zh-CN"/>
              </w:rPr>
            </w:pPr>
            <w:r>
              <w:rPr>
                <w:rFonts w:hint="default" w:ascii="Times New Roman" w:hAnsi="Times New Roman" w:eastAsia="宋体" w:cs="Times New Roman"/>
                <w:b/>
                <w:bCs/>
                <w:color w:val="00B050"/>
                <w:spacing w:val="-1"/>
                <w:sz w:val="18"/>
                <w:szCs w:val="18"/>
                <w:u w:val="single"/>
                <w:lang w:val="en-US" w:eastAsia="zh-CN"/>
              </w:rPr>
              <w:t>表1-</w:t>
            </w:r>
            <w:r>
              <w:rPr>
                <w:rFonts w:hint="eastAsia" w:ascii="Times New Roman" w:hAnsi="Times New Roman" w:eastAsia="宋体" w:cs="Times New Roman"/>
                <w:b/>
                <w:bCs/>
                <w:color w:val="00B050"/>
                <w:spacing w:val="-1"/>
                <w:sz w:val="18"/>
                <w:szCs w:val="18"/>
                <w:u w:val="single"/>
                <w:lang w:val="en-US" w:eastAsia="zh-CN"/>
              </w:rPr>
              <w:t>6</w:t>
            </w:r>
            <w:r>
              <w:rPr>
                <w:rFonts w:hint="default" w:ascii="Times New Roman" w:hAnsi="Times New Roman" w:eastAsia="宋体" w:cs="Times New Roman"/>
                <w:b/>
                <w:bCs/>
                <w:color w:val="00B050"/>
                <w:spacing w:val="-1"/>
                <w:sz w:val="18"/>
                <w:szCs w:val="18"/>
                <w:u w:val="single"/>
                <w:lang w:val="en-US" w:eastAsia="zh-CN"/>
              </w:rPr>
              <w:t xml:space="preserve">   与《四平市“十四五”生态环境保护总体规划》的符合性分析</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0071"/>
              <w:gridCol w:w="2134"/>
              <w:gridCol w:w="1196"/>
            </w:tblGrid>
            <w:tr w14:paraId="1F3611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3756" w:type="pct"/>
                  <w:tcBorders>
                    <w:tl2br w:val="nil"/>
                    <w:tr2bl w:val="nil"/>
                  </w:tcBorders>
                  <w:noWrap w:val="0"/>
                  <w:vAlign w:val="center"/>
                </w:tcPr>
                <w:p w14:paraId="77DF3F39">
                  <w:pPr>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line="240" w:lineRule="auto"/>
                    <w:ind w:left="0" w:right="0" w:firstLine="420" w:firstLineChars="200"/>
                    <w:jc w:val="center"/>
                    <w:rPr>
                      <w:rFonts w:hint="default" w:ascii="Times New Roman" w:hAnsi="Times New Roman" w:eastAsia="宋体" w:cs="Times New Roman"/>
                      <w:i w:val="0"/>
                      <w:iCs w:val="0"/>
                      <w:color w:val="00B050"/>
                      <w:kern w:val="0"/>
                      <w:sz w:val="21"/>
                      <w:szCs w:val="21"/>
                      <w:highlight w:val="none"/>
                      <w:u w:val="single"/>
                      <w:lang w:val="en-US" w:eastAsia="zh-CN" w:bidi="ar"/>
                    </w:rPr>
                  </w:pPr>
                  <w:r>
                    <w:rPr>
                      <w:rFonts w:hint="default" w:ascii="Times New Roman" w:hAnsi="Times New Roman" w:eastAsia="宋体" w:cs="Times New Roman"/>
                      <w:i w:val="0"/>
                      <w:iCs w:val="0"/>
                      <w:color w:val="00B050"/>
                      <w:kern w:val="0"/>
                      <w:sz w:val="21"/>
                      <w:szCs w:val="21"/>
                      <w:highlight w:val="none"/>
                      <w:u w:val="single"/>
                      <w:lang w:val="en-US" w:eastAsia="zh-CN" w:bidi="ar"/>
                    </w:rPr>
                    <w:t>规划要求</w:t>
                  </w:r>
                </w:p>
              </w:tc>
              <w:tc>
                <w:tcPr>
                  <w:tcW w:w="796" w:type="pct"/>
                  <w:tcBorders>
                    <w:tl2br w:val="nil"/>
                    <w:tr2bl w:val="nil"/>
                  </w:tcBorders>
                  <w:noWrap w:val="0"/>
                  <w:vAlign w:val="center"/>
                </w:tcPr>
                <w:p w14:paraId="129B91FA">
                  <w:pPr>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line="240" w:lineRule="auto"/>
                    <w:ind w:left="0" w:right="0" w:firstLine="420" w:firstLineChars="200"/>
                    <w:jc w:val="both"/>
                    <w:rPr>
                      <w:rFonts w:hint="default" w:ascii="Times New Roman" w:hAnsi="Times New Roman" w:eastAsia="宋体" w:cs="Times New Roman"/>
                      <w:i w:val="0"/>
                      <w:iCs w:val="0"/>
                      <w:color w:val="00B050"/>
                      <w:kern w:val="0"/>
                      <w:sz w:val="21"/>
                      <w:szCs w:val="21"/>
                      <w:highlight w:val="none"/>
                      <w:u w:val="single"/>
                      <w:lang w:val="en-US" w:eastAsia="zh-CN" w:bidi="ar"/>
                    </w:rPr>
                  </w:pPr>
                  <w:r>
                    <w:rPr>
                      <w:rFonts w:hint="default" w:ascii="Times New Roman" w:hAnsi="Times New Roman" w:eastAsia="宋体" w:cs="Times New Roman"/>
                      <w:i w:val="0"/>
                      <w:iCs w:val="0"/>
                      <w:color w:val="00B050"/>
                      <w:kern w:val="0"/>
                      <w:sz w:val="21"/>
                      <w:szCs w:val="21"/>
                      <w:highlight w:val="none"/>
                      <w:u w:val="single"/>
                      <w:lang w:val="en-US" w:eastAsia="zh-CN" w:bidi="ar"/>
                    </w:rPr>
                    <w:t>分析</w:t>
                  </w:r>
                </w:p>
              </w:tc>
              <w:tc>
                <w:tcPr>
                  <w:tcW w:w="446" w:type="pct"/>
                  <w:tcBorders>
                    <w:tl2br w:val="nil"/>
                    <w:tr2bl w:val="nil"/>
                  </w:tcBorders>
                  <w:noWrap w:val="0"/>
                  <w:vAlign w:val="center"/>
                </w:tcPr>
                <w:p w14:paraId="610D94E5">
                  <w:pPr>
                    <w:keepNext w:val="0"/>
                    <w:keepLines w:val="0"/>
                    <w:pageBreakBefore w:val="0"/>
                    <w:widowControl/>
                    <w:suppressLineNumbers w:val="0"/>
                    <w:kinsoku/>
                    <w:wordWrap/>
                    <w:overflowPunct/>
                    <w:topLinePunct w:val="0"/>
                    <w:autoSpaceDE w:val="0"/>
                    <w:autoSpaceDN w:val="0"/>
                    <w:bidi w:val="0"/>
                    <w:snapToGrid/>
                    <w:spacing w:before="0" w:beforeAutospacing="0" w:after="0" w:afterAutospacing="0" w:line="240" w:lineRule="auto"/>
                    <w:ind w:right="0"/>
                    <w:jc w:val="both"/>
                    <w:rPr>
                      <w:rFonts w:hint="default" w:ascii="Times New Roman" w:hAnsi="Times New Roman" w:eastAsia="宋体" w:cs="Times New Roman"/>
                      <w:i w:val="0"/>
                      <w:iCs w:val="0"/>
                      <w:color w:val="00B050"/>
                      <w:kern w:val="0"/>
                      <w:sz w:val="21"/>
                      <w:szCs w:val="21"/>
                      <w:highlight w:val="none"/>
                      <w:u w:val="single"/>
                      <w:lang w:val="en-US" w:eastAsia="zh-CN" w:bidi="ar"/>
                    </w:rPr>
                  </w:pPr>
                  <w:r>
                    <w:rPr>
                      <w:rFonts w:hint="default" w:ascii="Times New Roman" w:hAnsi="Times New Roman" w:eastAsia="宋体" w:cs="Times New Roman"/>
                      <w:i w:val="0"/>
                      <w:iCs w:val="0"/>
                      <w:color w:val="00B050"/>
                      <w:kern w:val="0"/>
                      <w:sz w:val="21"/>
                      <w:szCs w:val="21"/>
                      <w:highlight w:val="none"/>
                      <w:u w:val="single"/>
                      <w:lang w:val="en-US" w:eastAsia="zh-CN" w:bidi="ar"/>
                    </w:rPr>
                    <w:t>符合性</w:t>
                  </w:r>
                </w:p>
              </w:tc>
            </w:tr>
            <w:tr w14:paraId="71B648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56" w:type="pct"/>
                  <w:tcBorders>
                    <w:tl2br w:val="nil"/>
                    <w:tr2bl w:val="nil"/>
                  </w:tcBorders>
                  <w:noWrap w:val="0"/>
                  <w:vAlign w:val="center"/>
                </w:tcPr>
                <w:p w14:paraId="5F29DF87">
                  <w:pPr>
                    <w:pStyle w:val="73"/>
                    <w:keepNext w:val="0"/>
                    <w:keepLines w:val="0"/>
                    <w:pageBreakBefore w:val="0"/>
                    <w:widowControl/>
                    <w:kinsoku/>
                    <w:wordWrap/>
                    <w:overflowPunct/>
                    <w:topLinePunct w:val="0"/>
                    <w:autoSpaceDE w:val="0"/>
                    <w:autoSpaceDN w:val="0"/>
                    <w:bidi w:val="0"/>
                    <w:snapToGrid/>
                    <w:spacing w:line="240" w:lineRule="auto"/>
                    <w:ind w:firstLine="420" w:firstLineChars="200"/>
                    <w:rPr>
                      <w:rFonts w:hint="default" w:ascii="Times New Roman" w:hAnsi="Times New Roman" w:eastAsia="宋体" w:cs="Times New Roman"/>
                      <w:color w:val="00B050"/>
                      <w:sz w:val="21"/>
                      <w:szCs w:val="21"/>
                      <w:highlight w:val="none"/>
                      <w:u w:val="single"/>
                      <w:lang w:val="en-US" w:eastAsia="zh-CN"/>
                    </w:rPr>
                  </w:pPr>
                  <w:r>
                    <w:rPr>
                      <w:rFonts w:hint="default" w:ascii="Times New Roman" w:hAnsi="Times New Roman" w:eastAsia="宋体" w:cs="Times New Roman"/>
                      <w:color w:val="00B050"/>
                      <w:sz w:val="21"/>
                      <w:szCs w:val="21"/>
                      <w:highlight w:val="none"/>
                      <w:u w:val="single"/>
                      <w:lang w:val="en-US" w:eastAsia="zh-CN"/>
                    </w:rPr>
                    <w:t>深入实施节水行动。实施国家节水行动，强化工业节水减排、农业节水增效、城镇节水降损，推进污水资源化利用。强化高耗水行业用水定额管理，造纸、石油化工、食品发酵等高耗水行业推广节水新技术、新工艺和新设备，优先使用再生水。加强大型灌区、重点中型灌区节水改造，发展旱田高效节水灌溉。完善再生水循环利用体系，加快推进污水再生利用设施、再生水输送管网建设，提升再生水利用效能，城市绿化、道路清洁、车辆冲洗、建筑施工及生态景观用水等优先使用再生水。到2025年，城市再生水利用率达到25%以上。</w:t>
                  </w:r>
                </w:p>
              </w:tc>
              <w:tc>
                <w:tcPr>
                  <w:tcW w:w="796" w:type="pct"/>
                  <w:tcBorders>
                    <w:tl2br w:val="nil"/>
                    <w:tr2bl w:val="nil"/>
                  </w:tcBorders>
                  <w:noWrap w:val="0"/>
                  <w:vAlign w:val="center"/>
                </w:tcPr>
                <w:p w14:paraId="0481A00A">
                  <w:pPr>
                    <w:pStyle w:val="73"/>
                    <w:keepNext w:val="0"/>
                    <w:keepLines w:val="0"/>
                    <w:pageBreakBefore w:val="0"/>
                    <w:widowControl/>
                    <w:kinsoku/>
                    <w:wordWrap/>
                    <w:overflowPunct/>
                    <w:topLinePunct w:val="0"/>
                    <w:autoSpaceDE w:val="0"/>
                    <w:autoSpaceDN w:val="0"/>
                    <w:bidi w:val="0"/>
                    <w:snapToGrid/>
                    <w:spacing w:line="240" w:lineRule="auto"/>
                    <w:ind w:firstLine="420" w:firstLineChars="200"/>
                    <w:rPr>
                      <w:rFonts w:hint="default" w:ascii="Times New Roman" w:hAnsi="Times New Roman" w:eastAsia="宋体" w:cs="Times New Roman"/>
                      <w:color w:val="00B050"/>
                      <w:sz w:val="21"/>
                      <w:szCs w:val="21"/>
                      <w:highlight w:val="none"/>
                      <w:u w:val="single"/>
                      <w:lang w:val="en-US" w:eastAsia="zh-CN"/>
                    </w:rPr>
                  </w:pPr>
                  <w:r>
                    <w:rPr>
                      <w:rFonts w:hint="default" w:ascii="Times New Roman" w:hAnsi="Times New Roman" w:eastAsia="宋体" w:cs="Times New Roman"/>
                      <w:color w:val="00B050"/>
                      <w:sz w:val="21"/>
                      <w:szCs w:val="21"/>
                      <w:highlight w:val="none"/>
                      <w:u w:val="single"/>
                      <w:lang w:val="en-US" w:eastAsia="zh-CN"/>
                    </w:rPr>
                    <w:t>项目</w:t>
                  </w:r>
                  <w:r>
                    <w:rPr>
                      <w:rFonts w:hint="eastAsia" w:eastAsia="宋体" w:cs="Times New Roman"/>
                      <w:color w:val="00B050"/>
                      <w:sz w:val="21"/>
                      <w:szCs w:val="21"/>
                      <w:highlight w:val="none"/>
                      <w:u w:val="single"/>
                      <w:lang w:val="en-US" w:eastAsia="zh-CN"/>
                    </w:rPr>
                    <w:t>污</w:t>
                  </w:r>
                  <w:r>
                    <w:rPr>
                      <w:rFonts w:hint="default" w:ascii="Times New Roman" w:hAnsi="Times New Roman" w:eastAsia="宋体" w:cs="Times New Roman"/>
                      <w:color w:val="00B050"/>
                      <w:sz w:val="21"/>
                      <w:szCs w:val="21"/>
                      <w:highlight w:val="none"/>
                      <w:u w:val="single"/>
                      <w:lang w:val="en-US" w:eastAsia="zh-CN"/>
                    </w:rPr>
                    <w:t>水循环使用</w:t>
                  </w:r>
                  <w:r>
                    <w:rPr>
                      <w:rFonts w:hint="eastAsia" w:eastAsia="宋体" w:cs="Times New Roman"/>
                      <w:color w:val="00B050"/>
                      <w:sz w:val="21"/>
                      <w:szCs w:val="21"/>
                      <w:highlight w:val="none"/>
                      <w:u w:val="single"/>
                      <w:lang w:val="en-US" w:eastAsia="zh-CN"/>
                    </w:rPr>
                    <w:t>率为90%</w:t>
                  </w:r>
                  <w:r>
                    <w:rPr>
                      <w:rFonts w:hint="default" w:ascii="Times New Roman" w:hAnsi="Times New Roman" w:eastAsia="宋体" w:cs="Times New Roman"/>
                      <w:color w:val="00B050"/>
                      <w:sz w:val="21"/>
                      <w:szCs w:val="21"/>
                      <w:highlight w:val="none"/>
                      <w:u w:val="single"/>
                      <w:lang w:val="en-US" w:eastAsia="zh-CN"/>
                    </w:rPr>
                    <w:t>。</w:t>
                  </w:r>
                </w:p>
              </w:tc>
              <w:tc>
                <w:tcPr>
                  <w:tcW w:w="446" w:type="pct"/>
                  <w:tcBorders>
                    <w:tl2br w:val="nil"/>
                    <w:tr2bl w:val="nil"/>
                  </w:tcBorders>
                  <w:noWrap w:val="0"/>
                  <w:vAlign w:val="center"/>
                </w:tcPr>
                <w:p w14:paraId="5AB47F02">
                  <w:pPr>
                    <w:pStyle w:val="73"/>
                    <w:keepNext w:val="0"/>
                    <w:keepLines w:val="0"/>
                    <w:pageBreakBefore w:val="0"/>
                    <w:widowControl/>
                    <w:kinsoku/>
                    <w:wordWrap/>
                    <w:overflowPunct/>
                    <w:topLinePunct w:val="0"/>
                    <w:autoSpaceDE w:val="0"/>
                    <w:autoSpaceDN w:val="0"/>
                    <w:bidi w:val="0"/>
                    <w:snapToGrid/>
                    <w:spacing w:line="240" w:lineRule="auto"/>
                    <w:ind w:left="0" w:leftChars="0" w:firstLine="0" w:firstLineChars="0"/>
                    <w:rPr>
                      <w:rFonts w:hint="default" w:ascii="Times New Roman" w:hAnsi="Times New Roman" w:eastAsia="宋体" w:cs="Times New Roman"/>
                      <w:color w:val="00B050"/>
                      <w:sz w:val="21"/>
                      <w:szCs w:val="21"/>
                      <w:highlight w:val="none"/>
                      <w:u w:val="single"/>
                      <w:lang w:val="en-US" w:eastAsia="zh-CN"/>
                    </w:rPr>
                  </w:pPr>
                  <w:r>
                    <w:rPr>
                      <w:rFonts w:hint="default" w:ascii="Times New Roman" w:hAnsi="Times New Roman" w:eastAsia="宋体" w:cs="Times New Roman"/>
                      <w:color w:val="00B050"/>
                      <w:sz w:val="21"/>
                      <w:szCs w:val="21"/>
                      <w:highlight w:val="none"/>
                      <w:u w:val="single"/>
                      <w:lang w:val="en-US" w:eastAsia="zh-CN"/>
                    </w:rPr>
                    <w:t>符合</w:t>
                  </w:r>
                </w:p>
                <w:p w14:paraId="46E31828">
                  <w:pPr>
                    <w:pStyle w:val="73"/>
                    <w:keepNext w:val="0"/>
                    <w:keepLines w:val="0"/>
                    <w:pageBreakBefore w:val="0"/>
                    <w:widowControl/>
                    <w:kinsoku/>
                    <w:wordWrap/>
                    <w:overflowPunct/>
                    <w:topLinePunct w:val="0"/>
                    <w:autoSpaceDE w:val="0"/>
                    <w:autoSpaceDN w:val="0"/>
                    <w:bidi w:val="0"/>
                    <w:snapToGrid/>
                    <w:spacing w:line="240" w:lineRule="auto"/>
                    <w:ind w:firstLine="420" w:firstLineChars="200"/>
                    <w:rPr>
                      <w:rFonts w:hint="default" w:ascii="Times New Roman" w:hAnsi="Times New Roman" w:eastAsia="宋体" w:cs="Times New Roman"/>
                      <w:color w:val="00B050"/>
                      <w:sz w:val="21"/>
                      <w:szCs w:val="21"/>
                      <w:highlight w:val="none"/>
                      <w:u w:val="single"/>
                      <w:lang w:val="en-US" w:eastAsia="zh-CN"/>
                    </w:rPr>
                  </w:pPr>
                </w:p>
              </w:tc>
            </w:tr>
            <w:tr w14:paraId="715063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78" w:hRule="atLeast"/>
                <w:jc w:val="center"/>
              </w:trPr>
              <w:tc>
                <w:tcPr>
                  <w:tcW w:w="3756" w:type="pct"/>
                  <w:tcBorders>
                    <w:tl2br w:val="nil"/>
                    <w:tr2bl w:val="nil"/>
                  </w:tcBorders>
                  <w:noWrap w:val="0"/>
                  <w:vAlign w:val="center"/>
                </w:tcPr>
                <w:p w14:paraId="3881DCBD">
                  <w:pPr>
                    <w:pStyle w:val="73"/>
                    <w:keepNext w:val="0"/>
                    <w:keepLines w:val="0"/>
                    <w:pageBreakBefore w:val="0"/>
                    <w:widowControl/>
                    <w:kinsoku/>
                    <w:wordWrap/>
                    <w:overflowPunct/>
                    <w:topLinePunct w:val="0"/>
                    <w:autoSpaceDE w:val="0"/>
                    <w:autoSpaceDN w:val="0"/>
                    <w:bidi w:val="0"/>
                    <w:snapToGrid/>
                    <w:spacing w:line="240" w:lineRule="auto"/>
                    <w:ind w:firstLine="420" w:firstLineChars="200"/>
                    <w:rPr>
                      <w:rFonts w:hint="default" w:ascii="Times New Roman" w:hAnsi="Times New Roman" w:eastAsia="宋体" w:cs="Times New Roman"/>
                      <w:color w:val="00B050"/>
                      <w:sz w:val="21"/>
                      <w:szCs w:val="21"/>
                      <w:highlight w:val="none"/>
                      <w:u w:val="single"/>
                      <w:lang w:val="en-US" w:eastAsia="zh-CN"/>
                    </w:rPr>
                  </w:pPr>
                  <w:r>
                    <w:rPr>
                      <w:rFonts w:hint="default" w:ascii="Times New Roman" w:hAnsi="Times New Roman" w:eastAsia="宋体" w:cs="Times New Roman"/>
                      <w:color w:val="00B050"/>
                      <w:sz w:val="21"/>
                      <w:szCs w:val="21"/>
                      <w:highlight w:val="none"/>
                      <w:u w:val="single"/>
                      <w:lang w:val="en-US" w:eastAsia="zh-CN"/>
                    </w:rPr>
                    <w:t>强化环境风险防范管理。建立重点风险源清单，全面建立风险防范体系，定期开展环境应急演练和环境风险评估。完善危险废物全过程智能监管平台，推动实现危险废物产生、收集、贮存、转移、利用处置全过程监控和信息化追溯，提升危险废物信息化、智能化监管水平。</w:t>
                  </w:r>
                </w:p>
              </w:tc>
              <w:tc>
                <w:tcPr>
                  <w:tcW w:w="796" w:type="pct"/>
                  <w:tcBorders>
                    <w:tl2br w:val="nil"/>
                    <w:tr2bl w:val="nil"/>
                  </w:tcBorders>
                  <w:noWrap w:val="0"/>
                  <w:vAlign w:val="center"/>
                </w:tcPr>
                <w:p w14:paraId="4420EAF9">
                  <w:pPr>
                    <w:pStyle w:val="73"/>
                    <w:keepNext w:val="0"/>
                    <w:keepLines w:val="0"/>
                    <w:pageBreakBefore w:val="0"/>
                    <w:widowControl/>
                    <w:kinsoku/>
                    <w:wordWrap/>
                    <w:overflowPunct/>
                    <w:topLinePunct w:val="0"/>
                    <w:autoSpaceDE w:val="0"/>
                    <w:autoSpaceDN w:val="0"/>
                    <w:bidi w:val="0"/>
                    <w:snapToGrid/>
                    <w:spacing w:line="240" w:lineRule="auto"/>
                    <w:ind w:firstLine="420" w:firstLineChars="200"/>
                    <w:rPr>
                      <w:rFonts w:hint="default" w:ascii="Times New Roman" w:hAnsi="Times New Roman" w:eastAsia="宋体" w:cs="Times New Roman"/>
                      <w:color w:val="00B050"/>
                      <w:sz w:val="21"/>
                      <w:szCs w:val="21"/>
                      <w:highlight w:val="none"/>
                      <w:u w:val="single"/>
                      <w:lang w:val="en-US" w:eastAsia="zh-CN"/>
                    </w:rPr>
                  </w:pPr>
                  <w:r>
                    <w:rPr>
                      <w:rFonts w:hint="default" w:ascii="Times New Roman" w:hAnsi="Times New Roman" w:eastAsia="宋体" w:cs="Times New Roman"/>
                      <w:color w:val="00B050"/>
                      <w:sz w:val="21"/>
                      <w:szCs w:val="21"/>
                      <w:highlight w:val="none"/>
                      <w:u w:val="single"/>
                      <w:lang w:val="en-US" w:eastAsia="zh-CN"/>
                    </w:rPr>
                    <w:t>环境风险防范管理。</w:t>
                  </w:r>
                  <w:r>
                    <w:rPr>
                      <w:rFonts w:hint="eastAsia" w:ascii="Times New Roman" w:hAnsi="Times New Roman" w:eastAsia="宋体" w:cs="Times New Roman"/>
                      <w:color w:val="00B050"/>
                      <w:sz w:val="21"/>
                      <w:szCs w:val="21"/>
                      <w:highlight w:val="none"/>
                      <w:u w:val="single"/>
                      <w:lang w:val="en-US" w:eastAsia="zh-CN"/>
                    </w:rPr>
                    <w:t>企业编制环境风险应急预案。</w:t>
                  </w:r>
                </w:p>
              </w:tc>
              <w:tc>
                <w:tcPr>
                  <w:tcW w:w="446" w:type="pct"/>
                  <w:tcBorders>
                    <w:tl2br w:val="nil"/>
                    <w:tr2bl w:val="nil"/>
                  </w:tcBorders>
                  <w:noWrap w:val="0"/>
                  <w:vAlign w:val="center"/>
                </w:tcPr>
                <w:p w14:paraId="290CAF80">
                  <w:pPr>
                    <w:pStyle w:val="73"/>
                    <w:keepNext w:val="0"/>
                    <w:keepLines w:val="0"/>
                    <w:pageBreakBefore w:val="0"/>
                    <w:widowControl/>
                    <w:kinsoku/>
                    <w:wordWrap/>
                    <w:overflowPunct/>
                    <w:topLinePunct w:val="0"/>
                    <w:autoSpaceDE w:val="0"/>
                    <w:autoSpaceDN w:val="0"/>
                    <w:bidi w:val="0"/>
                    <w:snapToGrid/>
                    <w:spacing w:line="240" w:lineRule="auto"/>
                    <w:ind w:left="0" w:leftChars="0" w:firstLine="0" w:firstLineChars="0"/>
                    <w:rPr>
                      <w:rFonts w:hint="default" w:ascii="Times New Roman" w:hAnsi="Times New Roman" w:eastAsia="宋体" w:cs="Times New Roman"/>
                      <w:color w:val="00B050"/>
                      <w:sz w:val="21"/>
                      <w:szCs w:val="21"/>
                      <w:highlight w:val="none"/>
                      <w:u w:val="single"/>
                      <w:lang w:val="en-US" w:eastAsia="zh-CN"/>
                    </w:rPr>
                  </w:pPr>
                  <w:r>
                    <w:rPr>
                      <w:rFonts w:hint="default" w:ascii="Times New Roman" w:hAnsi="Times New Roman" w:eastAsia="宋体" w:cs="Times New Roman"/>
                      <w:color w:val="00B050"/>
                      <w:sz w:val="21"/>
                      <w:szCs w:val="21"/>
                      <w:highlight w:val="none"/>
                      <w:u w:val="single"/>
                      <w:lang w:val="en-US" w:eastAsia="zh-CN"/>
                    </w:rPr>
                    <w:t>符合</w:t>
                  </w:r>
                </w:p>
                <w:p w14:paraId="42612538">
                  <w:pPr>
                    <w:pStyle w:val="73"/>
                    <w:keepNext w:val="0"/>
                    <w:keepLines w:val="0"/>
                    <w:pageBreakBefore w:val="0"/>
                    <w:widowControl/>
                    <w:kinsoku/>
                    <w:wordWrap/>
                    <w:overflowPunct/>
                    <w:topLinePunct w:val="0"/>
                    <w:autoSpaceDE w:val="0"/>
                    <w:autoSpaceDN w:val="0"/>
                    <w:bidi w:val="0"/>
                    <w:snapToGrid/>
                    <w:spacing w:line="240" w:lineRule="auto"/>
                    <w:ind w:firstLine="420" w:firstLineChars="200"/>
                    <w:rPr>
                      <w:rFonts w:hint="default" w:ascii="Times New Roman" w:hAnsi="Times New Roman" w:eastAsia="宋体" w:cs="Times New Roman"/>
                      <w:color w:val="00B050"/>
                      <w:sz w:val="21"/>
                      <w:szCs w:val="21"/>
                      <w:highlight w:val="none"/>
                      <w:u w:val="single"/>
                      <w:lang w:val="en-US" w:eastAsia="zh-CN"/>
                    </w:rPr>
                  </w:pPr>
                </w:p>
              </w:tc>
            </w:tr>
          </w:tbl>
          <w:p w14:paraId="06C0995B">
            <w:pPr>
              <w:spacing w:line="360" w:lineRule="auto"/>
              <w:outlineLvl w:val="0"/>
              <w:rPr>
                <w:rFonts w:eastAsia="黑体"/>
                <w:sz w:val="30"/>
                <w:vertAlign w:val="baseline"/>
              </w:rPr>
            </w:pPr>
          </w:p>
          <w:p w14:paraId="2559FE48">
            <w:pPr>
              <w:spacing w:line="360" w:lineRule="auto"/>
              <w:outlineLvl w:val="0"/>
              <w:rPr>
                <w:rFonts w:eastAsia="黑体"/>
                <w:sz w:val="30"/>
                <w:vertAlign w:val="baseline"/>
              </w:rPr>
            </w:pPr>
          </w:p>
          <w:p w14:paraId="678458CC">
            <w:pPr>
              <w:spacing w:line="360" w:lineRule="auto"/>
              <w:outlineLvl w:val="0"/>
              <w:rPr>
                <w:rFonts w:eastAsia="黑体"/>
                <w:sz w:val="30"/>
                <w:vertAlign w:val="baseline"/>
              </w:rPr>
            </w:pPr>
          </w:p>
          <w:p w14:paraId="5D1692A6">
            <w:pPr>
              <w:spacing w:line="360" w:lineRule="auto"/>
              <w:outlineLvl w:val="0"/>
              <w:rPr>
                <w:rFonts w:eastAsia="黑体"/>
                <w:sz w:val="30"/>
                <w:vertAlign w:val="baseline"/>
              </w:rPr>
            </w:pPr>
          </w:p>
        </w:tc>
      </w:tr>
    </w:tbl>
    <w:p w14:paraId="354D491D">
      <w:pPr>
        <w:spacing w:line="360" w:lineRule="auto"/>
        <w:outlineLvl w:val="0"/>
        <w:rPr>
          <w:rFonts w:eastAsia="黑体"/>
          <w:sz w:val="30"/>
        </w:rPr>
        <w:sectPr>
          <w:pgSz w:w="16838" w:h="11906" w:orient="landscape"/>
          <w:pgMar w:top="1531" w:right="1701" w:bottom="1531" w:left="1701" w:header="851" w:footer="1077" w:gutter="0"/>
          <w:pgBorders>
            <w:top w:val="none" w:sz="0" w:space="0"/>
            <w:left w:val="none" w:sz="0" w:space="0"/>
            <w:bottom w:val="none" w:sz="0" w:space="0"/>
            <w:right w:val="none" w:sz="0" w:space="0"/>
          </w:pgBorders>
          <w:pgNumType w:fmt="decimal" w:start="1"/>
          <w:cols w:space="720" w:num="1"/>
          <w:docGrid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8325"/>
      </w:tblGrid>
      <w:tr w14:paraId="1158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764B7E56">
            <w:pPr>
              <w:spacing w:line="360" w:lineRule="auto"/>
              <w:outlineLvl w:val="0"/>
              <w:rPr>
                <w:rFonts w:eastAsia="黑体"/>
                <w:sz w:val="30"/>
                <w:vertAlign w:val="baseline"/>
              </w:rPr>
            </w:pPr>
          </w:p>
        </w:tc>
        <w:tc>
          <w:tcPr>
            <w:tcW w:w="8325" w:type="dxa"/>
            <w:noWrap w:val="0"/>
            <w:vAlign w:val="top"/>
          </w:tcPr>
          <w:p w14:paraId="346285F5">
            <w:pPr>
              <w:pStyle w:val="52"/>
              <w:numPr>
                <w:ilvl w:val="0"/>
                <w:numId w:val="3"/>
              </w:numPr>
              <w:spacing w:before="31" w:line="378" w:lineRule="auto"/>
              <w:ind w:right="213"/>
              <w:rPr>
                <w:rFonts w:hint="eastAsia" w:ascii="宋体" w:hAnsi="宋体" w:eastAsia="宋体" w:cs="宋体"/>
                <w:b/>
                <w:bCs/>
                <w:spacing w:val="6"/>
                <w:sz w:val="24"/>
                <w:szCs w:val="24"/>
              </w:rPr>
            </w:pPr>
            <w:r>
              <w:rPr>
                <w:rFonts w:hint="eastAsia" w:ascii="宋体" w:hAnsi="宋体" w:eastAsia="宋体" w:cs="宋体"/>
                <w:b/>
                <w:bCs/>
                <w:spacing w:val="9"/>
                <w:sz w:val="24"/>
                <w:szCs w:val="24"/>
              </w:rPr>
              <w:t>与《石墨行业规范条件》（中华人民共</w:t>
            </w:r>
            <w:r>
              <w:rPr>
                <w:rFonts w:hint="eastAsia" w:ascii="宋体" w:hAnsi="宋体" w:eastAsia="宋体" w:cs="宋体"/>
                <w:b/>
                <w:bCs/>
                <w:spacing w:val="8"/>
                <w:sz w:val="24"/>
                <w:szCs w:val="24"/>
              </w:rPr>
              <w:t>和国工业和信息化部公告</w:t>
            </w:r>
            <w:r>
              <w:rPr>
                <w:rFonts w:hint="eastAsia" w:ascii="宋体" w:hAnsi="宋体" w:eastAsia="宋体" w:cs="宋体"/>
                <w:b/>
                <w:bCs/>
                <w:sz w:val="24"/>
                <w:szCs w:val="24"/>
              </w:rPr>
              <w:t xml:space="preserve"> </w:t>
            </w:r>
            <w:r>
              <w:rPr>
                <w:rFonts w:hint="eastAsia" w:ascii="宋体" w:hAnsi="宋体" w:eastAsia="宋体" w:cs="宋体"/>
                <w:b/>
                <w:bCs/>
                <w:spacing w:val="6"/>
                <w:sz w:val="24"/>
                <w:szCs w:val="24"/>
              </w:rPr>
              <w:t>2020 年第</w:t>
            </w:r>
            <w:r>
              <w:rPr>
                <w:rFonts w:hint="eastAsia" w:ascii="宋体" w:hAnsi="宋体" w:eastAsia="宋体" w:cs="宋体"/>
                <w:b/>
                <w:bCs/>
                <w:spacing w:val="-32"/>
                <w:sz w:val="24"/>
                <w:szCs w:val="24"/>
              </w:rPr>
              <w:t xml:space="preserve"> </w:t>
            </w:r>
            <w:r>
              <w:rPr>
                <w:rFonts w:hint="eastAsia" w:ascii="宋体" w:hAnsi="宋体" w:eastAsia="宋体" w:cs="宋体"/>
                <w:b/>
                <w:bCs/>
                <w:spacing w:val="6"/>
                <w:sz w:val="24"/>
                <w:szCs w:val="24"/>
              </w:rPr>
              <w:t>29 号）相符性分析</w:t>
            </w:r>
          </w:p>
          <w:p w14:paraId="447D4592">
            <w:pPr>
              <w:pStyle w:val="52"/>
              <w:numPr>
                <w:ilvl w:val="0"/>
                <w:numId w:val="0"/>
              </w:numPr>
              <w:spacing w:before="31" w:line="378" w:lineRule="auto"/>
              <w:ind w:right="-71" w:rightChars="0" w:firstLine="520" w:firstLineChars="200"/>
              <w:rPr>
                <w:rFonts w:hint="eastAsia" w:ascii="宋体" w:hAnsi="宋体" w:eastAsia="宋体" w:cs="宋体"/>
                <w:sz w:val="24"/>
                <w:szCs w:val="24"/>
              </w:rPr>
            </w:pPr>
            <w:r>
              <w:rPr>
                <w:rFonts w:hint="eastAsia" w:ascii="宋体" w:hAnsi="宋体" w:eastAsia="宋体" w:cs="宋体"/>
                <w:spacing w:val="10"/>
                <w:sz w:val="24"/>
                <w:szCs w:val="24"/>
              </w:rPr>
              <w:t>根据《石墨行业规范条件》要求，新建和扩建石墨项</w:t>
            </w:r>
            <w:r>
              <w:rPr>
                <w:rFonts w:hint="eastAsia" w:ascii="宋体" w:hAnsi="宋体" w:eastAsia="宋体" w:cs="宋体"/>
                <w:spacing w:val="9"/>
                <w:sz w:val="24"/>
                <w:szCs w:val="24"/>
              </w:rPr>
              <w:t>目应在自然和文</w:t>
            </w:r>
            <w:r>
              <w:rPr>
                <w:rFonts w:hint="eastAsia" w:ascii="宋体" w:hAnsi="宋体" w:eastAsia="宋体" w:cs="宋体"/>
                <w:spacing w:val="10"/>
                <w:sz w:val="24"/>
                <w:szCs w:val="24"/>
              </w:rPr>
              <w:t>化遗产保护区、风景名胜区、生态功能保护区、饮用水</w:t>
            </w:r>
            <w:r>
              <w:rPr>
                <w:rFonts w:hint="eastAsia" w:ascii="宋体" w:hAnsi="宋体" w:eastAsia="宋体" w:cs="宋体"/>
                <w:spacing w:val="9"/>
                <w:sz w:val="24"/>
                <w:szCs w:val="24"/>
              </w:rPr>
              <w:t>源保护区以及国家</w:t>
            </w:r>
            <w:r>
              <w:rPr>
                <w:rFonts w:hint="eastAsia" w:ascii="宋体" w:hAnsi="宋体" w:eastAsia="宋体" w:cs="宋体"/>
                <w:spacing w:val="10"/>
                <w:sz w:val="24"/>
                <w:szCs w:val="24"/>
              </w:rPr>
              <w:t>和地方规定的环境保护、安全防护距离以外，应根据环</w:t>
            </w:r>
            <w:r>
              <w:rPr>
                <w:rFonts w:hint="eastAsia" w:ascii="宋体" w:hAnsi="宋体" w:eastAsia="宋体" w:cs="宋体"/>
                <w:spacing w:val="9"/>
                <w:sz w:val="24"/>
                <w:szCs w:val="24"/>
              </w:rPr>
              <w:t>境影响评价结论确</w:t>
            </w:r>
            <w:r>
              <w:rPr>
                <w:rFonts w:hint="eastAsia" w:ascii="宋体" w:hAnsi="宋体" w:eastAsia="宋体" w:cs="宋体"/>
                <w:spacing w:val="10"/>
                <w:sz w:val="24"/>
                <w:szCs w:val="24"/>
              </w:rPr>
              <w:t>定厂址位置及其与人群和敏感区域的距离。可膨胀石墨</w:t>
            </w:r>
            <w:r>
              <w:rPr>
                <w:rFonts w:hint="eastAsia" w:ascii="宋体" w:hAnsi="宋体" w:eastAsia="宋体" w:cs="宋体"/>
                <w:spacing w:val="9"/>
                <w:sz w:val="24"/>
                <w:szCs w:val="24"/>
              </w:rPr>
              <w:t>项目，成品率不低</w:t>
            </w:r>
            <w:r>
              <w:rPr>
                <w:rFonts w:hint="eastAsia" w:ascii="宋体" w:hAnsi="宋体" w:eastAsia="宋体" w:cs="宋体"/>
                <w:spacing w:val="8"/>
                <w:sz w:val="24"/>
                <w:szCs w:val="24"/>
              </w:rPr>
              <w:t>于</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95%</w:t>
            </w:r>
            <w:r>
              <w:rPr>
                <w:rFonts w:hint="eastAsia" w:ascii="宋体" w:hAnsi="宋体" w:eastAsia="宋体" w:cs="宋体"/>
                <w:spacing w:val="-23"/>
                <w:sz w:val="24"/>
                <w:szCs w:val="24"/>
              </w:rPr>
              <w:t xml:space="preserve"> </w:t>
            </w:r>
            <w:r>
              <w:rPr>
                <w:rFonts w:hint="eastAsia" w:ascii="宋体" w:hAnsi="宋体" w:eastAsia="宋体" w:cs="宋体"/>
                <w:spacing w:val="8"/>
                <w:sz w:val="24"/>
                <w:szCs w:val="24"/>
              </w:rPr>
              <w:t>。企业应建立完善的质量管理体系，相关产品质量</w:t>
            </w:r>
            <w:r>
              <w:rPr>
                <w:rFonts w:hint="eastAsia" w:ascii="宋体" w:hAnsi="宋体" w:eastAsia="宋体" w:cs="宋体"/>
                <w:spacing w:val="7"/>
                <w:sz w:val="24"/>
                <w:szCs w:val="24"/>
              </w:rPr>
              <w:t>应符合《可膨胀</w:t>
            </w:r>
            <w:r>
              <w:rPr>
                <w:rFonts w:hint="eastAsia" w:ascii="宋体" w:hAnsi="宋体" w:eastAsia="宋体" w:cs="宋体"/>
                <w:spacing w:val="8"/>
                <w:sz w:val="24"/>
                <w:szCs w:val="24"/>
              </w:rPr>
              <w:t>石墨》（</w:t>
            </w:r>
            <w:r>
              <w:rPr>
                <w:rFonts w:hint="eastAsia" w:ascii="宋体" w:hAnsi="宋体" w:eastAsia="宋体" w:cs="宋体"/>
                <w:sz w:val="24"/>
                <w:szCs w:val="24"/>
              </w:rPr>
              <w:t>GB</w:t>
            </w:r>
            <w:r>
              <w:rPr>
                <w:rFonts w:hint="eastAsia" w:ascii="宋体" w:hAnsi="宋体" w:eastAsia="宋体" w:cs="宋体"/>
                <w:spacing w:val="8"/>
                <w:sz w:val="24"/>
                <w:szCs w:val="24"/>
              </w:rPr>
              <w:t>/T10698）。可膨胀石墨：不高于</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300千克</w:t>
            </w:r>
            <w:r>
              <w:rPr>
                <w:rFonts w:hint="eastAsia" w:ascii="宋体" w:hAnsi="宋体" w:eastAsia="宋体" w:cs="宋体"/>
                <w:spacing w:val="7"/>
                <w:sz w:val="24"/>
                <w:szCs w:val="24"/>
              </w:rPr>
              <w:t>标煤/吨。可膨胀石墨工艺水循环利用率不低于</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80%。</w:t>
            </w:r>
          </w:p>
          <w:p w14:paraId="0AEB9644">
            <w:pPr>
              <w:spacing w:line="360" w:lineRule="auto"/>
              <w:ind w:firstLine="504" w:firstLineChars="200"/>
              <w:outlineLvl w:val="0"/>
              <w:rPr>
                <w:rFonts w:hint="eastAsia" w:ascii="宋体" w:hAnsi="宋体" w:eastAsia="宋体" w:cs="宋体"/>
                <w:spacing w:val="6"/>
                <w:sz w:val="24"/>
                <w:szCs w:val="24"/>
              </w:rPr>
            </w:pPr>
            <w:r>
              <w:rPr>
                <w:rFonts w:hint="eastAsia" w:ascii="宋体" w:hAnsi="宋体" w:eastAsia="宋体" w:cs="宋体"/>
                <w:spacing w:val="6"/>
                <w:sz w:val="24"/>
                <w:szCs w:val="24"/>
              </w:rPr>
              <w:t>本项目采</w:t>
            </w:r>
            <w:r>
              <w:rPr>
                <w:rFonts w:hint="eastAsia" w:ascii="宋体" w:hAnsi="宋体" w:eastAsia="宋体" w:cs="宋体"/>
                <w:color w:val="auto"/>
                <w:spacing w:val="0"/>
                <w:sz w:val="24"/>
                <w:szCs w:val="24"/>
                <w:highlight w:val="none"/>
              </w:rPr>
              <w:t>用化学氧化法生产工艺，建设规模为</w:t>
            </w:r>
            <w:r>
              <w:rPr>
                <w:rFonts w:hint="eastAsia" w:ascii="宋体" w:hAnsi="宋体" w:eastAsia="宋体" w:cs="宋体"/>
                <w:color w:val="auto"/>
                <w:spacing w:val="0"/>
                <w:sz w:val="24"/>
                <w:szCs w:val="24"/>
                <w:highlight w:val="none"/>
                <w:lang w:val="en-US" w:eastAsia="zh-CN"/>
              </w:rPr>
              <w:t>5000</w:t>
            </w:r>
            <w:r>
              <w:rPr>
                <w:rFonts w:hint="eastAsia" w:ascii="宋体" w:hAnsi="宋体" w:eastAsia="宋体" w:cs="宋体"/>
                <w:color w:val="auto"/>
                <w:spacing w:val="0"/>
                <w:sz w:val="24"/>
                <w:szCs w:val="24"/>
                <w:highlight w:val="none"/>
              </w:rPr>
              <w:t>吨/年，成品率高于95% ，能耗指标为</w:t>
            </w:r>
            <w:r>
              <w:rPr>
                <w:rFonts w:hint="eastAsia" w:ascii="宋体" w:hAnsi="宋体" w:cs="宋体"/>
                <w:color w:val="auto"/>
                <w:spacing w:val="0"/>
                <w:sz w:val="24"/>
                <w:szCs w:val="24"/>
                <w:highlight w:val="none"/>
                <w:lang w:val="en-US" w:eastAsia="zh-CN"/>
              </w:rPr>
              <w:t>248.8</w:t>
            </w:r>
            <w:r>
              <w:rPr>
                <w:rFonts w:hint="eastAsia" w:ascii="宋体" w:hAnsi="宋体" w:eastAsia="宋体" w:cs="宋体"/>
                <w:color w:val="auto"/>
                <w:spacing w:val="0"/>
                <w:sz w:val="24"/>
                <w:szCs w:val="24"/>
                <w:highlight w:val="none"/>
              </w:rPr>
              <w:t xml:space="preserve">千克标煤/吨，工艺水循环利用率为 </w:t>
            </w:r>
            <w:r>
              <w:rPr>
                <w:rFonts w:hint="eastAsia" w:ascii="宋体" w:hAnsi="宋体" w:cs="宋体"/>
                <w:color w:val="auto"/>
                <w:spacing w:val="0"/>
                <w:sz w:val="24"/>
                <w:szCs w:val="24"/>
                <w:highlight w:val="none"/>
                <w:lang w:val="en-US" w:eastAsia="zh-CN"/>
              </w:rPr>
              <w:t>90</w:t>
            </w:r>
            <w:r>
              <w:rPr>
                <w:rFonts w:hint="eastAsia" w:ascii="宋体" w:hAnsi="宋体" w:eastAsia="宋体" w:cs="宋体"/>
                <w:color w:val="auto"/>
                <w:spacing w:val="0"/>
                <w:sz w:val="24"/>
                <w:szCs w:val="24"/>
                <w:highlight w:val="none"/>
              </w:rPr>
              <w:t>% 。最终产品满足《可膨胀石墨》（GB/T10698）要求，</w:t>
            </w:r>
            <w:r>
              <w:rPr>
                <w:rFonts w:hint="eastAsia" w:ascii="宋体" w:hAnsi="宋体" w:cs="宋体"/>
                <w:color w:val="auto"/>
                <w:spacing w:val="0"/>
                <w:sz w:val="24"/>
                <w:szCs w:val="24"/>
                <w:highlight w:val="none"/>
                <w:lang w:eastAsia="zh-CN"/>
              </w:rPr>
              <w:t>本次</w:t>
            </w:r>
            <w:r>
              <w:rPr>
                <w:rFonts w:hint="eastAsia" w:ascii="宋体" w:hAnsi="宋体" w:eastAsia="宋体" w:cs="宋体"/>
                <w:spacing w:val="6"/>
                <w:sz w:val="24"/>
                <w:szCs w:val="24"/>
              </w:rPr>
              <w:t>项目建设符合要求。</w:t>
            </w:r>
          </w:p>
          <w:p w14:paraId="296D1AA0">
            <w:pPr>
              <w:numPr>
                <w:ilvl w:val="0"/>
                <w:numId w:val="3"/>
              </w:numPr>
              <w:spacing w:line="360" w:lineRule="auto"/>
              <w:ind w:left="0" w:leftChars="0" w:firstLine="0" w:firstLineChars="0"/>
              <w:outlineLvl w:val="0"/>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val="en-US" w:eastAsia="zh-CN"/>
              </w:rPr>
              <w:t>《</w:t>
            </w:r>
            <w:r>
              <w:rPr>
                <w:rFonts w:hint="eastAsia" w:ascii="宋体" w:hAnsi="宋体" w:eastAsia="宋体" w:cs="宋体"/>
                <w:b/>
                <w:bCs/>
                <w:spacing w:val="6"/>
                <w:sz w:val="24"/>
                <w:szCs w:val="24"/>
              </w:rPr>
              <w:t>关于加强新建“两高”项目管理工作的通知</w:t>
            </w:r>
            <w:r>
              <w:rPr>
                <w:rFonts w:hint="eastAsia" w:ascii="宋体" w:hAnsi="宋体" w:eastAsia="宋体" w:cs="宋体"/>
                <w:b/>
                <w:bCs/>
                <w:spacing w:val="6"/>
                <w:sz w:val="24"/>
                <w:szCs w:val="24"/>
                <w:lang w:eastAsia="zh-CN"/>
              </w:rPr>
              <w:t>》吉发改环资联〔2024〕38号</w:t>
            </w:r>
          </w:p>
          <w:p w14:paraId="71D37C42">
            <w:pPr>
              <w:widowControl w:val="0"/>
              <w:numPr>
                <w:ilvl w:val="0"/>
                <w:numId w:val="0"/>
              </w:numPr>
              <w:spacing w:line="360" w:lineRule="auto"/>
              <w:ind w:firstLine="504" w:firstLineChars="200"/>
              <w:jc w:val="both"/>
              <w:outlineLvl w:val="0"/>
              <w:rPr>
                <w:rFonts w:hint="default" w:ascii="宋体" w:hAnsi="宋体" w:eastAsia="宋体" w:cs="宋体"/>
                <w:kern w:val="2"/>
                <w:sz w:val="24"/>
                <w:szCs w:val="24"/>
                <w:lang w:val="en-US" w:eastAsia="zh-CN" w:bidi="ar-SA"/>
              </w:rPr>
            </w:pPr>
            <w:r>
              <w:rPr>
                <w:rFonts w:hint="eastAsia" w:ascii="宋体" w:hAnsi="宋体" w:eastAsia="宋体" w:cs="宋体"/>
                <w:b w:val="0"/>
                <w:bCs w:val="0"/>
                <w:spacing w:val="6"/>
                <w:sz w:val="24"/>
                <w:szCs w:val="24"/>
                <w:lang w:val="en-US" w:eastAsia="zh-CN"/>
              </w:rPr>
              <w:t>《</w:t>
            </w:r>
            <w:r>
              <w:rPr>
                <w:rFonts w:hint="eastAsia" w:ascii="宋体" w:hAnsi="宋体" w:eastAsia="宋体" w:cs="宋体"/>
                <w:b w:val="0"/>
                <w:bCs w:val="0"/>
                <w:spacing w:val="6"/>
                <w:sz w:val="24"/>
                <w:szCs w:val="24"/>
              </w:rPr>
              <w:t>关于加强新建“两高”项目管理工作的通知</w:t>
            </w:r>
            <w:r>
              <w:rPr>
                <w:rFonts w:hint="eastAsia" w:ascii="宋体" w:hAnsi="宋体" w:eastAsia="宋体" w:cs="宋体"/>
                <w:b w:val="0"/>
                <w:bCs w:val="0"/>
                <w:spacing w:val="6"/>
                <w:sz w:val="24"/>
                <w:szCs w:val="24"/>
                <w:lang w:eastAsia="zh-CN"/>
              </w:rPr>
              <w:t>》</w:t>
            </w:r>
            <w:r>
              <w:rPr>
                <w:rFonts w:hint="eastAsia" w:ascii="宋体" w:hAnsi="宋体" w:eastAsia="宋体" w:cs="宋体"/>
                <w:b w:val="0"/>
                <w:bCs w:val="0"/>
                <w:spacing w:val="6"/>
                <w:sz w:val="24"/>
                <w:szCs w:val="24"/>
                <w:lang w:val="en-US" w:eastAsia="zh-CN"/>
              </w:rPr>
              <w:t>中明确“两高”项目范围，“</w:t>
            </w:r>
            <w:r>
              <w:rPr>
                <w:rFonts w:hint="eastAsia" w:ascii="宋体" w:hAnsi="宋体" w:eastAsia="宋体" w:cs="宋体"/>
                <w:kern w:val="2"/>
                <w:sz w:val="24"/>
                <w:szCs w:val="24"/>
                <w:lang w:val="en-US" w:eastAsia="zh-CN" w:bidi="ar-SA"/>
              </w:rPr>
              <w:t>统筹考虑能耗和污染物排放情况，确定石油、煤炭及其他燃料加工业等 6 个行业中 18 个子行业的新建（含改扩建，下同）固定资产投资项目，为“两高”项目（详见附件 1）”本项目为非金属矿物制品业，不在</w:t>
            </w:r>
            <w:r>
              <w:rPr>
                <w:rFonts w:hint="eastAsia" w:ascii="宋体" w:hAnsi="宋体" w:eastAsia="宋体" w:cs="宋体"/>
                <w:b w:val="0"/>
                <w:bCs w:val="0"/>
                <w:spacing w:val="6"/>
                <w:sz w:val="24"/>
                <w:szCs w:val="24"/>
                <w:lang w:val="en-US" w:eastAsia="zh-CN"/>
              </w:rPr>
              <w:t>“两高”范围内，具体如下：</w:t>
            </w:r>
          </w:p>
          <w:p w14:paraId="1A444ED0">
            <w:pPr>
              <w:widowControl w:val="0"/>
              <w:numPr>
                <w:ilvl w:val="0"/>
                <w:numId w:val="0"/>
              </w:numPr>
              <w:spacing w:line="360" w:lineRule="auto"/>
              <w:jc w:val="both"/>
              <w:outlineLvl w:val="0"/>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drawing>
                <wp:inline distT="0" distB="0" distL="114300" distR="114300">
                  <wp:extent cx="4743450" cy="711200"/>
                  <wp:effectExtent l="0" t="0" r="6350" b="0"/>
                  <wp:docPr id="56" name="图片 8" descr="175141490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8" descr="1751414904093"/>
                          <pic:cNvPicPr>
                            <a:picLocks noChangeAspect="1"/>
                          </pic:cNvPicPr>
                        </pic:nvPicPr>
                        <pic:blipFill>
                          <a:blip r:embed="rId11"/>
                          <a:stretch>
                            <a:fillRect/>
                          </a:stretch>
                        </pic:blipFill>
                        <pic:spPr>
                          <a:xfrm>
                            <a:off x="0" y="0"/>
                            <a:ext cx="4743450" cy="711200"/>
                          </a:xfrm>
                          <a:prstGeom prst="rect">
                            <a:avLst/>
                          </a:prstGeom>
                          <a:noFill/>
                          <a:ln>
                            <a:noFill/>
                          </a:ln>
                        </pic:spPr>
                      </pic:pic>
                    </a:graphicData>
                  </a:graphic>
                </wp:inline>
              </w:drawing>
            </w:r>
          </w:p>
          <w:p w14:paraId="6333BC6B">
            <w:pPr>
              <w:widowControl w:val="0"/>
              <w:numPr>
                <w:ilvl w:val="0"/>
                <w:numId w:val="0"/>
              </w:numPr>
              <w:spacing w:line="360" w:lineRule="auto"/>
              <w:jc w:val="both"/>
              <w:outlineLvl w:val="0"/>
              <w:rPr>
                <w:rFonts w:hint="eastAsia" w:ascii="宋体" w:hAnsi="宋体" w:eastAsia="宋体" w:cs="宋体"/>
                <w:b w:val="0"/>
                <w:bCs w:val="0"/>
                <w:spacing w:val="6"/>
                <w:sz w:val="24"/>
                <w:szCs w:val="24"/>
                <w:lang w:val="en-US" w:eastAsia="zh-CN"/>
              </w:rPr>
            </w:pPr>
            <w:r>
              <w:rPr>
                <w:rFonts w:hint="eastAsia" w:ascii="宋体" w:hAnsi="宋体" w:eastAsia="宋体" w:cs="宋体"/>
                <w:b/>
                <w:bCs/>
                <w:spacing w:val="6"/>
                <w:sz w:val="24"/>
                <w:szCs w:val="24"/>
                <w:lang w:val="en-US" w:eastAsia="zh-CN"/>
              </w:rPr>
              <w:t xml:space="preserve">  </w:t>
            </w:r>
            <w:r>
              <w:rPr>
                <w:rFonts w:hint="eastAsia" w:ascii="宋体" w:hAnsi="宋体" w:eastAsia="宋体" w:cs="宋体"/>
                <w:b w:val="0"/>
                <w:bCs w:val="0"/>
                <w:spacing w:val="6"/>
                <w:sz w:val="24"/>
                <w:szCs w:val="24"/>
                <w:lang w:val="en-US" w:eastAsia="zh-CN"/>
              </w:rPr>
              <w:t xml:space="preserve"> 本项目不属于“两高”项目。</w:t>
            </w:r>
          </w:p>
          <w:p w14:paraId="37FAA6E3">
            <w:pPr>
              <w:widowControl w:val="0"/>
              <w:numPr>
                <w:ilvl w:val="0"/>
                <w:numId w:val="3"/>
              </w:numPr>
              <w:spacing w:line="360" w:lineRule="auto"/>
              <w:ind w:left="0" w:leftChars="0" w:firstLine="0" w:firstLineChars="0"/>
              <w:jc w:val="both"/>
              <w:outlineLvl w:val="0"/>
              <w:rPr>
                <w:rFonts w:hint="eastAsia" w:ascii="宋体" w:hAnsi="宋体" w:cs="宋体"/>
                <w:b/>
                <w:bCs/>
                <w:spacing w:val="6"/>
                <w:sz w:val="24"/>
                <w:szCs w:val="24"/>
                <w:lang w:val="en-US" w:eastAsia="zh-CN"/>
              </w:rPr>
            </w:pPr>
            <w:r>
              <w:rPr>
                <w:rFonts w:hint="eastAsia" w:ascii="宋体" w:hAnsi="宋体" w:cs="宋体"/>
                <w:b/>
                <w:bCs/>
                <w:spacing w:val="6"/>
                <w:sz w:val="24"/>
                <w:szCs w:val="24"/>
                <w:lang w:val="en-US" w:eastAsia="zh-CN"/>
              </w:rPr>
              <w:t>与国务院关于印发《固体废物综合治理行动计划》的通知国发〔2025〕14号的相符性</w:t>
            </w:r>
          </w:p>
          <w:p w14:paraId="47BF4E31">
            <w:pPr>
              <w:widowControl w:val="0"/>
              <w:numPr>
                <w:ilvl w:val="0"/>
                <w:numId w:val="0"/>
              </w:numPr>
              <w:spacing w:line="360" w:lineRule="auto"/>
              <w:ind w:firstLine="516" w:firstLineChars="200"/>
              <w:jc w:val="both"/>
              <w:outlineLvl w:val="0"/>
              <w:rPr>
                <w:rFonts w:hint="eastAsia"/>
                <w:spacing w:val="9"/>
                <w:sz w:val="24"/>
                <w:szCs w:val="24"/>
                <w:lang w:val="en-US" w:eastAsia="zh-CN"/>
              </w:rPr>
            </w:pPr>
            <w:r>
              <w:rPr>
                <w:rFonts w:hint="eastAsia"/>
                <w:spacing w:val="9"/>
                <w:sz w:val="24"/>
                <w:szCs w:val="24"/>
                <w:lang w:val="en-US" w:eastAsia="zh-CN"/>
              </w:rPr>
              <w:t>“（四）加强工业固体废物规范化管理。完善工业固体废物管理台账制度，强化全链条跟踪管控。推行工业固体废物分类收集贮存，防范混堆混排。禁止向生活垃圾收集设施中投放工业固体废物。严格执行工业固体废物、危险废物跨省转移审批制度。规范各类企业危险废物收集管理。”</w:t>
            </w:r>
          </w:p>
          <w:p w14:paraId="1EE1AC48">
            <w:pPr>
              <w:widowControl w:val="0"/>
              <w:numPr>
                <w:ilvl w:val="0"/>
                <w:numId w:val="0"/>
              </w:numPr>
              <w:spacing w:line="360" w:lineRule="auto"/>
              <w:ind w:firstLine="516" w:firstLineChars="200"/>
              <w:jc w:val="both"/>
              <w:outlineLvl w:val="0"/>
              <w:rPr>
                <w:rFonts w:hint="eastAsia"/>
                <w:spacing w:val="8"/>
                <w:sz w:val="24"/>
                <w:szCs w:val="24"/>
                <w:lang w:val="en-US" w:eastAsia="zh-CN"/>
              </w:rPr>
            </w:pPr>
            <w:r>
              <w:rPr>
                <w:rFonts w:hint="eastAsia"/>
                <w:spacing w:val="9"/>
                <w:sz w:val="24"/>
                <w:szCs w:val="24"/>
                <w:lang w:val="en-US" w:eastAsia="zh-CN"/>
              </w:rPr>
              <w:t>本项目</w:t>
            </w:r>
            <w:r>
              <w:rPr>
                <w:spacing w:val="9"/>
                <w:sz w:val="24"/>
                <w:szCs w:val="24"/>
              </w:rPr>
              <w:t>筛分机筛上物为杂质回收做建筑材料；废包装物主要为石墨废包袋，收集后</w:t>
            </w:r>
            <w:r>
              <w:rPr>
                <w:rFonts w:hint="eastAsia"/>
                <w:spacing w:val="9"/>
                <w:sz w:val="24"/>
                <w:szCs w:val="24"/>
                <w:lang w:val="en-US" w:eastAsia="zh-CN"/>
              </w:rPr>
              <w:t>厂家回收</w:t>
            </w:r>
            <w:r>
              <w:rPr>
                <w:spacing w:val="9"/>
                <w:sz w:val="24"/>
                <w:szCs w:val="24"/>
              </w:rPr>
              <w:t>；污水</w:t>
            </w:r>
            <w:r>
              <w:rPr>
                <w:rFonts w:hint="eastAsia"/>
                <w:spacing w:val="9"/>
                <w:sz w:val="24"/>
                <w:szCs w:val="24"/>
                <w:lang w:val="en-US" w:eastAsia="zh-CN"/>
              </w:rPr>
              <w:t>处理</w:t>
            </w:r>
            <w:r>
              <w:rPr>
                <w:spacing w:val="9"/>
                <w:sz w:val="24"/>
                <w:szCs w:val="24"/>
              </w:rPr>
              <w:t>产生的污泥作为建筑材料外售；</w:t>
            </w:r>
            <w:r>
              <w:rPr>
                <w:rFonts w:hint="eastAsia"/>
                <w:spacing w:val="9"/>
                <w:sz w:val="24"/>
                <w:szCs w:val="24"/>
                <w:lang w:val="en-US" w:eastAsia="zh-CN"/>
              </w:rPr>
              <w:t>脱酸中和沉淀物</w:t>
            </w:r>
            <w:r>
              <w:rPr>
                <w:spacing w:val="9"/>
                <w:sz w:val="24"/>
                <w:szCs w:val="24"/>
              </w:rPr>
              <w:t>，作为建筑材料外售；</w:t>
            </w:r>
            <w:r>
              <w:rPr>
                <w:spacing w:val="8"/>
                <w:sz w:val="24"/>
                <w:szCs w:val="24"/>
              </w:rPr>
              <w:t>生活垃圾由环卫部门定期清运。</w:t>
            </w:r>
            <w:r>
              <w:rPr>
                <w:rFonts w:hint="eastAsia"/>
                <w:spacing w:val="8"/>
                <w:sz w:val="24"/>
                <w:szCs w:val="24"/>
                <w:lang w:val="en-US" w:eastAsia="zh-CN"/>
              </w:rPr>
              <w:t>与通知相符。</w:t>
            </w:r>
          </w:p>
          <w:p w14:paraId="1229D82B">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3FF40772">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02D7B446">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3AA24135">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1E5B0EDB">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2C79FDC4">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3E828304">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316A4211">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329570D4">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3924B813">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707F05C8">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701CD1EC">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40C7BAFF">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512C6208">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1022C0FE">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2A2BA0DF">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028D4B6D">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1DD02E58">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220EF5D8">
            <w:pPr>
              <w:widowControl w:val="0"/>
              <w:numPr>
                <w:ilvl w:val="0"/>
                <w:numId w:val="0"/>
              </w:numPr>
              <w:spacing w:line="360" w:lineRule="auto"/>
              <w:ind w:firstLine="512" w:firstLineChars="200"/>
              <w:jc w:val="both"/>
              <w:outlineLvl w:val="0"/>
              <w:rPr>
                <w:rFonts w:hint="eastAsia"/>
                <w:spacing w:val="8"/>
                <w:sz w:val="24"/>
                <w:szCs w:val="24"/>
                <w:lang w:val="en-US" w:eastAsia="zh-CN"/>
              </w:rPr>
            </w:pPr>
          </w:p>
          <w:p w14:paraId="17747DCF">
            <w:pPr>
              <w:widowControl w:val="0"/>
              <w:numPr>
                <w:ilvl w:val="0"/>
                <w:numId w:val="0"/>
              </w:numPr>
              <w:spacing w:line="360" w:lineRule="auto"/>
              <w:ind w:firstLine="512" w:firstLineChars="200"/>
              <w:jc w:val="both"/>
              <w:outlineLvl w:val="0"/>
              <w:rPr>
                <w:rFonts w:hint="default"/>
                <w:spacing w:val="8"/>
                <w:sz w:val="24"/>
                <w:szCs w:val="24"/>
                <w:lang w:val="en-US" w:eastAsia="zh-CN"/>
              </w:rPr>
            </w:pPr>
          </w:p>
          <w:p w14:paraId="09321BA2">
            <w:pPr>
              <w:widowControl w:val="0"/>
              <w:numPr>
                <w:ilvl w:val="0"/>
                <w:numId w:val="0"/>
              </w:numPr>
              <w:spacing w:line="360" w:lineRule="auto"/>
              <w:jc w:val="both"/>
              <w:outlineLvl w:val="0"/>
              <w:rPr>
                <w:rFonts w:hint="eastAsia" w:ascii="宋体" w:hAnsi="宋体" w:eastAsia="宋体" w:cs="宋体"/>
                <w:b w:val="0"/>
                <w:bCs w:val="0"/>
                <w:spacing w:val="6"/>
                <w:sz w:val="24"/>
                <w:szCs w:val="24"/>
                <w:lang w:val="en-US" w:eastAsia="zh-CN"/>
              </w:rPr>
            </w:pPr>
          </w:p>
          <w:p w14:paraId="5859185C">
            <w:pPr>
              <w:widowControl w:val="0"/>
              <w:numPr>
                <w:ilvl w:val="0"/>
                <w:numId w:val="0"/>
              </w:numPr>
              <w:spacing w:line="360" w:lineRule="auto"/>
              <w:jc w:val="both"/>
              <w:outlineLvl w:val="0"/>
              <w:rPr>
                <w:rFonts w:hint="eastAsia" w:ascii="宋体" w:hAnsi="宋体" w:eastAsia="宋体" w:cs="宋体"/>
                <w:b w:val="0"/>
                <w:bCs w:val="0"/>
                <w:spacing w:val="6"/>
                <w:sz w:val="24"/>
                <w:szCs w:val="24"/>
                <w:lang w:val="en-US" w:eastAsia="zh-CN"/>
              </w:rPr>
            </w:pPr>
          </w:p>
          <w:p w14:paraId="5C8571CD">
            <w:pPr>
              <w:widowControl w:val="0"/>
              <w:numPr>
                <w:ilvl w:val="0"/>
                <w:numId w:val="0"/>
              </w:numPr>
              <w:spacing w:line="360" w:lineRule="auto"/>
              <w:jc w:val="both"/>
              <w:outlineLvl w:val="0"/>
              <w:rPr>
                <w:rFonts w:hint="eastAsia" w:ascii="宋体" w:hAnsi="宋体" w:eastAsia="宋体" w:cs="宋体"/>
                <w:b w:val="0"/>
                <w:bCs w:val="0"/>
                <w:spacing w:val="6"/>
                <w:sz w:val="24"/>
                <w:szCs w:val="24"/>
                <w:lang w:val="en-US" w:eastAsia="zh-CN"/>
              </w:rPr>
            </w:pPr>
          </w:p>
          <w:p w14:paraId="75F287E5">
            <w:pPr>
              <w:widowControl w:val="0"/>
              <w:numPr>
                <w:ilvl w:val="0"/>
                <w:numId w:val="0"/>
              </w:numPr>
              <w:spacing w:line="360" w:lineRule="auto"/>
              <w:jc w:val="both"/>
              <w:outlineLvl w:val="0"/>
              <w:rPr>
                <w:rFonts w:hint="eastAsia" w:ascii="宋体" w:hAnsi="宋体" w:eastAsia="宋体" w:cs="宋体"/>
                <w:b w:val="0"/>
                <w:bCs w:val="0"/>
                <w:spacing w:val="6"/>
                <w:sz w:val="24"/>
                <w:szCs w:val="24"/>
                <w:lang w:val="en-US" w:eastAsia="zh-CN"/>
              </w:rPr>
            </w:pPr>
          </w:p>
          <w:p w14:paraId="5491EB1A">
            <w:pPr>
              <w:widowControl w:val="0"/>
              <w:numPr>
                <w:ilvl w:val="0"/>
                <w:numId w:val="0"/>
              </w:numPr>
              <w:spacing w:line="360" w:lineRule="auto"/>
              <w:jc w:val="both"/>
              <w:outlineLvl w:val="0"/>
              <w:rPr>
                <w:rFonts w:hint="default" w:ascii="宋体" w:hAnsi="宋体" w:eastAsia="宋体" w:cs="宋体"/>
                <w:b w:val="0"/>
                <w:bCs w:val="0"/>
                <w:spacing w:val="6"/>
                <w:sz w:val="24"/>
                <w:szCs w:val="24"/>
                <w:lang w:val="en-US" w:eastAsia="zh-CN"/>
              </w:rPr>
            </w:pPr>
          </w:p>
        </w:tc>
      </w:tr>
    </w:tbl>
    <w:p w14:paraId="3954DC83">
      <w:pPr>
        <w:spacing w:line="360" w:lineRule="auto"/>
        <w:outlineLvl w:val="0"/>
        <w:rPr>
          <w:rFonts w:eastAsia="黑体"/>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6"/>
          <w:cols w:space="720" w:num="1"/>
          <w:docGrid w:linePitch="312" w:charSpace="0"/>
        </w:sectPr>
      </w:pPr>
    </w:p>
    <w:p w14:paraId="73C634B2">
      <w:pPr>
        <w:pStyle w:val="18"/>
        <w:numPr>
          <w:ilvl w:val="0"/>
          <w:numId w:val="4"/>
        </w:numPr>
        <w:jc w:val="center"/>
        <w:outlineLvl w:val="0"/>
        <w:rPr>
          <w:rFonts w:hint="eastAsia" w:ascii="黑体" w:hAnsi="黑体" w:eastAsia="黑体"/>
          <w:snapToGrid w:val="0"/>
          <w:sz w:val="30"/>
          <w:szCs w:val="30"/>
        </w:rPr>
      </w:pPr>
      <w:r>
        <w:rPr>
          <w:rFonts w:hint="eastAsia" w:ascii="黑体" w:hAnsi="黑体" w:eastAsia="黑体"/>
          <w:snapToGrid w:val="0"/>
          <w:sz w:val="30"/>
          <w:szCs w:val="30"/>
        </w:rPr>
        <w:t>建设项目工程分析</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5"/>
        <w:gridCol w:w="752"/>
        <w:gridCol w:w="7943"/>
      </w:tblGrid>
      <w:tr w14:paraId="4F684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365" w:type="dxa"/>
            <w:noWrap w:val="0"/>
            <w:vAlign w:val="center"/>
          </w:tcPr>
          <w:p w14:paraId="3AC4105E">
            <w:pPr>
              <w:pStyle w:val="18"/>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建设内容</w:t>
            </w:r>
          </w:p>
        </w:tc>
        <w:tc>
          <w:tcPr>
            <w:tcW w:w="8695" w:type="dxa"/>
            <w:gridSpan w:val="2"/>
            <w:noWrap w:val="0"/>
            <w:vAlign w:val="top"/>
          </w:tcPr>
          <w:p w14:paraId="7C94D4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bCs/>
                <w:color w:val="000000" w:themeColor="text1"/>
                <w:sz w:val="24"/>
                <w:szCs w:val="24"/>
                <w:lang w:val="en-US"/>
                <w14:textFill>
                  <w14:solidFill>
                    <w14:schemeClr w14:val="tx1"/>
                  </w14:solidFill>
                </w14:textFill>
              </w:rPr>
            </w:pPr>
            <w:r>
              <w:rPr>
                <w:rFonts w:hint="eastAsia" w:eastAsia="宋体"/>
                <w:b/>
                <w:bCs/>
                <w:color w:val="000000" w:themeColor="text1"/>
                <w:sz w:val="24"/>
                <w:szCs w:val="24"/>
                <w:lang w:val="en-US" w:eastAsia="zh-CN"/>
                <w14:textFill>
                  <w14:solidFill>
                    <w14:schemeClr w14:val="tx1"/>
                  </w14:solidFill>
                </w14:textFill>
              </w:rPr>
              <w:t>1、建设地点及四邻情况</w:t>
            </w:r>
          </w:p>
          <w:p w14:paraId="6B50B66F">
            <w:pPr>
              <w:keepNext w:val="0"/>
              <w:keepLines w:val="0"/>
              <w:pageBreakBefore w:val="0"/>
              <w:widowControl w:val="0"/>
              <w:kinsoku/>
              <w:wordWrap/>
              <w:overflowPunct/>
              <w:topLinePunct w:val="0"/>
              <w:autoSpaceDE/>
              <w:autoSpaceDN/>
              <w:bidi w:val="0"/>
              <w:adjustRightInd w:val="0"/>
              <w:snapToGrid w:val="0"/>
              <w:spacing w:line="360" w:lineRule="auto"/>
              <w:ind w:firstLine="484" w:firstLine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本项目位于吉林四平经济开发区</w:t>
            </w:r>
            <w:r>
              <w:rPr>
                <w:rFonts w:hint="eastAsia" w:ascii="宋体" w:hAnsi="宋体" w:eastAsia="宋体" w:cs="宋体"/>
                <w:color w:val="000000" w:themeColor="text1"/>
                <w:sz w:val="24"/>
                <w:szCs w:val="24"/>
                <w:lang w:val="en-US" w:eastAsia="zh-CN"/>
                <w14:textFill>
                  <w14:solidFill>
                    <w14:schemeClr w14:val="tx1"/>
                  </w14:solidFill>
                </w14:textFill>
              </w:rPr>
              <w:t>南宁路7977号，其南侧为宏远气体，东侧为闲置的水泥预制件厂，再向东为吉林省九洲能源集团股份有限公司（现已闲置）；西侧为</w:t>
            </w:r>
            <w:r>
              <w:rPr>
                <w:rFonts w:hint="eastAsia" w:ascii="宋体" w:hAnsi="宋体" w:cs="宋体"/>
                <w:color w:val="000000" w:themeColor="text1"/>
                <w:sz w:val="24"/>
                <w:szCs w:val="24"/>
                <w:lang w:val="en-US" w:eastAsia="zh-CN"/>
                <w14:textFill>
                  <w14:solidFill>
                    <w14:schemeClr w14:val="tx1"/>
                  </w14:solidFill>
                </w14:textFill>
              </w:rPr>
              <w:t>闲置厂房</w:t>
            </w:r>
            <w:r>
              <w:rPr>
                <w:rFonts w:hint="eastAsia" w:ascii="宋体" w:hAnsi="宋体" w:eastAsia="宋体" w:cs="宋体"/>
                <w:color w:val="000000" w:themeColor="text1"/>
                <w:sz w:val="24"/>
                <w:szCs w:val="24"/>
                <w:lang w:val="en-US" w:eastAsia="zh-CN"/>
                <w14:textFill>
                  <w14:solidFill>
                    <w14:schemeClr w14:val="tx1"/>
                  </w14:solidFill>
                </w14:textFill>
              </w:rPr>
              <w:t>；北侧为空地；东北侧为四平市专用汽车产业园</w:t>
            </w:r>
            <w:r>
              <w:rPr>
                <w:rFonts w:hint="eastAsia" w:ascii="宋体" w:hAnsi="宋体" w:eastAsia="宋体" w:cs="宋体"/>
                <w:color w:val="00B050"/>
                <w:sz w:val="24"/>
                <w:szCs w:val="24"/>
                <w:lang w:val="en-US" w:eastAsia="zh-CN"/>
              </w:rPr>
              <w:t>；</w:t>
            </w:r>
            <w:r>
              <w:rPr>
                <w:rFonts w:hint="eastAsia" w:ascii="宋体" w:hAnsi="宋体" w:eastAsia="宋体" w:cs="宋体"/>
                <w:color w:val="00B050"/>
                <w:sz w:val="24"/>
                <w:szCs w:val="24"/>
                <w:u w:val="single"/>
                <w:lang w:val="en-US" w:eastAsia="zh-CN"/>
              </w:rPr>
              <w:t>西北侧的小老爷庙居</w:t>
            </w:r>
            <w:r>
              <w:rPr>
                <w:rFonts w:hint="eastAsia" w:ascii="宋体" w:hAnsi="宋体" w:cs="宋体"/>
                <w:color w:val="00B050"/>
                <w:sz w:val="24"/>
                <w:szCs w:val="24"/>
                <w:u w:val="single"/>
                <w:lang w:val="en-US" w:eastAsia="zh-CN"/>
              </w:rPr>
              <w:t>民区</w:t>
            </w:r>
            <w:r>
              <w:rPr>
                <w:rFonts w:hint="eastAsia" w:ascii="宋体" w:hAnsi="宋体" w:eastAsia="宋体" w:cs="宋体"/>
                <w:color w:val="00B050"/>
                <w:sz w:val="24"/>
                <w:szCs w:val="24"/>
                <w:u w:val="single"/>
                <w:lang w:val="en-US" w:eastAsia="zh-CN"/>
              </w:rPr>
              <w:t>，距离本项目</w:t>
            </w:r>
            <w:r>
              <w:rPr>
                <w:rFonts w:hint="eastAsia" w:ascii="宋体" w:hAnsi="宋体" w:cs="宋体"/>
                <w:color w:val="00B050"/>
                <w:sz w:val="24"/>
                <w:szCs w:val="24"/>
                <w:u w:val="single"/>
                <w:lang w:val="en-US" w:eastAsia="zh-CN"/>
              </w:rPr>
              <w:t>317</w:t>
            </w:r>
            <w:r>
              <w:rPr>
                <w:rFonts w:hint="eastAsia" w:ascii="宋体" w:hAnsi="宋体" w:eastAsia="宋体" w:cs="宋体"/>
                <w:color w:val="00B050"/>
                <w:sz w:val="24"/>
                <w:szCs w:val="24"/>
                <w:u w:val="single"/>
                <w:lang w:val="en-US" w:eastAsia="zh-CN"/>
              </w:rPr>
              <w:t>m；东南侧的塔山村居民，距离本项目</w:t>
            </w:r>
            <w:r>
              <w:rPr>
                <w:rFonts w:hint="eastAsia" w:ascii="宋体" w:hAnsi="宋体" w:cs="宋体"/>
                <w:color w:val="00B050"/>
                <w:sz w:val="24"/>
                <w:szCs w:val="24"/>
                <w:u w:val="single"/>
                <w:lang w:val="en-US" w:eastAsia="zh-CN"/>
              </w:rPr>
              <w:t>376</w:t>
            </w:r>
            <w:r>
              <w:rPr>
                <w:rFonts w:hint="eastAsia" w:ascii="宋体" w:hAnsi="宋体" w:eastAsia="宋体" w:cs="宋体"/>
                <w:color w:val="00B050"/>
                <w:sz w:val="24"/>
                <w:szCs w:val="24"/>
                <w:u w:val="single"/>
                <w:lang w:val="en-US" w:eastAsia="zh-CN"/>
              </w:rPr>
              <w:t>m。</w:t>
            </w:r>
          </w:p>
          <w:p w14:paraId="764B4960">
            <w:pPr>
              <w:pStyle w:val="52"/>
              <w:spacing w:line="227" w:lineRule="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2、项目主要建设内容</w:t>
            </w:r>
          </w:p>
          <w:p w14:paraId="077CFF3B">
            <w:pPr>
              <w:pStyle w:val="52"/>
              <w:spacing w:before="162" w:line="378" w:lineRule="auto"/>
              <w:ind w:left="103" w:right="33" w:firstLine="424"/>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本项目占地面积为24985.89m</w:t>
            </w:r>
            <w:r>
              <w:rPr>
                <w:rFonts w:hint="eastAsia" w:ascii="宋体" w:hAnsi="宋体" w:eastAsia="宋体" w:cs="宋体"/>
                <w:color w:val="000000" w:themeColor="text1"/>
                <w:kern w:val="2"/>
                <w:sz w:val="24"/>
                <w:szCs w:val="24"/>
                <w:vertAlign w:val="superscript"/>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，总建筑面积5358.48m</w:t>
            </w:r>
            <w:r>
              <w:rPr>
                <w:rFonts w:hint="eastAsia" w:ascii="宋体" w:hAnsi="宋体" w:eastAsia="宋体" w:cs="宋体"/>
                <w:color w:val="000000" w:themeColor="text1"/>
                <w:kern w:val="2"/>
                <w:sz w:val="24"/>
                <w:szCs w:val="24"/>
                <w:vertAlign w:val="superscript"/>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。主要建构筑物包括生产厂房（生产区、污水处理、罐区、原料储存区</w:t>
            </w:r>
            <w:r>
              <w:rPr>
                <w:rFonts w:hint="eastAsia" w:cs="宋体"/>
                <w:color w:val="000000" w:themeColor="text1"/>
                <w:kern w:val="2"/>
                <w:sz w:val="24"/>
                <w:szCs w:val="24"/>
                <w:lang w:val="en-US" w:eastAsia="zh-CN" w:bidi="ar-SA"/>
                <w14:textFill>
                  <w14:solidFill>
                    <w14:schemeClr w14:val="tx1"/>
                  </w14:solidFill>
                </w14:textFill>
              </w:rPr>
              <w:t>、一般固废储存区</w:t>
            </w:r>
            <w:r>
              <w:rPr>
                <w:rFonts w:hint="eastAsia" w:ascii="宋体" w:hAnsi="宋体" w:eastAsia="宋体" w:cs="宋体"/>
                <w:color w:val="000000" w:themeColor="text1"/>
                <w:kern w:val="2"/>
                <w:sz w:val="24"/>
                <w:szCs w:val="24"/>
                <w:lang w:val="en-US" w:eastAsia="zh-CN" w:bidi="ar-SA"/>
                <w14:textFill>
                  <w14:solidFill>
                    <w14:schemeClr w14:val="tx1"/>
                  </w14:solidFill>
                </w14:textFill>
              </w:rPr>
              <w:t>）5346.48m</w:t>
            </w:r>
            <w:r>
              <w:rPr>
                <w:rFonts w:hint="eastAsia" w:ascii="宋体" w:hAnsi="宋体" w:eastAsia="宋体" w:cs="宋体"/>
                <w:color w:val="000000" w:themeColor="text1"/>
                <w:kern w:val="2"/>
                <w:sz w:val="24"/>
                <w:szCs w:val="24"/>
                <w:vertAlign w:val="superscript"/>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、生活区（办公室、配电室、门卫等）12m</w:t>
            </w:r>
            <w:r>
              <w:rPr>
                <w:rFonts w:hint="eastAsia" w:ascii="宋体" w:hAnsi="宋体" w:eastAsia="宋体" w:cs="宋体"/>
                <w:color w:val="000000" w:themeColor="text1"/>
                <w:kern w:val="2"/>
                <w:sz w:val="24"/>
                <w:szCs w:val="24"/>
                <w:vertAlign w:val="superscript"/>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、化验室1</w:t>
            </w:r>
            <w:r>
              <w:rPr>
                <w:rFonts w:hint="eastAsia" w:cs="宋体"/>
                <w:color w:val="000000" w:themeColor="text1"/>
                <w:kern w:val="2"/>
                <w:sz w:val="24"/>
                <w:szCs w:val="24"/>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lang w:val="en-US" w:eastAsia="zh-CN" w:bidi="ar-SA"/>
                <w14:textFill>
                  <w14:solidFill>
                    <w14:schemeClr w14:val="tx1"/>
                  </w14:solidFill>
                </w14:textFill>
              </w:rPr>
              <w:t>m</w:t>
            </w:r>
            <w:r>
              <w:rPr>
                <w:rFonts w:hint="eastAsia" w:ascii="宋体" w:hAnsi="宋体" w:eastAsia="宋体" w:cs="宋体"/>
                <w:color w:val="000000" w:themeColor="text1"/>
                <w:kern w:val="2"/>
                <w:sz w:val="24"/>
                <w:szCs w:val="24"/>
                <w:vertAlign w:val="superscript"/>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。项目建成后，项目主要建设内容见表 2-1 。主要工程内容见下表。</w:t>
            </w:r>
          </w:p>
          <w:p w14:paraId="77DF8C31">
            <w:pPr>
              <w:keepNext w:val="0"/>
              <w:keepLines w:val="0"/>
              <w:pageBreakBefore w:val="0"/>
              <w:widowControl w:val="0"/>
              <w:kinsoku/>
              <w:wordWrap/>
              <w:overflowPunct/>
              <w:topLinePunct w:val="0"/>
              <w:autoSpaceDE/>
              <w:autoSpaceDN/>
              <w:bidi w:val="0"/>
              <w:adjustRightInd/>
              <w:snapToGrid/>
              <w:spacing w:line="240" w:lineRule="atLeast"/>
              <w:ind w:firstLine="1767" w:firstLineChars="8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b/>
                <w:bCs/>
                <w:color w:val="000000" w:themeColor="text1"/>
                <w:spacing w:val="5"/>
                <w14:textFill>
                  <w14:solidFill>
                    <w14:schemeClr w14:val="tx1"/>
                  </w14:solidFill>
                </w14:textFill>
              </w:rPr>
              <w:t>表</w:t>
            </w:r>
            <w:r>
              <w:rPr>
                <w:color w:val="000000" w:themeColor="text1"/>
                <w:spacing w:val="-37"/>
                <w14:textFill>
                  <w14:solidFill>
                    <w14:schemeClr w14:val="tx1"/>
                  </w14:solidFill>
                </w14:textFill>
              </w:rPr>
              <w:t xml:space="preserve"> </w:t>
            </w:r>
            <w:r>
              <w:rPr>
                <w:rFonts w:ascii="Times New Roman" w:hAnsi="Times New Roman" w:eastAsia="Times New Roman" w:cs="Times New Roman"/>
                <w:b/>
                <w:bCs/>
                <w:color w:val="000000" w:themeColor="text1"/>
                <w:spacing w:val="5"/>
                <w14:textFill>
                  <w14:solidFill>
                    <w14:schemeClr w14:val="tx1"/>
                  </w14:solidFill>
                </w14:textFill>
              </w:rPr>
              <w:t>2-1</w:t>
            </w:r>
            <w:r>
              <w:rPr>
                <w:rFonts w:hint="eastAsia" w:eastAsia="宋体" w:cs="Times New Roman"/>
                <w:b/>
                <w:bCs/>
                <w:color w:val="000000" w:themeColor="text1"/>
                <w:spacing w:val="5"/>
                <w:lang w:val="en-US" w:eastAsia="zh-CN"/>
                <w14:textFill>
                  <w14:solidFill>
                    <w14:schemeClr w14:val="tx1"/>
                  </w14:solidFill>
                </w14:textFill>
              </w:rPr>
              <w:t xml:space="preserve">    </w:t>
            </w:r>
            <w:r>
              <w:rPr>
                <w:b/>
                <w:bCs/>
                <w:color w:val="000000" w:themeColor="text1"/>
                <w:spacing w:val="5"/>
                <w14:textFill>
                  <w14:solidFill>
                    <w14:schemeClr w14:val="tx1"/>
                  </w14:solidFill>
                </w14:textFill>
              </w:rPr>
              <w:t>项目主要建设内容一览表</w:t>
            </w:r>
          </w:p>
          <w:tbl>
            <w:tblPr>
              <w:tblStyle w:val="53"/>
              <w:tblW w:w="4998"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938"/>
              <w:gridCol w:w="5853"/>
              <w:gridCol w:w="670"/>
            </w:tblGrid>
            <w:tr w14:paraId="3A469DA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583" w:type="pct"/>
                  <w:tcBorders>
                    <w:tl2br w:val="nil"/>
                    <w:tr2bl w:val="nil"/>
                  </w:tcBorders>
                  <w:noWrap w:val="0"/>
                  <w:vAlign w:val="top"/>
                </w:tcPr>
                <w:p w14:paraId="6CB8B3F2">
                  <w:pPr>
                    <w:pStyle w:val="52"/>
                    <w:keepNext w:val="0"/>
                    <w:keepLines w:val="0"/>
                    <w:pageBreakBefore w:val="0"/>
                    <w:widowControl/>
                    <w:kinsoku/>
                    <w:wordWrap/>
                    <w:overflowPunct/>
                    <w:topLinePunct w:val="0"/>
                    <w:autoSpaceDE w:val="0"/>
                    <w:autoSpaceDN w:val="0"/>
                    <w:bidi w:val="0"/>
                    <w:adjustRightInd/>
                    <w:snapToGrid/>
                    <w:spacing w:line="24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工程组成</w:t>
                  </w:r>
                </w:p>
              </w:tc>
              <w:tc>
                <w:tcPr>
                  <w:tcW w:w="555" w:type="pct"/>
                  <w:tcBorders>
                    <w:tl2br w:val="nil"/>
                    <w:tr2bl w:val="nil"/>
                  </w:tcBorders>
                  <w:noWrap w:val="0"/>
                  <w:vAlign w:val="top"/>
                </w:tcPr>
                <w:p w14:paraId="1B7FD763">
                  <w:pPr>
                    <w:pStyle w:val="52"/>
                    <w:keepNext w:val="0"/>
                    <w:keepLines w:val="0"/>
                    <w:pageBreakBefore w:val="0"/>
                    <w:widowControl/>
                    <w:kinsoku/>
                    <w:wordWrap/>
                    <w:overflowPunct/>
                    <w:topLinePunct w:val="0"/>
                    <w:autoSpaceDE w:val="0"/>
                    <w:autoSpaceDN w:val="0"/>
                    <w:bidi w:val="0"/>
                    <w:adjustRightInd/>
                    <w:snapToGrid/>
                    <w:spacing w:line="24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主要内容</w:t>
                  </w:r>
                </w:p>
              </w:tc>
              <w:tc>
                <w:tcPr>
                  <w:tcW w:w="3464" w:type="pct"/>
                  <w:tcBorders>
                    <w:tl2br w:val="nil"/>
                    <w:tr2bl w:val="nil"/>
                  </w:tcBorders>
                  <w:noWrap w:val="0"/>
                  <w:vAlign w:val="top"/>
                </w:tcPr>
                <w:p w14:paraId="2D887854">
                  <w:pPr>
                    <w:pStyle w:val="52"/>
                    <w:keepNext w:val="0"/>
                    <w:keepLines w:val="0"/>
                    <w:pageBreakBefore w:val="0"/>
                    <w:widowControl/>
                    <w:kinsoku/>
                    <w:wordWrap/>
                    <w:overflowPunct/>
                    <w:topLinePunct w:val="0"/>
                    <w:autoSpaceDE w:val="0"/>
                    <w:autoSpaceDN w:val="0"/>
                    <w:bidi w:val="0"/>
                    <w:adjustRightInd/>
                    <w:snapToGrid/>
                    <w:spacing w:line="24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建设内容</w:t>
                  </w:r>
                </w:p>
              </w:tc>
              <w:tc>
                <w:tcPr>
                  <w:tcW w:w="396" w:type="pct"/>
                  <w:tcBorders>
                    <w:tl2br w:val="nil"/>
                    <w:tr2bl w:val="nil"/>
                  </w:tcBorders>
                  <w:noWrap w:val="0"/>
                  <w:vAlign w:val="top"/>
                </w:tcPr>
                <w:p w14:paraId="75EB2D21">
                  <w:pPr>
                    <w:pStyle w:val="52"/>
                    <w:keepNext w:val="0"/>
                    <w:keepLines w:val="0"/>
                    <w:pageBreakBefore w:val="0"/>
                    <w:widowControl/>
                    <w:kinsoku/>
                    <w:wordWrap/>
                    <w:overflowPunct/>
                    <w:topLinePunct w:val="0"/>
                    <w:autoSpaceDE w:val="0"/>
                    <w:autoSpaceDN w:val="0"/>
                    <w:bidi w:val="0"/>
                    <w:adjustRightInd/>
                    <w:snapToGrid/>
                    <w:spacing w:line="24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备注</w:t>
                  </w:r>
                </w:p>
              </w:tc>
            </w:tr>
            <w:tr w14:paraId="2D0AD1B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3" w:type="pct"/>
                  <w:tcBorders>
                    <w:tl2br w:val="nil"/>
                    <w:tr2bl w:val="nil"/>
                  </w:tcBorders>
                  <w:noWrap w:val="0"/>
                  <w:vAlign w:val="top"/>
                </w:tcPr>
                <w:p w14:paraId="18CBC2DE">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主体工程</w:t>
                  </w:r>
                </w:p>
              </w:tc>
              <w:tc>
                <w:tcPr>
                  <w:tcW w:w="555" w:type="pct"/>
                  <w:tcBorders>
                    <w:tl2br w:val="nil"/>
                    <w:tr2bl w:val="nil"/>
                  </w:tcBorders>
                  <w:noWrap w:val="0"/>
                  <w:vAlign w:val="top"/>
                </w:tcPr>
                <w:p w14:paraId="11E3C909">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生产厂房</w:t>
                  </w:r>
                </w:p>
              </w:tc>
              <w:tc>
                <w:tcPr>
                  <w:tcW w:w="3464" w:type="pct"/>
                  <w:tcBorders>
                    <w:tl2br w:val="nil"/>
                    <w:tr2bl w:val="nil"/>
                  </w:tcBorders>
                  <w:noWrap w:val="0"/>
                  <w:vAlign w:val="top"/>
                </w:tcPr>
                <w:p w14:paraId="1C4F2EC7">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位于厂区</w:t>
                  </w:r>
                  <w:r>
                    <w:rPr>
                      <w:rFonts w:hint="eastAsia" w:ascii="宋体" w:hAnsi="宋体" w:eastAsia="宋体" w:cs="宋体"/>
                      <w:color w:val="000000" w:themeColor="text1"/>
                      <w:spacing w:val="4"/>
                      <w:sz w:val="21"/>
                      <w:szCs w:val="21"/>
                      <w:lang w:val="en-US" w:eastAsia="zh-CN"/>
                      <w14:textFill>
                        <w14:solidFill>
                          <w14:schemeClr w14:val="tx1"/>
                        </w14:solidFill>
                      </w14:textFill>
                    </w:rPr>
                    <w:t>北</w:t>
                  </w:r>
                  <w:r>
                    <w:rPr>
                      <w:rFonts w:hint="eastAsia" w:ascii="宋体" w:hAnsi="宋体" w:eastAsia="宋体" w:cs="宋体"/>
                      <w:color w:val="000000" w:themeColor="text1"/>
                      <w:spacing w:val="4"/>
                      <w:sz w:val="21"/>
                      <w:szCs w:val="21"/>
                      <w14:textFill>
                        <w14:solidFill>
                          <w14:schemeClr w14:val="tx1"/>
                        </w14:solidFill>
                      </w14:textFill>
                    </w:rPr>
                    <w:t>部，</w:t>
                  </w:r>
                  <w:r>
                    <w:rPr>
                      <w:rFonts w:hint="eastAsia" w:ascii="宋体" w:hAnsi="宋体" w:eastAsia="宋体" w:cs="宋体"/>
                      <w:color w:val="000000" w:themeColor="text1"/>
                      <w:spacing w:val="-60"/>
                      <w:sz w:val="21"/>
                      <w:szCs w:val="21"/>
                      <w14:textFill>
                        <w14:solidFill>
                          <w14:schemeClr w14:val="tx1"/>
                        </w14:solidFill>
                      </w14:textFill>
                    </w:rPr>
                    <w:t xml:space="preserve"> </w:t>
                  </w:r>
                  <w:r>
                    <w:rPr>
                      <w:rFonts w:hint="eastAsia" w:ascii="宋体" w:hAnsi="宋体" w:eastAsia="宋体" w:cs="宋体"/>
                      <w:color w:val="000000" w:themeColor="text1"/>
                      <w:spacing w:val="4"/>
                      <w:sz w:val="21"/>
                      <w:szCs w:val="21"/>
                      <w14:textFill>
                        <w14:solidFill>
                          <w14:schemeClr w14:val="tx1"/>
                        </w14:solidFill>
                      </w14:textFill>
                    </w:rPr>
                    <w:t>1栋1F，</w:t>
                  </w:r>
                  <w:r>
                    <w:rPr>
                      <w:rFonts w:hint="eastAsia" w:ascii="宋体" w:hAnsi="宋体" w:eastAsia="宋体" w:cs="宋体"/>
                      <w:color w:val="000000" w:themeColor="text1"/>
                      <w:spacing w:val="-42"/>
                      <w:sz w:val="21"/>
                      <w:szCs w:val="21"/>
                      <w14:textFill>
                        <w14:solidFill>
                          <w14:schemeClr w14:val="tx1"/>
                        </w14:solidFill>
                      </w14:textFill>
                    </w:rPr>
                    <w:t xml:space="preserve"> </w:t>
                  </w:r>
                  <w:r>
                    <w:rPr>
                      <w:rFonts w:hint="eastAsia" w:ascii="宋体" w:hAnsi="宋体" w:eastAsia="宋体" w:cs="宋体"/>
                      <w:color w:val="000000" w:themeColor="text1"/>
                      <w:spacing w:val="4"/>
                      <w:sz w:val="21"/>
                      <w:szCs w:val="21"/>
                      <w14:textFill>
                        <w14:solidFill>
                          <w14:schemeClr w14:val="tx1"/>
                        </w14:solidFill>
                      </w14:textFill>
                    </w:rPr>
                    <w:t>占</w:t>
                  </w:r>
                  <w:r>
                    <w:rPr>
                      <w:rFonts w:hint="eastAsia" w:ascii="宋体" w:hAnsi="宋体" w:eastAsia="宋体" w:cs="宋体"/>
                      <w:color w:val="00B050"/>
                      <w:spacing w:val="4"/>
                      <w:sz w:val="21"/>
                      <w:szCs w:val="21"/>
                      <w:u w:val="single"/>
                    </w:rPr>
                    <w:t>地面积</w:t>
                  </w:r>
                  <w:r>
                    <w:rPr>
                      <w:rFonts w:hint="eastAsia" w:ascii="宋体" w:hAnsi="宋体" w:eastAsia="宋体" w:cs="宋体"/>
                      <w:color w:val="00B050"/>
                      <w:spacing w:val="4"/>
                      <w:sz w:val="21"/>
                      <w:szCs w:val="21"/>
                      <w:u w:val="single"/>
                      <w:lang w:val="en-US" w:eastAsia="zh-CN"/>
                    </w:rPr>
                    <w:t>53</w:t>
                  </w:r>
                  <w:r>
                    <w:rPr>
                      <w:rFonts w:hint="eastAsia" w:cs="宋体"/>
                      <w:color w:val="00B050"/>
                      <w:spacing w:val="4"/>
                      <w:sz w:val="21"/>
                      <w:szCs w:val="21"/>
                      <w:u w:val="single"/>
                      <w:lang w:val="en-US" w:eastAsia="zh-CN"/>
                    </w:rPr>
                    <w:t>34</w:t>
                  </w:r>
                  <w:r>
                    <w:rPr>
                      <w:rFonts w:hint="eastAsia" w:ascii="宋体" w:hAnsi="宋体" w:eastAsia="宋体" w:cs="宋体"/>
                      <w:color w:val="00B050"/>
                      <w:spacing w:val="4"/>
                      <w:sz w:val="21"/>
                      <w:szCs w:val="21"/>
                      <w:u w:val="single"/>
                      <w:lang w:val="en-US" w:eastAsia="zh-CN"/>
                    </w:rPr>
                    <w:t>.48</w:t>
                  </w:r>
                  <w:r>
                    <w:rPr>
                      <w:rFonts w:hint="eastAsia" w:ascii="宋体" w:hAnsi="宋体" w:eastAsia="宋体" w:cs="宋体"/>
                      <w:color w:val="00B050"/>
                      <w:spacing w:val="4"/>
                      <w:sz w:val="21"/>
                      <w:szCs w:val="21"/>
                      <w:u w:val="single"/>
                    </w:rPr>
                    <w:t>m</w:t>
                  </w:r>
                  <w:r>
                    <w:rPr>
                      <w:rFonts w:hint="eastAsia" w:ascii="宋体" w:hAnsi="宋体" w:eastAsia="宋体" w:cs="宋体"/>
                      <w:color w:val="00B050"/>
                      <w:spacing w:val="4"/>
                      <w:sz w:val="21"/>
                      <w:szCs w:val="21"/>
                      <w:u w:val="single"/>
                      <w:vertAlign w:val="superscript"/>
                      <w:lang w:val="en-US" w:eastAsia="zh-CN"/>
                    </w:rPr>
                    <w:t>2</w:t>
                  </w:r>
                  <w:r>
                    <w:rPr>
                      <w:rFonts w:hint="eastAsia" w:ascii="宋体" w:hAnsi="宋体" w:eastAsia="宋体" w:cs="宋体"/>
                      <w:color w:val="000000" w:themeColor="text1"/>
                      <w:spacing w:val="4"/>
                      <w:position w:val="6"/>
                      <w:sz w:val="21"/>
                      <w:szCs w:val="21"/>
                      <w:vertAlign w:val="superscript"/>
                      <w14:textFill>
                        <w14:solidFill>
                          <w14:schemeClr w14:val="tx1"/>
                        </w14:solidFill>
                      </w14:textFill>
                    </w:rPr>
                    <w:t xml:space="preserve"> </w:t>
                  </w:r>
                  <w:r>
                    <w:rPr>
                      <w:rFonts w:hint="eastAsia" w:ascii="宋体" w:hAnsi="宋体" w:eastAsia="宋体" w:cs="宋体"/>
                      <w:color w:val="000000" w:themeColor="text1"/>
                      <w:spacing w:val="4"/>
                      <w:sz w:val="21"/>
                      <w:szCs w:val="21"/>
                      <w14:textFill>
                        <w14:solidFill>
                          <w14:schemeClr w14:val="tx1"/>
                        </w14:solidFill>
                      </w14:textFill>
                    </w:rPr>
                    <w:t>，内设</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4"/>
                      <w:sz w:val="21"/>
                      <w:szCs w:val="21"/>
                      <w:highlight w:val="none"/>
                      <w14:textFill>
                        <w14:solidFill>
                          <w14:schemeClr w14:val="tx1"/>
                        </w14:solidFill>
                      </w14:textFill>
                    </w:rPr>
                    <w:t>条</w:t>
                  </w:r>
                  <w:r>
                    <w:rPr>
                      <w:rFonts w:hint="eastAsia" w:ascii="宋体" w:hAnsi="宋体" w:eastAsia="宋体" w:cs="宋体"/>
                      <w:color w:val="000000" w:themeColor="text1"/>
                      <w:spacing w:val="7"/>
                      <w:sz w:val="21"/>
                      <w:szCs w:val="21"/>
                      <w14:textFill>
                        <w14:solidFill>
                          <w14:schemeClr w14:val="tx1"/>
                        </w14:solidFill>
                      </w14:textFill>
                    </w:rPr>
                    <w:t>双氧水可膨胀石墨生产线</w:t>
                  </w:r>
                  <w:r>
                    <w:rPr>
                      <w:rFonts w:hint="eastAsia" w:ascii="宋体" w:hAnsi="宋体" w:eastAsia="宋体" w:cs="宋体"/>
                      <w:color w:val="000000" w:themeColor="text1"/>
                      <w:spacing w:val="5"/>
                      <w:sz w:val="21"/>
                      <w:szCs w:val="21"/>
                      <w14:textFill>
                        <w14:solidFill>
                          <w14:schemeClr w14:val="tx1"/>
                        </w14:solidFill>
                      </w14:textFill>
                    </w:rPr>
                    <w:t>。</w:t>
                  </w:r>
                </w:p>
              </w:tc>
              <w:tc>
                <w:tcPr>
                  <w:tcW w:w="396" w:type="pct"/>
                  <w:tcBorders>
                    <w:tl2br w:val="nil"/>
                    <w:tr2bl w:val="nil"/>
                  </w:tcBorders>
                  <w:noWrap w:val="0"/>
                  <w:vAlign w:val="top"/>
                </w:tcPr>
                <w:p w14:paraId="52ED4553">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厂房</w:t>
                  </w:r>
                </w:p>
                <w:p w14:paraId="5A23B576">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利旧</w:t>
                  </w:r>
                </w:p>
              </w:tc>
            </w:tr>
            <w:tr w14:paraId="7278AF7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83" w:type="pct"/>
                  <w:vMerge w:val="restart"/>
                  <w:tcBorders>
                    <w:tl2br w:val="nil"/>
                    <w:tr2bl w:val="nil"/>
                  </w:tcBorders>
                  <w:noWrap w:val="0"/>
                  <w:vAlign w:val="top"/>
                </w:tcPr>
                <w:p w14:paraId="53A507C3">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附属设施</w:t>
                  </w:r>
                </w:p>
              </w:tc>
              <w:tc>
                <w:tcPr>
                  <w:tcW w:w="555" w:type="pct"/>
                  <w:tcBorders>
                    <w:tl2br w:val="nil"/>
                    <w:tr2bl w:val="nil"/>
                  </w:tcBorders>
                  <w:noWrap w:val="0"/>
                  <w:vAlign w:val="top"/>
                </w:tcPr>
                <w:p w14:paraId="576E1E8B">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办公</w:t>
                  </w:r>
                  <w:r>
                    <w:rPr>
                      <w:rFonts w:hint="eastAsia" w:ascii="宋体" w:hAnsi="宋体" w:eastAsia="宋体" w:cs="宋体"/>
                      <w:color w:val="000000" w:themeColor="text1"/>
                      <w:spacing w:val="5"/>
                      <w:sz w:val="21"/>
                      <w:szCs w:val="21"/>
                      <w:lang w:val="en-US" w:eastAsia="zh-CN"/>
                      <w14:textFill>
                        <w14:solidFill>
                          <w14:schemeClr w14:val="tx1"/>
                        </w14:solidFill>
                      </w14:textFill>
                    </w:rPr>
                    <w:t>室、</w:t>
                  </w:r>
                  <w:r>
                    <w:rPr>
                      <w:rFonts w:hint="eastAsia" w:ascii="宋体" w:hAnsi="宋体" w:eastAsia="宋体" w:cs="宋体"/>
                      <w:color w:val="000000" w:themeColor="text1"/>
                      <w:spacing w:val="-7"/>
                      <w:sz w:val="21"/>
                      <w:szCs w:val="21"/>
                      <w14:textFill>
                        <w14:solidFill>
                          <w14:schemeClr w14:val="tx1"/>
                        </w14:solidFill>
                      </w14:textFill>
                    </w:rPr>
                    <w:t>门卫</w:t>
                  </w:r>
                </w:p>
              </w:tc>
              <w:tc>
                <w:tcPr>
                  <w:tcW w:w="3464" w:type="pct"/>
                  <w:tcBorders>
                    <w:tl2br w:val="nil"/>
                    <w:tr2bl w:val="nil"/>
                  </w:tcBorders>
                  <w:noWrap w:val="0"/>
                  <w:vAlign w:val="top"/>
                </w:tcPr>
                <w:p w14:paraId="6E278AE8">
                  <w:pPr>
                    <w:pStyle w:val="52"/>
                    <w:keepNext w:val="0"/>
                    <w:keepLines w:val="0"/>
                    <w:pageBreakBefore w:val="0"/>
                    <w:widowControl/>
                    <w:kinsoku/>
                    <w:wordWrap/>
                    <w:overflowPunct/>
                    <w:topLinePunct w:val="0"/>
                    <w:autoSpaceDE w:val="0"/>
                    <w:autoSpaceDN w:val="0"/>
                    <w:bidi w:val="0"/>
                    <w:adjustRightInd/>
                    <w:snapToGrid/>
                    <w:spacing w:line="220" w:lineRule="atLeast"/>
                    <w:ind w:left="0" w:right="0"/>
                    <w:jc w:val="both"/>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1栋，占地面积</w:t>
                  </w:r>
                  <w:r>
                    <w:rPr>
                      <w:rFonts w:hint="eastAsia" w:ascii="宋体" w:hAnsi="宋体" w:eastAsia="宋体" w:cs="宋体"/>
                      <w:color w:val="000000" w:themeColor="text1"/>
                      <w:spacing w:val="-2"/>
                      <w:sz w:val="21"/>
                      <w:szCs w:val="21"/>
                      <w:lang w:val="en-US" w:eastAsia="zh-CN"/>
                      <w14:textFill>
                        <w14:solidFill>
                          <w14:schemeClr w14:val="tx1"/>
                        </w14:solidFill>
                      </w14:textFill>
                    </w:rPr>
                    <w:t>12</w:t>
                  </w:r>
                  <w:r>
                    <w:rPr>
                      <w:rFonts w:hint="eastAsia" w:ascii="宋体" w:hAnsi="宋体" w:eastAsia="宋体" w:cs="宋体"/>
                      <w:color w:val="000000" w:themeColor="text1"/>
                      <w:spacing w:val="-2"/>
                      <w:sz w:val="21"/>
                      <w:szCs w:val="21"/>
                      <w14:textFill>
                        <w14:solidFill>
                          <w14:schemeClr w14:val="tx1"/>
                        </w14:solidFill>
                      </w14:textFill>
                    </w:rPr>
                    <w:t>m</w:t>
                  </w:r>
                  <w:r>
                    <w:rPr>
                      <w:rFonts w:hint="eastAsia" w:ascii="宋体" w:hAnsi="宋体" w:eastAsia="宋体" w:cs="宋体"/>
                      <w:color w:val="000000" w:themeColor="text1"/>
                      <w:spacing w:val="4"/>
                      <w:sz w:val="21"/>
                      <w:szCs w:val="21"/>
                      <w:vertAlign w:val="superscript"/>
                      <w:lang w:val="en-US" w:eastAsia="zh-CN"/>
                      <w14:textFill>
                        <w14:solidFill>
                          <w14:schemeClr w14:val="tx1"/>
                        </w14:solidFill>
                      </w14:textFill>
                    </w:rPr>
                    <w:t>2</w:t>
                  </w:r>
                  <w:r>
                    <w:rPr>
                      <w:rFonts w:hint="eastAsia" w:ascii="宋体" w:hAnsi="宋体" w:eastAsia="宋体" w:cs="宋体"/>
                      <w:color w:val="000000" w:themeColor="text1"/>
                      <w:spacing w:val="-2"/>
                      <w:sz w:val="21"/>
                      <w:szCs w:val="21"/>
                      <w14:textFill>
                        <w14:solidFill>
                          <w14:schemeClr w14:val="tx1"/>
                        </w14:solidFill>
                      </w14:textFill>
                    </w:rPr>
                    <w:t>，建筑面积</w:t>
                  </w:r>
                  <w:r>
                    <w:rPr>
                      <w:rFonts w:hint="eastAsia" w:ascii="宋体" w:hAnsi="宋体" w:eastAsia="宋体" w:cs="宋体"/>
                      <w:color w:val="000000" w:themeColor="text1"/>
                      <w:spacing w:val="-3"/>
                      <w:sz w:val="21"/>
                      <w:szCs w:val="21"/>
                      <w:lang w:val="en-US" w:eastAsia="zh-CN"/>
                      <w14:textFill>
                        <w14:solidFill>
                          <w14:schemeClr w14:val="tx1"/>
                        </w14:solidFill>
                      </w14:textFill>
                    </w:rPr>
                    <w:t>12</w:t>
                  </w:r>
                  <w:r>
                    <w:rPr>
                      <w:rFonts w:hint="eastAsia" w:ascii="宋体" w:hAnsi="宋体" w:eastAsia="宋体" w:cs="宋体"/>
                      <w:color w:val="000000" w:themeColor="text1"/>
                      <w:spacing w:val="5"/>
                      <w:sz w:val="21"/>
                      <w:szCs w:val="21"/>
                      <w14:textFill>
                        <w14:solidFill>
                          <w14:schemeClr w14:val="tx1"/>
                        </w14:solidFill>
                      </w14:textFill>
                    </w:rPr>
                    <w:t>m</w:t>
                  </w:r>
                  <w:r>
                    <w:rPr>
                      <w:rFonts w:hint="eastAsia" w:ascii="宋体" w:hAnsi="宋体" w:eastAsia="宋体" w:cs="宋体"/>
                      <w:color w:val="000000" w:themeColor="text1"/>
                      <w:spacing w:val="4"/>
                      <w:sz w:val="21"/>
                      <w:szCs w:val="21"/>
                      <w:vertAlign w:val="superscript"/>
                      <w:lang w:val="en-US" w:eastAsia="zh-CN"/>
                      <w14:textFill>
                        <w14:solidFill>
                          <w14:schemeClr w14:val="tx1"/>
                        </w14:solidFill>
                      </w14:textFill>
                    </w:rPr>
                    <w:t>2</w:t>
                  </w:r>
                  <w:r>
                    <w:rPr>
                      <w:rFonts w:hint="eastAsia" w:ascii="宋体" w:hAnsi="宋体" w:eastAsia="宋体" w:cs="宋体"/>
                      <w:color w:val="000000" w:themeColor="text1"/>
                      <w:spacing w:val="-3"/>
                      <w:sz w:val="21"/>
                      <w:szCs w:val="21"/>
                      <w14:textFill>
                        <w14:solidFill>
                          <w14:schemeClr w14:val="tx1"/>
                        </w14:solidFill>
                      </w14:textFill>
                    </w:rPr>
                    <w:t>。</w:t>
                  </w:r>
                </w:p>
              </w:tc>
              <w:tc>
                <w:tcPr>
                  <w:tcW w:w="396" w:type="pct"/>
                  <w:tcBorders>
                    <w:tl2br w:val="nil"/>
                    <w:tr2bl w:val="nil"/>
                  </w:tcBorders>
                  <w:noWrap w:val="0"/>
                  <w:vAlign w:val="top"/>
                </w:tcPr>
                <w:p w14:paraId="7741D3EC">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厂房</w:t>
                  </w:r>
                </w:p>
                <w:p w14:paraId="4DFA4811">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利旧</w:t>
                  </w:r>
                </w:p>
              </w:tc>
            </w:tr>
            <w:tr w14:paraId="3F2BDE1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583" w:type="pct"/>
                  <w:vMerge w:val="continue"/>
                  <w:tcBorders>
                    <w:tl2br w:val="nil"/>
                    <w:tr2bl w:val="nil"/>
                  </w:tcBorders>
                  <w:noWrap w:val="0"/>
                  <w:vAlign w:val="top"/>
                </w:tcPr>
                <w:p w14:paraId="19851788">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p>
              </w:tc>
              <w:tc>
                <w:tcPr>
                  <w:tcW w:w="555" w:type="pct"/>
                  <w:tcBorders>
                    <w:tl2br w:val="nil"/>
                    <w:tr2bl w:val="nil"/>
                  </w:tcBorders>
                  <w:noWrap w:val="0"/>
                  <w:vAlign w:val="top"/>
                </w:tcPr>
                <w:p w14:paraId="50D79517">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化验室</w:t>
                  </w:r>
                </w:p>
              </w:tc>
              <w:tc>
                <w:tcPr>
                  <w:tcW w:w="3464" w:type="pct"/>
                  <w:tcBorders>
                    <w:tl2br w:val="nil"/>
                    <w:tr2bl w:val="nil"/>
                  </w:tcBorders>
                  <w:noWrap w:val="0"/>
                  <w:vAlign w:val="top"/>
                </w:tcPr>
                <w:p w14:paraId="2321806A">
                  <w:pPr>
                    <w:pStyle w:val="52"/>
                    <w:keepNext w:val="0"/>
                    <w:keepLines w:val="0"/>
                    <w:pageBreakBefore w:val="0"/>
                    <w:widowControl/>
                    <w:kinsoku/>
                    <w:wordWrap/>
                    <w:overflowPunct/>
                    <w:topLinePunct w:val="0"/>
                    <w:autoSpaceDE w:val="0"/>
                    <w:autoSpaceDN w:val="0"/>
                    <w:bidi w:val="0"/>
                    <w:adjustRightInd/>
                    <w:snapToGrid/>
                    <w:spacing w:line="220" w:lineRule="atLeast"/>
                    <w:ind w:left="0" w:right="0"/>
                    <w:jc w:val="both"/>
                    <w:textAlignment w:val="baseline"/>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1栋，占地面积</w:t>
                  </w:r>
                  <w:r>
                    <w:rPr>
                      <w:rFonts w:hint="eastAsia" w:ascii="宋体" w:hAnsi="宋体" w:eastAsia="宋体" w:cs="宋体"/>
                      <w:color w:val="000000" w:themeColor="text1"/>
                      <w:spacing w:val="-2"/>
                      <w:sz w:val="21"/>
                      <w:szCs w:val="21"/>
                      <w:lang w:val="en-US" w:eastAsia="zh-CN"/>
                      <w14:textFill>
                        <w14:solidFill>
                          <w14:schemeClr w14:val="tx1"/>
                        </w14:solidFill>
                      </w14:textFill>
                    </w:rPr>
                    <w:t>10</w:t>
                  </w:r>
                  <w:r>
                    <w:rPr>
                      <w:rFonts w:hint="eastAsia" w:ascii="宋体" w:hAnsi="宋体" w:eastAsia="宋体" w:cs="宋体"/>
                      <w:color w:val="000000" w:themeColor="text1"/>
                      <w:spacing w:val="-2"/>
                      <w:sz w:val="21"/>
                      <w:szCs w:val="21"/>
                      <w14:textFill>
                        <w14:solidFill>
                          <w14:schemeClr w14:val="tx1"/>
                        </w14:solidFill>
                      </w14:textFill>
                    </w:rPr>
                    <w:t>m</w:t>
                  </w:r>
                  <w:r>
                    <w:rPr>
                      <w:rFonts w:hint="eastAsia" w:ascii="宋体" w:hAnsi="宋体" w:eastAsia="宋体" w:cs="宋体"/>
                      <w:color w:val="000000" w:themeColor="text1"/>
                      <w:spacing w:val="4"/>
                      <w:sz w:val="21"/>
                      <w:szCs w:val="21"/>
                      <w:vertAlign w:val="superscript"/>
                      <w:lang w:val="en-US" w:eastAsia="zh-CN"/>
                      <w14:textFill>
                        <w14:solidFill>
                          <w14:schemeClr w14:val="tx1"/>
                        </w14:solidFill>
                      </w14:textFill>
                    </w:rPr>
                    <w:t>2</w:t>
                  </w:r>
                  <w:r>
                    <w:rPr>
                      <w:rFonts w:hint="eastAsia" w:ascii="宋体" w:hAnsi="宋体" w:eastAsia="宋体" w:cs="宋体"/>
                      <w:color w:val="000000" w:themeColor="text1"/>
                      <w:spacing w:val="-2"/>
                      <w:sz w:val="21"/>
                      <w:szCs w:val="21"/>
                      <w14:textFill>
                        <w14:solidFill>
                          <w14:schemeClr w14:val="tx1"/>
                        </w14:solidFill>
                      </w14:textFill>
                    </w:rPr>
                    <w:t>，建筑面积</w:t>
                  </w:r>
                  <w:r>
                    <w:rPr>
                      <w:rFonts w:hint="eastAsia" w:ascii="宋体" w:hAnsi="宋体" w:eastAsia="宋体" w:cs="宋体"/>
                      <w:color w:val="000000" w:themeColor="text1"/>
                      <w:spacing w:val="-3"/>
                      <w:sz w:val="21"/>
                      <w:szCs w:val="21"/>
                      <w:lang w:val="en-US" w:eastAsia="zh-CN"/>
                      <w14:textFill>
                        <w14:solidFill>
                          <w14:schemeClr w14:val="tx1"/>
                        </w14:solidFill>
                      </w14:textFill>
                    </w:rPr>
                    <w:t>10</w:t>
                  </w:r>
                  <w:r>
                    <w:rPr>
                      <w:rFonts w:hint="eastAsia" w:ascii="宋体" w:hAnsi="宋体" w:eastAsia="宋体" w:cs="宋体"/>
                      <w:color w:val="000000" w:themeColor="text1"/>
                      <w:spacing w:val="5"/>
                      <w:sz w:val="21"/>
                      <w:szCs w:val="21"/>
                      <w14:textFill>
                        <w14:solidFill>
                          <w14:schemeClr w14:val="tx1"/>
                        </w14:solidFill>
                      </w14:textFill>
                    </w:rPr>
                    <w:t>m</w:t>
                  </w:r>
                  <w:r>
                    <w:rPr>
                      <w:rFonts w:hint="eastAsia" w:ascii="宋体" w:hAnsi="宋体" w:eastAsia="宋体" w:cs="宋体"/>
                      <w:color w:val="000000" w:themeColor="text1"/>
                      <w:spacing w:val="4"/>
                      <w:sz w:val="21"/>
                      <w:szCs w:val="21"/>
                      <w:vertAlign w:val="superscript"/>
                      <w:lang w:val="en-US" w:eastAsia="zh-CN"/>
                      <w14:textFill>
                        <w14:solidFill>
                          <w14:schemeClr w14:val="tx1"/>
                        </w14:solidFill>
                      </w14:textFill>
                    </w:rPr>
                    <w:t>2</w:t>
                  </w:r>
                  <w:r>
                    <w:rPr>
                      <w:rFonts w:hint="eastAsia" w:ascii="宋体" w:hAnsi="宋体" w:eastAsia="宋体" w:cs="宋体"/>
                      <w:color w:val="000000" w:themeColor="text1"/>
                      <w:spacing w:val="-3"/>
                      <w:sz w:val="21"/>
                      <w:szCs w:val="21"/>
                      <w14:textFill>
                        <w14:solidFill>
                          <w14:schemeClr w14:val="tx1"/>
                        </w14:solidFill>
                      </w14:textFill>
                    </w:rPr>
                    <w:t>。</w:t>
                  </w:r>
                </w:p>
                <w:p w14:paraId="4FF75AD0">
                  <w:pPr>
                    <w:pStyle w:val="52"/>
                    <w:keepNext w:val="0"/>
                    <w:keepLines w:val="0"/>
                    <w:pageBreakBefore w:val="0"/>
                    <w:widowControl/>
                    <w:kinsoku/>
                    <w:wordWrap/>
                    <w:overflowPunct/>
                    <w:topLinePunct w:val="0"/>
                    <w:autoSpaceDE w:val="0"/>
                    <w:autoSpaceDN w:val="0"/>
                    <w:bidi w:val="0"/>
                    <w:adjustRightInd/>
                    <w:snapToGrid/>
                    <w:spacing w:line="220" w:lineRule="atLeast"/>
                    <w:ind w:left="0" w:right="0"/>
                    <w:jc w:val="both"/>
                    <w:textAlignment w:val="baseline"/>
                    <w:rPr>
                      <w:rFonts w:hint="eastAsia" w:ascii="宋体" w:hAnsi="宋体" w:eastAsia="宋体" w:cs="宋体"/>
                      <w:color w:val="000000" w:themeColor="text1"/>
                      <w:spacing w:val="-3"/>
                      <w:sz w:val="21"/>
                      <w:szCs w:val="21"/>
                      <w:lang w:eastAsia="zh-CN"/>
                      <w14:textFill>
                        <w14:solidFill>
                          <w14:schemeClr w14:val="tx1"/>
                        </w14:solidFill>
                      </w14:textFill>
                    </w:rPr>
                  </w:pPr>
                  <w:r>
                    <w:rPr>
                      <w:rFonts w:hint="eastAsia" w:cs="宋体"/>
                      <w:color w:val="000000" w:themeColor="text1"/>
                      <w:spacing w:val="-3"/>
                      <w:sz w:val="21"/>
                      <w:szCs w:val="21"/>
                      <w:lang w:eastAsia="zh-CN"/>
                      <w14:textFill>
                        <w14:solidFill>
                          <w14:schemeClr w14:val="tx1"/>
                        </w14:solidFill>
                      </w14:textFill>
                    </w:rPr>
                    <w:t>无化学实验，仅为水分</w:t>
                  </w:r>
                  <w:r>
                    <w:rPr>
                      <w:rFonts w:hint="eastAsia" w:cs="宋体"/>
                      <w:color w:val="000000" w:themeColor="text1"/>
                      <w:spacing w:val="-3"/>
                      <w:sz w:val="21"/>
                      <w:szCs w:val="21"/>
                      <w:lang w:val="en-US" w:eastAsia="zh-CN"/>
                      <w14:textFill>
                        <w14:solidFill>
                          <w14:schemeClr w14:val="tx1"/>
                        </w14:solidFill>
                      </w14:textFill>
                    </w:rPr>
                    <w:t>和PH</w:t>
                  </w:r>
                  <w:r>
                    <w:rPr>
                      <w:rFonts w:hint="eastAsia" w:cs="宋体"/>
                      <w:color w:val="000000" w:themeColor="text1"/>
                      <w:spacing w:val="-3"/>
                      <w:sz w:val="21"/>
                      <w:szCs w:val="21"/>
                      <w:lang w:eastAsia="zh-CN"/>
                      <w14:textFill>
                        <w14:solidFill>
                          <w14:schemeClr w14:val="tx1"/>
                        </w14:solidFill>
                      </w14:textFill>
                    </w:rPr>
                    <w:t>检测，无危废产生。</w:t>
                  </w:r>
                </w:p>
              </w:tc>
              <w:tc>
                <w:tcPr>
                  <w:tcW w:w="396" w:type="pct"/>
                  <w:tcBorders>
                    <w:tl2br w:val="nil"/>
                    <w:tr2bl w:val="nil"/>
                  </w:tcBorders>
                  <w:noWrap w:val="0"/>
                  <w:vAlign w:val="top"/>
                </w:tcPr>
                <w:p w14:paraId="164C5F7D">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厂房</w:t>
                  </w:r>
                </w:p>
                <w:p w14:paraId="5C48B51F">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利旧</w:t>
                  </w:r>
                </w:p>
              </w:tc>
            </w:tr>
            <w:tr w14:paraId="0E8BDA0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3" w:type="pct"/>
                  <w:vMerge w:val="restart"/>
                  <w:tcBorders>
                    <w:tl2br w:val="nil"/>
                    <w:tr2bl w:val="nil"/>
                  </w:tcBorders>
                  <w:noWrap w:val="0"/>
                  <w:vAlign w:val="top"/>
                </w:tcPr>
                <w:p w14:paraId="604B3DF7">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7BAB13EB">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6C225713">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公用工程</w:t>
                  </w:r>
                </w:p>
              </w:tc>
              <w:tc>
                <w:tcPr>
                  <w:tcW w:w="555" w:type="pct"/>
                  <w:tcBorders>
                    <w:tl2br w:val="nil"/>
                    <w:tr2bl w:val="nil"/>
                  </w:tcBorders>
                  <w:noWrap w:val="0"/>
                  <w:vAlign w:val="top"/>
                </w:tcPr>
                <w:p w14:paraId="64EA7C19">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给水</w:t>
                  </w:r>
                </w:p>
              </w:tc>
              <w:tc>
                <w:tcPr>
                  <w:tcW w:w="3860" w:type="pct"/>
                  <w:gridSpan w:val="2"/>
                  <w:tcBorders>
                    <w:tl2br w:val="nil"/>
                    <w:tr2bl w:val="nil"/>
                  </w:tcBorders>
                  <w:noWrap w:val="0"/>
                  <w:vAlign w:val="top"/>
                </w:tcPr>
                <w:p w14:paraId="625B77FF">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由园区供水管网提供</w:t>
                  </w:r>
                </w:p>
              </w:tc>
            </w:tr>
            <w:tr w14:paraId="6C3A68E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83" w:type="pct"/>
                  <w:vMerge w:val="continue"/>
                  <w:tcBorders>
                    <w:tl2br w:val="nil"/>
                    <w:tr2bl w:val="nil"/>
                  </w:tcBorders>
                  <w:noWrap w:val="0"/>
                  <w:vAlign w:val="top"/>
                </w:tcPr>
                <w:p w14:paraId="1DAA495F">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5E4A74D3">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排水</w:t>
                  </w:r>
                </w:p>
              </w:tc>
              <w:tc>
                <w:tcPr>
                  <w:tcW w:w="3860" w:type="pct"/>
                  <w:gridSpan w:val="2"/>
                  <w:tcBorders>
                    <w:tl2br w:val="nil"/>
                    <w:tr2bl w:val="nil"/>
                  </w:tcBorders>
                  <w:noWrap w:val="0"/>
                  <w:vAlign w:val="top"/>
                </w:tcPr>
                <w:p w14:paraId="24555B04">
                  <w:pPr>
                    <w:pStyle w:val="52"/>
                    <w:keepNext w:val="0"/>
                    <w:keepLines w:val="0"/>
                    <w:pageBreakBefore w:val="0"/>
                    <w:widowControl/>
                    <w:kinsoku/>
                    <w:wordWrap/>
                    <w:overflowPunct/>
                    <w:topLinePunct w:val="0"/>
                    <w:autoSpaceDE w:val="0"/>
                    <w:autoSpaceDN w:val="0"/>
                    <w:bidi w:val="0"/>
                    <w:adjustRightInd/>
                    <w:snapToGrid/>
                    <w:spacing w:line="220" w:lineRule="atLeast"/>
                    <w:ind w:left="0" w:right="0"/>
                    <w:jc w:val="both"/>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生活污水排入市政污水管网；</w:t>
                  </w:r>
                  <w:r>
                    <w:rPr>
                      <w:rFonts w:hint="eastAsia" w:ascii="宋体" w:hAnsi="宋体" w:eastAsia="宋体" w:cs="宋体"/>
                      <w:color w:val="000000" w:themeColor="text1"/>
                      <w:spacing w:val="7"/>
                      <w:sz w:val="21"/>
                      <w:szCs w:val="21"/>
                      <w:lang w:val="en-US" w:eastAsia="zh-CN"/>
                      <w14:textFill>
                        <w14:solidFill>
                          <w14:schemeClr w14:val="tx1"/>
                        </w14:solidFill>
                      </w14:textFill>
                    </w:rPr>
                    <w:t>生产污水</w:t>
                  </w:r>
                  <w:r>
                    <w:rPr>
                      <w:rFonts w:hint="eastAsia" w:ascii="宋体" w:hAnsi="宋体" w:eastAsia="宋体" w:cs="宋体"/>
                      <w:color w:val="000000" w:themeColor="text1"/>
                      <w:spacing w:val="7"/>
                      <w:sz w:val="21"/>
                      <w:szCs w:val="21"/>
                      <w14:textFill>
                        <w14:solidFill>
                          <w14:schemeClr w14:val="tx1"/>
                        </w14:solidFill>
                      </w14:textFill>
                    </w:rPr>
                    <w:t>进入企业污水处理</w:t>
                  </w:r>
                  <w:r>
                    <w:rPr>
                      <w:rFonts w:hint="eastAsia" w:cs="宋体"/>
                      <w:color w:val="000000" w:themeColor="text1"/>
                      <w:spacing w:val="7"/>
                      <w:sz w:val="21"/>
                      <w:szCs w:val="21"/>
                      <w:lang w:val="en-US" w:eastAsia="zh-CN"/>
                      <w14:textFill>
                        <w14:solidFill>
                          <w14:schemeClr w14:val="tx1"/>
                        </w14:solidFill>
                      </w14:textFill>
                    </w:rPr>
                    <w:t>系统</w:t>
                  </w:r>
                  <w:r>
                    <w:rPr>
                      <w:rFonts w:hint="eastAsia" w:ascii="宋体" w:hAnsi="宋体" w:eastAsia="宋体" w:cs="宋体"/>
                      <w:color w:val="000000" w:themeColor="text1"/>
                      <w:spacing w:val="7"/>
                      <w:sz w:val="21"/>
                      <w:szCs w:val="21"/>
                      <w14:textFill>
                        <w14:solidFill>
                          <w14:schemeClr w14:val="tx1"/>
                        </w14:solidFill>
                      </w14:textFill>
                    </w:rPr>
                    <w:t>达标后，部分回用，部分排入园区污水管网，经</w:t>
                  </w:r>
                  <w:r>
                    <w:rPr>
                      <w:rFonts w:hint="eastAsia" w:ascii="宋体" w:hAnsi="宋体" w:eastAsia="宋体" w:cs="宋体"/>
                      <w:color w:val="000000" w:themeColor="text1"/>
                      <w:spacing w:val="7"/>
                      <w:sz w:val="21"/>
                      <w:szCs w:val="21"/>
                      <w:lang w:val="en-US" w:eastAsia="zh-CN"/>
                      <w14:textFill>
                        <w14:solidFill>
                          <w14:schemeClr w14:val="tx1"/>
                        </w14:solidFill>
                      </w14:textFill>
                    </w:rPr>
                    <w:t>四平市</w:t>
                  </w:r>
                  <w:r>
                    <w:rPr>
                      <w:rFonts w:hint="eastAsia" w:ascii="宋体" w:hAnsi="宋体" w:eastAsia="宋体" w:cs="宋体"/>
                      <w:color w:val="000000" w:themeColor="text1"/>
                      <w:spacing w:val="8"/>
                      <w:sz w:val="21"/>
                      <w:szCs w:val="21"/>
                      <w14:textFill>
                        <w14:solidFill>
                          <w14:schemeClr w14:val="tx1"/>
                        </w14:solidFill>
                      </w14:textFill>
                    </w:rPr>
                    <w:t>污水处理厂处理后，排入</w:t>
                  </w:r>
                  <w:r>
                    <w:rPr>
                      <w:rFonts w:hint="eastAsia" w:ascii="宋体" w:hAnsi="宋体" w:eastAsia="宋体" w:cs="宋体"/>
                      <w:color w:val="000000" w:themeColor="text1"/>
                      <w:spacing w:val="8"/>
                      <w:sz w:val="21"/>
                      <w:szCs w:val="21"/>
                      <w:lang w:val="en-US" w:eastAsia="zh-CN"/>
                      <w14:textFill>
                        <w14:solidFill>
                          <w14:schemeClr w14:val="tx1"/>
                        </w14:solidFill>
                      </w14:textFill>
                    </w:rPr>
                    <w:t>条子</w:t>
                  </w:r>
                  <w:r>
                    <w:rPr>
                      <w:rFonts w:hint="eastAsia" w:ascii="宋体" w:hAnsi="宋体" w:eastAsia="宋体" w:cs="宋体"/>
                      <w:color w:val="000000" w:themeColor="text1"/>
                      <w:spacing w:val="8"/>
                      <w:sz w:val="21"/>
                      <w:szCs w:val="21"/>
                      <w14:textFill>
                        <w14:solidFill>
                          <w14:schemeClr w14:val="tx1"/>
                        </w14:solidFill>
                      </w14:textFill>
                    </w:rPr>
                    <w:t>河。</w:t>
                  </w:r>
                </w:p>
              </w:tc>
            </w:tr>
            <w:tr w14:paraId="3A07344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83" w:type="pct"/>
                  <w:vMerge w:val="continue"/>
                  <w:tcBorders>
                    <w:tl2br w:val="nil"/>
                    <w:tr2bl w:val="nil"/>
                  </w:tcBorders>
                  <w:noWrap w:val="0"/>
                  <w:vAlign w:val="top"/>
                </w:tcPr>
                <w:p w14:paraId="7390F56C">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10941000">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燃气</w:t>
                  </w:r>
                </w:p>
              </w:tc>
              <w:tc>
                <w:tcPr>
                  <w:tcW w:w="3860" w:type="pct"/>
                  <w:gridSpan w:val="2"/>
                  <w:tcBorders>
                    <w:tl2br w:val="nil"/>
                    <w:tr2bl w:val="nil"/>
                  </w:tcBorders>
                  <w:noWrap w:val="0"/>
                  <w:vAlign w:val="top"/>
                </w:tcPr>
                <w:p w14:paraId="3917EC9D">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项目以天然气为主要燃料，供气由园区供气管网提供。</w:t>
                  </w:r>
                </w:p>
              </w:tc>
            </w:tr>
            <w:tr w14:paraId="30D3A1F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83" w:type="pct"/>
                  <w:vMerge w:val="continue"/>
                  <w:tcBorders>
                    <w:tl2br w:val="nil"/>
                    <w:tr2bl w:val="nil"/>
                  </w:tcBorders>
                  <w:noWrap w:val="0"/>
                  <w:vAlign w:val="top"/>
                </w:tcPr>
                <w:p w14:paraId="0DB28A2A">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1F64494D">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供电</w:t>
                  </w:r>
                </w:p>
              </w:tc>
              <w:tc>
                <w:tcPr>
                  <w:tcW w:w="3860" w:type="pct"/>
                  <w:gridSpan w:val="2"/>
                  <w:tcBorders>
                    <w:tl2br w:val="nil"/>
                    <w:tr2bl w:val="nil"/>
                  </w:tcBorders>
                  <w:noWrap w:val="0"/>
                  <w:vAlign w:val="top"/>
                </w:tcPr>
                <w:p w14:paraId="46912E2C">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由园区供电系统提供，设配电室</w:t>
                  </w:r>
                  <w:r>
                    <w:rPr>
                      <w:rFonts w:hint="eastAsia" w:ascii="宋体" w:hAnsi="宋体" w:eastAsia="宋体" w:cs="宋体"/>
                      <w:color w:val="000000" w:themeColor="text1"/>
                      <w:spacing w:val="-23"/>
                      <w:sz w:val="21"/>
                      <w:szCs w:val="21"/>
                      <w14:textFill>
                        <w14:solidFill>
                          <w14:schemeClr w14:val="tx1"/>
                        </w14:solidFill>
                      </w14:textFill>
                    </w:rPr>
                    <w:t xml:space="preserve"> </w:t>
                  </w:r>
                  <w:r>
                    <w:rPr>
                      <w:rFonts w:hint="eastAsia" w:ascii="宋体" w:hAnsi="宋体" w:eastAsia="宋体" w:cs="宋体"/>
                      <w:color w:val="000000" w:themeColor="text1"/>
                      <w:spacing w:val="5"/>
                      <w:sz w:val="21"/>
                      <w:szCs w:val="21"/>
                      <w14:textFill>
                        <w14:solidFill>
                          <w14:schemeClr w14:val="tx1"/>
                        </w14:solidFill>
                      </w14:textFill>
                    </w:rPr>
                    <w:t>1处，变压</w:t>
                  </w:r>
                  <w:r>
                    <w:rPr>
                      <w:rFonts w:hint="eastAsia" w:ascii="宋体" w:hAnsi="宋体" w:eastAsia="宋体" w:cs="宋体"/>
                      <w:color w:val="000000" w:themeColor="text1"/>
                      <w:spacing w:val="4"/>
                      <w:sz w:val="21"/>
                      <w:szCs w:val="21"/>
                      <w14:textFill>
                        <w14:solidFill>
                          <w14:schemeClr w14:val="tx1"/>
                        </w14:solidFill>
                      </w14:textFill>
                    </w:rPr>
                    <w:t>器</w:t>
                  </w:r>
                  <w:r>
                    <w:rPr>
                      <w:rFonts w:hint="eastAsia" w:ascii="宋体" w:hAnsi="宋体" w:eastAsia="宋体" w:cs="宋体"/>
                      <w:color w:val="000000" w:themeColor="text1"/>
                      <w:spacing w:val="-23"/>
                      <w:sz w:val="21"/>
                      <w:szCs w:val="21"/>
                      <w14:textFill>
                        <w14:solidFill>
                          <w14:schemeClr w14:val="tx1"/>
                        </w14:solidFill>
                      </w14:textFill>
                    </w:rPr>
                    <w:t xml:space="preserve"> </w:t>
                  </w:r>
                  <w:r>
                    <w:rPr>
                      <w:rFonts w:hint="eastAsia" w:ascii="宋体" w:hAnsi="宋体" w:eastAsia="宋体" w:cs="宋体"/>
                      <w:color w:val="000000" w:themeColor="text1"/>
                      <w:spacing w:val="4"/>
                      <w:sz w:val="21"/>
                      <w:szCs w:val="21"/>
                      <w14:textFill>
                        <w14:solidFill>
                          <w14:schemeClr w14:val="tx1"/>
                        </w14:solidFill>
                      </w14:textFill>
                    </w:rPr>
                    <w:t>1250</w:t>
                  </w:r>
                  <w:r>
                    <w:rPr>
                      <w:rFonts w:hint="eastAsia" w:ascii="宋体" w:hAnsi="宋体" w:eastAsia="宋体" w:cs="宋体"/>
                      <w:color w:val="000000" w:themeColor="text1"/>
                      <w:sz w:val="21"/>
                      <w:szCs w:val="21"/>
                      <w14:textFill>
                        <w14:solidFill>
                          <w14:schemeClr w14:val="tx1"/>
                        </w14:solidFill>
                      </w14:textFill>
                    </w:rPr>
                    <w:t>KVA</w:t>
                  </w:r>
                  <w:r>
                    <w:rPr>
                      <w:rFonts w:hint="eastAsia" w:ascii="宋体" w:hAnsi="宋体" w:eastAsia="宋体" w:cs="宋体"/>
                      <w:color w:val="000000" w:themeColor="text1"/>
                      <w:spacing w:val="4"/>
                      <w:sz w:val="21"/>
                      <w:szCs w:val="21"/>
                      <w14:textFill>
                        <w14:solidFill>
                          <w14:schemeClr w14:val="tx1"/>
                        </w14:solidFill>
                      </w14:textFill>
                    </w:rPr>
                    <w:t>1台，</w:t>
                  </w:r>
                </w:p>
              </w:tc>
            </w:tr>
            <w:tr w14:paraId="6CEDCF4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583" w:type="pct"/>
                  <w:vMerge w:val="continue"/>
                  <w:tcBorders>
                    <w:tl2br w:val="nil"/>
                    <w:tr2bl w:val="nil"/>
                  </w:tcBorders>
                  <w:noWrap w:val="0"/>
                  <w:vAlign w:val="top"/>
                </w:tcPr>
                <w:p w14:paraId="3224CAA4">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694A43AE">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供暖</w:t>
                  </w:r>
                </w:p>
              </w:tc>
              <w:tc>
                <w:tcPr>
                  <w:tcW w:w="3860" w:type="pct"/>
                  <w:gridSpan w:val="2"/>
                  <w:tcBorders>
                    <w:tl2br w:val="nil"/>
                    <w:tr2bl w:val="nil"/>
                  </w:tcBorders>
                  <w:noWrap w:val="0"/>
                  <w:vAlign w:val="top"/>
                </w:tcPr>
                <w:p w14:paraId="2131DA11">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项目冬季生产车间不供暖，办公室电取暖。</w:t>
                  </w:r>
                </w:p>
              </w:tc>
            </w:tr>
            <w:tr w14:paraId="601C836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pct"/>
                  <w:vMerge w:val="restart"/>
                  <w:tcBorders>
                    <w:tl2br w:val="nil"/>
                    <w:tr2bl w:val="nil"/>
                  </w:tcBorders>
                  <w:noWrap w:val="0"/>
                  <w:vAlign w:val="top"/>
                </w:tcPr>
                <w:p w14:paraId="402221B0">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22304BDD">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储运工程</w:t>
                  </w:r>
                </w:p>
              </w:tc>
              <w:tc>
                <w:tcPr>
                  <w:tcW w:w="555" w:type="pct"/>
                  <w:tcBorders>
                    <w:tl2br w:val="nil"/>
                    <w:tr2bl w:val="nil"/>
                  </w:tcBorders>
                  <w:noWrap w:val="0"/>
                  <w:vAlign w:val="top"/>
                </w:tcPr>
                <w:p w14:paraId="29D85FE8">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储罐区</w:t>
                  </w:r>
                </w:p>
              </w:tc>
              <w:tc>
                <w:tcPr>
                  <w:tcW w:w="3464" w:type="pct"/>
                  <w:tcBorders>
                    <w:tl2br w:val="nil"/>
                    <w:tr2bl w:val="nil"/>
                  </w:tcBorders>
                  <w:noWrap w:val="0"/>
                  <w:vAlign w:val="top"/>
                </w:tcPr>
                <w:p w14:paraId="15254D83">
                  <w:pPr>
                    <w:pStyle w:val="52"/>
                    <w:keepNext w:val="0"/>
                    <w:keepLines w:val="0"/>
                    <w:pageBreakBefore w:val="0"/>
                    <w:widowControl/>
                    <w:kinsoku/>
                    <w:wordWrap/>
                    <w:overflowPunct/>
                    <w:topLinePunct w:val="0"/>
                    <w:autoSpaceDE w:val="0"/>
                    <w:autoSpaceDN w:val="0"/>
                    <w:bidi w:val="0"/>
                    <w:adjustRightInd/>
                    <w:snapToGrid/>
                    <w:spacing w:line="220" w:lineRule="atLeast"/>
                    <w:ind w:left="0" w:right="0"/>
                    <w:jc w:val="both"/>
                    <w:textAlignment w:val="baseline"/>
                    <w:rPr>
                      <w:rFonts w:hint="eastAsia" w:ascii="宋体" w:hAnsi="宋体" w:eastAsia="宋体" w:cs="宋体"/>
                      <w:color w:val="000000" w:themeColor="text1"/>
                      <w:spacing w:val="5"/>
                      <w:sz w:val="21"/>
                      <w:szCs w:val="21"/>
                      <w14:textFill>
                        <w14:solidFill>
                          <w14:schemeClr w14:val="tx1"/>
                        </w14:solidFill>
                      </w14:textFill>
                    </w:rPr>
                  </w:pPr>
                  <w:r>
                    <w:rPr>
                      <w:rFonts w:hint="eastAsia" w:cs="宋体"/>
                      <w:color w:val="000000" w:themeColor="text1"/>
                      <w:spacing w:val="4"/>
                      <w:sz w:val="21"/>
                      <w:szCs w:val="21"/>
                      <w:lang w:val="en-US" w:eastAsia="zh-CN"/>
                      <w14:textFill>
                        <w14:solidFill>
                          <w14:schemeClr w14:val="tx1"/>
                        </w14:solidFill>
                      </w14:textFill>
                    </w:rPr>
                    <w:t>硫酸储罐</w:t>
                  </w:r>
                  <w:r>
                    <w:rPr>
                      <w:rFonts w:hint="eastAsia" w:ascii="宋体" w:hAnsi="宋体" w:eastAsia="宋体" w:cs="宋体"/>
                      <w:color w:val="000000" w:themeColor="text1"/>
                      <w:spacing w:val="4"/>
                      <w:sz w:val="21"/>
                      <w:szCs w:val="21"/>
                      <w14:textFill>
                        <w14:solidFill>
                          <w14:schemeClr w14:val="tx1"/>
                        </w14:solidFill>
                      </w14:textFill>
                    </w:rPr>
                    <w:t>位于生产厂房</w:t>
                  </w:r>
                  <w:r>
                    <w:rPr>
                      <w:rFonts w:hint="eastAsia" w:cs="宋体"/>
                      <w:color w:val="000000" w:themeColor="text1"/>
                      <w:spacing w:val="4"/>
                      <w:sz w:val="21"/>
                      <w:szCs w:val="21"/>
                      <w:lang w:val="en-US" w:eastAsia="zh-CN"/>
                      <w14:textFill>
                        <w14:solidFill>
                          <w14:schemeClr w14:val="tx1"/>
                        </w14:solidFill>
                      </w14:textFill>
                    </w:rPr>
                    <w:t>西部</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B050"/>
                      <w:spacing w:val="4"/>
                      <w:sz w:val="21"/>
                      <w:szCs w:val="21"/>
                      <w:u w:val="single"/>
                      <w:lang w:val="en-US" w:eastAsia="zh-CN"/>
                    </w:rPr>
                    <w:t>一个60</w:t>
                  </w:r>
                  <w:r>
                    <w:rPr>
                      <w:rFonts w:hint="eastAsia" w:ascii="宋体" w:hAnsi="宋体" w:eastAsia="宋体" w:cs="宋体"/>
                      <w:color w:val="00B050"/>
                      <w:spacing w:val="-36"/>
                      <w:sz w:val="21"/>
                      <w:szCs w:val="21"/>
                      <w:u w:val="single"/>
                    </w:rPr>
                    <w:t xml:space="preserve"> </w:t>
                  </w:r>
                  <w:r>
                    <w:rPr>
                      <w:rFonts w:hint="eastAsia" w:ascii="宋体" w:hAnsi="宋体" w:eastAsia="宋体" w:cs="宋体"/>
                      <w:color w:val="00B050"/>
                      <w:spacing w:val="4"/>
                      <w:sz w:val="21"/>
                      <w:szCs w:val="21"/>
                      <w:u w:val="single"/>
                    </w:rPr>
                    <w:t>m</w:t>
                  </w:r>
                  <w:r>
                    <w:rPr>
                      <w:rFonts w:hint="eastAsia" w:ascii="宋体" w:hAnsi="宋体" w:eastAsia="宋体" w:cs="宋体"/>
                      <w:color w:val="00B050"/>
                      <w:spacing w:val="4"/>
                      <w:sz w:val="21"/>
                      <w:szCs w:val="21"/>
                      <w:u w:val="single"/>
                      <w:vertAlign w:val="superscript"/>
                      <w:lang w:val="en-US" w:eastAsia="zh-CN"/>
                    </w:rPr>
                    <w:t>3</w:t>
                  </w:r>
                  <w:r>
                    <w:rPr>
                      <w:rFonts w:hint="eastAsia" w:ascii="宋体" w:hAnsi="宋体" w:eastAsia="宋体" w:cs="宋体"/>
                      <w:color w:val="00B050"/>
                      <w:spacing w:val="4"/>
                      <w:sz w:val="21"/>
                      <w:szCs w:val="21"/>
                    </w:rPr>
                    <w:t>。</w:t>
                  </w:r>
                  <w:r>
                    <w:rPr>
                      <w:rFonts w:hint="eastAsia" w:ascii="宋体" w:hAnsi="宋体" w:eastAsia="宋体" w:cs="宋体"/>
                      <w:color w:val="000000" w:themeColor="text1"/>
                      <w:spacing w:val="5"/>
                      <w:sz w:val="21"/>
                      <w:szCs w:val="21"/>
                      <w14:textFill>
                        <w14:solidFill>
                          <w14:schemeClr w14:val="tx1"/>
                        </w14:solidFill>
                      </w14:textFill>
                    </w:rPr>
                    <w:t>储罐为地上式</w:t>
                  </w:r>
                </w:p>
                <w:p w14:paraId="4EE7E9EA">
                  <w:pPr>
                    <w:pStyle w:val="52"/>
                    <w:keepNext w:val="0"/>
                    <w:keepLines w:val="0"/>
                    <w:pageBreakBefore w:val="0"/>
                    <w:widowControl/>
                    <w:kinsoku/>
                    <w:wordWrap/>
                    <w:overflowPunct/>
                    <w:topLinePunct w:val="0"/>
                    <w:autoSpaceDE w:val="0"/>
                    <w:autoSpaceDN w:val="0"/>
                    <w:bidi w:val="0"/>
                    <w:adjustRightInd/>
                    <w:snapToGrid/>
                    <w:spacing w:line="220" w:lineRule="atLeast"/>
                    <w:ind w:left="0" w:right="0"/>
                    <w:jc w:val="both"/>
                    <w:textAlignment w:val="baseline"/>
                    <w:rPr>
                      <w:rFonts w:hint="default" w:ascii="宋体" w:hAnsi="宋体" w:eastAsia="宋体" w:cs="宋体"/>
                      <w:color w:val="000000" w:themeColor="text1"/>
                      <w:spacing w:val="5"/>
                      <w:sz w:val="21"/>
                      <w:szCs w:val="21"/>
                      <w:lang w:val="en-US" w:eastAsia="zh-CN"/>
                      <w14:textFill>
                        <w14:solidFill>
                          <w14:schemeClr w14:val="tx1"/>
                        </w14:solidFill>
                      </w14:textFill>
                    </w:rPr>
                  </w:pPr>
                  <w:r>
                    <w:rPr>
                      <w:rFonts w:hint="eastAsia" w:cs="宋体"/>
                      <w:color w:val="00B050"/>
                      <w:spacing w:val="5"/>
                      <w:sz w:val="21"/>
                      <w:szCs w:val="21"/>
                      <w:u w:val="single"/>
                      <w:lang w:val="en-US" w:eastAsia="zh-CN"/>
                    </w:rPr>
                    <w:t>围堰</w:t>
                  </w:r>
                  <w:r>
                    <w:rPr>
                      <w:rFonts w:hint="eastAsia" w:ascii="宋体" w:hAnsi="宋体" w:eastAsia="宋体" w:cs="宋体"/>
                      <w:color w:val="00B050"/>
                      <w:spacing w:val="4"/>
                      <w:sz w:val="21"/>
                      <w:szCs w:val="21"/>
                      <w:u w:val="single"/>
                      <w:lang w:val="en-US" w:eastAsia="zh-CN"/>
                    </w:rPr>
                    <w:t>60</w:t>
                  </w:r>
                  <w:r>
                    <w:rPr>
                      <w:rFonts w:hint="eastAsia" w:ascii="宋体" w:hAnsi="宋体" w:eastAsia="宋体" w:cs="宋体"/>
                      <w:color w:val="00B050"/>
                      <w:spacing w:val="-36"/>
                      <w:sz w:val="21"/>
                      <w:szCs w:val="21"/>
                      <w:u w:val="single"/>
                    </w:rPr>
                    <w:t xml:space="preserve"> </w:t>
                  </w:r>
                  <w:r>
                    <w:rPr>
                      <w:rFonts w:hint="eastAsia" w:ascii="宋体" w:hAnsi="宋体" w:eastAsia="宋体" w:cs="宋体"/>
                      <w:color w:val="00B050"/>
                      <w:spacing w:val="4"/>
                      <w:sz w:val="21"/>
                      <w:szCs w:val="21"/>
                      <w:u w:val="single"/>
                    </w:rPr>
                    <w:t>m</w:t>
                  </w:r>
                  <w:r>
                    <w:rPr>
                      <w:rFonts w:hint="eastAsia" w:ascii="宋体" w:hAnsi="宋体" w:eastAsia="宋体" w:cs="宋体"/>
                      <w:color w:val="00B050"/>
                      <w:spacing w:val="4"/>
                      <w:sz w:val="21"/>
                      <w:szCs w:val="21"/>
                      <w:u w:val="single"/>
                      <w:vertAlign w:val="superscript"/>
                      <w:lang w:val="en-US" w:eastAsia="zh-CN"/>
                    </w:rPr>
                    <w:t>2</w:t>
                  </w:r>
                  <w:r>
                    <w:rPr>
                      <w:rFonts w:hint="eastAsia" w:ascii="宋体" w:hAnsi="宋体" w:eastAsia="宋体" w:cs="宋体"/>
                      <w:color w:val="00B050"/>
                      <w:spacing w:val="4"/>
                      <w:sz w:val="21"/>
                      <w:szCs w:val="21"/>
                      <w:u w:val="single"/>
                    </w:rPr>
                    <w:t>，</w:t>
                  </w:r>
                  <w:r>
                    <w:rPr>
                      <w:rFonts w:hint="eastAsia" w:ascii="宋体" w:hAnsi="宋体" w:eastAsia="宋体" w:cs="宋体"/>
                      <w:color w:val="00B050"/>
                      <w:spacing w:val="4"/>
                      <w:sz w:val="21"/>
                      <w:szCs w:val="21"/>
                      <w:u w:val="single"/>
                      <w:lang w:val="en-US" w:eastAsia="zh-CN"/>
                    </w:rPr>
                    <w:t>高为1.5m</w:t>
                  </w:r>
                  <w:r>
                    <w:rPr>
                      <w:rFonts w:hint="eastAsia" w:ascii="宋体" w:hAnsi="宋体" w:eastAsia="宋体" w:cs="宋体"/>
                      <w:color w:val="00B050"/>
                      <w:spacing w:val="8"/>
                      <w:sz w:val="21"/>
                      <w:szCs w:val="21"/>
                      <w:u w:val="single"/>
                    </w:rPr>
                    <w:t>。</w:t>
                  </w:r>
                </w:p>
              </w:tc>
              <w:tc>
                <w:tcPr>
                  <w:tcW w:w="396" w:type="pct"/>
                  <w:tcBorders>
                    <w:tl2br w:val="nil"/>
                    <w:tr2bl w:val="nil"/>
                  </w:tcBorders>
                  <w:noWrap w:val="0"/>
                  <w:vAlign w:val="top"/>
                </w:tcPr>
                <w:p w14:paraId="1529F399">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新建</w:t>
                  </w:r>
                </w:p>
              </w:tc>
            </w:tr>
            <w:tr w14:paraId="72C7559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583" w:type="pct"/>
                  <w:vMerge w:val="continue"/>
                  <w:tcBorders>
                    <w:tl2br w:val="nil"/>
                    <w:tr2bl w:val="nil"/>
                  </w:tcBorders>
                  <w:noWrap w:val="0"/>
                  <w:vAlign w:val="top"/>
                </w:tcPr>
                <w:p w14:paraId="10E723C5">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48E5D2A7">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原料</w:t>
                  </w:r>
                  <w:r>
                    <w:rPr>
                      <w:rFonts w:hint="eastAsia" w:cs="宋体"/>
                      <w:color w:val="000000" w:themeColor="text1"/>
                      <w:spacing w:val="3"/>
                      <w:sz w:val="21"/>
                      <w:szCs w:val="21"/>
                      <w:lang w:eastAsia="zh-CN"/>
                      <w14:textFill>
                        <w14:solidFill>
                          <w14:schemeClr w14:val="tx1"/>
                        </w14:solidFill>
                      </w14:textFill>
                    </w:rPr>
                    <w:t>区</w:t>
                  </w:r>
                </w:p>
              </w:tc>
              <w:tc>
                <w:tcPr>
                  <w:tcW w:w="3464" w:type="pct"/>
                  <w:tcBorders>
                    <w:tl2br w:val="nil"/>
                    <w:tr2bl w:val="nil"/>
                  </w:tcBorders>
                  <w:noWrap w:val="0"/>
                  <w:vAlign w:val="top"/>
                </w:tcPr>
                <w:p w14:paraId="6F97A7C0">
                  <w:pPr>
                    <w:pStyle w:val="52"/>
                    <w:keepNext w:val="0"/>
                    <w:keepLines w:val="0"/>
                    <w:pageBreakBefore w:val="0"/>
                    <w:widowControl/>
                    <w:kinsoku/>
                    <w:wordWrap/>
                    <w:overflowPunct/>
                    <w:topLinePunct w:val="0"/>
                    <w:autoSpaceDE w:val="0"/>
                    <w:autoSpaceDN w:val="0"/>
                    <w:bidi w:val="0"/>
                    <w:adjustRightInd/>
                    <w:snapToGrid/>
                    <w:spacing w:line="220" w:lineRule="atLeast"/>
                    <w:ind w:left="0" w:right="0"/>
                    <w:jc w:val="both"/>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位于生产厂房内北部，</w:t>
                  </w:r>
                  <w:r>
                    <w:rPr>
                      <w:rFonts w:hint="eastAsia" w:ascii="宋体" w:hAnsi="宋体" w:eastAsia="宋体" w:cs="宋体"/>
                      <w:color w:val="000000" w:themeColor="text1"/>
                      <w:spacing w:val="3"/>
                      <w:sz w:val="21"/>
                      <w:szCs w:val="21"/>
                      <w:highlight w:val="none"/>
                      <w14:textFill>
                        <w14:solidFill>
                          <w14:schemeClr w14:val="tx1"/>
                        </w14:solidFill>
                      </w14:textFill>
                    </w:rPr>
                    <w:t>占地面积约为</w:t>
                  </w:r>
                  <w:r>
                    <w:rPr>
                      <w:rFonts w:hint="eastAsia" w:cs="宋体"/>
                      <w:color w:val="000000" w:themeColor="text1"/>
                      <w:spacing w:val="3"/>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m</w:t>
                  </w:r>
                  <w:r>
                    <w:rPr>
                      <w:rFonts w:hint="eastAsia" w:ascii="宋体" w:hAnsi="宋体" w:eastAsia="宋体" w:cs="宋体"/>
                      <w:color w:val="000000" w:themeColor="text1"/>
                      <w:spacing w:val="4"/>
                      <w:sz w:val="21"/>
                      <w:szCs w:val="21"/>
                      <w:highlight w:val="none"/>
                      <w:vertAlign w:val="superscript"/>
                      <w:lang w:val="en-US" w:eastAsia="zh-CN"/>
                      <w14:textFill>
                        <w14:solidFill>
                          <w14:schemeClr w14:val="tx1"/>
                        </w14:solidFill>
                      </w14:textFill>
                    </w:rPr>
                    <w:t>2</w:t>
                  </w:r>
                  <w:r>
                    <w:rPr>
                      <w:rFonts w:hint="eastAsia" w:ascii="宋体" w:hAnsi="宋体" w:eastAsia="宋体" w:cs="宋体"/>
                      <w:color w:val="000000" w:themeColor="text1"/>
                      <w:spacing w:val="2"/>
                      <w:sz w:val="21"/>
                      <w:szCs w:val="21"/>
                      <w14:textFill>
                        <w14:solidFill>
                          <w14:schemeClr w14:val="tx1"/>
                        </w14:solidFill>
                      </w14:textFill>
                    </w:rPr>
                    <w:t>，主</w:t>
                  </w:r>
                  <w:r>
                    <w:rPr>
                      <w:rFonts w:hint="eastAsia" w:ascii="宋体" w:hAnsi="宋体" w:eastAsia="宋体" w:cs="宋体"/>
                      <w:color w:val="000000" w:themeColor="text1"/>
                      <w:spacing w:val="9"/>
                      <w:sz w:val="21"/>
                      <w:szCs w:val="21"/>
                      <w14:textFill>
                        <w14:solidFill>
                          <w14:schemeClr w14:val="tx1"/>
                        </w14:solidFill>
                      </w14:textFill>
                    </w:rPr>
                    <w:t>要存放石墨</w:t>
                  </w:r>
                  <w:r>
                    <w:rPr>
                      <w:rFonts w:hint="eastAsia" w:cs="宋体"/>
                      <w:color w:val="000000" w:themeColor="text1"/>
                      <w:spacing w:val="9"/>
                      <w:sz w:val="21"/>
                      <w:szCs w:val="21"/>
                      <w:lang w:eastAsia="zh-CN"/>
                      <w14:textFill>
                        <w14:solidFill>
                          <w14:schemeClr w14:val="tx1"/>
                        </w14:solidFill>
                      </w14:textFill>
                    </w:rPr>
                    <w:t>、氢氧化钙等</w:t>
                  </w:r>
                  <w:r>
                    <w:rPr>
                      <w:rFonts w:hint="eastAsia" w:ascii="宋体" w:hAnsi="宋体" w:eastAsia="宋体" w:cs="宋体"/>
                      <w:color w:val="000000" w:themeColor="text1"/>
                      <w:spacing w:val="9"/>
                      <w:sz w:val="21"/>
                      <w:szCs w:val="21"/>
                      <w14:textFill>
                        <w14:solidFill>
                          <w14:schemeClr w14:val="tx1"/>
                        </w14:solidFill>
                      </w14:textFill>
                    </w:rPr>
                    <w:t>。</w:t>
                  </w:r>
                  <w:r>
                    <w:rPr>
                      <w:rFonts w:hint="eastAsia" w:cs="宋体"/>
                      <w:color w:val="000000" w:themeColor="text1"/>
                      <w:spacing w:val="9"/>
                      <w:sz w:val="21"/>
                      <w:szCs w:val="21"/>
                      <w:lang w:eastAsia="zh-CN"/>
                      <w14:textFill>
                        <w14:solidFill>
                          <w14:schemeClr w14:val="tx1"/>
                        </w14:solidFill>
                      </w14:textFill>
                    </w:rPr>
                    <w:t>均为</w:t>
                  </w:r>
                  <w:r>
                    <w:rPr>
                      <w:rFonts w:hint="eastAsia" w:ascii="宋体" w:hAnsi="宋体" w:eastAsia="宋体" w:cs="宋体"/>
                      <w:color w:val="000000" w:themeColor="text1"/>
                      <w:spacing w:val="9"/>
                      <w:sz w:val="21"/>
                      <w:szCs w:val="21"/>
                      <w14:textFill>
                        <w14:solidFill>
                          <w14:schemeClr w14:val="tx1"/>
                        </w14:solidFill>
                      </w14:textFill>
                    </w:rPr>
                    <w:t>袋包装</w:t>
                  </w:r>
                </w:p>
              </w:tc>
              <w:tc>
                <w:tcPr>
                  <w:tcW w:w="396" w:type="pct"/>
                  <w:tcBorders>
                    <w:tl2br w:val="nil"/>
                    <w:tr2bl w:val="nil"/>
                  </w:tcBorders>
                  <w:noWrap w:val="0"/>
                  <w:vAlign w:val="top"/>
                </w:tcPr>
                <w:p w14:paraId="04BC93D6">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厂房</w:t>
                  </w:r>
                </w:p>
                <w:p w14:paraId="7DDC3C2B">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利旧</w:t>
                  </w:r>
                </w:p>
              </w:tc>
            </w:tr>
            <w:tr w14:paraId="139836F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83" w:type="pct"/>
                  <w:vMerge w:val="continue"/>
                  <w:tcBorders>
                    <w:tl2br w:val="nil"/>
                    <w:tr2bl w:val="nil"/>
                  </w:tcBorders>
                  <w:noWrap w:val="0"/>
                  <w:vAlign w:val="top"/>
                </w:tcPr>
                <w:p w14:paraId="20B12791">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5E7744D7">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成品</w:t>
                  </w:r>
                  <w:r>
                    <w:rPr>
                      <w:rFonts w:hint="eastAsia" w:cs="宋体"/>
                      <w:color w:val="000000" w:themeColor="text1"/>
                      <w:spacing w:val="6"/>
                      <w:sz w:val="21"/>
                      <w:szCs w:val="21"/>
                      <w:lang w:eastAsia="zh-CN"/>
                      <w14:textFill>
                        <w14:solidFill>
                          <w14:schemeClr w14:val="tx1"/>
                        </w14:solidFill>
                      </w14:textFill>
                    </w:rPr>
                    <w:t>区</w:t>
                  </w:r>
                </w:p>
              </w:tc>
              <w:tc>
                <w:tcPr>
                  <w:tcW w:w="3464" w:type="pct"/>
                  <w:tcBorders>
                    <w:tl2br w:val="nil"/>
                    <w:tr2bl w:val="nil"/>
                  </w:tcBorders>
                  <w:noWrap w:val="0"/>
                  <w:vAlign w:val="top"/>
                </w:tcPr>
                <w:p w14:paraId="3BE2763E">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位于生产厂房</w:t>
                  </w:r>
                  <w:r>
                    <w:rPr>
                      <w:rFonts w:hint="eastAsia" w:ascii="宋体" w:hAnsi="宋体" w:eastAsia="宋体" w:cs="宋体"/>
                      <w:color w:val="000000" w:themeColor="text1"/>
                      <w:spacing w:val="5"/>
                      <w:sz w:val="21"/>
                      <w:szCs w:val="21"/>
                      <w:lang w:val="en-US" w:eastAsia="zh-CN"/>
                      <w14:textFill>
                        <w14:solidFill>
                          <w14:schemeClr w14:val="tx1"/>
                        </w14:solidFill>
                      </w14:textFill>
                    </w:rPr>
                    <w:t>东</w:t>
                  </w:r>
                  <w:r>
                    <w:rPr>
                      <w:rFonts w:hint="eastAsia" w:ascii="宋体" w:hAnsi="宋体" w:eastAsia="宋体" w:cs="宋体"/>
                      <w:color w:val="000000" w:themeColor="text1"/>
                      <w:spacing w:val="5"/>
                      <w:sz w:val="21"/>
                      <w:szCs w:val="21"/>
                      <w14:textFill>
                        <w14:solidFill>
                          <w14:schemeClr w14:val="tx1"/>
                        </w14:solidFill>
                      </w14:textFill>
                    </w:rPr>
                    <w:t>部，</w:t>
                  </w:r>
                  <w:r>
                    <w:rPr>
                      <w:rFonts w:hint="eastAsia" w:ascii="宋体" w:hAnsi="宋体" w:eastAsia="宋体" w:cs="宋体"/>
                      <w:color w:val="000000" w:themeColor="text1"/>
                      <w:spacing w:val="-49"/>
                      <w:sz w:val="21"/>
                      <w:szCs w:val="21"/>
                      <w14:textFill>
                        <w14:solidFill>
                          <w14:schemeClr w14:val="tx1"/>
                        </w14:solidFill>
                      </w14:textFill>
                    </w:rPr>
                    <w:t xml:space="preserve"> </w:t>
                  </w:r>
                  <w:r>
                    <w:rPr>
                      <w:rFonts w:hint="eastAsia" w:ascii="宋体" w:hAnsi="宋体" w:eastAsia="宋体" w:cs="宋体"/>
                      <w:color w:val="000000" w:themeColor="text1"/>
                      <w:spacing w:val="5"/>
                      <w:sz w:val="21"/>
                      <w:szCs w:val="21"/>
                      <w14:textFill>
                        <w14:solidFill>
                          <w14:schemeClr w14:val="tx1"/>
                        </w14:solidFill>
                      </w14:textFill>
                    </w:rPr>
                    <w:t>占地面积</w:t>
                  </w:r>
                  <w:r>
                    <w:rPr>
                      <w:rFonts w:hint="eastAsia" w:ascii="宋体" w:hAnsi="宋体" w:eastAsia="宋体" w:cs="宋体"/>
                      <w:color w:val="000000" w:themeColor="text1"/>
                      <w:spacing w:val="5"/>
                      <w:sz w:val="21"/>
                      <w:szCs w:val="21"/>
                      <w:highlight w:val="none"/>
                      <w14:textFill>
                        <w14:solidFill>
                          <w14:schemeClr w14:val="tx1"/>
                        </w14:solidFill>
                      </w14:textFill>
                    </w:rPr>
                    <w:t>约为</w:t>
                  </w:r>
                  <w:r>
                    <w:rPr>
                      <w:rFonts w:hint="eastAsia" w:cs="宋体"/>
                      <w:color w:val="000000" w:themeColor="text1"/>
                      <w:spacing w:val="5"/>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pacing w:val="-3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14:textFill>
                        <w14:solidFill>
                          <w14:schemeClr w14:val="tx1"/>
                        </w14:solidFill>
                      </w14:textFill>
                    </w:rPr>
                    <w:t>m</w:t>
                  </w:r>
                  <w:r>
                    <w:rPr>
                      <w:rFonts w:hint="eastAsia" w:ascii="宋体" w:hAnsi="宋体" w:eastAsia="宋体" w:cs="宋体"/>
                      <w:color w:val="000000" w:themeColor="text1"/>
                      <w:spacing w:val="4"/>
                      <w:sz w:val="21"/>
                      <w:szCs w:val="21"/>
                      <w:highlight w:val="none"/>
                      <w:vertAlign w:val="superscript"/>
                      <w:lang w:val="en-US" w:eastAsia="zh-CN"/>
                      <w14:textFill>
                        <w14:solidFill>
                          <w14:schemeClr w14:val="tx1"/>
                        </w14:solidFill>
                      </w14:textFill>
                    </w:rPr>
                    <w:t>2</w:t>
                  </w:r>
                  <w:r>
                    <w:rPr>
                      <w:rFonts w:hint="eastAsia" w:ascii="宋体" w:hAnsi="宋体" w:eastAsia="宋体" w:cs="宋体"/>
                      <w:color w:val="000000" w:themeColor="text1"/>
                      <w:spacing w:val="5"/>
                      <w:sz w:val="21"/>
                      <w:szCs w:val="21"/>
                      <w14:textFill>
                        <w14:solidFill>
                          <w14:schemeClr w14:val="tx1"/>
                        </w14:solidFill>
                      </w14:textFill>
                    </w:rPr>
                    <w:t>，主</w:t>
                  </w:r>
                  <w:r>
                    <w:rPr>
                      <w:rFonts w:hint="eastAsia" w:ascii="宋体" w:hAnsi="宋体" w:eastAsia="宋体" w:cs="宋体"/>
                      <w:color w:val="000000" w:themeColor="text1"/>
                      <w:spacing w:val="8"/>
                      <w:sz w:val="21"/>
                      <w:szCs w:val="21"/>
                      <w14:textFill>
                        <w14:solidFill>
                          <w14:schemeClr w14:val="tx1"/>
                        </w14:solidFill>
                      </w14:textFill>
                    </w:rPr>
                    <w:t>要存放石墨成品。石墨采用吨袋包装。</w:t>
                  </w:r>
                </w:p>
              </w:tc>
              <w:tc>
                <w:tcPr>
                  <w:tcW w:w="396" w:type="pct"/>
                  <w:tcBorders>
                    <w:tl2br w:val="nil"/>
                    <w:tr2bl w:val="nil"/>
                  </w:tcBorders>
                  <w:noWrap w:val="0"/>
                  <w:vAlign w:val="top"/>
                </w:tcPr>
                <w:p w14:paraId="10449CAB">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厂房</w:t>
                  </w:r>
                </w:p>
                <w:p w14:paraId="78673535">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利旧</w:t>
                  </w:r>
                </w:p>
              </w:tc>
            </w:tr>
            <w:tr w14:paraId="3FBAFE1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83" w:type="pct"/>
                  <w:vMerge w:val="continue"/>
                  <w:tcBorders>
                    <w:tl2br w:val="nil"/>
                    <w:tr2bl w:val="nil"/>
                  </w:tcBorders>
                  <w:noWrap w:val="0"/>
                  <w:vAlign w:val="top"/>
                </w:tcPr>
                <w:p w14:paraId="47BF4C38">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09D16D9E">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cs="宋体"/>
                      <w:color w:val="000000" w:themeColor="text1"/>
                      <w:spacing w:val="6"/>
                      <w:sz w:val="21"/>
                      <w:szCs w:val="21"/>
                      <w:lang w:val="en-US" w:eastAsia="zh-CN"/>
                      <w14:textFill>
                        <w14:solidFill>
                          <w14:schemeClr w14:val="tx1"/>
                        </w14:solidFill>
                      </w14:textFill>
                    </w:rPr>
                    <w:t>一般固废区</w:t>
                  </w:r>
                </w:p>
              </w:tc>
              <w:tc>
                <w:tcPr>
                  <w:tcW w:w="3464" w:type="pct"/>
                  <w:tcBorders>
                    <w:tl2br w:val="nil"/>
                    <w:tr2bl w:val="nil"/>
                  </w:tcBorders>
                  <w:noWrap w:val="0"/>
                  <w:vAlign w:val="top"/>
                </w:tcPr>
                <w:p w14:paraId="5A62D5CF">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位于生产厂房</w:t>
                  </w:r>
                  <w:r>
                    <w:rPr>
                      <w:rFonts w:hint="eastAsia" w:ascii="宋体" w:hAnsi="宋体" w:eastAsia="宋体" w:cs="宋体"/>
                      <w:color w:val="000000" w:themeColor="text1"/>
                      <w:spacing w:val="5"/>
                      <w:sz w:val="21"/>
                      <w:szCs w:val="21"/>
                      <w:lang w:val="en-US" w:eastAsia="zh-CN"/>
                      <w14:textFill>
                        <w14:solidFill>
                          <w14:schemeClr w14:val="tx1"/>
                        </w14:solidFill>
                      </w14:textFill>
                    </w:rPr>
                    <w:t>东</w:t>
                  </w:r>
                  <w:r>
                    <w:rPr>
                      <w:rFonts w:hint="eastAsia" w:cs="宋体"/>
                      <w:color w:val="000000" w:themeColor="text1"/>
                      <w:spacing w:val="5"/>
                      <w:sz w:val="21"/>
                      <w:szCs w:val="21"/>
                      <w:lang w:val="en-US" w:eastAsia="zh-CN"/>
                      <w14:textFill>
                        <w14:solidFill>
                          <w14:schemeClr w14:val="tx1"/>
                        </w14:solidFill>
                      </w14:textFill>
                    </w:rPr>
                    <w:t>南</w:t>
                  </w:r>
                  <w:r>
                    <w:rPr>
                      <w:rFonts w:hint="eastAsia" w:ascii="宋体" w:hAnsi="宋体" w:eastAsia="宋体" w:cs="宋体"/>
                      <w:color w:val="000000" w:themeColor="text1"/>
                      <w:spacing w:val="5"/>
                      <w:sz w:val="21"/>
                      <w:szCs w:val="21"/>
                      <w14:textFill>
                        <w14:solidFill>
                          <w14:schemeClr w14:val="tx1"/>
                        </w14:solidFill>
                      </w14:textFill>
                    </w:rPr>
                    <w:t>部，</w:t>
                  </w:r>
                  <w:r>
                    <w:rPr>
                      <w:rFonts w:hint="eastAsia" w:ascii="宋体" w:hAnsi="宋体" w:eastAsia="宋体" w:cs="宋体"/>
                      <w:color w:val="000000" w:themeColor="text1"/>
                      <w:spacing w:val="-49"/>
                      <w:sz w:val="21"/>
                      <w:szCs w:val="21"/>
                      <w14:textFill>
                        <w14:solidFill>
                          <w14:schemeClr w14:val="tx1"/>
                        </w14:solidFill>
                      </w14:textFill>
                    </w:rPr>
                    <w:t xml:space="preserve"> </w:t>
                  </w:r>
                  <w:r>
                    <w:rPr>
                      <w:rFonts w:hint="eastAsia" w:ascii="宋体" w:hAnsi="宋体" w:eastAsia="宋体" w:cs="宋体"/>
                      <w:color w:val="000000" w:themeColor="text1"/>
                      <w:spacing w:val="5"/>
                      <w:sz w:val="21"/>
                      <w:szCs w:val="21"/>
                      <w14:textFill>
                        <w14:solidFill>
                          <w14:schemeClr w14:val="tx1"/>
                        </w14:solidFill>
                      </w14:textFill>
                    </w:rPr>
                    <w:t>占地面积</w:t>
                  </w:r>
                  <w:r>
                    <w:rPr>
                      <w:rFonts w:hint="eastAsia" w:ascii="宋体" w:hAnsi="宋体" w:eastAsia="宋体" w:cs="宋体"/>
                      <w:color w:val="000000" w:themeColor="text1"/>
                      <w:spacing w:val="5"/>
                      <w:sz w:val="21"/>
                      <w:szCs w:val="21"/>
                      <w:highlight w:val="none"/>
                      <w14:textFill>
                        <w14:solidFill>
                          <w14:schemeClr w14:val="tx1"/>
                        </w14:solidFill>
                      </w14:textFill>
                    </w:rPr>
                    <w:t>约为</w:t>
                  </w:r>
                  <w:r>
                    <w:rPr>
                      <w:rFonts w:hint="eastAsia" w:cs="宋体"/>
                      <w:color w:val="000000" w:themeColor="text1"/>
                      <w:spacing w:val="5"/>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pacing w:val="-3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14:textFill>
                        <w14:solidFill>
                          <w14:schemeClr w14:val="tx1"/>
                        </w14:solidFill>
                      </w14:textFill>
                    </w:rPr>
                    <w:t>m</w:t>
                  </w:r>
                  <w:r>
                    <w:rPr>
                      <w:rFonts w:hint="eastAsia" w:ascii="宋体" w:hAnsi="宋体" w:eastAsia="宋体" w:cs="宋体"/>
                      <w:color w:val="000000" w:themeColor="text1"/>
                      <w:spacing w:val="4"/>
                      <w:sz w:val="21"/>
                      <w:szCs w:val="21"/>
                      <w:highlight w:val="none"/>
                      <w:vertAlign w:val="superscript"/>
                      <w:lang w:val="en-US" w:eastAsia="zh-CN"/>
                      <w14:textFill>
                        <w14:solidFill>
                          <w14:schemeClr w14:val="tx1"/>
                        </w14:solidFill>
                      </w14:textFill>
                    </w:rPr>
                    <w:t>2</w:t>
                  </w:r>
                  <w:r>
                    <w:rPr>
                      <w:rFonts w:hint="eastAsia" w:ascii="宋体" w:hAnsi="宋体" w:eastAsia="宋体" w:cs="宋体"/>
                      <w:color w:val="000000" w:themeColor="text1"/>
                      <w:spacing w:val="5"/>
                      <w:sz w:val="21"/>
                      <w:szCs w:val="21"/>
                      <w14:textFill>
                        <w14:solidFill>
                          <w14:schemeClr w14:val="tx1"/>
                        </w14:solidFill>
                      </w14:textFill>
                    </w:rPr>
                    <w:t>，主</w:t>
                  </w:r>
                  <w:r>
                    <w:rPr>
                      <w:rFonts w:hint="eastAsia" w:ascii="宋体" w:hAnsi="宋体" w:eastAsia="宋体" w:cs="宋体"/>
                      <w:color w:val="000000" w:themeColor="text1"/>
                      <w:spacing w:val="8"/>
                      <w:sz w:val="21"/>
                      <w:szCs w:val="21"/>
                      <w14:textFill>
                        <w14:solidFill>
                          <w14:schemeClr w14:val="tx1"/>
                        </w14:solidFill>
                      </w14:textFill>
                    </w:rPr>
                    <w:t>要存放</w:t>
                  </w:r>
                  <w:r>
                    <w:rPr>
                      <w:rFonts w:hint="eastAsia" w:cs="宋体"/>
                      <w:color w:val="000000" w:themeColor="text1"/>
                      <w:spacing w:val="8"/>
                      <w:sz w:val="21"/>
                      <w:szCs w:val="21"/>
                      <w:lang w:val="en-US" w:eastAsia="zh-CN"/>
                      <w14:textFill>
                        <w14:solidFill>
                          <w14:schemeClr w14:val="tx1"/>
                        </w14:solidFill>
                      </w14:textFill>
                    </w:rPr>
                    <w:t>污水处理污泥以及脱酸中和沉淀物（硫酸钙）</w:t>
                  </w:r>
                  <w:r>
                    <w:rPr>
                      <w:rFonts w:hint="eastAsia" w:ascii="宋体" w:hAnsi="宋体" w:eastAsia="宋体" w:cs="宋体"/>
                      <w:color w:val="000000" w:themeColor="text1"/>
                      <w:spacing w:val="8"/>
                      <w:sz w:val="21"/>
                      <w:szCs w:val="21"/>
                      <w14:textFill>
                        <w14:solidFill>
                          <w14:schemeClr w14:val="tx1"/>
                        </w14:solidFill>
                      </w14:textFill>
                    </w:rPr>
                    <w:t>。</w:t>
                  </w:r>
                </w:p>
              </w:tc>
              <w:tc>
                <w:tcPr>
                  <w:tcW w:w="396" w:type="pct"/>
                  <w:tcBorders>
                    <w:tl2br w:val="nil"/>
                    <w:tr2bl w:val="nil"/>
                  </w:tcBorders>
                  <w:noWrap w:val="0"/>
                  <w:vAlign w:val="top"/>
                </w:tcPr>
                <w:p w14:paraId="346AA029">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pacing w:val="4"/>
                      <w:sz w:val="21"/>
                      <w:szCs w:val="21"/>
                      <w14:textFill>
                        <w14:solidFill>
                          <w14:schemeClr w14:val="tx1"/>
                        </w14:solidFill>
                      </w14:textFill>
                    </w:rPr>
                  </w:pPr>
                </w:p>
              </w:tc>
            </w:tr>
            <w:tr w14:paraId="0DDE009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83" w:type="pct"/>
                  <w:vMerge w:val="continue"/>
                  <w:tcBorders>
                    <w:tl2br w:val="nil"/>
                    <w:tr2bl w:val="nil"/>
                  </w:tcBorders>
                  <w:noWrap w:val="0"/>
                  <w:vAlign w:val="top"/>
                </w:tcPr>
                <w:p w14:paraId="453657F5">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0A7DF12E">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厂区运输</w:t>
                  </w:r>
                </w:p>
              </w:tc>
              <w:tc>
                <w:tcPr>
                  <w:tcW w:w="3464" w:type="pct"/>
                  <w:tcBorders>
                    <w:tl2br w:val="nil"/>
                    <w:tr2bl w:val="nil"/>
                  </w:tcBorders>
                  <w:noWrap w:val="0"/>
                  <w:vAlign w:val="top"/>
                </w:tcPr>
                <w:p w14:paraId="2EEB6BD2">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厂区内原辅材料运输均为叉车，共设</w:t>
                  </w:r>
                  <w:r>
                    <w:rPr>
                      <w:rFonts w:hint="eastAsia" w:ascii="宋体" w:hAnsi="宋体" w:eastAsia="宋体" w:cs="宋体"/>
                      <w:color w:val="000000" w:themeColor="text1"/>
                      <w:spacing w:val="-3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3台叉车</w:t>
                  </w:r>
                  <w:r>
                    <w:rPr>
                      <w:rFonts w:hint="eastAsia" w:ascii="宋体" w:hAnsi="宋体" w:eastAsia="宋体" w:cs="宋体"/>
                      <w:color w:val="000000" w:themeColor="text1"/>
                      <w:spacing w:val="7"/>
                      <w:sz w:val="21"/>
                      <w:szCs w:val="21"/>
                      <w14:textFill>
                        <w14:solidFill>
                          <w14:schemeClr w14:val="tx1"/>
                        </w14:solidFill>
                      </w14:textFill>
                    </w:rPr>
                    <w:t>。</w:t>
                  </w:r>
                </w:p>
              </w:tc>
              <w:tc>
                <w:tcPr>
                  <w:tcW w:w="396" w:type="pct"/>
                  <w:tcBorders>
                    <w:tl2br w:val="nil"/>
                    <w:tr2bl w:val="nil"/>
                  </w:tcBorders>
                  <w:noWrap w:val="0"/>
                  <w:vAlign w:val="top"/>
                </w:tcPr>
                <w:p w14:paraId="069D8150">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w:t>
                  </w:r>
                </w:p>
              </w:tc>
            </w:tr>
            <w:tr w14:paraId="4B6522B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83" w:type="pct"/>
                  <w:vMerge w:val="restart"/>
                  <w:tcBorders>
                    <w:tl2br w:val="nil"/>
                    <w:tr2bl w:val="nil"/>
                  </w:tcBorders>
                  <w:noWrap w:val="0"/>
                  <w:vAlign w:val="top"/>
                </w:tcPr>
                <w:p w14:paraId="7D6E3728">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2906C855">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3085D2BE">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349B4EB3">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5897475C">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77C127FD">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184CAD5C">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02E8775F">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4F9E2CE4">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2062AFC1">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29287120">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23E9273E">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2C81B84D">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6732C40F">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553B34A3">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6809ACE2">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4B1E3414">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环保工</w:t>
                  </w:r>
                  <w:r>
                    <w:rPr>
                      <w:rFonts w:hint="eastAsia" w:ascii="宋体" w:hAnsi="宋体" w:eastAsia="宋体" w:cs="宋体"/>
                      <w:color w:val="000000" w:themeColor="text1"/>
                      <w:spacing w:val="7"/>
                      <w:sz w:val="21"/>
                      <w:szCs w:val="21"/>
                      <w14:textFill>
                        <w14:solidFill>
                          <w14:schemeClr w14:val="tx1"/>
                        </w14:solidFill>
                      </w14:textFill>
                    </w:rPr>
                    <w:t>程</w:t>
                  </w:r>
                </w:p>
              </w:tc>
              <w:tc>
                <w:tcPr>
                  <w:tcW w:w="555" w:type="pct"/>
                  <w:tcBorders>
                    <w:tl2br w:val="nil"/>
                    <w:tr2bl w:val="nil"/>
                  </w:tcBorders>
                  <w:noWrap w:val="0"/>
                  <w:vAlign w:val="top"/>
                </w:tcPr>
                <w:p w14:paraId="10A8F330">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089A2ACC">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废气治理</w:t>
                  </w:r>
                </w:p>
              </w:tc>
              <w:tc>
                <w:tcPr>
                  <w:tcW w:w="3464" w:type="pct"/>
                  <w:tcBorders>
                    <w:tl2br w:val="nil"/>
                    <w:tr2bl w:val="nil"/>
                  </w:tcBorders>
                  <w:noWrap w:val="0"/>
                  <w:vAlign w:val="top"/>
                </w:tcPr>
                <w:p w14:paraId="25B19F6A">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共设置</w:t>
                  </w:r>
                  <w:r>
                    <w:rPr>
                      <w:rFonts w:hint="eastAsia" w:ascii="宋体" w:hAnsi="宋体" w:eastAsia="宋体" w:cs="宋体"/>
                      <w:color w:val="000000" w:themeColor="text1"/>
                      <w:spacing w:val="-22"/>
                      <w:sz w:val="21"/>
                      <w:szCs w:val="21"/>
                      <w14:textFill>
                        <w14:solidFill>
                          <w14:schemeClr w14:val="tx1"/>
                        </w14:solidFill>
                      </w14:textFill>
                    </w:rPr>
                    <w:t xml:space="preserve"> </w:t>
                  </w:r>
                  <w:r>
                    <w:rPr>
                      <w:rFonts w:hint="eastAsia"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套布袋除尘器和</w:t>
                  </w:r>
                  <w:r>
                    <w:rPr>
                      <w:rFonts w:hint="eastAsia" w:ascii="宋体" w:hAnsi="宋体" w:eastAsia="宋体" w:cs="宋体"/>
                      <w:color w:val="000000" w:themeColor="text1"/>
                      <w:spacing w:val="-24"/>
                      <w:sz w:val="21"/>
                      <w:szCs w:val="21"/>
                      <w14:textFill>
                        <w14:solidFill>
                          <w14:schemeClr w14:val="tx1"/>
                        </w14:solidFill>
                      </w14:textFill>
                    </w:rPr>
                    <w:t xml:space="preserve"> </w:t>
                  </w:r>
                  <w:r>
                    <w:rPr>
                      <w:rFonts w:hint="eastAsia" w:ascii="宋体" w:hAnsi="宋体" w:eastAsia="宋体" w:cs="宋体"/>
                      <w:color w:val="000000" w:themeColor="text1"/>
                      <w:spacing w:val="5"/>
                      <w:sz w:val="21"/>
                      <w:szCs w:val="21"/>
                      <w14:textFill>
                        <w14:solidFill>
                          <w14:schemeClr w14:val="tx1"/>
                        </w14:solidFill>
                      </w14:textFill>
                    </w:rPr>
                    <w:t>1</w:t>
                  </w:r>
                  <w:r>
                    <w:rPr>
                      <w:rFonts w:hint="eastAsia" w:ascii="宋体" w:hAnsi="宋体" w:eastAsia="宋体" w:cs="宋体"/>
                      <w:color w:val="000000" w:themeColor="text1"/>
                      <w:spacing w:val="-37"/>
                      <w:sz w:val="21"/>
                      <w:szCs w:val="21"/>
                      <w14:textFill>
                        <w14:solidFill>
                          <w14:schemeClr w14:val="tx1"/>
                        </w14:solidFill>
                      </w14:textFill>
                    </w:rPr>
                    <w:t xml:space="preserve"> </w:t>
                  </w:r>
                  <w:r>
                    <w:rPr>
                      <w:rFonts w:hint="eastAsia" w:ascii="宋体" w:hAnsi="宋体" w:eastAsia="宋体" w:cs="宋体"/>
                      <w:color w:val="000000" w:themeColor="text1"/>
                      <w:spacing w:val="5"/>
                      <w:sz w:val="21"/>
                      <w:szCs w:val="21"/>
                      <w14:textFill>
                        <w14:solidFill>
                          <w14:schemeClr w14:val="tx1"/>
                        </w14:solidFill>
                      </w14:textFill>
                    </w:rPr>
                    <w:t>套酸雾喷淋设施。</w:t>
                  </w:r>
                </w:p>
                <w:p w14:paraId="6F53C714">
                  <w:pPr>
                    <w:pStyle w:val="52"/>
                    <w:keepNext w:val="0"/>
                    <w:keepLines w:val="0"/>
                    <w:pageBreakBefore w:val="0"/>
                    <w:widowControl/>
                    <w:kinsoku/>
                    <w:wordWrap/>
                    <w:overflowPunct/>
                    <w:topLinePunct w:val="0"/>
                    <w:autoSpaceDE w:val="0"/>
                    <w:autoSpaceDN w:val="0"/>
                    <w:bidi w:val="0"/>
                    <w:adjustRightInd/>
                    <w:snapToGrid/>
                    <w:spacing w:line="220" w:lineRule="atLeast"/>
                    <w:ind w:left="0" w:right="0" w:firstLine="5"/>
                    <w:textAlignment w:val="baseline"/>
                    <w:rPr>
                      <w:rFonts w:hint="default" w:ascii="宋体" w:hAnsi="宋体" w:eastAsia="宋体" w:cs="宋体"/>
                      <w:color w:val="000000" w:themeColor="text1"/>
                      <w:spacing w:val="7"/>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插层釜</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压滤脱酸</w:t>
                  </w:r>
                  <w:r>
                    <w:rPr>
                      <w:rFonts w:hint="eastAsia" w:cs="宋体"/>
                      <w:color w:val="000000" w:themeColor="text1"/>
                      <w:sz w:val="21"/>
                      <w:szCs w:val="21"/>
                      <w:highlight w:val="none"/>
                      <w:lang w:eastAsia="zh-CN"/>
                      <w14:textFill>
                        <w14:solidFill>
                          <w14:schemeClr w14:val="tx1"/>
                        </w14:solidFill>
                      </w14:textFill>
                    </w:rPr>
                    <w:t>分别</w:t>
                  </w:r>
                  <w:r>
                    <w:rPr>
                      <w:rFonts w:hint="eastAsia" w:ascii="宋体" w:hAnsi="宋体" w:eastAsia="宋体" w:cs="宋体"/>
                      <w:color w:val="000000" w:themeColor="text1"/>
                      <w:spacing w:val="5"/>
                      <w:sz w:val="21"/>
                      <w:szCs w:val="21"/>
                      <w:highlight w:val="none"/>
                      <w14:textFill>
                        <w14:solidFill>
                          <w14:schemeClr w14:val="tx1"/>
                        </w14:solidFill>
                      </w14:textFill>
                    </w:rPr>
                    <w:t>设</w:t>
                  </w:r>
                  <w:r>
                    <w:rPr>
                      <w:rFonts w:hint="eastAsia" w:ascii="宋体" w:hAnsi="宋体" w:eastAsia="宋体" w:cs="宋体"/>
                      <w:color w:val="000000" w:themeColor="text1"/>
                      <w:spacing w:val="5"/>
                      <w:sz w:val="21"/>
                      <w:szCs w:val="21"/>
                      <w14:textFill>
                        <w14:solidFill>
                          <w14:schemeClr w14:val="tx1"/>
                        </w14:solidFill>
                      </w14:textFill>
                    </w:rPr>
                    <w:t>置</w:t>
                  </w:r>
                  <w:r>
                    <w:rPr>
                      <w:rFonts w:hint="eastAsia" w:cs="宋体"/>
                      <w:color w:val="000000" w:themeColor="text1"/>
                      <w:spacing w:val="5"/>
                      <w:sz w:val="21"/>
                      <w:szCs w:val="21"/>
                      <w:lang w:eastAsia="zh-CN"/>
                      <w14:textFill>
                        <w14:solidFill>
                          <w14:schemeClr w14:val="tx1"/>
                        </w14:solidFill>
                      </w14:textFill>
                    </w:rPr>
                    <w:t>集气罩，经</w:t>
                  </w:r>
                  <w:r>
                    <w:rPr>
                      <w:rFonts w:hint="eastAsia" w:ascii="宋体" w:hAnsi="宋体" w:eastAsia="宋体" w:cs="宋体"/>
                      <w:color w:val="000000" w:themeColor="text1"/>
                      <w:spacing w:val="5"/>
                      <w:sz w:val="21"/>
                      <w:szCs w:val="21"/>
                      <w14:textFill>
                        <w14:solidFill>
                          <w14:schemeClr w14:val="tx1"/>
                        </w14:solidFill>
                      </w14:textFill>
                    </w:rPr>
                    <w:t>一套酸雾喷淋设施</w:t>
                  </w:r>
                  <w:r>
                    <w:rPr>
                      <w:rFonts w:hint="eastAsia" w:cs="宋体"/>
                      <w:color w:val="000000" w:themeColor="text1"/>
                      <w:spacing w:val="5"/>
                      <w:sz w:val="21"/>
                      <w:szCs w:val="21"/>
                      <w:lang w:val="en-US" w:eastAsia="zh-CN"/>
                      <w14:textFill>
                        <w14:solidFill>
                          <w14:schemeClr w14:val="tx1"/>
                        </w14:solidFill>
                      </w14:textFill>
                    </w:rPr>
                    <w:t>处理后</w:t>
                  </w:r>
                  <w:r>
                    <w:rPr>
                      <w:rFonts w:hint="eastAsia" w:ascii="宋体" w:hAnsi="宋体" w:eastAsia="宋体" w:cs="宋体"/>
                      <w:color w:val="000000" w:themeColor="text1"/>
                      <w:spacing w:val="5"/>
                      <w:sz w:val="21"/>
                      <w:szCs w:val="21"/>
                      <w14:textFill>
                        <w14:solidFill>
                          <w14:schemeClr w14:val="tx1"/>
                        </w14:solidFill>
                      </w14:textFill>
                    </w:rPr>
                    <w:t>通过15m高</w:t>
                  </w:r>
                  <w:r>
                    <w:rPr>
                      <w:rFonts w:hint="eastAsia" w:ascii="宋体" w:hAnsi="宋体" w:eastAsia="宋体" w:cs="宋体"/>
                      <w:color w:val="000000" w:themeColor="text1"/>
                      <w:sz w:val="21"/>
                      <w:szCs w:val="21"/>
                      <w14:textFill>
                        <w14:solidFill>
                          <w14:schemeClr w14:val="tx1"/>
                        </w14:solidFill>
                      </w14:textFill>
                    </w:rPr>
                    <w:t>DA</w:t>
                  </w:r>
                  <w:r>
                    <w:rPr>
                      <w:rFonts w:hint="eastAsia" w:ascii="宋体" w:hAnsi="宋体" w:eastAsia="宋体" w:cs="宋体"/>
                      <w:color w:val="000000" w:themeColor="text1"/>
                      <w:spacing w:val="7"/>
                      <w:sz w:val="21"/>
                      <w:szCs w:val="21"/>
                      <w14:textFill>
                        <w14:solidFill>
                          <w14:schemeClr w14:val="tx1"/>
                        </w14:solidFill>
                      </w14:textFill>
                    </w:rPr>
                    <w:t>001排气筒排放。</w:t>
                  </w:r>
                  <w:r>
                    <w:rPr>
                      <w:rFonts w:hint="eastAsia" w:cs="宋体"/>
                      <w:color w:val="000000" w:themeColor="text1"/>
                      <w:spacing w:val="7"/>
                      <w:sz w:val="21"/>
                      <w:szCs w:val="21"/>
                      <w:lang w:val="en-US" w:eastAsia="zh-CN"/>
                      <w14:textFill>
                        <w14:solidFill>
                          <w14:schemeClr w14:val="tx1"/>
                        </w14:solidFill>
                      </w14:textFill>
                    </w:rPr>
                    <w:t>插层</w:t>
                  </w:r>
                  <w:r>
                    <w:rPr>
                      <w:rFonts w:hint="eastAsia" w:ascii="宋体" w:hAnsi="宋体" w:eastAsia="宋体" w:cs="宋体"/>
                      <w:color w:val="000000" w:themeColor="text1"/>
                      <w:spacing w:val="6"/>
                      <w:sz w:val="21"/>
                      <w:szCs w:val="21"/>
                      <w:highlight w:val="none"/>
                      <w14:textFill>
                        <w14:solidFill>
                          <w14:schemeClr w14:val="tx1"/>
                        </w14:solidFill>
                      </w14:textFill>
                    </w:rPr>
                    <w:t>釜</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投料粉尘利用</w:t>
                  </w:r>
                  <w:r>
                    <w:rPr>
                      <w:rFonts w:hint="eastAsia" w:ascii="宋体" w:hAnsi="宋体" w:eastAsia="宋体" w:cs="宋体"/>
                      <w:color w:val="000000" w:themeColor="text1"/>
                      <w:spacing w:val="5"/>
                      <w:sz w:val="21"/>
                      <w:szCs w:val="21"/>
                      <w14:textFill>
                        <w14:solidFill>
                          <w14:schemeClr w14:val="tx1"/>
                        </w14:solidFill>
                      </w14:textFill>
                    </w:rPr>
                    <w:t>酸雾喷淋设施</w:t>
                  </w:r>
                  <w:r>
                    <w:rPr>
                      <w:rFonts w:hint="eastAsia" w:ascii="宋体" w:hAnsi="宋体" w:eastAsia="宋体" w:cs="宋体"/>
                      <w:color w:val="000000" w:themeColor="text1"/>
                      <w:spacing w:val="5"/>
                      <w:sz w:val="21"/>
                      <w:szCs w:val="21"/>
                      <w:lang w:val="en-US" w:eastAsia="zh-CN"/>
                      <w14:textFill>
                        <w14:solidFill>
                          <w14:schemeClr w14:val="tx1"/>
                        </w14:solidFill>
                      </w14:textFill>
                    </w:rPr>
                    <w:t>协同处置后经</w:t>
                  </w:r>
                  <w:r>
                    <w:rPr>
                      <w:rFonts w:hint="eastAsia" w:ascii="宋体" w:hAnsi="宋体" w:eastAsia="宋体" w:cs="宋体"/>
                      <w:color w:val="000000" w:themeColor="text1"/>
                      <w:sz w:val="21"/>
                      <w:szCs w:val="21"/>
                      <w14:textFill>
                        <w14:solidFill>
                          <w14:schemeClr w14:val="tx1"/>
                        </w14:solidFill>
                      </w14:textFill>
                    </w:rPr>
                    <w:t>DA</w:t>
                  </w:r>
                  <w:r>
                    <w:rPr>
                      <w:rFonts w:hint="eastAsia" w:ascii="宋体" w:hAnsi="宋体" w:eastAsia="宋体" w:cs="宋体"/>
                      <w:color w:val="000000" w:themeColor="text1"/>
                      <w:spacing w:val="7"/>
                      <w:sz w:val="21"/>
                      <w:szCs w:val="21"/>
                      <w14:textFill>
                        <w14:solidFill>
                          <w14:schemeClr w14:val="tx1"/>
                        </w14:solidFill>
                      </w14:textFill>
                    </w:rPr>
                    <w:t>001排气筒排放。</w:t>
                  </w:r>
                </w:p>
                <w:p w14:paraId="7AE32026">
                  <w:pPr>
                    <w:pStyle w:val="52"/>
                    <w:keepNext w:val="0"/>
                    <w:keepLines w:val="0"/>
                    <w:pageBreakBefore w:val="0"/>
                    <w:widowControl/>
                    <w:kinsoku/>
                    <w:wordWrap/>
                    <w:overflowPunct/>
                    <w:topLinePunct w:val="0"/>
                    <w:autoSpaceDE w:val="0"/>
                    <w:autoSpaceDN w:val="0"/>
                    <w:bidi w:val="0"/>
                    <w:adjustRightInd/>
                    <w:snapToGrid/>
                    <w:spacing w:line="220" w:lineRule="atLeast"/>
                    <w:ind w:left="0" w:right="0" w:firstLine="5"/>
                    <w:textAlignment w:val="baseline"/>
                    <w:rPr>
                      <w:rFonts w:hint="eastAsia" w:ascii="宋体" w:hAnsi="宋体" w:eastAsia="宋体" w:cs="宋体"/>
                      <w:color w:val="000000" w:themeColor="text1"/>
                      <w:spacing w:val="7"/>
                      <w:sz w:val="21"/>
                      <w:szCs w:val="21"/>
                      <w14:textFill>
                        <w14:solidFill>
                          <w14:schemeClr w14:val="tx1"/>
                        </w14:solidFill>
                      </w14:textFill>
                    </w:rPr>
                  </w:pPr>
                  <w:r>
                    <w:rPr>
                      <w:rFonts w:hint="eastAsia" w:cs="宋体"/>
                      <w:color w:val="000000" w:themeColor="text1"/>
                      <w:spacing w:val="7"/>
                      <w:sz w:val="21"/>
                      <w:szCs w:val="21"/>
                      <w:lang w:eastAsia="zh-CN"/>
                      <w14:textFill>
                        <w14:solidFill>
                          <w14:schemeClr w14:val="tx1"/>
                        </w14:solidFill>
                      </w14:textFill>
                    </w:rPr>
                    <w:t>烘干废气经低氮燃烧器治理后</w:t>
                  </w:r>
                  <w:r>
                    <w:rPr>
                      <w:rFonts w:hint="eastAsia" w:ascii="宋体" w:hAnsi="宋体" w:eastAsia="宋体" w:cs="宋体"/>
                      <w:color w:val="000000" w:themeColor="text1"/>
                      <w:spacing w:val="5"/>
                      <w:sz w:val="21"/>
                      <w:szCs w:val="21"/>
                      <w14:textFill>
                        <w14:solidFill>
                          <w14:schemeClr w14:val="tx1"/>
                        </w14:solidFill>
                      </w14:textFill>
                    </w:rPr>
                    <w:t>通过15m高</w:t>
                  </w:r>
                  <w:r>
                    <w:rPr>
                      <w:rFonts w:hint="eastAsia" w:ascii="宋体" w:hAnsi="宋体" w:eastAsia="宋体" w:cs="宋体"/>
                      <w:color w:val="000000" w:themeColor="text1"/>
                      <w:sz w:val="21"/>
                      <w:szCs w:val="21"/>
                      <w14:textFill>
                        <w14:solidFill>
                          <w14:schemeClr w14:val="tx1"/>
                        </w14:solidFill>
                      </w14:textFill>
                    </w:rPr>
                    <w:t>DA</w:t>
                  </w:r>
                  <w:r>
                    <w:rPr>
                      <w:rFonts w:hint="eastAsia" w:ascii="宋体" w:hAnsi="宋体" w:eastAsia="宋体" w:cs="宋体"/>
                      <w:color w:val="000000" w:themeColor="text1"/>
                      <w:spacing w:val="7"/>
                      <w:sz w:val="21"/>
                      <w:szCs w:val="21"/>
                      <w14:textFill>
                        <w14:solidFill>
                          <w14:schemeClr w14:val="tx1"/>
                        </w14:solidFill>
                      </w14:textFill>
                    </w:rPr>
                    <w:t>00</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7"/>
                      <w:sz w:val="21"/>
                      <w:szCs w:val="21"/>
                      <w14:textFill>
                        <w14:solidFill>
                          <w14:schemeClr w14:val="tx1"/>
                        </w14:solidFill>
                      </w14:textFill>
                    </w:rPr>
                    <w:t>排气筒排放。</w:t>
                  </w:r>
                </w:p>
                <w:p w14:paraId="2E4FD3FA">
                  <w:pPr>
                    <w:pStyle w:val="52"/>
                    <w:keepNext w:val="0"/>
                    <w:keepLines w:val="0"/>
                    <w:pageBreakBefore w:val="0"/>
                    <w:widowControl/>
                    <w:kinsoku/>
                    <w:wordWrap/>
                    <w:overflowPunct/>
                    <w:topLinePunct w:val="0"/>
                    <w:autoSpaceDE w:val="0"/>
                    <w:autoSpaceDN w:val="0"/>
                    <w:bidi w:val="0"/>
                    <w:adjustRightInd/>
                    <w:snapToGrid/>
                    <w:spacing w:line="220" w:lineRule="atLeast"/>
                    <w:ind w:left="0" w:right="0" w:hanging="7"/>
                    <w:textAlignment w:val="baseline"/>
                    <w:rPr>
                      <w:rFonts w:hint="eastAsia" w:ascii="宋体" w:hAnsi="宋体" w:eastAsia="宋体" w:cs="宋体"/>
                      <w:color w:val="000000" w:themeColor="text1"/>
                      <w:spacing w:val="7"/>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产品检验筛分工序设置一套布袋除尘器，</w:t>
                  </w:r>
                  <w:r>
                    <w:rPr>
                      <w:rFonts w:hint="eastAsia" w:ascii="宋体" w:hAnsi="宋体" w:eastAsia="宋体" w:cs="宋体"/>
                      <w:color w:val="000000" w:themeColor="text1"/>
                      <w:spacing w:val="4"/>
                      <w:sz w:val="21"/>
                      <w:szCs w:val="21"/>
                      <w:highlight w:val="none"/>
                      <w14:textFill>
                        <w14:solidFill>
                          <w14:schemeClr w14:val="tx1"/>
                        </w14:solidFill>
                      </w14:textFill>
                    </w:rPr>
                    <w:t>通过15m</w:t>
                  </w:r>
                  <w:r>
                    <w:rPr>
                      <w:rFonts w:hint="eastAsia" w:ascii="宋体" w:hAnsi="宋体" w:eastAsia="宋体" w:cs="宋体"/>
                      <w:color w:val="000000" w:themeColor="text1"/>
                      <w:spacing w:val="6"/>
                      <w:sz w:val="21"/>
                      <w:szCs w:val="21"/>
                      <w:highlight w:val="none"/>
                      <w14:textFill>
                        <w14:solidFill>
                          <w14:schemeClr w14:val="tx1"/>
                        </w14:solidFill>
                      </w14:textFill>
                    </w:rPr>
                    <w:t>高</w:t>
                  </w:r>
                  <w:r>
                    <w:rPr>
                      <w:rFonts w:hint="eastAsia" w:ascii="宋体" w:hAnsi="宋体" w:eastAsia="宋体" w:cs="宋体"/>
                      <w:color w:val="000000" w:themeColor="text1"/>
                      <w:spacing w:val="-38"/>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DA</w:t>
                  </w:r>
                  <w:r>
                    <w:rPr>
                      <w:rFonts w:hint="eastAsia" w:ascii="宋体" w:hAnsi="宋体" w:eastAsia="宋体" w:cs="宋体"/>
                      <w:color w:val="000000" w:themeColor="text1"/>
                      <w:spacing w:val="6"/>
                      <w:sz w:val="21"/>
                      <w:szCs w:val="21"/>
                      <w:highlight w:val="none"/>
                      <w14:textFill>
                        <w14:solidFill>
                          <w14:schemeClr w14:val="tx1"/>
                        </w14:solidFill>
                      </w14:textFill>
                    </w:rPr>
                    <w:t>00</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6"/>
                      <w:sz w:val="21"/>
                      <w:szCs w:val="21"/>
                      <w:highlight w:val="none"/>
                      <w14:textFill>
                        <w14:solidFill>
                          <w14:schemeClr w14:val="tx1"/>
                        </w14:solidFill>
                      </w14:textFill>
                    </w:rPr>
                    <w:t>排气筒排放。</w:t>
                  </w:r>
                </w:p>
              </w:tc>
              <w:tc>
                <w:tcPr>
                  <w:tcW w:w="396" w:type="pct"/>
                  <w:tcBorders>
                    <w:tl2br w:val="nil"/>
                    <w:tr2bl w:val="nil"/>
                  </w:tcBorders>
                  <w:noWrap w:val="0"/>
                  <w:vAlign w:val="top"/>
                </w:tcPr>
                <w:p w14:paraId="1C523A0F">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203D3B38">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2B4FC2E0">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49E1FFA0">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1980F515">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新建</w:t>
                  </w:r>
                </w:p>
              </w:tc>
            </w:tr>
            <w:tr w14:paraId="5004269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83" w:type="pct"/>
                  <w:vMerge w:val="continue"/>
                  <w:tcBorders>
                    <w:tl2br w:val="nil"/>
                    <w:tr2bl w:val="nil"/>
                  </w:tcBorders>
                  <w:noWrap w:val="0"/>
                  <w:vAlign w:val="top"/>
                </w:tcPr>
                <w:p w14:paraId="65E9A3A6">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7FBD2ED8">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污水</w:t>
                  </w:r>
                  <w:r>
                    <w:rPr>
                      <w:rFonts w:hint="eastAsia" w:ascii="宋体" w:hAnsi="宋体" w:eastAsia="宋体" w:cs="宋体"/>
                      <w:color w:val="000000" w:themeColor="text1"/>
                      <w:spacing w:val="5"/>
                      <w:sz w:val="21"/>
                      <w:szCs w:val="21"/>
                      <w14:textFill>
                        <w14:solidFill>
                          <w14:schemeClr w14:val="tx1"/>
                        </w14:solidFill>
                      </w14:textFill>
                    </w:rPr>
                    <w:t>处理</w:t>
                  </w:r>
                </w:p>
              </w:tc>
              <w:tc>
                <w:tcPr>
                  <w:tcW w:w="3464" w:type="pct"/>
                  <w:tcBorders>
                    <w:tl2br w:val="nil"/>
                    <w:tr2bl w:val="nil"/>
                  </w:tcBorders>
                  <w:noWrap w:val="0"/>
                  <w:vAlign w:val="top"/>
                </w:tcPr>
                <w:p w14:paraId="673CFC71">
                  <w:pPr>
                    <w:pStyle w:val="52"/>
                    <w:keepNext w:val="0"/>
                    <w:keepLines w:val="0"/>
                    <w:pageBreakBefore w:val="0"/>
                    <w:widowControl/>
                    <w:kinsoku/>
                    <w:wordWrap/>
                    <w:overflowPunct/>
                    <w:topLinePunct w:val="0"/>
                    <w:autoSpaceDE w:val="0"/>
                    <w:autoSpaceDN w:val="0"/>
                    <w:bidi w:val="0"/>
                    <w:adjustRightInd/>
                    <w:snapToGrid/>
                    <w:spacing w:line="220" w:lineRule="atLeast"/>
                    <w:ind w:left="0" w:right="0" w:hanging="1"/>
                    <w:jc w:val="both"/>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污水处理装置</w:t>
                  </w:r>
                  <w:r>
                    <w:rPr>
                      <w:rFonts w:hint="eastAsia" w:cs="宋体"/>
                      <w:color w:val="000000" w:themeColor="text1"/>
                      <w:sz w:val="21"/>
                      <w:szCs w:val="21"/>
                      <w:lang w:eastAsia="zh-CN"/>
                      <w14:textFill>
                        <w14:solidFill>
                          <w14:schemeClr w14:val="tx1"/>
                        </w14:solidFill>
                      </w14:textFill>
                    </w:rPr>
                    <w:t>位于车间</w:t>
                  </w:r>
                  <w:r>
                    <w:rPr>
                      <w:rFonts w:hint="eastAsia" w:cs="宋体"/>
                      <w:color w:val="000000" w:themeColor="text1"/>
                      <w:sz w:val="21"/>
                      <w:szCs w:val="21"/>
                      <w:lang w:val="en-US" w:eastAsia="zh-CN"/>
                      <w14:textFill>
                        <w14:solidFill>
                          <w14:schemeClr w14:val="tx1"/>
                        </w14:solidFill>
                      </w14:textFill>
                    </w:rPr>
                    <w:t>内</w:t>
                  </w:r>
                  <w:r>
                    <w:rPr>
                      <w:rFonts w:hint="eastAsia" w:ascii="宋体" w:hAnsi="宋体" w:eastAsia="宋体" w:cs="宋体"/>
                      <w:color w:val="000000" w:themeColor="text1"/>
                      <w:sz w:val="21"/>
                      <w:szCs w:val="21"/>
                      <w14:textFill>
                        <w14:solidFill>
                          <w14:schemeClr w14:val="tx1"/>
                        </w14:solidFill>
                      </w14:textFill>
                    </w:rPr>
                    <w:t>，设计污水处理规模为</w:t>
                  </w:r>
                  <w:r>
                    <w:rPr>
                      <w:rFonts w:hint="eastAsia" w:cs="宋体"/>
                      <w:color w:val="000000" w:themeColor="text1"/>
                      <w:sz w:val="21"/>
                      <w:szCs w:val="21"/>
                      <w:lang w:val="en-US" w:eastAsia="zh-CN"/>
                      <w14:textFill>
                        <w14:solidFill>
                          <w14:schemeClr w14:val="tx1"/>
                        </w14:solidFill>
                      </w14:textFill>
                    </w:rPr>
                    <w:t>90</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/d，采用中和+沉淀污水处理工艺，处理生产过程中产生的酸性废水。</w:t>
                  </w:r>
                </w:p>
              </w:tc>
              <w:tc>
                <w:tcPr>
                  <w:tcW w:w="396" w:type="pct"/>
                  <w:tcBorders>
                    <w:tl2br w:val="nil"/>
                    <w:tr2bl w:val="nil"/>
                  </w:tcBorders>
                  <w:noWrap w:val="0"/>
                  <w:vAlign w:val="top"/>
                </w:tcPr>
                <w:p w14:paraId="18DCB066">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新建</w:t>
                  </w:r>
                </w:p>
              </w:tc>
            </w:tr>
            <w:tr w14:paraId="00DD97F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583" w:type="pct"/>
                  <w:vMerge w:val="continue"/>
                  <w:tcBorders>
                    <w:tl2br w:val="nil"/>
                    <w:tr2bl w:val="nil"/>
                  </w:tcBorders>
                  <w:noWrap w:val="0"/>
                  <w:vAlign w:val="top"/>
                </w:tcPr>
                <w:p w14:paraId="1C7A3D5D">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75981532">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噪声治理</w:t>
                  </w:r>
                </w:p>
              </w:tc>
              <w:tc>
                <w:tcPr>
                  <w:tcW w:w="3464" w:type="pct"/>
                  <w:tcBorders>
                    <w:tl2br w:val="nil"/>
                    <w:tr2bl w:val="nil"/>
                  </w:tcBorders>
                  <w:noWrap w:val="0"/>
                  <w:vAlign w:val="top"/>
                </w:tcPr>
                <w:p w14:paraId="12E84C36">
                  <w:pPr>
                    <w:pStyle w:val="52"/>
                    <w:keepNext w:val="0"/>
                    <w:keepLines w:val="0"/>
                    <w:pageBreakBefore w:val="0"/>
                    <w:widowControl/>
                    <w:kinsoku/>
                    <w:wordWrap/>
                    <w:overflowPunct/>
                    <w:topLinePunct w:val="0"/>
                    <w:autoSpaceDE w:val="0"/>
                    <w:autoSpaceDN w:val="0"/>
                    <w:bidi w:val="0"/>
                    <w:adjustRightInd/>
                    <w:snapToGrid/>
                    <w:spacing w:line="220" w:lineRule="atLeast"/>
                    <w:ind w:left="0" w:right="0" w:firstLine="96"/>
                    <w:jc w:val="both"/>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选用低噪声设备，设备均安置于设备间内，建筑采取</w:t>
                  </w:r>
                  <w:r>
                    <w:rPr>
                      <w:rFonts w:hint="eastAsia" w:ascii="宋体" w:hAnsi="宋体" w:eastAsia="宋体" w:cs="宋体"/>
                      <w:color w:val="000000" w:themeColor="text1"/>
                      <w:spacing w:val="13"/>
                      <w:sz w:val="21"/>
                      <w:szCs w:val="21"/>
                      <w14:textFill>
                        <w14:solidFill>
                          <w14:schemeClr w14:val="tx1"/>
                        </w14:solidFill>
                      </w14:textFill>
                    </w:rPr>
                    <w:t>隔声、降噪措施，振动较大的设备采取独立基础，设置减振器，风机进出口均设软管连接等措施。合理布</w:t>
                  </w:r>
                  <w:r>
                    <w:rPr>
                      <w:rFonts w:hint="eastAsia" w:ascii="宋体" w:hAnsi="宋体" w:eastAsia="宋体" w:cs="宋体"/>
                      <w:color w:val="000000" w:themeColor="text1"/>
                      <w:spacing w:val="8"/>
                      <w:sz w:val="21"/>
                      <w:szCs w:val="21"/>
                      <w14:textFill>
                        <w14:solidFill>
                          <w14:schemeClr w14:val="tx1"/>
                        </w14:solidFill>
                      </w14:textFill>
                    </w:rPr>
                    <w:t>局，</w:t>
                  </w:r>
                  <w:r>
                    <w:rPr>
                      <w:rFonts w:hint="eastAsia" w:ascii="宋体" w:hAnsi="宋体" w:eastAsia="宋体" w:cs="宋体"/>
                      <w:color w:val="000000" w:themeColor="text1"/>
                      <w:spacing w:val="9"/>
                      <w:sz w:val="21"/>
                      <w:szCs w:val="21"/>
                      <w:lang w:val="en-US" w:eastAsia="zh-CN"/>
                      <w14:textFill>
                        <w14:solidFill>
                          <w14:schemeClr w14:val="tx1"/>
                        </w14:solidFill>
                      </w14:textFill>
                    </w:rPr>
                    <w:t>厂</w:t>
                  </w:r>
                  <w:r>
                    <w:rPr>
                      <w:rFonts w:hint="eastAsia" w:ascii="宋体" w:hAnsi="宋体" w:eastAsia="宋体" w:cs="宋体"/>
                      <w:color w:val="000000" w:themeColor="text1"/>
                      <w:spacing w:val="9"/>
                      <w:sz w:val="21"/>
                      <w:szCs w:val="21"/>
                      <w14:textFill>
                        <w14:solidFill>
                          <w14:schemeClr w14:val="tx1"/>
                        </w14:solidFill>
                      </w14:textFill>
                    </w:rPr>
                    <w:t>界噪声满足《工业企业厂界环境噪声排放标准》</w:t>
                  </w:r>
                  <w:r>
                    <w:rPr>
                      <w:rFonts w:hint="eastAsia" w:ascii="宋体" w:hAnsi="宋体" w:eastAsia="宋体" w:cs="宋体"/>
                      <w:color w:val="000000" w:themeColor="text1"/>
                      <w:spacing w:val="3"/>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GB</w:t>
                  </w:r>
                  <w:r>
                    <w:rPr>
                      <w:rFonts w:hint="eastAsia" w:ascii="宋体" w:hAnsi="宋体" w:eastAsia="宋体" w:cs="宋体"/>
                      <w:color w:val="000000" w:themeColor="text1"/>
                      <w:spacing w:val="3"/>
                      <w:sz w:val="21"/>
                      <w:szCs w:val="21"/>
                      <w14:textFill>
                        <w14:solidFill>
                          <w14:schemeClr w14:val="tx1"/>
                        </w14:solidFill>
                      </w14:textFill>
                    </w:rPr>
                    <w:t>12348-2008）中</w:t>
                  </w:r>
                  <w:r>
                    <w:rPr>
                      <w:rFonts w:hint="eastAsia" w:ascii="宋体" w:hAnsi="宋体" w:eastAsia="宋体" w:cs="宋体"/>
                      <w:color w:val="000000" w:themeColor="text1"/>
                      <w:spacing w:val="-39"/>
                      <w:sz w:val="21"/>
                      <w:szCs w:val="21"/>
                      <w14:textFill>
                        <w14:solidFill>
                          <w14:schemeClr w14:val="tx1"/>
                        </w14:solidFill>
                      </w14:textFill>
                    </w:rPr>
                    <w:t xml:space="preserve"> </w:t>
                  </w:r>
                  <w:r>
                    <w:rPr>
                      <w:rFonts w:hint="eastAsia" w:ascii="宋体" w:hAnsi="宋体" w:eastAsia="宋体" w:cs="宋体"/>
                      <w:color w:val="000000" w:themeColor="text1"/>
                      <w:spacing w:val="3"/>
                      <w:sz w:val="21"/>
                      <w:szCs w:val="21"/>
                      <w14:textFill>
                        <w14:solidFill>
                          <w14:schemeClr w14:val="tx1"/>
                        </w14:solidFill>
                      </w14:textFill>
                    </w:rPr>
                    <w:t>3类标准要求。</w:t>
                  </w:r>
                </w:p>
              </w:tc>
              <w:tc>
                <w:tcPr>
                  <w:tcW w:w="396" w:type="pct"/>
                  <w:tcBorders>
                    <w:tl2br w:val="nil"/>
                    <w:tr2bl w:val="nil"/>
                  </w:tcBorders>
                  <w:noWrap w:val="0"/>
                  <w:vAlign w:val="top"/>
                </w:tcPr>
                <w:p w14:paraId="071F4071">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新建</w:t>
                  </w:r>
                </w:p>
              </w:tc>
            </w:tr>
            <w:tr w14:paraId="7BE9805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583" w:type="pct"/>
                  <w:vMerge w:val="continue"/>
                  <w:tcBorders>
                    <w:tl2br w:val="nil"/>
                    <w:tr2bl w:val="nil"/>
                  </w:tcBorders>
                  <w:noWrap w:val="0"/>
                  <w:vAlign w:val="top"/>
                </w:tcPr>
                <w:p w14:paraId="27B4F4FC">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2DA63A44">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固废治理</w:t>
                  </w:r>
                </w:p>
              </w:tc>
              <w:tc>
                <w:tcPr>
                  <w:tcW w:w="3464" w:type="pct"/>
                  <w:tcBorders>
                    <w:tl2br w:val="nil"/>
                    <w:tr2bl w:val="nil"/>
                  </w:tcBorders>
                  <w:noWrap w:val="0"/>
                  <w:vAlign w:val="top"/>
                </w:tcPr>
                <w:p w14:paraId="13AD3D1F">
                  <w:pPr>
                    <w:pStyle w:val="52"/>
                    <w:keepNext w:val="0"/>
                    <w:keepLines w:val="0"/>
                    <w:pageBreakBefore w:val="0"/>
                    <w:widowControl/>
                    <w:kinsoku/>
                    <w:wordWrap/>
                    <w:overflowPunct/>
                    <w:topLinePunct w:val="0"/>
                    <w:autoSpaceDE w:val="0"/>
                    <w:autoSpaceDN w:val="0"/>
                    <w:bidi w:val="0"/>
                    <w:adjustRightInd/>
                    <w:snapToGrid/>
                    <w:spacing w:line="220" w:lineRule="atLeast"/>
                    <w:ind w:left="0" w:right="0" w:hanging="305"/>
                    <w:textAlignment w:val="baseline"/>
                    <w:rPr>
                      <w:rFonts w:hint="eastAsia"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污</w:t>
                  </w:r>
                  <w:r>
                    <w:rPr>
                      <w:rFonts w:hint="eastAsia" w:ascii="宋体" w:hAnsi="宋体" w:eastAsia="宋体" w:cs="宋体"/>
                      <w:color w:val="000000" w:themeColor="text1"/>
                      <w:spacing w:val="9"/>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厂内设置生活垃圾桶</w:t>
                  </w:r>
                  <w:r>
                    <w:rPr>
                      <w:rFonts w:hint="eastAsia" w:cs="宋体"/>
                      <w:color w:val="000000" w:themeColor="text1"/>
                      <w:sz w:val="21"/>
                      <w:szCs w:val="21"/>
                      <w:lang w:eastAsia="zh-CN"/>
                      <w14:textFill>
                        <w14:solidFill>
                          <w14:schemeClr w14:val="tx1"/>
                        </w14:solidFill>
                      </w14:textFill>
                    </w:rPr>
                    <w:t>；</w:t>
                  </w:r>
                </w:p>
                <w:p w14:paraId="5DC630E0">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筛分废渣、污水处理</w:t>
                  </w:r>
                  <w:r>
                    <w:rPr>
                      <w:rFonts w:hint="eastAsia" w:cs="宋体"/>
                      <w:color w:val="000000" w:themeColor="text1"/>
                      <w:sz w:val="21"/>
                      <w:szCs w:val="21"/>
                      <w:lang w:val="en-US" w:eastAsia="zh-CN"/>
                      <w14:textFill>
                        <w14:solidFill>
                          <w14:schemeClr w14:val="tx1"/>
                        </w14:solidFill>
                      </w14:textFill>
                    </w:rPr>
                    <w:t>及脱酸中和沉淀物</w:t>
                  </w:r>
                  <w:r>
                    <w:rPr>
                      <w:rFonts w:hint="eastAsia" w:ascii="宋体" w:hAnsi="宋体" w:eastAsia="宋体" w:cs="宋体"/>
                      <w:color w:val="000000" w:themeColor="text1"/>
                      <w:sz w:val="21"/>
                      <w:szCs w:val="21"/>
                      <w14:textFill>
                        <w14:solidFill>
                          <w14:schemeClr w14:val="tx1"/>
                        </w14:solidFill>
                      </w14:textFill>
                    </w:rPr>
                    <w:t>等暂存</w:t>
                  </w:r>
                  <w:r>
                    <w:rPr>
                      <w:rFonts w:hint="eastAsia" w:cs="宋体"/>
                      <w:color w:val="000000" w:themeColor="text1"/>
                      <w:sz w:val="21"/>
                      <w:szCs w:val="21"/>
                      <w:lang w:eastAsia="zh-CN"/>
                      <w14:textFill>
                        <w14:solidFill>
                          <w14:schemeClr w14:val="tx1"/>
                        </w14:solidFill>
                      </w14:textFill>
                    </w:rPr>
                    <w:t>一般固废区，</w:t>
                  </w:r>
                  <w:r>
                    <w:rPr>
                      <w:rFonts w:hint="eastAsia" w:ascii="宋体" w:hAnsi="宋体" w:eastAsia="宋体" w:cs="宋体"/>
                      <w:color w:val="000000" w:themeColor="text1"/>
                      <w:spacing w:val="5"/>
                      <w:sz w:val="21"/>
                      <w:szCs w:val="21"/>
                      <w14:textFill>
                        <w14:solidFill>
                          <w14:schemeClr w14:val="tx1"/>
                        </w14:solidFill>
                      </w14:textFill>
                    </w:rPr>
                    <w:t>设置1</w:t>
                  </w:r>
                  <w:r>
                    <w:rPr>
                      <w:rFonts w:hint="eastAsia" w:cs="宋体"/>
                      <w:color w:val="000000" w:themeColor="text1"/>
                      <w:spacing w:val="5"/>
                      <w:sz w:val="21"/>
                      <w:szCs w:val="21"/>
                      <w:lang w:val="en-US" w:eastAsia="zh-CN"/>
                      <w14:textFill>
                        <w14:solidFill>
                          <w14:schemeClr w14:val="tx1"/>
                        </w14:solidFill>
                      </w14:textFill>
                    </w:rPr>
                    <w:t>处</w:t>
                  </w:r>
                  <w:r>
                    <w:rPr>
                      <w:rFonts w:hint="eastAsia" w:ascii="宋体" w:hAnsi="宋体" w:eastAsia="宋体" w:cs="宋体"/>
                      <w:color w:val="000000" w:themeColor="text1"/>
                      <w:spacing w:val="5"/>
                      <w:sz w:val="21"/>
                      <w:szCs w:val="21"/>
                      <w14:textFill>
                        <w14:solidFill>
                          <w14:schemeClr w14:val="tx1"/>
                        </w14:solidFill>
                      </w14:textFill>
                    </w:rPr>
                    <w:t>占地面积约</w:t>
                  </w:r>
                  <w:r>
                    <w:rPr>
                      <w:rFonts w:hint="eastAsia" w:ascii="宋体" w:hAnsi="宋体" w:eastAsia="宋体" w:cs="宋体"/>
                      <w:color w:val="000000" w:themeColor="text1"/>
                      <w:spacing w:val="-37"/>
                      <w:sz w:val="21"/>
                      <w:szCs w:val="21"/>
                      <w14:textFill>
                        <w14:solidFill>
                          <w14:schemeClr w14:val="tx1"/>
                        </w14:solidFill>
                      </w14:textFill>
                    </w:rPr>
                    <w:t xml:space="preserve"> </w:t>
                  </w:r>
                  <w:r>
                    <w:rPr>
                      <w:rFonts w:hint="eastAsia" w:cs="宋体"/>
                      <w:color w:val="000000" w:themeColor="text1"/>
                      <w:spacing w:val="5"/>
                      <w:sz w:val="21"/>
                      <w:szCs w:val="21"/>
                      <w:lang w:val="en-US" w:eastAsia="zh-CN"/>
                      <w14:textFill>
                        <w14:solidFill>
                          <w14:schemeClr w14:val="tx1"/>
                        </w14:solidFill>
                      </w14:textFill>
                    </w:rPr>
                    <w:t>6</w:t>
                  </w:r>
                  <w:r>
                    <w:rPr>
                      <w:rFonts w:hint="eastAsia" w:ascii="宋体" w:hAnsi="宋体" w:eastAsia="宋体" w:cs="宋体"/>
                      <w:color w:val="000000" w:themeColor="text1"/>
                      <w:spacing w:val="5"/>
                      <w:sz w:val="21"/>
                      <w:szCs w:val="21"/>
                      <w14:textFill>
                        <w14:solidFill>
                          <w14:schemeClr w14:val="tx1"/>
                        </w14:solidFill>
                      </w14:textFill>
                    </w:rPr>
                    <w:t>0m</w:t>
                  </w:r>
                  <w:r>
                    <w:rPr>
                      <w:rFonts w:hint="eastAsia" w:ascii="宋体" w:hAnsi="宋体" w:eastAsia="宋体" w:cs="宋体"/>
                      <w:color w:val="000000" w:themeColor="text1"/>
                      <w:spacing w:val="5"/>
                      <w:sz w:val="21"/>
                      <w:szCs w:val="21"/>
                      <w:vertAlign w:val="superscript"/>
                      <w:lang w:val="en-US" w:eastAsia="zh-CN"/>
                      <w14:textFill>
                        <w14:solidFill>
                          <w14:schemeClr w14:val="tx1"/>
                        </w14:solidFill>
                      </w14:textFill>
                    </w:rPr>
                    <w:t>2</w:t>
                  </w:r>
                  <w:r>
                    <w:rPr>
                      <w:rFonts w:hint="eastAsia" w:ascii="宋体" w:hAnsi="宋体" w:eastAsia="宋体" w:cs="宋体"/>
                      <w:color w:val="000000" w:themeColor="text1"/>
                      <w:spacing w:val="5"/>
                      <w:sz w:val="21"/>
                      <w:szCs w:val="21"/>
                      <w14:textFill>
                        <w14:solidFill>
                          <w14:schemeClr w14:val="tx1"/>
                        </w14:solidFill>
                      </w14:textFill>
                    </w:rPr>
                    <w:t>的一般固废暂存间，位于厂房</w:t>
                  </w:r>
                  <w:r>
                    <w:rPr>
                      <w:rFonts w:hint="eastAsia" w:cs="宋体"/>
                      <w:color w:val="000000" w:themeColor="text1"/>
                      <w:spacing w:val="5"/>
                      <w:sz w:val="21"/>
                      <w:szCs w:val="21"/>
                      <w:lang w:val="en-US" w:eastAsia="zh-CN"/>
                      <w14:textFill>
                        <w14:solidFill>
                          <w14:schemeClr w14:val="tx1"/>
                        </w14:solidFill>
                      </w14:textFill>
                    </w:rPr>
                    <w:t>东南</w:t>
                  </w:r>
                  <w:r>
                    <w:rPr>
                      <w:rFonts w:hint="eastAsia" w:cs="宋体"/>
                      <w:color w:val="000000" w:themeColor="text1"/>
                      <w:spacing w:val="5"/>
                      <w:sz w:val="21"/>
                      <w:szCs w:val="21"/>
                      <w:lang w:eastAsia="zh-CN"/>
                      <w14:textFill>
                        <w14:solidFill>
                          <w14:schemeClr w14:val="tx1"/>
                        </w14:solidFill>
                      </w14:textFill>
                    </w:rPr>
                    <w:t>部</w:t>
                  </w: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定期出售</w:t>
                  </w:r>
                  <w:r>
                    <w:rPr>
                      <w:rFonts w:hint="eastAsia" w:ascii="宋体" w:hAnsi="宋体" w:eastAsia="宋体" w:cs="宋体"/>
                      <w:color w:val="000000" w:themeColor="text1"/>
                      <w:sz w:val="21"/>
                      <w:szCs w:val="21"/>
                      <w14:textFill>
                        <w14:solidFill>
                          <w14:schemeClr w14:val="tx1"/>
                        </w14:solidFill>
                      </w14:textFill>
                    </w:rPr>
                    <w:t>。</w:t>
                  </w:r>
                </w:p>
              </w:tc>
              <w:tc>
                <w:tcPr>
                  <w:tcW w:w="396" w:type="pct"/>
                  <w:tcBorders>
                    <w:tl2br w:val="nil"/>
                    <w:tr2bl w:val="nil"/>
                  </w:tcBorders>
                  <w:noWrap w:val="0"/>
                  <w:vAlign w:val="top"/>
                </w:tcPr>
                <w:p w14:paraId="17E2029F">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新建</w:t>
                  </w:r>
                </w:p>
              </w:tc>
            </w:tr>
            <w:tr w14:paraId="7DA95A7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pct"/>
                  <w:vMerge w:val="continue"/>
                  <w:tcBorders>
                    <w:tl2br w:val="nil"/>
                    <w:tr2bl w:val="nil"/>
                  </w:tcBorders>
                  <w:noWrap w:val="0"/>
                  <w:vAlign w:val="top"/>
                </w:tcPr>
                <w:p w14:paraId="37BA4A13">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081246BC">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7D2D0E91">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510E0A49">
                  <w:pPr>
                    <w:pStyle w:val="52"/>
                    <w:keepNext w:val="0"/>
                    <w:keepLines w:val="0"/>
                    <w:pageBreakBefore w:val="0"/>
                    <w:widowControl/>
                    <w:kinsoku/>
                    <w:wordWrap/>
                    <w:overflowPunct/>
                    <w:topLinePunct w:val="0"/>
                    <w:autoSpaceDE w:val="0"/>
                    <w:autoSpaceDN w:val="0"/>
                    <w:bidi w:val="0"/>
                    <w:adjustRightInd/>
                    <w:snapToGrid/>
                    <w:spacing w:line="220" w:lineRule="atLeast"/>
                    <w:ind w:left="0" w:right="0"/>
                    <w:jc w:val="both"/>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地下水防治措施</w:t>
                  </w:r>
                </w:p>
              </w:tc>
              <w:tc>
                <w:tcPr>
                  <w:tcW w:w="3464" w:type="pct"/>
                  <w:tcBorders>
                    <w:tl2br w:val="nil"/>
                    <w:tr2bl w:val="nil"/>
                  </w:tcBorders>
                  <w:noWrap w:val="0"/>
                  <w:vAlign w:val="top"/>
                </w:tcPr>
                <w:p w14:paraId="07DFE14C">
                  <w:pPr>
                    <w:pStyle w:val="52"/>
                    <w:keepNext w:val="0"/>
                    <w:keepLines w:val="0"/>
                    <w:pageBreakBefore w:val="0"/>
                    <w:widowControl/>
                    <w:kinsoku/>
                    <w:wordWrap/>
                    <w:overflowPunct/>
                    <w:topLinePunct w:val="0"/>
                    <w:autoSpaceDE w:val="0"/>
                    <w:autoSpaceDN w:val="0"/>
                    <w:bidi w:val="0"/>
                    <w:adjustRightInd/>
                    <w:snapToGrid/>
                    <w:spacing w:line="220" w:lineRule="atLeast"/>
                    <w:ind w:left="0" w:right="0" w:firstLine="3"/>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①</w:t>
                  </w:r>
                  <w:r>
                    <w:rPr>
                      <w:rFonts w:hint="eastAsia" w:cs="宋体"/>
                      <w:color w:val="000000" w:themeColor="text1"/>
                      <w:spacing w:val="3"/>
                      <w:sz w:val="21"/>
                      <w:szCs w:val="21"/>
                      <w:highlight w:val="none"/>
                      <w:lang w:eastAsia="zh-CN"/>
                      <w14:textFill>
                        <w14:solidFill>
                          <w14:schemeClr w14:val="tx1"/>
                        </w14:solidFill>
                      </w14:textFill>
                    </w:rPr>
                    <w:t>车间（</w:t>
                  </w:r>
                  <w:r>
                    <w:rPr>
                      <w:rFonts w:hint="eastAsia" w:ascii="宋体" w:hAnsi="宋体" w:eastAsia="宋体" w:cs="宋体"/>
                      <w:color w:val="000000" w:themeColor="text1"/>
                      <w:spacing w:val="3"/>
                      <w:sz w:val="21"/>
                      <w:szCs w:val="21"/>
                      <w:highlight w:val="none"/>
                      <w14:textFill>
                        <w14:solidFill>
                          <w14:schemeClr w14:val="tx1"/>
                        </w14:solidFill>
                      </w14:textFill>
                    </w:rPr>
                    <w:t>包括膨胀石墨生产区、污水处理、事故池、原料</w:t>
                  </w:r>
                  <w:r>
                    <w:rPr>
                      <w:rFonts w:hint="eastAsia" w:cs="宋体"/>
                      <w:color w:val="000000" w:themeColor="text1"/>
                      <w:spacing w:val="3"/>
                      <w:sz w:val="21"/>
                      <w:szCs w:val="21"/>
                      <w:highlight w:val="none"/>
                      <w:lang w:eastAsia="zh-CN"/>
                      <w14:textFill>
                        <w14:solidFill>
                          <w14:schemeClr w14:val="tx1"/>
                        </w14:solidFill>
                      </w14:textFill>
                    </w:rPr>
                    <w:t>区</w:t>
                  </w:r>
                  <w:r>
                    <w:rPr>
                      <w:rFonts w:hint="eastAsia" w:ascii="宋体" w:hAnsi="宋体" w:eastAsia="宋体" w:cs="宋体"/>
                      <w:color w:val="000000" w:themeColor="text1"/>
                      <w:spacing w:val="3"/>
                      <w:sz w:val="21"/>
                      <w:szCs w:val="21"/>
                      <w:highlight w:val="none"/>
                      <w14:textFill>
                        <w14:solidFill>
                          <w14:schemeClr w14:val="tx1"/>
                        </w14:solidFill>
                      </w14:textFill>
                    </w:rPr>
                    <w:t>、储罐区、酸雾处理</w:t>
                  </w:r>
                  <w:r>
                    <w:rPr>
                      <w:rFonts w:hint="eastAsia" w:cs="宋体"/>
                      <w:color w:val="000000" w:themeColor="text1"/>
                      <w:spacing w:val="3"/>
                      <w:sz w:val="21"/>
                      <w:szCs w:val="21"/>
                      <w:highlight w:val="none"/>
                      <w:lang w:eastAsia="zh-CN"/>
                      <w14:textFill>
                        <w14:solidFill>
                          <w14:schemeClr w14:val="tx1"/>
                        </w14:solidFill>
                      </w14:textFill>
                    </w:rPr>
                    <w:t>区）、</w:t>
                  </w:r>
                  <w:r>
                    <w:rPr>
                      <w:rFonts w:hint="eastAsia" w:cs="宋体"/>
                      <w:color w:val="000000" w:themeColor="text1"/>
                      <w:spacing w:val="3"/>
                      <w:sz w:val="21"/>
                      <w:szCs w:val="21"/>
                      <w:highlight w:val="none"/>
                      <w:lang w:val="en-US" w:eastAsia="zh-CN"/>
                      <w14:textFill>
                        <w14:solidFill>
                          <w14:schemeClr w14:val="tx1"/>
                        </w14:solidFill>
                      </w14:textFill>
                    </w:rPr>
                    <w:t>一般固废区以及事故池</w:t>
                  </w:r>
                  <w:r>
                    <w:rPr>
                      <w:rFonts w:hint="eastAsia" w:cs="宋体"/>
                      <w:color w:val="000000" w:themeColor="text1"/>
                      <w:spacing w:val="3"/>
                      <w:sz w:val="21"/>
                      <w:szCs w:val="21"/>
                      <w:highlight w:val="none"/>
                      <w:lang w:eastAsia="zh-CN"/>
                      <w14:textFill>
                        <w14:solidFill>
                          <w14:schemeClr w14:val="tx1"/>
                        </w14:solidFill>
                      </w14:textFill>
                    </w:rPr>
                    <w:t>为</w:t>
                  </w:r>
                  <w:r>
                    <w:rPr>
                      <w:rFonts w:hint="eastAsia" w:ascii="宋体" w:hAnsi="宋体" w:eastAsia="宋体" w:cs="宋体"/>
                      <w:color w:val="000000" w:themeColor="text1"/>
                      <w:spacing w:val="3"/>
                      <w:sz w:val="21"/>
                      <w:szCs w:val="21"/>
                      <w:highlight w:val="none"/>
                      <w14:textFill>
                        <w14:solidFill>
                          <w14:schemeClr w14:val="tx1"/>
                        </w14:solidFill>
                      </w14:textFill>
                    </w:rPr>
                    <w:t>重点防渗区；</w:t>
                  </w:r>
                  <w:r>
                    <w:rPr>
                      <w:rFonts w:hint="eastAsia" w:ascii="宋体" w:hAnsi="宋体" w:eastAsia="宋体" w:cs="宋体"/>
                      <w:color w:val="000000" w:themeColor="text1"/>
                      <w:spacing w:val="1"/>
                      <w:sz w:val="21"/>
                      <w:szCs w:val="21"/>
                      <w:highlight w:val="none"/>
                      <w14:textFill>
                        <w14:solidFill>
                          <w14:schemeClr w14:val="tx1"/>
                        </w14:solidFill>
                      </w14:textFill>
                    </w:rPr>
                    <w:t>重点防渗区地面及墙裙铺设2</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pacing w:val="1"/>
                      <w:sz w:val="21"/>
                      <w:szCs w:val="21"/>
                      <w:highlight w:val="none"/>
                      <w14:textFill>
                        <w14:solidFill>
                          <w14:schemeClr w14:val="tx1"/>
                        </w14:solidFill>
                      </w14:textFill>
                    </w:rPr>
                    <w:t>高密度聚乙烯（</w:t>
                  </w:r>
                  <w:r>
                    <w:rPr>
                      <w:rFonts w:hint="eastAsia" w:ascii="宋体" w:hAnsi="宋体" w:eastAsia="宋体" w:cs="宋体"/>
                      <w:color w:val="000000" w:themeColor="text1"/>
                      <w:sz w:val="21"/>
                      <w:szCs w:val="21"/>
                      <w:highlight w:val="none"/>
                      <w14:textFill>
                        <w14:solidFill>
                          <w14:schemeClr w14:val="tx1"/>
                        </w14:solidFill>
                      </w14:textFill>
                    </w:rPr>
                    <w:t>HDPE</w:t>
                  </w: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防渗膜进行防渗，等效黏土防渗层</w:t>
                  </w:r>
                  <w:r>
                    <w:rPr>
                      <w:rFonts w:hint="eastAsia" w:ascii="宋体" w:hAnsi="宋体" w:eastAsia="宋体" w:cs="宋体"/>
                      <w:color w:val="000000" w:themeColor="text1"/>
                      <w:sz w:val="21"/>
                      <w:szCs w:val="21"/>
                      <w:highlight w:val="none"/>
                      <w14:textFill>
                        <w14:solidFill>
                          <w14:schemeClr w14:val="tx1"/>
                        </w14:solidFill>
                      </w14:textFill>
                    </w:rPr>
                    <w:t>Mb</w:t>
                  </w:r>
                  <w:r>
                    <w:rPr>
                      <w:rFonts w:hint="eastAsia" w:ascii="宋体" w:hAnsi="宋体" w:eastAsia="宋体" w:cs="宋体"/>
                      <w:color w:val="000000" w:themeColor="text1"/>
                      <w:spacing w:val="5"/>
                      <w:sz w:val="21"/>
                      <w:szCs w:val="21"/>
                      <w:highlight w:val="none"/>
                      <w14:textFill>
                        <w14:solidFill>
                          <w14:schemeClr w14:val="tx1"/>
                        </w14:solidFill>
                      </w14:textFill>
                    </w:rPr>
                    <w:t>≥6m</w:t>
                  </w:r>
                  <w:r>
                    <w:rPr>
                      <w:rFonts w:hint="eastAsia" w:ascii="宋体" w:hAnsi="宋体" w:eastAsia="宋体" w:cs="宋体"/>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14:textFill>
                        <w14:solidFill>
                          <w14:schemeClr w14:val="tx1"/>
                        </w14:solidFill>
                      </w14:textFill>
                    </w:rPr>
                    <w:t>，渗透</w:t>
                  </w:r>
                  <w:r>
                    <w:rPr>
                      <w:rFonts w:hint="eastAsia" w:ascii="宋体" w:hAnsi="宋体" w:eastAsia="宋体" w:cs="宋体"/>
                      <w:color w:val="000000" w:themeColor="text1"/>
                      <w:spacing w:val="4"/>
                      <w:sz w:val="21"/>
                      <w:szCs w:val="21"/>
                      <w:highlight w:val="none"/>
                      <w14:textFill>
                        <w14:solidFill>
                          <w14:schemeClr w14:val="tx1"/>
                        </w14:solidFill>
                      </w14:textFill>
                    </w:rPr>
                    <w:t>系数</w:t>
                  </w:r>
                  <w:r>
                    <w:rPr>
                      <w:rFonts w:hint="eastAsia" w:ascii="宋体" w:hAnsi="宋体" w:eastAsia="宋体" w:cs="宋体"/>
                      <w:color w:val="000000" w:themeColor="text1"/>
                      <w:spacing w:val="1"/>
                      <w:sz w:val="21"/>
                      <w:szCs w:val="21"/>
                      <w:highlight w:val="none"/>
                      <w14:textFill>
                        <w14:solidFill>
                          <w14:schemeClr w14:val="tx1"/>
                        </w14:solidFill>
                      </w14:textFill>
                    </w:rPr>
                    <w:t>K≤1×10</w:t>
                  </w:r>
                  <w:r>
                    <w:rPr>
                      <w:rFonts w:hint="eastAsia" w:cs="宋体"/>
                      <w:color w:val="000000" w:themeColor="text1"/>
                      <w:spacing w:val="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vertAlign w:val="superscript"/>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cm</w:t>
                  </w:r>
                  <w:r>
                    <w:rPr>
                      <w:rFonts w:hint="eastAsia" w:ascii="宋体" w:hAnsi="宋体" w:eastAsia="宋体" w:cs="宋体"/>
                      <w:color w:val="000000" w:themeColor="text1"/>
                      <w:spacing w:val="1"/>
                      <w:sz w:val="21"/>
                      <w:szCs w:val="21"/>
                      <w:highlight w:val="none"/>
                      <w14:textFill>
                        <w14:solidFill>
                          <w14:schemeClr w14:val="tx1"/>
                        </w14:solidFill>
                      </w14:textFill>
                    </w:rPr>
                    <w:t>/s；</w:t>
                  </w:r>
                </w:p>
                <w:p w14:paraId="638DB340">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②简单防渗区为：道路、</w:t>
                  </w:r>
                  <w:r>
                    <w:rPr>
                      <w:rFonts w:hint="eastAsia" w:ascii="宋体" w:hAnsi="宋体" w:eastAsia="宋体" w:cs="宋体"/>
                      <w:color w:val="000000" w:themeColor="text1"/>
                      <w:spacing w:val="6"/>
                      <w:sz w:val="21"/>
                      <w:szCs w:val="21"/>
                      <w:lang w:val="en-US" w:eastAsia="zh-CN"/>
                      <w14:textFill>
                        <w14:solidFill>
                          <w14:schemeClr w14:val="tx1"/>
                        </w14:solidFill>
                      </w14:textFill>
                    </w:rPr>
                    <w:t>生活区等</w:t>
                  </w:r>
                  <w:r>
                    <w:rPr>
                      <w:rFonts w:hint="eastAsia" w:ascii="宋体" w:hAnsi="宋体" w:eastAsia="宋体" w:cs="宋体"/>
                      <w:color w:val="000000" w:themeColor="text1"/>
                      <w:spacing w:val="6"/>
                      <w:sz w:val="21"/>
                      <w:szCs w:val="21"/>
                      <w14:textFill>
                        <w14:solidFill>
                          <w14:schemeClr w14:val="tx1"/>
                        </w14:solidFill>
                      </w14:textFill>
                    </w:rPr>
                    <w:t>。采取简单防渗，为一般地面硬</w:t>
                  </w:r>
                  <w:r>
                    <w:rPr>
                      <w:rFonts w:hint="eastAsia" w:ascii="宋体" w:hAnsi="宋体" w:eastAsia="宋体" w:cs="宋体"/>
                      <w:color w:val="000000" w:themeColor="text1"/>
                      <w:spacing w:val="-1"/>
                      <w:sz w:val="21"/>
                      <w:szCs w:val="21"/>
                      <w14:textFill>
                        <w14:solidFill>
                          <w14:schemeClr w14:val="tx1"/>
                        </w14:solidFill>
                      </w14:textFill>
                    </w:rPr>
                    <w:t>化。</w:t>
                  </w:r>
                </w:p>
              </w:tc>
              <w:tc>
                <w:tcPr>
                  <w:tcW w:w="396" w:type="pct"/>
                  <w:tcBorders>
                    <w:tl2br w:val="nil"/>
                    <w:tr2bl w:val="nil"/>
                  </w:tcBorders>
                  <w:noWrap w:val="0"/>
                  <w:vAlign w:val="top"/>
                </w:tcPr>
                <w:p w14:paraId="4612B7C9">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r>
            <w:tr w14:paraId="56EF130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583" w:type="pct"/>
                  <w:vMerge w:val="continue"/>
                  <w:tcBorders>
                    <w:tl2br w:val="nil"/>
                    <w:tr2bl w:val="nil"/>
                  </w:tcBorders>
                  <w:noWrap w:val="0"/>
                  <w:vAlign w:val="top"/>
                </w:tcPr>
                <w:p w14:paraId="3F0E0034">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c>
                <w:tcPr>
                  <w:tcW w:w="555" w:type="pct"/>
                  <w:tcBorders>
                    <w:tl2br w:val="nil"/>
                    <w:tr2bl w:val="nil"/>
                  </w:tcBorders>
                  <w:noWrap w:val="0"/>
                  <w:vAlign w:val="top"/>
                </w:tcPr>
                <w:p w14:paraId="0F2B72EB">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5BDBFC39">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394F04D5">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71B5480E">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p w14:paraId="2A13F2AF">
                  <w:pPr>
                    <w:pStyle w:val="52"/>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风险防范措施</w:t>
                  </w:r>
                </w:p>
              </w:tc>
              <w:tc>
                <w:tcPr>
                  <w:tcW w:w="3464" w:type="pct"/>
                  <w:tcBorders>
                    <w:tl2br w:val="nil"/>
                    <w:tr2bl w:val="nil"/>
                  </w:tcBorders>
                  <w:noWrap w:val="0"/>
                  <w:vAlign w:val="top"/>
                </w:tcPr>
                <w:p w14:paraId="1AB11E64">
                  <w:pPr>
                    <w:pStyle w:val="52"/>
                    <w:keepNext w:val="0"/>
                    <w:keepLines w:val="0"/>
                    <w:pageBreakBefore w:val="0"/>
                    <w:widowControl/>
                    <w:kinsoku/>
                    <w:wordWrap/>
                    <w:overflowPunct/>
                    <w:topLinePunct w:val="0"/>
                    <w:autoSpaceDE w:val="0"/>
                    <w:autoSpaceDN w:val="0"/>
                    <w:bidi w:val="0"/>
                    <w:adjustRightInd/>
                    <w:snapToGrid/>
                    <w:spacing w:line="220" w:lineRule="atLeast"/>
                    <w:ind w:right="0"/>
                    <w:jc w:val="both"/>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厂区内设置</w:t>
                  </w:r>
                  <w:r>
                    <w:rPr>
                      <w:rFonts w:hint="eastAsia" w:ascii="宋体" w:hAnsi="宋体" w:eastAsia="宋体" w:cs="宋体"/>
                      <w:color w:val="00B050"/>
                      <w:spacing w:val="-24"/>
                      <w:sz w:val="21"/>
                      <w:szCs w:val="21"/>
                      <w:u w:val="single"/>
                    </w:rPr>
                    <w:t xml:space="preserve"> </w:t>
                  </w:r>
                  <w:r>
                    <w:rPr>
                      <w:rFonts w:hint="eastAsia" w:ascii="宋体" w:hAnsi="宋体" w:eastAsia="宋体" w:cs="宋体"/>
                      <w:color w:val="00B050"/>
                      <w:spacing w:val="3"/>
                      <w:sz w:val="21"/>
                      <w:szCs w:val="21"/>
                      <w:u w:val="single"/>
                    </w:rPr>
                    <w:t xml:space="preserve">1 </w:t>
                  </w:r>
                  <w:r>
                    <w:rPr>
                      <w:rFonts w:hint="eastAsia" w:ascii="宋体" w:hAnsi="宋体" w:eastAsia="宋体" w:cs="宋体"/>
                      <w:color w:val="00B050"/>
                      <w:spacing w:val="3"/>
                      <w:sz w:val="21"/>
                      <w:szCs w:val="21"/>
                      <w:highlight w:val="none"/>
                      <w:u w:val="single"/>
                    </w:rPr>
                    <w:t>座</w:t>
                  </w:r>
                  <w:r>
                    <w:rPr>
                      <w:rFonts w:hint="eastAsia" w:ascii="宋体" w:hAnsi="宋体" w:eastAsia="宋体" w:cs="宋体"/>
                      <w:color w:val="00B050"/>
                      <w:spacing w:val="-38"/>
                      <w:sz w:val="21"/>
                      <w:szCs w:val="21"/>
                      <w:highlight w:val="none"/>
                      <w:u w:val="single"/>
                    </w:rPr>
                    <w:t xml:space="preserve"> </w:t>
                  </w:r>
                  <w:r>
                    <w:rPr>
                      <w:rFonts w:hint="eastAsia" w:cs="宋体"/>
                      <w:color w:val="00B050"/>
                      <w:spacing w:val="3"/>
                      <w:sz w:val="21"/>
                      <w:szCs w:val="21"/>
                      <w:highlight w:val="none"/>
                      <w:u w:val="single"/>
                      <w:lang w:val="en-US" w:eastAsia="zh-CN"/>
                    </w:rPr>
                    <w:t>120</w:t>
                  </w:r>
                  <w:r>
                    <w:rPr>
                      <w:rFonts w:hint="eastAsia" w:ascii="宋体" w:hAnsi="宋体" w:eastAsia="宋体" w:cs="宋体"/>
                      <w:color w:val="00B050"/>
                      <w:spacing w:val="3"/>
                      <w:sz w:val="21"/>
                      <w:szCs w:val="21"/>
                      <w:highlight w:val="none"/>
                      <w:u w:val="single"/>
                    </w:rPr>
                    <w:t>m</w:t>
                  </w:r>
                  <w:r>
                    <w:rPr>
                      <w:rFonts w:hint="eastAsia" w:ascii="宋体" w:hAnsi="宋体" w:eastAsia="宋体" w:cs="宋体"/>
                      <w:color w:val="00B050"/>
                      <w:spacing w:val="3"/>
                      <w:sz w:val="21"/>
                      <w:szCs w:val="21"/>
                      <w:highlight w:val="none"/>
                      <w:u w:val="single"/>
                      <w:vertAlign w:val="superscript"/>
                      <w:lang w:val="en-US" w:eastAsia="zh-CN"/>
                    </w:rPr>
                    <w:t>3</w:t>
                  </w:r>
                  <w:r>
                    <w:rPr>
                      <w:rFonts w:hint="eastAsia" w:ascii="宋体" w:hAnsi="宋体" w:eastAsia="宋体" w:cs="宋体"/>
                      <w:color w:val="00B050"/>
                      <w:spacing w:val="3"/>
                      <w:sz w:val="21"/>
                      <w:szCs w:val="21"/>
                      <w:highlight w:val="none"/>
                      <w:u w:val="single"/>
                    </w:rPr>
                    <w:t>的事故应急池</w:t>
                  </w:r>
                  <w:r>
                    <w:rPr>
                      <w:rFonts w:hint="eastAsia" w:ascii="宋体" w:hAnsi="宋体" w:eastAsia="宋体" w:cs="宋体"/>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14:textFill>
                        <w14:solidFill>
                          <w14:schemeClr w14:val="tx1"/>
                        </w14:solidFill>
                      </w14:textFill>
                    </w:rPr>
                    <w:t>事故应急池位于</w:t>
                  </w:r>
                  <w:r>
                    <w:rPr>
                      <w:rFonts w:hint="eastAsia" w:ascii="宋体" w:hAnsi="宋体" w:eastAsia="宋体" w:cs="宋体"/>
                      <w:color w:val="000000" w:themeColor="text1"/>
                      <w:spacing w:val="4"/>
                      <w:sz w:val="21"/>
                      <w:szCs w:val="21"/>
                      <w:highlight w:val="none"/>
                      <w14:textFill>
                        <w14:solidFill>
                          <w14:schemeClr w14:val="tx1"/>
                        </w14:solidFill>
                      </w14:textFill>
                    </w:rPr>
                    <w:t>酸罐区南侧，池体铺设</w:t>
                  </w:r>
                  <w:r>
                    <w:rPr>
                      <w:rFonts w:hint="eastAsia" w:ascii="宋体" w:hAnsi="宋体" w:eastAsia="宋体" w:cs="宋体"/>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color w:val="000000" w:themeColor="text1"/>
                      <w:spacing w:val="4"/>
                      <w:sz w:val="21"/>
                      <w:szCs w:val="21"/>
                      <w:highlight w:val="none"/>
                      <w14:textFill>
                        <w14:solidFill>
                          <w14:schemeClr w14:val="tx1"/>
                        </w14:solidFill>
                      </w14:textFill>
                    </w:rPr>
                    <w:t>高密度聚乙烯（</w:t>
                  </w:r>
                  <w:r>
                    <w:rPr>
                      <w:rFonts w:hint="eastAsia" w:ascii="宋体" w:hAnsi="宋体" w:eastAsia="宋体" w:cs="宋体"/>
                      <w:color w:val="000000" w:themeColor="text1"/>
                      <w:sz w:val="21"/>
                      <w:szCs w:val="21"/>
                      <w:highlight w:val="none"/>
                      <w14:textFill>
                        <w14:solidFill>
                          <w14:schemeClr w14:val="tx1"/>
                        </w14:solidFill>
                      </w14:textFill>
                    </w:rPr>
                    <w:t>HDPE</w:t>
                  </w:r>
                  <w:r>
                    <w:rPr>
                      <w:rFonts w:hint="eastAsia" w:ascii="宋体" w:hAnsi="宋体" w:eastAsia="宋体" w:cs="宋体"/>
                      <w:color w:val="000000" w:themeColor="text1"/>
                      <w:spacing w:val="4"/>
                      <w:sz w:val="21"/>
                      <w:szCs w:val="21"/>
                      <w:highlight w:val="none"/>
                      <w14:textFill>
                        <w14:solidFill>
                          <w14:schemeClr w14:val="tx1"/>
                        </w14:solidFill>
                      </w14:textFill>
                    </w:rPr>
                    <w:t>）防</w:t>
                  </w:r>
                  <w:r>
                    <w:rPr>
                      <w:rFonts w:hint="eastAsia" w:ascii="宋体" w:hAnsi="宋体" w:eastAsia="宋体" w:cs="宋体"/>
                      <w:color w:val="000000" w:themeColor="text1"/>
                      <w:spacing w:val="8"/>
                      <w:sz w:val="21"/>
                      <w:szCs w:val="21"/>
                      <w:highlight w:val="none"/>
                      <w14:textFill>
                        <w14:solidFill>
                          <w14:schemeClr w14:val="tx1"/>
                        </w14:solidFill>
                      </w14:textFill>
                    </w:rPr>
                    <w:t>渗膜进行防渗，等效黏土防渗层</w:t>
                  </w:r>
                  <w:r>
                    <w:rPr>
                      <w:rFonts w:hint="eastAsia" w:ascii="宋体" w:hAnsi="宋体" w:eastAsia="宋体" w:cs="宋体"/>
                      <w:color w:val="000000" w:themeColor="text1"/>
                      <w:sz w:val="21"/>
                      <w:szCs w:val="21"/>
                      <w:highlight w:val="none"/>
                      <w14:textFill>
                        <w14:solidFill>
                          <w14:schemeClr w14:val="tx1"/>
                        </w14:solidFill>
                      </w14:textFill>
                    </w:rPr>
                    <w:t>Mb</w:t>
                  </w:r>
                  <w:r>
                    <w:rPr>
                      <w:rFonts w:hint="eastAsia" w:ascii="宋体" w:hAnsi="宋体" w:eastAsia="宋体" w:cs="宋体"/>
                      <w:color w:val="000000" w:themeColor="text1"/>
                      <w:spacing w:val="8"/>
                      <w:sz w:val="21"/>
                      <w:szCs w:val="21"/>
                      <w:highlight w:val="none"/>
                      <w14:textFill>
                        <w14:solidFill>
                          <w14:schemeClr w14:val="tx1"/>
                        </w14:solidFill>
                      </w14:textFill>
                    </w:rPr>
                    <w:t>≥6m</w:t>
                  </w:r>
                  <w:r>
                    <w:rPr>
                      <w:rFonts w:hint="eastAsia" w:ascii="宋体" w:hAnsi="宋体" w:eastAsia="宋体" w:cs="宋体"/>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，渗透系数</w:t>
                  </w:r>
                  <w:r>
                    <w:rPr>
                      <w:rFonts w:hint="eastAsia" w:ascii="宋体" w:hAnsi="宋体" w:eastAsia="宋体" w:cs="宋体"/>
                      <w:color w:val="000000" w:themeColor="text1"/>
                      <w:spacing w:val="-4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K</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≤1×10</w:t>
                  </w:r>
                  <w:r>
                    <w:rPr>
                      <w:rFonts w:hint="eastAsia" w:cs="宋体"/>
                      <w:color w:val="000000" w:themeColor="text1"/>
                      <w:spacing w:val="3"/>
                      <w:sz w:val="21"/>
                      <w:szCs w:val="21"/>
                      <w:highlight w:val="none"/>
                      <w:vertAlign w:val="superscript"/>
                      <w:lang w:eastAsia="zh-CN"/>
                      <w14:textFill>
                        <w14:solidFill>
                          <w14:schemeClr w14:val="tx1"/>
                        </w14:solidFill>
                      </w14:textFill>
                    </w:rPr>
                    <w:t>－</w:t>
                  </w:r>
                  <w:r>
                    <w:rPr>
                      <w:rFonts w:hint="eastAsia" w:cs="宋体"/>
                      <w:color w:val="000000" w:themeColor="text1"/>
                      <w:spacing w:val="3"/>
                      <w:sz w:val="21"/>
                      <w:szCs w:val="21"/>
                      <w:highlight w:val="none"/>
                      <w:vertAlign w:val="superscript"/>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cm</w:t>
                  </w:r>
                  <w:r>
                    <w:rPr>
                      <w:rFonts w:hint="eastAsia" w:ascii="宋体" w:hAnsi="宋体" w:eastAsia="宋体" w:cs="宋体"/>
                      <w:color w:val="000000" w:themeColor="text1"/>
                      <w:spacing w:val="3"/>
                      <w:sz w:val="21"/>
                      <w:szCs w:val="21"/>
                      <w:highlight w:val="none"/>
                      <w14:textFill>
                        <w14:solidFill>
                          <w14:schemeClr w14:val="tx1"/>
                        </w14:solidFill>
                      </w14:textFill>
                    </w:rPr>
                    <w:t>/s；</w:t>
                  </w:r>
                </w:p>
                <w:p w14:paraId="40ECB7E4">
                  <w:pPr>
                    <w:pStyle w:val="52"/>
                    <w:keepNext w:val="0"/>
                    <w:keepLines w:val="0"/>
                    <w:pageBreakBefore w:val="0"/>
                    <w:widowControl/>
                    <w:kinsoku/>
                    <w:wordWrap/>
                    <w:overflowPunct/>
                    <w:topLinePunct w:val="0"/>
                    <w:autoSpaceDE w:val="0"/>
                    <w:autoSpaceDN w:val="0"/>
                    <w:bidi w:val="0"/>
                    <w:adjustRightInd/>
                    <w:snapToGrid/>
                    <w:spacing w:line="220" w:lineRule="atLeast"/>
                    <w:ind w:right="0"/>
                    <w:jc w:val="both"/>
                    <w:textAlignment w:val="baseline"/>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在储罐区设置围堰</w:t>
                  </w:r>
                  <w:r>
                    <w:rPr>
                      <w:rFonts w:hint="eastAsia" w:ascii="宋体" w:hAnsi="宋体" w:eastAsia="宋体" w:cs="宋体"/>
                      <w:color w:val="000000" w:themeColor="text1"/>
                      <w:spacing w:val="-2"/>
                      <w:sz w:val="21"/>
                      <w:szCs w:val="21"/>
                      <w:highlight w:val="none"/>
                      <w14:textFill>
                        <w14:solidFill>
                          <w14:schemeClr w14:val="tx1"/>
                        </w14:solidFill>
                      </w14:textFill>
                    </w:rPr>
                    <w:t>，围堰采用砌体结构，围堰内侧防渗、</w:t>
                  </w:r>
                  <w:r>
                    <w:rPr>
                      <w:rFonts w:hint="eastAsia" w:ascii="宋体" w:hAnsi="宋体" w:eastAsia="宋体" w:cs="宋体"/>
                      <w:color w:val="000000" w:themeColor="text1"/>
                      <w:spacing w:val="2"/>
                      <w:sz w:val="21"/>
                      <w:szCs w:val="21"/>
                      <w:highlight w:val="none"/>
                      <w14:textFill>
                        <w14:solidFill>
                          <w14:schemeClr w14:val="tx1"/>
                        </w14:solidFill>
                      </w14:textFill>
                    </w:rPr>
                    <w:t>防腐处理，罐区围堰宜采用抗渗等级不小于</w:t>
                  </w:r>
                  <w:r>
                    <w:rPr>
                      <w:rFonts w:hint="eastAsia" w:ascii="宋体" w:hAnsi="宋体" w:eastAsia="宋体" w:cs="宋体"/>
                      <w:color w:val="000000" w:themeColor="text1"/>
                      <w:spacing w:val="-2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P6的抗渗</w:t>
                  </w:r>
                  <w:r>
                    <w:rPr>
                      <w:rFonts w:hint="eastAsia" w:ascii="宋体" w:hAnsi="宋体" w:eastAsia="宋体" w:cs="宋体"/>
                      <w:color w:val="000000" w:themeColor="text1"/>
                      <w:spacing w:val="3"/>
                      <w:sz w:val="21"/>
                      <w:szCs w:val="21"/>
                      <w:highlight w:val="none"/>
                      <w14:textFill>
                        <w14:solidFill>
                          <w14:schemeClr w14:val="tx1"/>
                        </w14:solidFill>
                      </w14:textFill>
                    </w:rPr>
                    <w:t>混凝土。采取有效的</w:t>
                  </w:r>
                  <w:r>
                    <w:rPr>
                      <w:rFonts w:hint="eastAsia" w:cs="宋体"/>
                      <w:color w:val="000000" w:themeColor="text1"/>
                      <w:spacing w:val="3"/>
                      <w:sz w:val="21"/>
                      <w:szCs w:val="21"/>
                      <w:highlight w:val="none"/>
                      <w:lang w:eastAsia="zh-CN"/>
                      <w14:textFill>
                        <w14:solidFill>
                          <w14:schemeClr w14:val="tx1"/>
                        </w14:solidFill>
                      </w14:textFill>
                    </w:rPr>
                    <w:t>泄漏检测</w:t>
                  </w:r>
                  <w:r>
                    <w:rPr>
                      <w:rFonts w:hint="eastAsia" w:ascii="宋体" w:hAnsi="宋体" w:eastAsia="宋体" w:cs="宋体"/>
                      <w:color w:val="000000" w:themeColor="text1"/>
                      <w:spacing w:val="3"/>
                      <w:sz w:val="21"/>
                      <w:szCs w:val="21"/>
                      <w:highlight w:val="none"/>
                      <w14:textFill>
                        <w14:solidFill>
                          <w14:schemeClr w14:val="tx1"/>
                        </w14:solidFill>
                      </w14:textFill>
                    </w:rPr>
                    <w:t>手段及检漏设施，及时发现和处理可能泄漏的物质，一旦发生泄漏，确保及时发现并且停产检修，直至渗漏区域得到恢复后</w:t>
                  </w:r>
                  <w:r>
                    <w:rPr>
                      <w:rFonts w:hint="eastAsia" w:cs="宋体"/>
                      <w:color w:val="000000" w:themeColor="text1"/>
                      <w:spacing w:val="3"/>
                      <w:sz w:val="21"/>
                      <w:szCs w:val="21"/>
                      <w:highlight w:val="none"/>
                      <w:lang w:eastAsia="zh-CN"/>
                      <w14:textFill>
                        <w14:solidFill>
                          <w14:schemeClr w14:val="tx1"/>
                        </w14:solidFill>
                      </w14:textFill>
                    </w:rPr>
                    <w:t>再</w:t>
                  </w:r>
                  <w:r>
                    <w:rPr>
                      <w:rFonts w:hint="eastAsia" w:ascii="宋体" w:hAnsi="宋体" w:eastAsia="宋体" w:cs="宋体"/>
                      <w:color w:val="000000" w:themeColor="text1"/>
                      <w:spacing w:val="3"/>
                      <w:sz w:val="21"/>
                      <w:szCs w:val="21"/>
                      <w:highlight w:val="none"/>
                      <w14:textFill>
                        <w14:solidFill>
                          <w14:schemeClr w14:val="tx1"/>
                        </w14:solidFill>
                      </w14:textFill>
                    </w:rPr>
                    <w:t>投入生产</w:t>
                  </w:r>
                  <w:r>
                    <w:rPr>
                      <w:rFonts w:hint="eastAsia" w:ascii="宋体" w:hAnsi="宋体" w:eastAsia="宋体" w:cs="宋体"/>
                      <w:color w:val="000000" w:themeColor="text1"/>
                      <w:spacing w:val="-1"/>
                      <w:sz w:val="21"/>
                      <w:szCs w:val="21"/>
                      <w:highlight w:val="none"/>
                      <w14:textFill>
                        <w14:solidFill>
                          <w14:schemeClr w14:val="tx1"/>
                        </w14:solidFill>
                      </w14:textFill>
                    </w:rPr>
                    <w:t>运行</w:t>
                  </w:r>
                  <w:r>
                    <w:rPr>
                      <w:rFonts w:hint="eastAsia" w:cs="宋体"/>
                      <w:color w:val="000000" w:themeColor="text1"/>
                      <w:spacing w:val="-1"/>
                      <w:sz w:val="21"/>
                      <w:szCs w:val="21"/>
                      <w:highlight w:val="none"/>
                      <w:lang w:eastAsia="zh-CN"/>
                      <w14:textFill>
                        <w14:solidFill>
                          <w14:schemeClr w14:val="tx1"/>
                        </w14:solidFill>
                      </w14:textFill>
                    </w:rPr>
                    <w:t>。</w:t>
                  </w:r>
                </w:p>
              </w:tc>
              <w:tc>
                <w:tcPr>
                  <w:tcW w:w="396" w:type="pct"/>
                  <w:tcBorders>
                    <w:tl2br w:val="nil"/>
                    <w:tr2bl w:val="nil"/>
                  </w:tcBorders>
                  <w:noWrap w:val="0"/>
                  <w:vAlign w:val="top"/>
                </w:tcPr>
                <w:p w14:paraId="540DDF6F">
                  <w:pPr>
                    <w:keepNext w:val="0"/>
                    <w:keepLines w:val="0"/>
                    <w:pageBreakBefore w:val="0"/>
                    <w:widowControl/>
                    <w:kinsoku/>
                    <w:wordWrap/>
                    <w:overflowPunct/>
                    <w:topLinePunct w:val="0"/>
                    <w:autoSpaceDE w:val="0"/>
                    <w:autoSpaceDN w:val="0"/>
                    <w:bidi w:val="0"/>
                    <w:adjustRightInd/>
                    <w:snapToGrid/>
                    <w:spacing w:line="220" w:lineRule="atLeast"/>
                    <w:ind w:left="0" w:right="0"/>
                    <w:textAlignment w:val="baseline"/>
                    <w:rPr>
                      <w:rFonts w:hint="eastAsia" w:ascii="宋体" w:hAnsi="宋体" w:eastAsia="宋体" w:cs="宋体"/>
                      <w:color w:val="000000" w:themeColor="text1"/>
                      <w:sz w:val="21"/>
                      <w:szCs w:val="21"/>
                      <w14:textFill>
                        <w14:solidFill>
                          <w14:schemeClr w14:val="tx1"/>
                        </w14:solidFill>
                      </w14:textFill>
                    </w:rPr>
                  </w:pPr>
                </w:p>
              </w:tc>
            </w:tr>
          </w:tbl>
          <w:p w14:paraId="7B0ACE9B">
            <w:pPr>
              <w:pStyle w:val="52"/>
              <w:keepNext w:val="0"/>
              <w:keepLines w:val="0"/>
              <w:pageBreakBefore w:val="0"/>
              <w:widowControl w:val="0"/>
              <w:kinsoku/>
              <w:wordWrap/>
              <w:overflowPunct/>
              <w:topLinePunct w:val="0"/>
              <w:autoSpaceDE/>
              <w:autoSpaceDN/>
              <w:bidi w:val="0"/>
              <w:adjustRightInd/>
              <w:snapToGrid/>
              <w:spacing w:line="360" w:lineRule="auto"/>
              <w:ind w:left="104"/>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2"/>
                <w:sz w:val="24"/>
                <w:szCs w:val="24"/>
                <w:lang w:val="en-US" w:eastAsia="zh-CN"/>
                <w14:textFill>
                  <w14:solidFill>
                    <w14:schemeClr w14:val="tx1"/>
                  </w14:solidFill>
                </w14:textFill>
              </w:rPr>
              <w:t>3</w:t>
            </w:r>
            <w:r>
              <w:rPr>
                <w:rFonts w:hint="eastAsia" w:ascii="宋体" w:hAnsi="宋体" w:eastAsia="宋体" w:cs="宋体"/>
                <w:b/>
                <w:bCs/>
                <w:color w:val="000000" w:themeColor="text1"/>
                <w:spacing w:val="2"/>
                <w:sz w:val="24"/>
                <w:szCs w:val="24"/>
                <w14:textFill>
                  <w14:solidFill>
                    <w14:schemeClr w14:val="tx1"/>
                  </w14:solidFill>
                </w14:textFill>
              </w:rPr>
              <w:t>、产品方案</w:t>
            </w:r>
          </w:p>
          <w:p w14:paraId="59B3055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可膨胀石墨是灰黑色具层状晶体结</w:t>
            </w:r>
            <w:r>
              <w:rPr>
                <w:rFonts w:hint="eastAsia" w:ascii="宋体" w:hAnsi="宋体" w:eastAsia="宋体" w:cs="宋体"/>
                <w:color w:val="000000" w:themeColor="text1"/>
                <w:sz w:val="24"/>
                <w:szCs w:val="24"/>
                <w:highlight w:val="none"/>
                <w14:textFill>
                  <w14:solidFill>
                    <w14:schemeClr w14:val="tx1"/>
                  </w14:solidFill>
                </w14:textFill>
              </w:rPr>
              <w:t>构</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spacing w:val="6"/>
                <w:sz w:val="24"/>
                <w:szCs w:val="24"/>
                <w:lang w:val="en-US" w:eastAsia="zh-CN"/>
              </w:rPr>
              <w:t>50目鳞片状</w:t>
            </w:r>
            <w:r>
              <w:rPr>
                <w:rFonts w:hint="eastAsia" w:ascii="宋体" w:hAnsi="宋体" w:eastAsia="宋体" w:cs="宋体"/>
                <w:color w:val="000000" w:themeColor="text1"/>
                <w:sz w:val="24"/>
                <w:szCs w:val="24"/>
                <w14:textFill>
                  <w14:solidFill>
                    <w14:schemeClr w14:val="tx1"/>
                  </w14:solidFill>
                </w14:textFill>
              </w:rPr>
              <w:t>，带金属光泽，触摸有滑腻感，分散性高，不粘结。可膨胀石墨经过高温</w:t>
            </w:r>
            <w:r>
              <w:rPr>
                <w:rFonts w:hint="eastAsia" w:ascii="宋体" w:hAnsi="宋体" w:cs="宋体"/>
                <w:color w:val="000000" w:themeColor="text1"/>
                <w:sz w:val="24"/>
                <w:szCs w:val="24"/>
                <w:lang w:eastAsia="zh-CN"/>
                <w14:textFill>
                  <w14:solidFill>
                    <w14:schemeClr w14:val="tx1"/>
                  </w14:solidFill>
                </w14:textFill>
              </w:rPr>
              <w:t>瞬时</w:t>
            </w:r>
            <w:r>
              <w:rPr>
                <w:rFonts w:hint="eastAsia" w:ascii="宋体" w:hAnsi="宋体" w:eastAsia="宋体" w:cs="宋体"/>
                <w:color w:val="000000" w:themeColor="text1"/>
                <w:sz w:val="24"/>
                <w:szCs w:val="24"/>
                <w14:textFill>
                  <w14:solidFill>
                    <w14:schemeClr w14:val="tx1"/>
                  </w14:solidFill>
                </w14:textFill>
              </w:rPr>
              <w:t>处理，鳞片状变蠕虫状，体积可膨胀100-400倍，这种膨胀石墨仍然保持天然石墨的性质，并且具有良好的成型可塑性、柔韧延展性和密封性，是各种石墨板材、密封件的优质原料，也可以用于冶金工业的新型保护渣、发热剂。石墨经高温膨胀后的产物称为</w:t>
            </w:r>
            <w:r>
              <w:rPr>
                <w:rFonts w:hint="eastAsia" w:ascii="宋体" w:hAnsi="宋体" w:eastAsia="宋体" w:cs="宋体"/>
                <w:color w:val="000000" w:themeColor="text1"/>
                <w:sz w:val="24"/>
                <w:szCs w:val="24"/>
                <w:lang w:val="en-US" w:eastAsia="zh-CN"/>
                <w14:textFill>
                  <w14:solidFill>
                    <w14:schemeClr w14:val="tx1"/>
                  </w14:solidFill>
                </w14:textFill>
              </w:rPr>
              <w:t>可</w:t>
            </w:r>
            <w:r>
              <w:rPr>
                <w:rFonts w:hint="eastAsia" w:ascii="宋体" w:hAnsi="宋体" w:eastAsia="宋体" w:cs="宋体"/>
                <w:color w:val="000000" w:themeColor="text1"/>
                <w:sz w:val="24"/>
                <w:szCs w:val="24"/>
                <w14:textFill>
                  <w14:solidFill>
                    <w14:schemeClr w14:val="tx1"/>
                  </w14:solidFill>
                </w14:textFill>
              </w:rPr>
              <w:t>膨胀石墨，由于它的外形卷曲如毛虫状，俗称蠕虫石墨。</w:t>
            </w:r>
          </w:p>
          <w:p w14:paraId="3947EFEB">
            <w:pPr>
              <w:pStyle w:val="52"/>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本项目可膨胀石墨产品执行GB/T 10698《可膨胀石墨》质量要求。具体产品标准参考《中华人民共和国国家标准：</w:t>
            </w:r>
            <w:r>
              <w:rPr>
                <w:rFonts w:hint="eastAsia" w:ascii="宋体" w:hAnsi="宋体" w:eastAsia="宋体" w:cs="宋体"/>
                <w:color w:val="00B050"/>
                <w:kern w:val="2"/>
                <w:sz w:val="24"/>
                <w:szCs w:val="24"/>
                <w:lang w:val="en-US" w:eastAsia="zh-CN" w:bidi="ar-SA"/>
              </w:rPr>
              <w:t>可膨胀石墨(GB10698-</w:t>
            </w:r>
            <w:r>
              <w:rPr>
                <w:rFonts w:hint="eastAsia" w:cs="宋体"/>
                <w:color w:val="00B050"/>
                <w:kern w:val="2"/>
                <w:sz w:val="24"/>
                <w:szCs w:val="24"/>
                <w:lang w:val="en-US" w:eastAsia="zh-CN" w:bidi="ar-SA"/>
              </w:rPr>
              <w:t>2023</w:t>
            </w:r>
            <w:r>
              <w:rPr>
                <w:rFonts w:hint="eastAsia" w:ascii="宋体" w:hAnsi="宋体" w:eastAsia="宋体" w:cs="宋体"/>
                <w:color w:val="00B050"/>
                <w:kern w:val="2"/>
                <w:sz w:val="24"/>
                <w:szCs w:val="24"/>
                <w:lang w:val="en-US" w:eastAsia="zh-CN" w:bidi="ar-SA"/>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》执行。</w:t>
            </w:r>
          </w:p>
          <w:p w14:paraId="5C6746FA">
            <w:pPr>
              <w:pStyle w:val="55"/>
              <w:keepNext w:val="0"/>
              <w:keepLines w:val="0"/>
              <w:pageBreakBefore w:val="0"/>
              <w:widowControl/>
              <w:kinsoku/>
              <w:wordWrap/>
              <w:overflowPunct/>
              <w:topLinePunct w:val="0"/>
              <w:autoSpaceDE/>
              <w:autoSpaceDN/>
              <w:bidi w:val="0"/>
              <w:adjustRightInd w:val="0"/>
              <w:snapToGrid w:val="0"/>
              <w:spacing w:before="0" w:after="0"/>
              <w:ind w:right="113" w:firstLine="0" w:firstLineChars="0"/>
              <w:textAlignment w:val="baseline"/>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4、</w:t>
            </w:r>
            <w:r>
              <w:rPr>
                <w:rFonts w:hint="eastAsia" w:ascii="宋体" w:hAnsi="宋体" w:eastAsia="宋体" w:cs="宋体"/>
                <w:b/>
                <w:bCs/>
                <w:color w:val="000000" w:themeColor="text1"/>
                <w:spacing w:val="0"/>
                <w:sz w:val="24"/>
                <w:szCs w:val="24"/>
                <w14:textFill>
                  <w14:solidFill>
                    <w14:schemeClr w14:val="tx1"/>
                  </w14:solidFill>
                </w14:textFill>
              </w:rPr>
              <w:t>主要生产设备</w:t>
            </w:r>
          </w:p>
          <w:p w14:paraId="011C4791">
            <w:pPr>
              <w:pStyle w:val="55"/>
              <w:keepNext w:val="0"/>
              <w:keepLines w:val="0"/>
              <w:pageBreakBefore w:val="0"/>
              <w:widowControl/>
              <w:kinsoku/>
              <w:wordWrap/>
              <w:overflowPunct/>
              <w:topLinePunct w:val="0"/>
              <w:autoSpaceDE/>
              <w:autoSpaceDN/>
              <w:bidi w:val="0"/>
              <w:adjustRightInd w:val="0"/>
              <w:snapToGrid w:val="0"/>
              <w:spacing w:before="0" w:after="0"/>
              <w:ind w:right="113" w:firstLine="444"/>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根据建设单位提供的材料，本项目主要设施及设施参数见下表。</w:t>
            </w:r>
          </w:p>
          <w:p w14:paraId="543128AE">
            <w:pPr>
              <w:jc w:val="center"/>
              <w:rPr>
                <w:rFonts w:hint="eastAsia" w:eastAsia="宋体"/>
                <w:b/>
                <w:bCs/>
                <w:color w:val="000000" w:themeColor="text1"/>
                <w:spacing w:val="6"/>
                <w:sz w:val="21"/>
                <w:szCs w:val="21"/>
                <w:highlight w:val="none"/>
                <w14:textFill>
                  <w14:solidFill>
                    <w14:schemeClr w14:val="tx1"/>
                  </w14:solidFill>
                </w14:textFill>
              </w:rPr>
            </w:pPr>
          </w:p>
          <w:p w14:paraId="17DEF6B2">
            <w:pPr>
              <w:jc w:val="center"/>
              <w:rPr>
                <w:rFonts w:eastAsia="宋体"/>
                <w:b/>
                <w:bCs/>
                <w:color w:val="000000" w:themeColor="text1"/>
                <w:spacing w:val="6"/>
                <w:sz w:val="24"/>
                <w:szCs w:val="24"/>
                <w14:textFill>
                  <w14:solidFill>
                    <w14:schemeClr w14:val="tx1"/>
                  </w14:solidFill>
                </w14:textFill>
              </w:rPr>
            </w:pPr>
            <w:r>
              <w:rPr>
                <w:rFonts w:hint="eastAsia" w:eastAsia="宋体"/>
                <w:b/>
                <w:bCs/>
                <w:color w:val="000000" w:themeColor="text1"/>
                <w:spacing w:val="6"/>
                <w:sz w:val="21"/>
                <w:szCs w:val="21"/>
                <w:highlight w:val="none"/>
                <w14:textFill>
                  <w14:solidFill>
                    <w14:schemeClr w14:val="tx1"/>
                  </w14:solidFill>
                </w14:textFill>
              </w:rPr>
              <w:t>表2-</w:t>
            </w:r>
            <w:r>
              <w:rPr>
                <w:rFonts w:hint="eastAsia"/>
                <w:b/>
                <w:bCs/>
                <w:color w:val="000000" w:themeColor="text1"/>
                <w:spacing w:val="6"/>
                <w:sz w:val="21"/>
                <w:szCs w:val="21"/>
                <w:highlight w:val="none"/>
                <w:lang w:val="en-US" w:eastAsia="zh-CN"/>
                <w14:textFill>
                  <w14:solidFill>
                    <w14:schemeClr w14:val="tx1"/>
                  </w14:solidFill>
                </w14:textFill>
              </w:rPr>
              <w:t>2</w:t>
            </w:r>
            <w:r>
              <w:rPr>
                <w:rFonts w:hint="eastAsia" w:eastAsia="宋体"/>
                <w:b/>
                <w:bCs/>
                <w:color w:val="000000" w:themeColor="text1"/>
                <w:spacing w:val="6"/>
                <w:sz w:val="21"/>
                <w:szCs w:val="21"/>
                <w:highlight w:val="none"/>
                <w14:textFill>
                  <w14:solidFill>
                    <w14:schemeClr w14:val="tx1"/>
                  </w14:solidFill>
                </w14:textFill>
              </w:rPr>
              <w:t xml:space="preserve"> </w:t>
            </w:r>
            <w:r>
              <w:rPr>
                <w:rFonts w:hint="eastAsia" w:eastAsia="宋体"/>
                <w:b/>
                <w:bCs/>
                <w:color w:val="000000" w:themeColor="text1"/>
                <w:spacing w:val="6"/>
                <w:sz w:val="21"/>
                <w:szCs w:val="21"/>
                <w14:textFill>
                  <w14:solidFill>
                    <w14:schemeClr w14:val="tx1"/>
                  </w14:solidFill>
                </w14:textFill>
              </w:rPr>
              <w:t xml:space="preserve">   本项目新增主要设备使用情况一览表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83"/>
              <w:gridCol w:w="1774"/>
              <w:gridCol w:w="1615"/>
              <w:gridCol w:w="897"/>
              <w:gridCol w:w="3377"/>
            </w:tblGrid>
            <w:tr w14:paraId="09A846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63" w:type="pct"/>
                  <w:tcBorders>
                    <w:tl2br w:val="nil"/>
                    <w:tr2bl w:val="nil"/>
                  </w:tcBorders>
                  <w:noWrap w:val="0"/>
                  <w:vAlign w:val="center"/>
                </w:tcPr>
                <w:p w14:paraId="7967AA2A">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050" w:type="pct"/>
                  <w:tcBorders>
                    <w:tl2br w:val="nil"/>
                    <w:tr2bl w:val="nil"/>
                  </w:tcBorders>
                  <w:noWrap w:val="0"/>
                  <w:vAlign w:val="center"/>
                </w:tcPr>
                <w:p w14:paraId="4EC3E108">
                  <w:pPr>
                    <w:pStyle w:val="56"/>
                    <w:keepNext w:val="0"/>
                    <w:keepLines w:val="0"/>
                    <w:pageBreakBefore w:val="0"/>
                    <w:kinsoku/>
                    <w:wordWrap/>
                    <w:overflowPunct/>
                    <w:topLinePunct w:val="0"/>
                    <w:bidi w:val="0"/>
                    <w:adjustRightInd/>
                    <w:snapToGrid/>
                    <w:spacing w:line="240" w:lineRule="atLeast"/>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设备名称</w:t>
                  </w:r>
                </w:p>
              </w:tc>
              <w:tc>
                <w:tcPr>
                  <w:tcW w:w="956" w:type="pct"/>
                  <w:tcBorders>
                    <w:tl2br w:val="nil"/>
                    <w:tr2bl w:val="nil"/>
                  </w:tcBorders>
                  <w:noWrap w:val="0"/>
                  <w:vAlign w:val="center"/>
                </w:tcPr>
                <w:p w14:paraId="7E648F64">
                  <w:pPr>
                    <w:pStyle w:val="56"/>
                    <w:keepNext w:val="0"/>
                    <w:keepLines w:val="0"/>
                    <w:pageBreakBefore w:val="0"/>
                    <w:kinsoku/>
                    <w:wordWrap/>
                    <w:overflowPunct/>
                    <w:topLinePunct w:val="0"/>
                    <w:bidi w:val="0"/>
                    <w:adjustRightInd/>
                    <w:snapToGrid/>
                    <w:spacing w:line="240" w:lineRule="atLeast"/>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规格/型号</w:t>
                  </w:r>
                </w:p>
              </w:tc>
              <w:tc>
                <w:tcPr>
                  <w:tcW w:w="531" w:type="pct"/>
                  <w:tcBorders>
                    <w:tl2br w:val="nil"/>
                    <w:tr2bl w:val="nil"/>
                  </w:tcBorders>
                  <w:noWrap w:val="0"/>
                  <w:vAlign w:val="center"/>
                </w:tcPr>
                <w:p w14:paraId="4279A6E8">
                  <w:pPr>
                    <w:pStyle w:val="56"/>
                    <w:keepNext w:val="0"/>
                    <w:keepLines w:val="0"/>
                    <w:pageBreakBefore w:val="0"/>
                    <w:kinsoku/>
                    <w:wordWrap/>
                    <w:overflowPunct/>
                    <w:topLinePunct w:val="0"/>
                    <w:bidi w:val="0"/>
                    <w:adjustRightInd/>
                    <w:snapToGrid/>
                    <w:spacing w:line="240" w:lineRule="atLeast"/>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数量</w:t>
                  </w:r>
                </w:p>
              </w:tc>
              <w:tc>
                <w:tcPr>
                  <w:tcW w:w="1999" w:type="pct"/>
                  <w:tcBorders>
                    <w:tl2br w:val="nil"/>
                    <w:tr2bl w:val="nil"/>
                  </w:tcBorders>
                  <w:noWrap w:val="0"/>
                  <w:vAlign w:val="center"/>
                </w:tcPr>
                <w:p w14:paraId="6518B029">
                  <w:pPr>
                    <w:pStyle w:val="56"/>
                    <w:keepNext w:val="0"/>
                    <w:keepLines w:val="0"/>
                    <w:pageBreakBefore w:val="0"/>
                    <w:kinsoku/>
                    <w:wordWrap/>
                    <w:overflowPunct/>
                    <w:topLinePunct w:val="0"/>
                    <w:bidi w:val="0"/>
                    <w:adjustRightInd/>
                    <w:snapToGrid/>
                    <w:spacing w:line="240" w:lineRule="atLeast"/>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功能</w:t>
                  </w:r>
                </w:p>
              </w:tc>
            </w:tr>
            <w:tr w14:paraId="7CBC17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 w:hRule="atLeast"/>
                <w:jc w:val="center"/>
              </w:trPr>
              <w:tc>
                <w:tcPr>
                  <w:tcW w:w="5000" w:type="pct"/>
                  <w:gridSpan w:val="5"/>
                  <w:tcBorders>
                    <w:tl2br w:val="nil"/>
                    <w:tr2bl w:val="nil"/>
                  </w:tcBorders>
                  <w:noWrap w:val="0"/>
                  <w:vAlign w:val="center"/>
                </w:tcPr>
                <w:p w14:paraId="14418404">
                  <w:pPr>
                    <w:pStyle w:val="56"/>
                    <w:keepNext w:val="0"/>
                    <w:keepLines w:val="0"/>
                    <w:pageBreakBefore w:val="0"/>
                    <w:kinsoku/>
                    <w:wordWrap/>
                    <w:overflowPunct/>
                    <w:topLinePunct w:val="0"/>
                    <w:bidi w:val="0"/>
                    <w:adjustRightInd/>
                    <w:snapToGrid/>
                    <w:spacing w:line="240" w:lineRule="atLeast"/>
                    <w:jc w:val="both"/>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一、生产设备</w:t>
                  </w:r>
                </w:p>
              </w:tc>
            </w:tr>
            <w:tr w14:paraId="41D2CF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463" w:type="pct"/>
                  <w:tcBorders>
                    <w:tl2br w:val="nil"/>
                    <w:tr2bl w:val="nil"/>
                  </w:tcBorders>
                  <w:noWrap w:val="0"/>
                  <w:vAlign w:val="center"/>
                </w:tcPr>
                <w:p w14:paraId="2745861A">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50" w:type="pct"/>
                  <w:tcBorders>
                    <w:tl2br w:val="nil"/>
                    <w:tr2bl w:val="nil"/>
                  </w:tcBorders>
                  <w:noWrap w:val="0"/>
                  <w:vAlign w:val="center"/>
                </w:tcPr>
                <w:p w14:paraId="76FF6210">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硫酸罐</w:t>
                  </w:r>
                </w:p>
              </w:tc>
              <w:tc>
                <w:tcPr>
                  <w:tcW w:w="956" w:type="pct"/>
                  <w:tcBorders>
                    <w:tl2br w:val="nil"/>
                    <w:tr2bl w:val="nil"/>
                  </w:tcBorders>
                  <w:noWrap w:val="0"/>
                  <w:vAlign w:val="center"/>
                </w:tcPr>
                <w:p w14:paraId="51ABCDFA">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地</w:t>
                  </w:r>
                  <w:r>
                    <w:rPr>
                      <w:rFonts w:hint="eastAsia"/>
                      <w:color w:val="000000" w:themeColor="text1"/>
                      <w:lang w:val="en-US" w:eastAsia="zh-CN"/>
                      <w14:textFill>
                        <w14:solidFill>
                          <w14:schemeClr w14:val="tx1"/>
                        </w14:solidFill>
                      </w14:textFill>
                    </w:rPr>
                    <w:t>上</w:t>
                  </w:r>
                  <w:r>
                    <w:rPr>
                      <w:color w:val="000000" w:themeColor="text1"/>
                      <w14:textFill>
                        <w14:solidFill>
                          <w14:schemeClr w14:val="tx1"/>
                        </w14:solidFill>
                      </w14:textFill>
                    </w:rPr>
                    <w:t>储罐，</w:t>
                  </w:r>
                  <w:r>
                    <w:rPr>
                      <w:rFonts w:hint="eastAsia"/>
                      <w:color w:val="000000" w:themeColor="text1"/>
                      <w:lang w:val="en-US" w:eastAsia="zh-CN"/>
                      <w14:textFill>
                        <w14:solidFill>
                          <w14:schemeClr w14:val="tx1"/>
                        </w14:solidFill>
                      </w14:textFill>
                    </w:rPr>
                    <w:t>60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p>
              </w:tc>
              <w:tc>
                <w:tcPr>
                  <w:tcW w:w="531" w:type="pct"/>
                  <w:tcBorders>
                    <w:tl2br w:val="nil"/>
                    <w:tr2bl w:val="nil"/>
                  </w:tcBorders>
                  <w:noWrap w:val="0"/>
                  <w:vAlign w:val="center"/>
                </w:tcPr>
                <w:p w14:paraId="601126B9">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台</w:t>
                  </w:r>
                </w:p>
              </w:tc>
              <w:tc>
                <w:tcPr>
                  <w:tcW w:w="1999" w:type="pct"/>
                  <w:tcBorders>
                    <w:tl2br w:val="nil"/>
                    <w:tr2bl w:val="nil"/>
                  </w:tcBorders>
                  <w:noWrap w:val="0"/>
                  <w:vAlign w:val="center"/>
                </w:tcPr>
                <w:p w14:paraId="6A3E459A">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用于浓硫酸的储存</w:t>
                  </w:r>
                </w:p>
              </w:tc>
            </w:tr>
            <w:tr w14:paraId="570423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63" w:type="pct"/>
                  <w:tcBorders>
                    <w:tl2br w:val="nil"/>
                    <w:tr2bl w:val="nil"/>
                  </w:tcBorders>
                  <w:noWrap w:val="0"/>
                  <w:vAlign w:val="center"/>
                </w:tcPr>
                <w:p w14:paraId="4551B8A8">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050" w:type="pct"/>
                  <w:tcBorders>
                    <w:tl2br w:val="nil"/>
                    <w:tr2bl w:val="nil"/>
                  </w:tcBorders>
                  <w:noWrap w:val="0"/>
                  <w:vAlign w:val="center"/>
                </w:tcPr>
                <w:p w14:paraId="75B573D0">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计量</w:t>
                  </w:r>
                  <w:r>
                    <w:rPr>
                      <w:color w:val="000000" w:themeColor="text1"/>
                      <w14:textFill>
                        <w14:solidFill>
                          <w14:schemeClr w14:val="tx1"/>
                        </w14:solidFill>
                      </w14:textFill>
                    </w:rPr>
                    <w:t>罐</w:t>
                  </w:r>
                </w:p>
              </w:tc>
              <w:tc>
                <w:tcPr>
                  <w:tcW w:w="956" w:type="pct"/>
                  <w:tcBorders>
                    <w:tl2br w:val="nil"/>
                    <w:tr2bl w:val="nil"/>
                  </w:tcBorders>
                  <w:noWrap w:val="0"/>
                  <w:vAlign w:val="center"/>
                </w:tcPr>
                <w:p w14:paraId="33AC0D49">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highlight w:val="yellow"/>
                      <w14:textFill>
                        <w14:solidFill>
                          <w14:schemeClr w14:val="tx1"/>
                        </w14:solidFill>
                      </w14:textFill>
                    </w:rPr>
                  </w:pPr>
                  <w:r>
                    <w:rPr>
                      <w:color w:val="000000" w:themeColor="text1"/>
                      <w14:textFill>
                        <w14:solidFill>
                          <w14:schemeClr w14:val="tx1"/>
                        </w14:solidFill>
                      </w14:textFill>
                    </w:rPr>
                    <w:t>地上储罐，8m</w:t>
                  </w:r>
                  <w:r>
                    <w:rPr>
                      <w:color w:val="000000" w:themeColor="text1"/>
                      <w:vertAlign w:val="superscript"/>
                      <w14:textFill>
                        <w14:solidFill>
                          <w14:schemeClr w14:val="tx1"/>
                        </w14:solidFill>
                      </w14:textFill>
                    </w:rPr>
                    <w:t>3</w:t>
                  </w:r>
                </w:p>
              </w:tc>
              <w:tc>
                <w:tcPr>
                  <w:tcW w:w="531" w:type="pct"/>
                  <w:tcBorders>
                    <w:tl2br w:val="nil"/>
                    <w:tr2bl w:val="nil"/>
                  </w:tcBorders>
                  <w:noWrap w:val="0"/>
                  <w:vAlign w:val="center"/>
                </w:tcPr>
                <w:p w14:paraId="0468DD64">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1999" w:type="pct"/>
                  <w:tcBorders>
                    <w:tl2br w:val="nil"/>
                    <w:tr2bl w:val="nil"/>
                  </w:tcBorders>
                  <w:noWrap w:val="0"/>
                  <w:vAlign w:val="center"/>
                </w:tcPr>
                <w:p w14:paraId="19F6139F">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用于浓硫酸的计量</w:t>
                  </w:r>
                </w:p>
              </w:tc>
            </w:tr>
            <w:tr w14:paraId="296FDB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 w:hRule="atLeast"/>
                <w:jc w:val="center"/>
              </w:trPr>
              <w:tc>
                <w:tcPr>
                  <w:tcW w:w="463" w:type="pct"/>
                  <w:tcBorders>
                    <w:tl2br w:val="nil"/>
                    <w:tr2bl w:val="nil"/>
                  </w:tcBorders>
                  <w:shd w:val="clear" w:color="auto" w:fill="auto"/>
                  <w:noWrap w:val="0"/>
                  <w:vAlign w:val="center"/>
                </w:tcPr>
                <w:p w14:paraId="0DCA08B8">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050" w:type="pct"/>
                  <w:tcBorders>
                    <w:tl2br w:val="nil"/>
                    <w:tr2bl w:val="nil"/>
                  </w:tcBorders>
                  <w:noWrap w:val="0"/>
                  <w:vAlign w:val="center"/>
                </w:tcPr>
                <w:p w14:paraId="154AA477">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插层</w:t>
                  </w:r>
                  <w:r>
                    <w:rPr>
                      <w:rFonts w:hint="eastAsia" w:ascii="Times New Roman" w:hAnsi="Times New Roman"/>
                      <w:snapToGrid w:val="0"/>
                      <w:color w:val="000000" w:themeColor="text1"/>
                      <w:highlight w:val="none"/>
                      <w:lang w:eastAsia="zh-CN"/>
                      <w14:textFill>
                        <w14:solidFill>
                          <w14:schemeClr w14:val="tx1"/>
                        </w14:solidFill>
                      </w14:textFill>
                    </w:rPr>
                    <w:t>釜</w:t>
                  </w:r>
                </w:p>
              </w:tc>
              <w:tc>
                <w:tcPr>
                  <w:tcW w:w="956" w:type="pct"/>
                  <w:tcBorders>
                    <w:tl2br w:val="nil"/>
                    <w:tr2bl w:val="nil"/>
                  </w:tcBorders>
                  <w:noWrap w:val="0"/>
                  <w:vAlign w:val="center"/>
                </w:tcPr>
                <w:p w14:paraId="6357CFCD">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11kW</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2m</w:t>
                  </w:r>
                  <w:r>
                    <w:rPr>
                      <w:color w:val="000000" w:themeColor="text1"/>
                      <w:vertAlign w:val="superscript"/>
                      <w14:textFill>
                        <w14:solidFill>
                          <w14:schemeClr w14:val="tx1"/>
                        </w14:solidFill>
                      </w14:textFill>
                    </w:rPr>
                    <w:t>3</w:t>
                  </w:r>
                </w:p>
              </w:tc>
              <w:tc>
                <w:tcPr>
                  <w:tcW w:w="531" w:type="pct"/>
                  <w:tcBorders>
                    <w:tl2br w:val="nil"/>
                    <w:tr2bl w:val="nil"/>
                  </w:tcBorders>
                  <w:noWrap w:val="0"/>
                  <w:vAlign w:val="center"/>
                </w:tcPr>
                <w:p w14:paraId="53C6E21D">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6台</w:t>
                  </w:r>
                </w:p>
              </w:tc>
              <w:tc>
                <w:tcPr>
                  <w:tcW w:w="1999" w:type="pct"/>
                  <w:tcBorders>
                    <w:tl2br w:val="nil"/>
                    <w:tr2bl w:val="nil"/>
                  </w:tcBorders>
                  <w:noWrap w:val="0"/>
                  <w:vAlign w:val="center"/>
                </w:tcPr>
                <w:p w14:paraId="56742786">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用于</w:t>
                  </w:r>
                  <w:r>
                    <w:rPr>
                      <w:rFonts w:hint="eastAsia"/>
                      <w:color w:val="000000" w:themeColor="text1"/>
                      <w:lang w:val="en-US" w:eastAsia="zh-CN"/>
                      <w14:textFill>
                        <w14:solidFill>
                          <w14:schemeClr w14:val="tx1"/>
                        </w14:solidFill>
                      </w14:textFill>
                    </w:rPr>
                    <w:t>插层</w:t>
                  </w:r>
                </w:p>
              </w:tc>
            </w:tr>
            <w:tr w14:paraId="32B480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9" w:hRule="atLeast"/>
                <w:jc w:val="center"/>
              </w:trPr>
              <w:tc>
                <w:tcPr>
                  <w:tcW w:w="463" w:type="pct"/>
                  <w:tcBorders>
                    <w:tl2br w:val="nil"/>
                    <w:tr2bl w:val="nil"/>
                  </w:tcBorders>
                  <w:shd w:val="clear" w:color="auto" w:fill="auto"/>
                  <w:noWrap w:val="0"/>
                  <w:vAlign w:val="center"/>
                </w:tcPr>
                <w:p w14:paraId="59DE78D8">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050" w:type="pct"/>
                  <w:tcBorders>
                    <w:tl2br w:val="nil"/>
                    <w:tr2bl w:val="nil"/>
                  </w:tcBorders>
                  <w:noWrap w:val="0"/>
                  <w:vAlign w:val="center"/>
                </w:tcPr>
                <w:p w14:paraId="6DF39613">
                  <w:pPr>
                    <w:keepNext w:val="0"/>
                    <w:keepLines w:val="0"/>
                    <w:pageBreakBefore w:val="0"/>
                    <w:kinsoku/>
                    <w:wordWrap/>
                    <w:overflowPunct/>
                    <w:topLinePunct w:val="0"/>
                    <w:autoSpaceDE w:val="0"/>
                    <w:autoSpaceDN w:val="0"/>
                    <w:bidi w:val="0"/>
                    <w:adjustRightInd/>
                    <w:snapToGrid/>
                    <w:spacing w:line="240" w:lineRule="atLeast"/>
                    <w:ind w:firstLine="210" w:firstLineChars="100"/>
                    <w:jc w:val="both"/>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脱酸</w:t>
                  </w:r>
                  <w:r>
                    <w:rPr>
                      <w:color w:val="000000" w:themeColor="text1"/>
                      <w14:textFill>
                        <w14:solidFill>
                          <w14:schemeClr w14:val="tx1"/>
                        </w14:solidFill>
                      </w14:textFill>
                    </w:rPr>
                    <w:t>压滤机</w:t>
                  </w:r>
                </w:p>
              </w:tc>
              <w:tc>
                <w:tcPr>
                  <w:tcW w:w="956" w:type="pct"/>
                  <w:tcBorders>
                    <w:tl2br w:val="nil"/>
                    <w:tr2bl w:val="nil"/>
                  </w:tcBorders>
                  <w:noWrap w:val="0"/>
                  <w:vAlign w:val="center"/>
                </w:tcPr>
                <w:p w14:paraId="6D2B465F">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4kW、 100m</w:t>
                  </w:r>
                  <w:r>
                    <w:rPr>
                      <w:color w:val="000000" w:themeColor="text1"/>
                      <w:vertAlign w:val="superscript"/>
                      <w14:textFill>
                        <w14:solidFill>
                          <w14:schemeClr w14:val="tx1"/>
                        </w14:solidFill>
                      </w14:textFill>
                    </w:rPr>
                    <w:t>2</w:t>
                  </w:r>
                </w:p>
              </w:tc>
              <w:tc>
                <w:tcPr>
                  <w:tcW w:w="531" w:type="pct"/>
                  <w:tcBorders>
                    <w:tl2br w:val="nil"/>
                    <w:tr2bl w:val="nil"/>
                  </w:tcBorders>
                  <w:noWrap w:val="0"/>
                  <w:vAlign w:val="center"/>
                </w:tcPr>
                <w:p w14:paraId="256DCED0">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2台</w:t>
                  </w:r>
                </w:p>
              </w:tc>
              <w:tc>
                <w:tcPr>
                  <w:tcW w:w="1999" w:type="pct"/>
                  <w:tcBorders>
                    <w:tl2br w:val="nil"/>
                    <w:tr2bl w:val="nil"/>
                  </w:tcBorders>
                  <w:noWrap w:val="0"/>
                  <w:vAlign w:val="center"/>
                </w:tcPr>
                <w:p w14:paraId="6E4CB98B">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脱酸</w:t>
                  </w:r>
                </w:p>
              </w:tc>
            </w:tr>
            <w:tr w14:paraId="6B94AF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9" w:hRule="atLeast"/>
                <w:jc w:val="center"/>
              </w:trPr>
              <w:tc>
                <w:tcPr>
                  <w:tcW w:w="463" w:type="pct"/>
                  <w:tcBorders>
                    <w:tl2br w:val="nil"/>
                    <w:tr2bl w:val="nil"/>
                  </w:tcBorders>
                  <w:shd w:val="clear" w:color="auto" w:fill="auto"/>
                  <w:noWrap w:val="0"/>
                  <w:vAlign w:val="center"/>
                </w:tcPr>
                <w:p w14:paraId="31BC71FA">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1050" w:type="pct"/>
                  <w:tcBorders>
                    <w:tl2br w:val="nil"/>
                    <w:tr2bl w:val="nil"/>
                  </w:tcBorders>
                  <w:noWrap w:val="0"/>
                  <w:vAlign w:val="center"/>
                </w:tcPr>
                <w:p w14:paraId="2397EDC0">
                  <w:pPr>
                    <w:keepNext w:val="0"/>
                    <w:keepLines w:val="0"/>
                    <w:pageBreakBefore w:val="0"/>
                    <w:kinsoku/>
                    <w:wordWrap/>
                    <w:overflowPunct/>
                    <w:topLinePunct w:val="0"/>
                    <w:autoSpaceDE w:val="0"/>
                    <w:autoSpaceDN w:val="0"/>
                    <w:bidi w:val="0"/>
                    <w:adjustRightInd/>
                    <w:snapToGrid/>
                    <w:spacing w:line="240" w:lineRule="atLeast"/>
                    <w:ind w:firstLine="210" w:firstLineChars="100"/>
                    <w:jc w:val="both"/>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脱水</w:t>
                  </w:r>
                  <w:r>
                    <w:rPr>
                      <w:color w:val="000000" w:themeColor="text1"/>
                      <w14:textFill>
                        <w14:solidFill>
                          <w14:schemeClr w14:val="tx1"/>
                        </w14:solidFill>
                      </w14:textFill>
                    </w:rPr>
                    <w:t>压滤机</w:t>
                  </w:r>
                </w:p>
              </w:tc>
              <w:tc>
                <w:tcPr>
                  <w:tcW w:w="956" w:type="pct"/>
                  <w:tcBorders>
                    <w:tl2br w:val="nil"/>
                    <w:tr2bl w:val="nil"/>
                  </w:tcBorders>
                  <w:noWrap w:val="0"/>
                  <w:vAlign w:val="center"/>
                </w:tcPr>
                <w:p w14:paraId="70FAB67B">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00m</w:t>
                  </w:r>
                  <w:r>
                    <w:rPr>
                      <w:color w:val="000000" w:themeColor="text1"/>
                      <w:vertAlign w:val="superscript"/>
                      <w14:textFill>
                        <w14:solidFill>
                          <w14:schemeClr w14:val="tx1"/>
                        </w14:solidFill>
                      </w14:textFill>
                    </w:rPr>
                    <w:t>2</w:t>
                  </w:r>
                </w:p>
              </w:tc>
              <w:tc>
                <w:tcPr>
                  <w:tcW w:w="531" w:type="pct"/>
                  <w:tcBorders>
                    <w:tl2br w:val="nil"/>
                    <w:tr2bl w:val="nil"/>
                  </w:tcBorders>
                  <w:noWrap w:val="0"/>
                  <w:vAlign w:val="center"/>
                </w:tcPr>
                <w:p w14:paraId="453EC224">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1台</w:t>
                  </w:r>
                </w:p>
              </w:tc>
              <w:tc>
                <w:tcPr>
                  <w:tcW w:w="1999" w:type="pct"/>
                  <w:tcBorders>
                    <w:tl2br w:val="nil"/>
                    <w:tr2bl w:val="nil"/>
                  </w:tcBorders>
                  <w:noWrap w:val="0"/>
                  <w:vAlign w:val="center"/>
                </w:tcPr>
                <w:p w14:paraId="376F5EEE">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脱水</w:t>
                  </w:r>
                </w:p>
              </w:tc>
            </w:tr>
            <w:tr w14:paraId="7FB8CB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 w:hRule="atLeast"/>
                <w:jc w:val="center"/>
              </w:trPr>
              <w:tc>
                <w:tcPr>
                  <w:tcW w:w="463" w:type="pct"/>
                  <w:tcBorders>
                    <w:tl2br w:val="nil"/>
                    <w:tr2bl w:val="nil"/>
                  </w:tcBorders>
                  <w:shd w:val="clear" w:color="auto" w:fill="auto"/>
                  <w:noWrap w:val="0"/>
                  <w:vAlign w:val="center"/>
                </w:tcPr>
                <w:p w14:paraId="0C01B697">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1050" w:type="pct"/>
                  <w:tcBorders>
                    <w:tl2br w:val="nil"/>
                    <w:tr2bl w:val="nil"/>
                  </w:tcBorders>
                  <w:noWrap w:val="0"/>
                  <w:vAlign w:val="center"/>
                </w:tcPr>
                <w:p w14:paraId="12D90627">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隔膜</w:t>
                  </w:r>
                  <w:r>
                    <w:rPr>
                      <w:color w:val="000000" w:themeColor="text1"/>
                      <w:highlight w:val="none"/>
                      <w14:textFill>
                        <w14:solidFill>
                          <w14:schemeClr w14:val="tx1"/>
                        </w14:solidFill>
                      </w14:textFill>
                    </w:rPr>
                    <w:t>泵</w:t>
                  </w:r>
                </w:p>
              </w:tc>
              <w:tc>
                <w:tcPr>
                  <w:tcW w:w="956" w:type="pct"/>
                  <w:tcBorders>
                    <w:tl2br w:val="nil"/>
                    <w:tr2bl w:val="nil"/>
                  </w:tcBorders>
                  <w:noWrap w:val="0"/>
                  <w:vAlign w:val="center"/>
                </w:tcPr>
                <w:p w14:paraId="2178C8D0">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7kW</w:t>
                  </w:r>
                </w:p>
              </w:tc>
              <w:tc>
                <w:tcPr>
                  <w:tcW w:w="531" w:type="pct"/>
                  <w:tcBorders>
                    <w:tl2br w:val="nil"/>
                    <w:tr2bl w:val="nil"/>
                  </w:tcBorders>
                  <w:noWrap w:val="0"/>
                  <w:vAlign w:val="center"/>
                </w:tcPr>
                <w:p w14:paraId="7950030A">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2台</w:t>
                  </w:r>
                </w:p>
              </w:tc>
              <w:tc>
                <w:tcPr>
                  <w:tcW w:w="1999" w:type="pct"/>
                  <w:tcBorders>
                    <w:tl2br w:val="nil"/>
                    <w:tr2bl w:val="nil"/>
                  </w:tcBorders>
                  <w:noWrap w:val="0"/>
                  <w:vAlign w:val="center"/>
                </w:tcPr>
                <w:p w14:paraId="54130E49">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原料输送</w:t>
                  </w:r>
                </w:p>
              </w:tc>
            </w:tr>
            <w:tr w14:paraId="02C634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 w:hRule="atLeast"/>
                <w:jc w:val="center"/>
              </w:trPr>
              <w:tc>
                <w:tcPr>
                  <w:tcW w:w="463" w:type="pct"/>
                  <w:tcBorders>
                    <w:tl2br w:val="nil"/>
                    <w:tr2bl w:val="nil"/>
                  </w:tcBorders>
                  <w:shd w:val="clear" w:color="auto" w:fill="auto"/>
                  <w:noWrap w:val="0"/>
                  <w:vAlign w:val="center"/>
                </w:tcPr>
                <w:p w14:paraId="68E2CCBD">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1050" w:type="pct"/>
                  <w:tcBorders>
                    <w:tl2br w:val="nil"/>
                    <w:tr2bl w:val="nil"/>
                  </w:tcBorders>
                  <w:noWrap w:val="0"/>
                  <w:vAlign w:val="center"/>
                </w:tcPr>
                <w:p w14:paraId="6D698595">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离心泵</w:t>
                  </w:r>
                </w:p>
              </w:tc>
              <w:tc>
                <w:tcPr>
                  <w:tcW w:w="956" w:type="pct"/>
                  <w:tcBorders>
                    <w:tl2br w:val="nil"/>
                    <w:tr2bl w:val="nil"/>
                  </w:tcBorders>
                  <w:noWrap w:val="0"/>
                  <w:vAlign w:val="center"/>
                </w:tcPr>
                <w:p w14:paraId="24432EEE">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7kW</w:t>
                  </w:r>
                </w:p>
              </w:tc>
              <w:tc>
                <w:tcPr>
                  <w:tcW w:w="531" w:type="pct"/>
                  <w:tcBorders>
                    <w:tl2br w:val="nil"/>
                    <w:tr2bl w:val="nil"/>
                  </w:tcBorders>
                  <w:noWrap w:val="0"/>
                  <w:vAlign w:val="center"/>
                </w:tcPr>
                <w:p w14:paraId="2F9362BE">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4台</w:t>
                  </w:r>
                </w:p>
              </w:tc>
              <w:tc>
                <w:tcPr>
                  <w:tcW w:w="1999" w:type="pct"/>
                  <w:tcBorders>
                    <w:tl2br w:val="nil"/>
                    <w:tr2bl w:val="nil"/>
                  </w:tcBorders>
                  <w:noWrap w:val="0"/>
                  <w:vAlign w:val="center"/>
                </w:tcPr>
                <w:p w14:paraId="67AB031D">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原料输送</w:t>
                  </w:r>
                </w:p>
              </w:tc>
            </w:tr>
            <w:tr w14:paraId="4F90C2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463" w:type="pct"/>
                  <w:tcBorders>
                    <w:tl2br w:val="nil"/>
                    <w:tr2bl w:val="nil"/>
                  </w:tcBorders>
                  <w:shd w:val="clear" w:color="auto" w:fill="auto"/>
                  <w:noWrap w:val="0"/>
                  <w:vAlign w:val="center"/>
                </w:tcPr>
                <w:p w14:paraId="11A2D1D5">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050" w:type="pct"/>
                  <w:tcBorders>
                    <w:tl2br w:val="nil"/>
                    <w:tr2bl w:val="nil"/>
                  </w:tcBorders>
                  <w:noWrap w:val="0"/>
                  <w:vAlign w:val="center"/>
                </w:tcPr>
                <w:p w14:paraId="626F52C5">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筛分机</w:t>
                  </w:r>
                </w:p>
              </w:tc>
              <w:tc>
                <w:tcPr>
                  <w:tcW w:w="956" w:type="pct"/>
                  <w:tcBorders>
                    <w:tl2br w:val="nil"/>
                    <w:tr2bl w:val="nil"/>
                  </w:tcBorders>
                  <w:noWrap w:val="0"/>
                  <w:vAlign w:val="center"/>
                </w:tcPr>
                <w:p w14:paraId="15F345A1">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k</w:t>
                  </w:r>
                  <w:r>
                    <w:rPr>
                      <w:rFonts w:hint="eastAsia"/>
                      <w:color w:val="000000" w:themeColor="text1"/>
                      <w14:textFill>
                        <w14:solidFill>
                          <w14:schemeClr w14:val="tx1"/>
                        </w14:solidFill>
                      </w14:textFill>
                    </w:rPr>
                    <w:t>W</w:t>
                  </w:r>
                </w:p>
              </w:tc>
              <w:tc>
                <w:tcPr>
                  <w:tcW w:w="531" w:type="pct"/>
                  <w:tcBorders>
                    <w:tl2br w:val="nil"/>
                    <w:tr2bl w:val="nil"/>
                  </w:tcBorders>
                  <w:noWrap w:val="0"/>
                  <w:vAlign w:val="center"/>
                </w:tcPr>
                <w:p w14:paraId="3B4A0FFE">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2台</w:t>
                  </w:r>
                </w:p>
              </w:tc>
              <w:tc>
                <w:tcPr>
                  <w:tcW w:w="1999" w:type="pct"/>
                  <w:tcBorders>
                    <w:tl2br w:val="nil"/>
                    <w:tr2bl w:val="nil"/>
                  </w:tcBorders>
                  <w:noWrap w:val="0"/>
                  <w:vAlign w:val="center"/>
                </w:tcPr>
                <w:p w14:paraId="63980C21">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筛分</w:t>
                  </w:r>
                  <w:r>
                    <w:rPr>
                      <w:color w:val="000000" w:themeColor="text1"/>
                      <w14:textFill>
                        <w14:solidFill>
                          <w14:schemeClr w14:val="tx1"/>
                        </w14:solidFill>
                      </w14:textFill>
                    </w:rPr>
                    <w:t>产品</w:t>
                  </w:r>
                  <w:r>
                    <w:rPr>
                      <w:rFonts w:hint="eastAsia"/>
                      <w:color w:val="000000" w:themeColor="text1"/>
                      <w14:textFill>
                        <w14:solidFill>
                          <w14:schemeClr w14:val="tx1"/>
                        </w14:solidFill>
                      </w14:textFill>
                    </w:rPr>
                    <w:t>中的</w:t>
                  </w:r>
                  <w:r>
                    <w:rPr>
                      <w:color w:val="000000" w:themeColor="text1"/>
                      <w14:textFill>
                        <w14:solidFill>
                          <w14:schemeClr w14:val="tx1"/>
                        </w14:solidFill>
                      </w14:textFill>
                    </w:rPr>
                    <w:t>杂质</w:t>
                  </w:r>
                </w:p>
              </w:tc>
            </w:tr>
            <w:tr w14:paraId="62EF2D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463" w:type="pct"/>
                  <w:tcBorders>
                    <w:tl2br w:val="nil"/>
                    <w:tr2bl w:val="nil"/>
                  </w:tcBorders>
                  <w:shd w:val="clear" w:color="auto" w:fill="auto"/>
                  <w:noWrap w:val="0"/>
                  <w:vAlign w:val="center"/>
                </w:tcPr>
                <w:p w14:paraId="4C083024">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1050" w:type="pct"/>
                  <w:tcBorders>
                    <w:tl2br w:val="nil"/>
                    <w:tr2bl w:val="nil"/>
                  </w:tcBorders>
                  <w:noWrap w:val="0"/>
                  <w:vAlign w:val="center"/>
                </w:tcPr>
                <w:p w14:paraId="2E4BB542">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搅拌</w:t>
                  </w:r>
                  <w:r>
                    <w:rPr>
                      <w:rFonts w:hint="eastAsia"/>
                      <w:color w:val="000000" w:themeColor="text1"/>
                      <w14:textFill>
                        <w14:solidFill>
                          <w14:schemeClr w14:val="tx1"/>
                        </w14:solidFill>
                      </w14:textFill>
                    </w:rPr>
                    <w:t>罐</w:t>
                  </w:r>
                </w:p>
              </w:tc>
              <w:tc>
                <w:tcPr>
                  <w:tcW w:w="956" w:type="pct"/>
                  <w:tcBorders>
                    <w:tl2br w:val="nil"/>
                    <w:tr2bl w:val="nil"/>
                  </w:tcBorders>
                  <w:noWrap w:val="0"/>
                  <w:vAlign w:val="center"/>
                </w:tcPr>
                <w:p w14:paraId="290DC61A">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2.5</w:t>
                  </w:r>
                  <w:r>
                    <w:rPr>
                      <w:color w:val="000000" w:themeColor="text1"/>
                      <w14:textFill>
                        <w14:solidFill>
                          <w14:schemeClr w14:val="tx1"/>
                        </w14:solidFill>
                      </w14:textFill>
                    </w:rPr>
                    <w:t>m</w:t>
                  </w:r>
                  <w:r>
                    <w:rPr>
                      <w:rFonts w:hint="eastAsia"/>
                      <w:color w:val="000000" w:themeColor="text1"/>
                      <w:lang w:val="en-US" w:eastAsia="zh-CN"/>
                      <w14:textFill>
                        <w14:solidFill>
                          <w14:schemeClr w14:val="tx1"/>
                        </w14:solidFill>
                      </w14:textFill>
                    </w:rPr>
                    <w:t>*1.5</w:t>
                  </w:r>
                  <w:r>
                    <w:rPr>
                      <w:color w:val="000000" w:themeColor="text1"/>
                      <w14:textFill>
                        <w14:solidFill>
                          <w14:schemeClr w14:val="tx1"/>
                        </w14:solidFill>
                      </w14:textFill>
                    </w:rPr>
                    <w:t>m</w:t>
                  </w:r>
                </w:p>
              </w:tc>
              <w:tc>
                <w:tcPr>
                  <w:tcW w:w="531" w:type="pct"/>
                  <w:tcBorders>
                    <w:tl2br w:val="nil"/>
                    <w:tr2bl w:val="nil"/>
                  </w:tcBorders>
                  <w:noWrap w:val="0"/>
                  <w:vAlign w:val="center"/>
                </w:tcPr>
                <w:p w14:paraId="73210804">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座</w:t>
                  </w:r>
                </w:p>
              </w:tc>
              <w:tc>
                <w:tcPr>
                  <w:tcW w:w="1999" w:type="pct"/>
                  <w:tcBorders>
                    <w:tl2br w:val="nil"/>
                    <w:tr2bl w:val="nil"/>
                  </w:tcBorders>
                  <w:noWrap w:val="0"/>
                  <w:vAlign w:val="center"/>
                </w:tcPr>
                <w:p w14:paraId="1F42FA25">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用于清洗插层后的物料</w:t>
                  </w:r>
                </w:p>
              </w:tc>
            </w:tr>
            <w:tr w14:paraId="196553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463" w:type="pct"/>
                  <w:tcBorders>
                    <w:tl2br w:val="nil"/>
                    <w:tr2bl w:val="nil"/>
                  </w:tcBorders>
                  <w:shd w:val="clear" w:color="auto" w:fill="auto"/>
                  <w:noWrap w:val="0"/>
                  <w:vAlign w:val="center"/>
                </w:tcPr>
                <w:p w14:paraId="126128DF">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050" w:type="pct"/>
                  <w:tcBorders>
                    <w:tl2br w:val="nil"/>
                    <w:tr2bl w:val="nil"/>
                  </w:tcBorders>
                  <w:noWrap w:val="0"/>
                  <w:vAlign w:val="center"/>
                </w:tcPr>
                <w:p w14:paraId="3354E4C8">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沉淀罐</w:t>
                  </w:r>
                </w:p>
              </w:tc>
              <w:tc>
                <w:tcPr>
                  <w:tcW w:w="956" w:type="pct"/>
                  <w:tcBorders>
                    <w:tl2br w:val="nil"/>
                    <w:tr2bl w:val="nil"/>
                  </w:tcBorders>
                  <w:noWrap w:val="0"/>
                  <w:vAlign w:val="center"/>
                </w:tcPr>
                <w:p w14:paraId="2A02FFA5">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30m</w:t>
                  </w:r>
                  <w:r>
                    <w:rPr>
                      <w:color w:val="000000" w:themeColor="text1"/>
                      <w:vertAlign w:val="superscript"/>
                      <w14:textFill>
                        <w14:solidFill>
                          <w14:schemeClr w14:val="tx1"/>
                        </w14:solidFill>
                      </w14:textFill>
                    </w:rPr>
                    <w:t>3</w:t>
                  </w:r>
                </w:p>
              </w:tc>
              <w:tc>
                <w:tcPr>
                  <w:tcW w:w="531" w:type="pct"/>
                  <w:tcBorders>
                    <w:tl2br w:val="nil"/>
                    <w:tr2bl w:val="nil"/>
                  </w:tcBorders>
                  <w:noWrap w:val="0"/>
                  <w:vAlign w:val="center"/>
                </w:tcPr>
                <w:p w14:paraId="12BDDF11">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4台</w:t>
                  </w:r>
                </w:p>
              </w:tc>
              <w:tc>
                <w:tcPr>
                  <w:tcW w:w="1999" w:type="pct"/>
                  <w:tcBorders>
                    <w:tl2br w:val="nil"/>
                    <w:tr2bl w:val="nil"/>
                  </w:tcBorders>
                  <w:noWrap w:val="0"/>
                  <w:vAlign w:val="center"/>
                </w:tcPr>
                <w:p w14:paraId="1214CD04">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酸液中和处理</w:t>
                  </w:r>
                </w:p>
              </w:tc>
            </w:tr>
            <w:tr w14:paraId="622CFE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9" w:hRule="atLeast"/>
                <w:jc w:val="center"/>
              </w:trPr>
              <w:tc>
                <w:tcPr>
                  <w:tcW w:w="463" w:type="pct"/>
                  <w:tcBorders>
                    <w:tl2br w:val="nil"/>
                    <w:tr2bl w:val="nil"/>
                  </w:tcBorders>
                  <w:shd w:val="clear" w:color="auto" w:fill="auto"/>
                  <w:noWrap w:val="0"/>
                  <w:vAlign w:val="center"/>
                </w:tcPr>
                <w:p w14:paraId="389180D7">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1050" w:type="pct"/>
                  <w:tcBorders>
                    <w:tl2br w:val="nil"/>
                    <w:tr2bl w:val="nil"/>
                  </w:tcBorders>
                  <w:noWrap w:val="0"/>
                  <w:vAlign w:val="center"/>
                </w:tcPr>
                <w:p w14:paraId="24D011B2">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回水罐</w:t>
                  </w:r>
                </w:p>
              </w:tc>
              <w:tc>
                <w:tcPr>
                  <w:tcW w:w="956" w:type="pct"/>
                  <w:tcBorders>
                    <w:tl2br w:val="nil"/>
                    <w:tr2bl w:val="nil"/>
                  </w:tcBorders>
                  <w:noWrap w:val="0"/>
                  <w:vAlign w:val="center"/>
                </w:tcPr>
                <w:p w14:paraId="2533F254">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30m</w:t>
                  </w:r>
                  <w:r>
                    <w:rPr>
                      <w:color w:val="000000" w:themeColor="text1"/>
                      <w:vertAlign w:val="superscript"/>
                      <w14:textFill>
                        <w14:solidFill>
                          <w14:schemeClr w14:val="tx1"/>
                        </w14:solidFill>
                      </w14:textFill>
                    </w:rPr>
                    <w:t>3</w:t>
                  </w:r>
                </w:p>
              </w:tc>
              <w:tc>
                <w:tcPr>
                  <w:tcW w:w="531" w:type="pct"/>
                  <w:tcBorders>
                    <w:tl2br w:val="nil"/>
                    <w:tr2bl w:val="nil"/>
                  </w:tcBorders>
                  <w:noWrap w:val="0"/>
                  <w:vAlign w:val="center"/>
                </w:tcPr>
                <w:p w14:paraId="072EAB2E">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台</w:t>
                  </w:r>
                </w:p>
              </w:tc>
              <w:tc>
                <w:tcPr>
                  <w:tcW w:w="1999" w:type="pct"/>
                  <w:tcBorders>
                    <w:tl2br w:val="nil"/>
                    <w:tr2bl w:val="nil"/>
                  </w:tcBorders>
                  <w:noWrap w:val="0"/>
                  <w:vAlign w:val="center"/>
                </w:tcPr>
                <w:p w14:paraId="55F7B9F0">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污水处理设施：回用水储罐</w:t>
                  </w:r>
                </w:p>
              </w:tc>
            </w:tr>
            <w:tr w14:paraId="700CB7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9" w:hRule="atLeast"/>
                <w:jc w:val="center"/>
              </w:trPr>
              <w:tc>
                <w:tcPr>
                  <w:tcW w:w="463" w:type="pct"/>
                  <w:tcBorders>
                    <w:tl2br w:val="nil"/>
                    <w:tr2bl w:val="nil"/>
                  </w:tcBorders>
                  <w:shd w:val="clear" w:color="auto" w:fill="auto"/>
                  <w:noWrap w:val="0"/>
                  <w:vAlign w:val="center"/>
                </w:tcPr>
                <w:p w14:paraId="70A49041">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12</w:t>
                  </w:r>
                </w:p>
              </w:tc>
              <w:tc>
                <w:tcPr>
                  <w:tcW w:w="1050" w:type="pct"/>
                  <w:tcBorders>
                    <w:tl2br w:val="nil"/>
                    <w:tr2bl w:val="nil"/>
                  </w:tcBorders>
                  <w:noWrap w:val="0"/>
                  <w:vAlign w:val="center"/>
                </w:tcPr>
                <w:p w14:paraId="2E651BFE">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污水罐</w:t>
                  </w:r>
                </w:p>
              </w:tc>
              <w:tc>
                <w:tcPr>
                  <w:tcW w:w="956" w:type="pct"/>
                  <w:tcBorders>
                    <w:tl2br w:val="nil"/>
                    <w:tr2bl w:val="nil"/>
                  </w:tcBorders>
                  <w:noWrap w:val="0"/>
                  <w:vAlign w:val="center"/>
                </w:tcPr>
                <w:p w14:paraId="1ABD6BDB">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30m</w:t>
                  </w:r>
                  <w:r>
                    <w:rPr>
                      <w:color w:val="000000" w:themeColor="text1"/>
                      <w:vertAlign w:val="superscript"/>
                      <w14:textFill>
                        <w14:solidFill>
                          <w14:schemeClr w14:val="tx1"/>
                        </w14:solidFill>
                      </w14:textFill>
                    </w:rPr>
                    <w:t>3</w:t>
                  </w:r>
                </w:p>
              </w:tc>
              <w:tc>
                <w:tcPr>
                  <w:tcW w:w="531" w:type="pct"/>
                  <w:tcBorders>
                    <w:tl2br w:val="nil"/>
                    <w:tr2bl w:val="nil"/>
                  </w:tcBorders>
                  <w:noWrap w:val="0"/>
                  <w:vAlign w:val="center"/>
                </w:tcPr>
                <w:p w14:paraId="1354BDF4">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3座</w:t>
                  </w:r>
                </w:p>
              </w:tc>
              <w:tc>
                <w:tcPr>
                  <w:tcW w:w="1999" w:type="pct"/>
                  <w:tcBorders>
                    <w:tl2br w:val="nil"/>
                    <w:tr2bl w:val="nil"/>
                  </w:tcBorders>
                  <w:noWrap w:val="0"/>
                  <w:vAlign w:val="center"/>
                </w:tcPr>
                <w:p w14:paraId="04C55C72">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污水处理设施：</w:t>
                  </w:r>
                  <w:r>
                    <w:rPr>
                      <w:rFonts w:hint="eastAsia"/>
                      <w:color w:val="000000" w:themeColor="text1"/>
                      <w14:textFill>
                        <w14:solidFill>
                          <w14:schemeClr w14:val="tx1"/>
                        </w14:solidFill>
                      </w14:textFill>
                    </w:rPr>
                    <w:t>对</w:t>
                  </w:r>
                  <w:r>
                    <w:rPr>
                      <w:color w:val="000000" w:themeColor="text1"/>
                      <w14:textFill>
                        <w14:solidFill>
                          <w14:schemeClr w14:val="tx1"/>
                        </w14:solidFill>
                      </w14:textFill>
                    </w:rPr>
                    <w:t>酸性废水</w:t>
                  </w:r>
                  <w:r>
                    <w:rPr>
                      <w:rFonts w:hint="eastAsia"/>
                      <w:color w:val="000000" w:themeColor="text1"/>
                      <w14:textFill>
                        <w14:solidFill>
                          <w14:schemeClr w14:val="tx1"/>
                        </w14:solidFill>
                      </w14:textFill>
                    </w:rPr>
                    <w:t>进行中和</w:t>
                  </w:r>
                  <w:r>
                    <w:rPr>
                      <w:color w:val="000000" w:themeColor="text1"/>
                      <w14:textFill>
                        <w14:solidFill>
                          <w14:schemeClr w14:val="tx1"/>
                        </w14:solidFill>
                      </w14:textFill>
                    </w:rPr>
                    <w:t>处理</w:t>
                  </w:r>
                </w:p>
              </w:tc>
            </w:tr>
            <w:tr w14:paraId="43C0F5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9" w:hRule="atLeast"/>
                <w:jc w:val="center"/>
              </w:trPr>
              <w:tc>
                <w:tcPr>
                  <w:tcW w:w="463" w:type="pct"/>
                  <w:tcBorders>
                    <w:tl2br w:val="nil"/>
                    <w:tr2bl w:val="nil"/>
                  </w:tcBorders>
                  <w:shd w:val="clear" w:color="auto" w:fill="auto"/>
                  <w:noWrap w:val="0"/>
                  <w:vAlign w:val="center"/>
                </w:tcPr>
                <w:p w14:paraId="0FB6BEF0">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13</w:t>
                  </w:r>
                </w:p>
              </w:tc>
              <w:tc>
                <w:tcPr>
                  <w:tcW w:w="1050" w:type="pct"/>
                  <w:tcBorders>
                    <w:tl2br w:val="nil"/>
                    <w:tr2bl w:val="nil"/>
                  </w:tcBorders>
                  <w:noWrap w:val="0"/>
                  <w:vAlign w:val="center"/>
                </w:tcPr>
                <w:p w14:paraId="4B910C7F">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清水罐</w:t>
                  </w:r>
                </w:p>
              </w:tc>
              <w:tc>
                <w:tcPr>
                  <w:tcW w:w="956" w:type="pct"/>
                  <w:tcBorders>
                    <w:tl2br w:val="nil"/>
                    <w:tr2bl w:val="nil"/>
                  </w:tcBorders>
                  <w:noWrap w:val="0"/>
                  <w:vAlign w:val="center"/>
                </w:tcPr>
                <w:p w14:paraId="6574F591">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30m</w:t>
                  </w:r>
                  <w:r>
                    <w:rPr>
                      <w:color w:val="000000" w:themeColor="text1"/>
                      <w:vertAlign w:val="superscript"/>
                      <w14:textFill>
                        <w14:solidFill>
                          <w14:schemeClr w14:val="tx1"/>
                        </w14:solidFill>
                      </w14:textFill>
                    </w:rPr>
                    <w:t>3</w:t>
                  </w:r>
                </w:p>
              </w:tc>
              <w:tc>
                <w:tcPr>
                  <w:tcW w:w="531" w:type="pct"/>
                  <w:tcBorders>
                    <w:tl2br w:val="nil"/>
                    <w:tr2bl w:val="nil"/>
                  </w:tcBorders>
                  <w:noWrap w:val="0"/>
                  <w:vAlign w:val="center"/>
                </w:tcPr>
                <w:p w14:paraId="4F105CA1">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座</w:t>
                  </w:r>
                </w:p>
              </w:tc>
              <w:tc>
                <w:tcPr>
                  <w:tcW w:w="1999" w:type="pct"/>
                  <w:tcBorders>
                    <w:tl2br w:val="nil"/>
                    <w:tr2bl w:val="nil"/>
                  </w:tcBorders>
                  <w:noWrap w:val="0"/>
                  <w:vAlign w:val="center"/>
                </w:tcPr>
                <w:p w14:paraId="3F17013F">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污水处理设施：</w:t>
                  </w:r>
                  <w:r>
                    <w:rPr>
                      <w:rFonts w:hint="eastAsia"/>
                      <w:color w:val="000000" w:themeColor="text1"/>
                      <w14:textFill>
                        <w14:solidFill>
                          <w14:schemeClr w14:val="tx1"/>
                        </w14:solidFill>
                      </w14:textFill>
                    </w:rPr>
                    <w:t>暂存处理</w:t>
                  </w:r>
                  <w:r>
                    <w:rPr>
                      <w:color w:val="000000" w:themeColor="text1"/>
                      <w14:textFill>
                        <w14:solidFill>
                          <w14:schemeClr w14:val="tx1"/>
                        </w14:solidFill>
                      </w14:textFill>
                    </w:rPr>
                    <w:t>后的废水</w:t>
                  </w:r>
                </w:p>
              </w:tc>
            </w:tr>
            <w:tr w14:paraId="7D4125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63" w:type="pct"/>
                  <w:tcBorders>
                    <w:tl2br w:val="nil"/>
                    <w:tr2bl w:val="nil"/>
                  </w:tcBorders>
                  <w:shd w:val="clear" w:color="auto" w:fill="auto"/>
                  <w:noWrap w:val="0"/>
                  <w:vAlign w:val="center"/>
                </w:tcPr>
                <w:p w14:paraId="66B2ED4F">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14</w:t>
                  </w:r>
                </w:p>
              </w:tc>
              <w:tc>
                <w:tcPr>
                  <w:tcW w:w="1050" w:type="pct"/>
                  <w:tcBorders>
                    <w:tl2br w:val="nil"/>
                    <w:tr2bl w:val="nil"/>
                  </w:tcBorders>
                  <w:noWrap w:val="0"/>
                  <w:vAlign w:val="center"/>
                </w:tcPr>
                <w:p w14:paraId="6A906DD7">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螺杆空压机</w:t>
                  </w:r>
                </w:p>
              </w:tc>
              <w:tc>
                <w:tcPr>
                  <w:tcW w:w="956" w:type="pct"/>
                  <w:tcBorders>
                    <w:tl2br w:val="nil"/>
                    <w:tr2bl w:val="nil"/>
                  </w:tcBorders>
                  <w:noWrap w:val="0"/>
                  <w:vAlign w:val="center"/>
                </w:tcPr>
                <w:p w14:paraId="69879E83">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30kW</w:t>
                  </w:r>
                </w:p>
              </w:tc>
              <w:tc>
                <w:tcPr>
                  <w:tcW w:w="531" w:type="pct"/>
                  <w:tcBorders>
                    <w:tl2br w:val="nil"/>
                    <w:tr2bl w:val="nil"/>
                  </w:tcBorders>
                  <w:noWrap w:val="0"/>
                  <w:vAlign w:val="center"/>
                </w:tcPr>
                <w:p w14:paraId="674AA201">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99" w:type="pct"/>
                  <w:tcBorders>
                    <w:tl2br w:val="nil"/>
                    <w:tr2bl w:val="nil"/>
                  </w:tcBorders>
                  <w:noWrap w:val="0"/>
                  <w:vAlign w:val="center"/>
                </w:tcPr>
                <w:p w14:paraId="7111EC32">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螺杆空压机</w:t>
                  </w:r>
                </w:p>
              </w:tc>
            </w:tr>
            <w:tr w14:paraId="76F989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9" w:hRule="atLeast"/>
                <w:jc w:val="center"/>
              </w:trPr>
              <w:tc>
                <w:tcPr>
                  <w:tcW w:w="463" w:type="pct"/>
                  <w:tcBorders>
                    <w:tl2br w:val="nil"/>
                    <w:tr2bl w:val="nil"/>
                  </w:tcBorders>
                  <w:shd w:val="clear" w:color="auto" w:fill="auto"/>
                  <w:noWrap w:val="0"/>
                  <w:vAlign w:val="center"/>
                </w:tcPr>
                <w:p w14:paraId="71A7C2DC">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1050" w:type="pct"/>
                  <w:tcBorders>
                    <w:tl2br w:val="nil"/>
                    <w:tr2bl w:val="nil"/>
                  </w:tcBorders>
                  <w:noWrap w:val="0"/>
                  <w:vAlign w:val="center"/>
                </w:tcPr>
                <w:p w14:paraId="1CC81D6F">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烘干炉</w:t>
                  </w:r>
                </w:p>
              </w:tc>
              <w:tc>
                <w:tcPr>
                  <w:tcW w:w="956" w:type="pct"/>
                  <w:tcBorders>
                    <w:tl2br w:val="nil"/>
                    <w:tr2bl w:val="nil"/>
                  </w:tcBorders>
                  <w:noWrap w:val="0"/>
                  <w:vAlign w:val="center"/>
                </w:tcPr>
                <w:p w14:paraId="7A0E3FC7">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0.7MW</w:t>
                  </w:r>
                </w:p>
              </w:tc>
              <w:tc>
                <w:tcPr>
                  <w:tcW w:w="531" w:type="pct"/>
                  <w:tcBorders>
                    <w:tl2br w:val="nil"/>
                    <w:tr2bl w:val="nil"/>
                  </w:tcBorders>
                  <w:noWrap w:val="0"/>
                  <w:vAlign w:val="center"/>
                </w:tcPr>
                <w:p w14:paraId="524D6451">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8台</w:t>
                  </w:r>
                </w:p>
              </w:tc>
              <w:tc>
                <w:tcPr>
                  <w:tcW w:w="1999" w:type="pct"/>
                  <w:tcBorders>
                    <w:tl2br w:val="nil"/>
                    <w:tr2bl w:val="nil"/>
                  </w:tcBorders>
                  <w:noWrap w:val="0"/>
                  <w:vAlign w:val="center"/>
                </w:tcPr>
                <w:p w14:paraId="26D8D767">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烘干产品</w:t>
                  </w:r>
                </w:p>
              </w:tc>
            </w:tr>
            <w:tr w14:paraId="23A6E4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9" w:hRule="atLeast"/>
                <w:jc w:val="center"/>
              </w:trPr>
              <w:tc>
                <w:tcPr>
                  <w:tcW w:w="463" w:type="pct"/>
                  <w:tcBorders>
                    <w:tl2br w:val="nil"/>
                    <w:tr2bl w:val="nil"/>
                  </w:tcBorders>
                  <w:shd w:val="clear" w:color="auto" w:fill="auto"/>
                  <w:noWrap w:val="0"/>
                  <w:vAlign w:val="center"/>
                </w:tcPr>
                <w:p w14:paraId="6251EED8">
                  <w:pPr>
                    <w:keepNext w:val="0"/>
                    <w:keepLines w:val="0"/>
                    <w:pageBreakBefore w:val="0"/>
                    <w:kinsoku/>
                    <w:wordWrap/>
                    <w:overflowPunct/>
                    <w:topLinePunct w:val="0"/>
                    <w:autoSpaceDE w:val="0"/>
                    <w:autoSpaceDN w:val="0"/>
                    <w:bidi w:val="0"/>
                    <w:adjustRightInd/>
                    <w:snapToGrid/>
                    <w:spacing w:line="240" w:lineRule="atLeast"/>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16</w:t>
                  </w:r>
                </w:p>
              </w:tc>
              <w:tc>
                <w:tcPr>
                  <w:tcW w:w="1050" w:type="pct"/>
                  <w:tcBorders>
                    <w:tl2br w:val="nil"/>
                    <w:tr2bl w:val="nil"/>
                  </w:tcBorders>
                  <w:noWrap w:val="0"/>
                  <w:vAlign w:val="center"/>
                </w:tcPr>
                <w:p w14:paraId="2D371523">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燃气导热油炉</w:t>
                  </w:r>
                </w:p>
              </w:tc>
              <w:tc>
                <w:tcPr>
                  <w:tcW w:w="956" w:type="pct"/>
                  <w:tcBorders>
                    <w:tl2br w:val="nil"/>
                    <w:tr2bl w:val="nil"/>
                  </w:tcBorders>
                  <w:noWrap w:val="0"/>
                  <w:vAlign w:val="center"/>
                </w:tcPr>
                <w:p w14:paraId="1C00CF05">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500kW</w:t>
                  </w:r>
                </w:p>
              </w:tc>
              <w:tc>
                <w:tcPr>
                  <w:tcW w:w="531" w:type="pct"/>
                  <w:tcBorders>
                    <w:tl2br w:val="nil"/>
                    <w:tr2bl w:val="nil"/>
                  </w:tcBorders>
                  <w:noWrap w:val="0"/>
                  <w:vAlign w:val="center"/>
                </w:tcPr>
                <w:p w14:paraId="00A8E5F3">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999" w:type="pct"/>
                  <w:tcBorders>
                    <w:tl2br w:val="nil"/>
                    <w:tr2bl w:val="nil"/>
                  </w:tcBorders>
                  <w:noWrap w:val="0"/>
                  <w:vAlign w:val="center"/>
                </w:tcPr>
                <w:p w14:paraId="504F4582">
                  <w:pPr>
                    <w:keepNext w:val="0"/>
                    <w:keepLines w:val="0"/>
                    <w:pageBreakBefore w:val="0"/>
                    <w:kinsoku/>
                    <w:wordWrap/>
                    <w:overflowPunct/>
                    <w:topLinePunct w:val="0"/>
                    <w:autoSpaceDE w:val="0"/>
                    <w:autoSpaceDN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为烘干工序</w:t>
                  </w:r>
                  <w:r>
                    <w:rPr>
                      <w:color w:val="000000" w:themeColor="text1"/>
                      <w14:textFill>
                        <w14:solidFill>
                          <w14:schemeClr w14:val="tx1"/>
                        </w14:solidFill>
                      </w14:textFill>
                    </w:rPr>
                    <w:t>提供热源</w:t>
                  </w:r>
                </w:p>
              </w:tc>
            </w:tr>
            <w:tr w14:paraId="7A2ADA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9" w:hRule="atLeast"/>
                <w:jc w:val="center"/>
              </w:trPr>
              <w:tc>
                <w:tcPr>
                  <w:tcW w:w="5000" w:type="pct"/>
                  <w:gridSpan w:val="5"/>
                  <w:tcBorders>
                    <w:tl2br w:val="nil"/>
                    <w:tr2bl w:val="nil"/>
                  </w:tcBorders>
                  <w:noWrap w:val="0"/>
                  <w:vAlign w:val="center"/>
                </w:tcPr>
                <w:p w14:paraId="3CB8E4BC">
                  <w:pPr>
                    <w:keepNext w:val="0"/>
                    <w:keepLines w:val="0"/>
                    <w:pageBreakBefore w:val="0"/>
                    <w:widowControl/>
                    <w:kinsoku/>
                    <w:wordWrap/>
                    <w:overflowPunct/>
                    <w:topLinePunct w:val="0"/>
                    <w:bidi w:val="0"/>
                    <w:adjustRightInd/>
                    <w:snapToGrid/>
                    <w:spacing w:line="240" w:lineRule="atLeast"/>
                    <w:textAlignment w:val="auto"/>
                    <w:rPr>
                      <w:b/>
                      <w:color w:val="000000" w:themeColor="text1"/>
                      <w14:textFill>
                        <w14:solidFill>
                          <w14:schemeClr w14:val="tx1"/>
                        </w14:solidFill>
                      </w14:textFill>
                    </w:rPr>
                  </w:pPr>
                  <w:r>
                    <w:rPr>
                      <w:b/>
                      <w:color w:val="000000" w:themeColor="text1"/>
                      <w14:textFill>
                        <w14:solidFill>
                          <w14:schemeClr w14:val="tx1"/>
                        </w14:solidFill>
                      </w14:textFill>
                    </w:rPr>
                    <w:t>二、检测设备</w:t>
                  </w:r>
                </w:p>
              </w:tc>
            </w:tr>
            <w:tr w14:paraId="32857A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4" w:hRule="atLeast"/>
                <w:jc w:val="center"/>
              </w:trPr>
              <w:tc>
                <w:tcPr>
                  <w:tcW w:w="463" w:type="pct"/>
                  <w:tcBorders>
                    <w:tl2br w:val="nil"/>
                    <w:tr2bl w:val="nil"/>
                  </w:tcBorders>
                  <w:noWrap w:val="0"/>
                  <w:vAlign w:val="center"/>
                </w:tcPr>
                <w:p w14:paraId="6EBC59BA">
                  <w:pPr>
                    <w:pStyle w:val="56"/>
                    <w:keepNext w:val="0"/>
                    <w:keepLines w:val="0"/>
                    <w:pageBreakBefore w:val="0"/>
                    <w:kinsoku/>
                    <w:wordWrap/>
                    <w:overflowPunct/>
                    <w:topLinePunct w:val="0"/>
                    <w:bidi w:val="0"/>
                    <w:adjustRightInd/>
                    <w:snapToGrid/>
                    <w:spacing w:line="240" w:lineRule="atLeast"/>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050" w:type="pct"/>
                  <w:tcBorders>
                    <w:tl2br w:val="nil"/>
                    <w:tr2bl w:val="nil"/>
                  </w:tcBorders>
                  <w:noWrap w:val="0"/>
                  <w:vAlign w:val="center"/>
                </w:tcPr>
                <w:p w14:paraId="324D7B1A">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马沸炉</w:t>
                  </w:r>
                </w:p>
              </w:tc>
              <w:tc>
                <w:tcPr>
                  <w:tcW w:w="956" w:type="pct"/>
                  <w:tcBorders>
                    <w:tl2br w:val="nil"/>
                    <w:tr2bl w:val="nil"/>
                  </w:tcBorders>
                  <w:noWrap w:val="0"/>
                  <w:vAlign w:val="center"/>
                </w:tcPr>
                <w:p w14:paraId="6301FCA6">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5kW</w:t>
                  </w:r>
                </w:p>
              </w:tc>
              <w:tc>
                <w:tcPr>
                  <w:tcW w:w="531" w:type="pct"/>
                  <w:tcBorders>
                    <w:tl2br w:val="nil"/>
                    <w:tr2bl w:val="nil"/>
                  </w:tcBorders>
                  <w:noWrap w:val="0"/>
                  <w:vAlign w:val="center"/>
                </w:tcPr>
                <w:p w14:paraId="27CF7788">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1999" w:type="pct"/>
                  <w:tcBorders>
                    <w:tl2br w:val="nil"/>
                    <w:tr2bl w:val="nil"/>
                  </w:tcBorders>
                  <w:noWrap w:val="0"/>
                  <w:vAlign w:val="center"/>
                </w:tcPr>
                <w:p w14:paraId="01301D7E">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p>
              </w:tc>
            </w:tr>
            <w:tr w14:paraId="230DDA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4" w:hRule="atLeast"/>
                <w:jc w:val="center"/>
              </w:trPr>
              <w:tc>
                <w:tcPr>
                  <w:tcW w:w="463" w:type="pct"/>
                  <w:tcBorders>
                    <w:tl2br w:val="nil"/>
                    <w:tr2bl w:val="nil"/>
                  </w:tcBorders>
                  <w:noWrap w:val="0"/>
                  <w:vAlign w:val="center"/>
                </w:tcPr>
                <w:p w14:paraId="79AE9312">
                  <w:pPr>
                    <w:pStyle w:val="56"/>
                    <w:keepNext w:val="0"/>
                    <w:keepLines w:val="0"/>
                    <w:pageBreakBefore w:val="0"/>
                    <w:kinsoku/>
                    <w:wordWrap/>
                    <w:overflowPunct/>
                    <w:topLinePunct w:val="0"/>
                    <w:bidi w:val="0"/>
                    <w:adjustRightInd/>
                    <w:snapToGrid/>
                    <w:spacing w:line="240" w:lineRule="atLeast"/>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050" w:type="pct"/>
                  <w:tcBorders>
                    <w:tl2br w:val="nil"/>
                    <w:tr2bl w:val="nil"/>
                  </w:tcBorders>
                  <w:noWrap w:val="0"/>
                  <w:vAlign w:val="center"/>
                </w:tcPr>
                <w:p w14:paraId="6226C6CB">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烘箱</w:t>
                  </w:r>
                </w:p>
              </w:tc>
              <w:tc>
                <w:tcPr>
                  <w:tcW w:w="956" w:type="pct"/>
                  <w:tcBorders>
                    <w:tl2br w:val="nil"/>
                    <w:tr2bl w:val="nil"/>
                  </w:tcBorders>
                  <w:noWrap w:val="0"/>
                  <w:vAlign w:val="center"/>
                </w:tcPr>
                <w:p w14:paraId="0AEDFB77">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4kW</w:t>
                  </w:r>
                </w:p>
              </w:tc>
              <w:tc>
                <w:tcPr>
                  <w:tcW w:w="531" w:type="pct"/>
                  <w:tcBorders>
                    <w:tl2br w:val="nil"/>
                    <w:tr2bl w:val="nil"/>
                  </w:tcBorders>
                  <w:noWrap w:val="0"/>
                  <w:vAlign w:val="center"/>
                </w:tcPr>
                <w:p w14:paraId="38EA16C8">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1999" w:type="pct"/>
                  <w:tcBorders>
                    <w:tl2br w:val="nil"/>
                    <w:tr2bl w:val="nil"/>
                  </w:tcBorders>
                  <w:noWrap w:val="0"/>
                  <w:vAlign w:val="center"/>
                </w:tcPr>
                <w:p w14:paraId="4E8A6CB8">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p>
              </w:tc>
            </w:tr>
            <w:tr w14:paraId="282982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63" w:type="pct"/>
                  <w:tcBorders>
                    <w:tl2br w:val="nil"/>
                    <w:tr2bl w:val="nil"/>
                  </w:tcBorders>
                  <w:noWrap w:val="0"/>
                  <w:vAlign w:val="center"/>
                </w:tcPr>
                <w:p w14:paraId="633DF85F">
                  <w:pPr>
                    <w:pStyle w:val="56"/>
                    <w:keepNext w:val="0"/>
                    <w:keepLines w:val="0"/>
                    <w:pageBreakBefore w:val="0"/>
                    <w:kinsoku/>
                    <w:wordWrap/>
                    <w:overflowPunct/>
                    <w:topLinePunct w:val="0"/>
                    <w:bidi w:val="0"/>
                    <w:adjustRightInd/>
                    <w:snapToGrid/>
                    <w:spacing w:line="240" w:lineRule="atLeast"/>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50" w:type="pct"/>
                  <w:tcBorders>
                    <w:tl2br w:val="nil"/>
                    <w:tr2bl w:val="nil"/>
                  </w:tcBorders>
                  <w:noWrap w:val="0"/>
                  <w:vAlign w:val="center"/>
                </w:tcPr>
                <w:p w14:paraId="6A0AB784">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天平</w:t>
                  </w:r>
                </w:p>
              </w:tc>
              <w:tc>
                <w:tcPr>
                  <w:tcW w:w="956" w:type="pct"/>
                  <w:tcBorders>
                    <w:tl2br w:val="nil"/>
                    <w:tr2bl w:val="nil"/>
                  </w:tcBorders>
                  <w:noWrap w:val="0"/>
                  <w:vAlign w:val="center"/>
                </w:tcPr>
                <w:p w14:paraId="12D34359">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w:t>
                  </w:r>
                </w:p>
              </w:tc>
              <w:tc>
                <w:tcPr>
                  <w:tcW w:w="531" w:type="pct"/>
                  <w:tcBorders>
                    <w:tl2br w:val="nil"/>
                    <w:tr2bl w:val="nil"/>
                  </w:tcBorders>
                  <w:noWrap w:val="0"/>
                  <w:vAlign w:val="center"/>
                </w:tcPr>
                <w:p w14:paraId="25D2C6FA">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1999" w:type="pct"/>
                  <w:tcBorders>
                    <w:tl2br w:val="nil"/>
                    <w:tr2bl w:val="nil"/>
                  </w:tcBorders>
                  <w:noWrap w:val="0"/>
                  <w:vAlign w:val="center"/>
                </w:tcPr>
                <w:p w14:paraId="0A40FE87">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p>
              </w:tc>
            </w:tr>
            <w:tr w14:paraId="624FA7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4" w:hRule="atLeast"/>
                <w:jc w:val="center"/>
              </w:trPr>
              <w:tc>
                <w:tcPr>
                  <w:tcW w:w="463" w:type="pct"/>
                  <w:tcBorders>
                    <w:tl2br w:val="nil"/>
                    <w:tr2bl w:val="nil"/>
                  </w:tcBorders>
                  <w:noWrap w:val="0"/>
                  <w:vAlign w:val="center"/>
                </w:tcPr>
                <w:p w14:paraId="64675135">
                  <w:pPr>
                    <w:pStyle w:val="56"/>
                    <w:keepNext w:val="0"/>
                    <w:keepLines w:val="0"/>
                    <w:pageBreakBefore w:val="0"/>
                    <w:kinsoku/>
                    <w:wordWrap/>
                    <w:overflowPunct/>
                    <w:topLinePunct w:val="0"/>
                    <w:bidi w:val="0"/>
                    <w:adjustRightInd/>
                    <w:snapToGrid/>
                    <w:spacing w:line="240" w:lineRule="atLeast"/>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50" w:type="pct"/>
                  <w:tcBorders>
                    <w:tl2br w:val="nil"/>
                    <w:tr2bl w:val="nil"/>
                  </w:tcBorders>
                  <w:noWrap w:val="0"/>
                  <w:vAlign w:val="center"/>
                </w:tcPr>
                <w:p w14:paraId="6C7D25AE">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起始温度检测仪</w:t>
                  </w:r>
                </w:p>
              </w:tc>
              <w:tc>
                <w:tcPr>
                  <w:tcW w:w="956" w:type="pct"/>
                  <w:tcBorders>
                    <w:tl2br w:val="nil"/>
                    <w:tr2bl w:val="nil"/>
                  </w:tcBorders>
                  <w:noWrap w:val="0"/>
                  <w:vAlign w:val="center"/>
                </w:tcPr>
                <w:p w14:paraId="3A36BC67">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1kW</w:t>
                  </w:r>
                </w:p>
              </w:tc>
              <w:tc>
                <w:tcPr>
                  <w:tcW w:w="531" w:type="pct"/>
                  <w:tcBorders>
                    <w:tl2br w:val="nil"/>
                    <w:tr2bl w:val="nil"/>
                  </w:tcBorders>
                  <w:noWrap w:val="0"/>
                  <w:vAlign w:val="center"/>
                </w:tcPr>
                <w:p w14:paraId="14D98D78">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1台</w:t>
                  </w:r>
                </w:p>
              </w:tc>
              <w:tc>
                <w:tcPr>
                  <w:tcW w:w="1999" w:type="pct"/>
                  <w:tcBorders>
                    <w:tl2br w:val="nil"/>
                    <w:tr2bl w:val="nil"/>
                  </w:tcBorders>
                  <w:noWrap w:val="0"/>
                  <w:vAlign w:val="center"/>
                </w:tcPr>
                <w:p w14:paraId="312F1FE0">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p>
              </w:tc>
            </w:tr>
            <w:tr w14:paraId="3D0B64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63" w:type="pct"/>
                  <w:tcBorders>
                    <w:tl2br w:val="nil"/>
                    <w:tr2bl w:val="nil"/>
                  </w:tcBorders>
                  <w:noWrap w:val="0"/>
                  <w:vAlign w:val="center"/>
                </w:tcPr>
                <w:p w14:paraId="68BF1CF3">
                  <w:pPr>
                    <w:pStyle w:val="56"/>
                    <w:keepNext w:val="0"/>
                    <w:keepLines w:val="0"/>
                    <w:pageBreakBefore w:val="0"/>
                    <w:kinsoku/>
                    <w:wordWrap/>
                    <w:overflowPunct/>
                    <w:topLinePunct w:val="0"/>
                    <w:bidi w:val="0"/>
                    <w:adjustRightInd/>
                    <w:snapToGrid/>
                    <w:spacing w:line="240" w:lineRule="atLeast"/>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050" w:type="pct"/>
                  <w:tcBorders>
                    <w:tl2br w:val="nil"/>
                    <w:tr2bl w:val="nil"/>
                  </w:tcBorders>
                  <w:noWrap w:val="0"/>
                  <w:vAlign w:val="center"/>
                </w:tcPr>
                <w:p w14:paraId="61BD39A4">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振动筛</w:t>
                  </w:r>
                </w:p>
              </w:tc>
              <w:tc>
                <w:tcPr>
                  <w:tcW w:w="956" w:type="pct"/>
                  <w:tcBorders>
                    <w:tl2br w:val="nil"/>
                    <w:tr2bl w:val="nil"/>
                  </w:tcBorders>
                  <w:noWrap w:val="0"/>
                  <w:vAlign w:val="center"/>
                </w:tcPr>
                <w:p w14:paraId="0E085B33">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0.3kW</w:t>
                  </w:r>
                </w:p>
              </w:tc>
              <w:tc>
                <w:tcPr>
                  <w:tcW w:w="531" w:type="pct"/>
                  <w:tcBorders>
                    <w:tl2br w:val="nil"/>
                    <w:tr2bl w:val="nil"/>
                  </w:tcBorders>
                  <w:noWrap w:val="0"/>
                  <w:vAlign w:val="center"/>
                </w:tcPr>
                <w:p w14:paraId="4D004E70">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1999" w:type="pct"/>
                  <w:tcBorders>
                    <w:tl2br w:val="nil"/>
                    <w:tr2bl w:val="nil"/>
                  </w:tcBorders>
                  <w:noWrap w:val="0"/>
                  <w:vAlign w:val="center"/>
                </w:tcPr>
                <w:p w14:paraId="500BFEA5">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p>
              </w:tc>
            </w:tr>
            <w:tr w14:paraId="4BA651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63" w:type="pct"/>
                  <w:tcBorders>
                    <w:tl2br w:val="nil"/>
                    <w:tr2bl w:val="nil"/>
                  </w:tcBorders>
                  <w:noWrap w:val="0"/>
                  <w:vAlign w:val="center"/>
                </w:tcPr>
                <w:p w14:paraId="1B5BC39C">
                  <w:pPr>
                    <w:pStyle w:val="56"/>
                    <w:keepNext w:val="0"/>
                    <w:keepLines w:val="0"/>
                    <w:pageBreakBefore w:val="0"/>
                    <w:kinsoku/>
                    <w:wordWrap/>
                    <w:overflowPunct/>
                    <w:topLinePunct w:val="0"/>
                    <w:bidi w:val="0"/>
                    <w:adjustRightInd/>
                    <w:snapToGrid/>
                    <w:spacing w:line="240" w:lineRule="atLeast"/>
                    <w:textAlignment w:val="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w:t>
                  </w:r>
                </w:p>
              </w:tc>
              <w:tc>
                <w:tcPr>
                  <w:tcW w:w="1050" w:type="pct"/>
                  <w:tcBorders>
                    <w:tl2br w:val="nil"/>
                    <w:tr2bl w:val="nil"/>
                  </w:tcBorders>
                  <w:noWrap w:val="0"/>
                  <w:vAlign w:val="center"/>
                </w:tcPr>
                <w:p w14:paraId="6FE99B35">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pH检测仪</w:t>
                  </w:r>
                </w:p>
              </w:tc>
              <w:tc>
                <w:tcPr>
                  <w:tcW w:w="956" w:type="pct"/>
                  <w:tcBorders>
                    <w:tl2br w:val="nil"/>
                    <w:tr2bl w:val="nil"/>
                  </w:tcBorders>
                  <w:noWrap w:val="0"/>
                  <w:vAlign w:val="center"/>
                </w:tcPr>
                <w:p w14:paraId="398FF579">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0.2</w:t>
                  </w:r>
                  <w:r>
                    <w:rPr>
                      <w:color w:val="000000" w:themeColor="text1"/>
                      <w14:textFill>
                        <w14:solidFill>
                          <w14:schemeClr w14:val="tx1"/>
                        </w14:solidFill>
                      </w14:textFill>
                    </w:rPr>
                    <w:t>k</w:t>
                  </w:r>
                  <w:r>
                    <w:rPr>
                      <w:rFonts w:hint="eastAsia"/>
                      <w:color w:val="000000" w:themeColor="text1"/>
                      <w14:textFill>
                        <w14:solidFill>
                          <w14:schemeClr w14:val="tx1"/>
                        </w14:solidFill>
                      </w14:textFill>
                    </w:rPr>
                    <w:t>W</w:t>
                  </w:r>
                </w:p>
              </w:tc>
              <w:tc>
                <w:tcPr>
                  <w:tcW w:w="531" w:type="pct"/>
                  <w:tcBorders>
                    <w:tl2br w:val="nil"/>
                    <w:tr2bl w:val="nil"/>
                  </w:tcBorders>
                  <w:noWrap w:val="0"/>
                  <w:vAlign w:val="center"/>
                </w:tcPr>
                <w:p w14:paraId="560DDFBD">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1999" w:type="pct"/>
                  <w:tcBorders>
                    <w:tl2br w:val="nil"/>
                    <w:tr2bl w:val="nil"/>
                  </w:tcBorders>
                  <w:noWrap w:val="0"/>
                  <w:vAlign w:val="center"/>
                </w:tcPr>
                <w:p w14:paraId="1A1099E3">
                  <w:pPr>
                    <w:keepNext w:val="0"/>
                    <w:keepLines w:val="0"/>
                    <w:pageBreakBefore w:val="0"/>
                    <w:kinsoku/>
                    <w:wordWrap/>
                    <w:overflowPunct/>
                    <w:topLinePunct w:val="0"/>
                    <w:bidi w:val="0"/>
                    <w:adjustRightInd/>
                    <w:snapToGrid/>
                    <w:spacing w:line="240" w:lineRule="atLeast"/>
                    <w:jc w:val="center"/>
                    <w:textAlignment w:val="auto"/>
                    <w:rPr>
                      <w:color w:val="000000" w:themeColor="text1"/>
                      <w14:textFill>
                        <w14:solidFill>
                          <w14:schemeClr w14:val="tx1"/>
                        </w14:solidFill>
                      </w14:textFill>
                    </w:rPr>
                  </w:pPr>
                </w:p>
              </w:tc>
            </w:tr>
          </w:tbl>
          <w:p w14:paraId="7F39F784">
            <w:pPr>
              <w:pStyle w:val="52"/>
              <w:keepNext w:val="0"/>
              <w:keepLines w:val="0"/>
              <w:pageBreakBefore w:val="0"/>
              <w:widowControl w:val="0"/>
              <w:kinsoku/>
              <w:wordWrap/>
              <w:overflowPunct/>
              <w:topLinePunct w:val="0"/>
              <w:autoSpaceDE/>
              <w:autoSpaceDN/>
              <w:bidi w:val="0"/>
              <w:adjustRightInd/>
              <w:snapToGrid/>
              <w:spacing w:line="360" w:lineRule="auto"/>
              <w:textAlignment w:val="auto"/>
              <w:outlineLvl w:val="1"/>
              <w:rPr>
                <w:color w:val="000000" w:themeColor="text1"/>
                <w:sz w:val="24"/>
                <w:szCs w:val="24"/>
                <w14:textFill>
                  <w14:solidFill>
                    <w14:schemeClr w14:val="tx1"/>
                  </w14:solidFill>
                </w14:textFill>
              </w:rPr>
            </w:pPr>
            <w:r>
              <w:rPr>
                <w:rFonts w:hint="eastAsia"/>
                <w:b/>
                <w:bCs/>
                <w:color w:val="000000" w:themeColor="text1"/>
                <w:spacing w:val="6"/>
                <w:sz w:val="24"/>
                <w:szCs w:val="24"/>
                <w:lang w:val="en-US" w:eastAsia="zh-CN"/>
                <w14:textFill>
                  <w14:solidFill>
                    <w14:schemeClr w14:val="tx1"/>
                  </w14:solidFill>
                </w14:textFill>
              </w:rPr>
              <w:t>5、</w:t>
            </w:r>
            <w:r>
              <w:rPr>
                <w:b/>
                <w:bCs/>
                <w:color w:val="000000" w:themeColor="text1"/>
                <w:spacing w:val="6"/>
                <w:sz w:val="24"/>
                <w:szCs w:val="24"/>
                <w14:textFill>
                  <w14:solidFill>
                    <w14:schemeClr w14:val="tx1"/>
                  </w14:solidFill>
                </w14:textFill>
              </w:rPr>
              <w:t>主要原辅材料及能源消耗情况</w:t>
            </w:r>
          </w:p>
          <w:p w14:paraId="02649A76">
            <w:pPr>
              <w:pStyle w:val="52"/>
              <w:keepNext w:val="0"/>
              <w:keepLines w:val="0"/>
              <w:pageBreakBefore w:val="0"/>
              <w:widowControl w:val="0"/>
              <w:kinsoku/>
              <w:wordWrap/>
              <w:overflowPunct/>
              <w:topLinePunct w:val="0"/>
              <w:autoSpaceDE/>
              <w:autoSpaceDN/>
              <w:bidi w:val="0"/>
              <w:adjustRightInd/>
              <w:snapToGrid/>
              <w:spacing w:line="360" w:lineRule="auto"/>
              <w:ind w:left="530"/>
              <w:textAlignment w:val="auto"/>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项目主要原辅材料及能源年消耗量情况见下表。</w:t>
            </w:r>
          </w:p>
          <w:p w14:paraId="13624883">
            <w:pPr>
              <w:jc w:val="center"/>
              <w:rPr>
                <w:rFonts w:hint="eastAsia" w:ascii="Times New Roman" w:hAnsi="Times New Roman" w:eastAsia="宋体" w:cs="Times New Roman"/>
                <w:b/>
                <w:bCs/>
                <w:color w:val="000000" w:themeColor="text1"/>
                <w:spacing w:val="6"/>
                <w:sz w:val="21"/>
                <w:szCs w:val="21"/>
                <w14:textFill>
                  <w14:solidFill>
                    <w14:schemeClr w14:val="tx1"/>
                  </w14:solidFill>
                </w14:textFill>
              </w:rPr>
            </w:pPr>
            <w:r>
              <w:rPr>
                <w:rFonts w:hint="eastAsia" w:ascii="Times New Roman" w:hAnsi="Times New Roman" w:eastAsia="宋体" w:cs="Times New Roman"/>
                <w:b/>
                <w:bCs/>
                <w:color w:val="000000" w:themeColor="text1"/>
                <w:spacing w:val="6"/>
                <w:sz w:val="21"/>
                <w:szCs w:val="21"/>
                <w14:textFill>
                  <w14:solidFill>
                    <w14:schemeClr w14:val="tx1"/>
                  </w14:solidFill>
                </w14:textFill>
              </w:rPr>
              <w:t>表 2-</w:t>
            </w:r>
            <w:r>
              <w:rPr>
                <w:rFonts w:hint="eastAsia" w:cs="Times New Roman"/>
                <w:b/>
                <w:bCs/>
                <w:color w:val="000000" w:themeColor="text1"/>
                <w:spacing w:val="6"/>
                <w:sz w:val="21"/>
                <w:szCs w:val="21"/>
                <w:lang w:val="en-US" w:eastAsia="zh-CN"/>
                <w14:textFill>
                  <w14:solidFill>
                    <w14:schemeClr w14:val="tx1"/>
                  </w14:solidFill>
                </w14:textFill>
              </w:rPr>
              <w:t>3</w:t>
            </w:r>
            <w:r>
              <w:rPr>
                <w:rFonts w:hint="eastAsia" w:ascii="Times New Roman" w:hAnsi="Times New Roman" w:eastAsia="宋体" w:cs="Times New Roman"/>
                <w:b/>
                <w:bCs/>
                <w:color w:val="000000" w:themeColor="text1"/>
                <w:spacing w:val="6"/>
                <w:sz w:val="21"/>
                <w:szCs w:val="21"/>
                <w14:textFill>
                  <w14:solidFill>
                    <w14:schemeClr w14:val="tx1"/>
                  </w14:solidFill>
                </w14:textFill>
              </w:rPr>
              <w:t xml:space="preserve">    项目原辅材料及能源消耗情况一览表</w:t>
            </w:r>
          </w:p>
          <w:tbl>
            <w:tblPr>
              <w:tblStyle w:val="53"/>
              <w:tblW w:w="4995"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352"/>
              <w:gridCol w:w="844"/>
              <w:gridCol w:w="744"/>
              <w:gridCol w:w="865"/>
              <w:gridCol w:w="732"/>
              <w:gridCol w:w="747"/>
              <w:gridCol w:w="585"/>
              <w:gridCol w:w="803"/>
              <w:gridCol w:w="676"/>
              <w:gridCol w:w="646"/>
              <w:gridCol w:w="845"/>
              <w:gridCol w:w="602"/>
            </w:tblGrid>
            <w:tr w14:paraId="3C26111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08" w:type="pct"/>
                  <w:tcBorders>
                    <w:tl2br w:val="nil"/>
                    <w:tr2bl w:val="nil"/>
                  </w:tcBorders>
                  <w:noWrap w:val="0"/>
                  <w:vAlign w:val="center"/>
                </w:tcPr>
                <w:p w14:paraId="0ED5372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6"/>
                      <w:sz w:val="18"/>
                      <w:szCs w:val="18"/>
                      <w14:textFill>
                        <w14:solidFill>
                          <w14:schemeClr w14:val="tx1"/>
                        </w14:solidFill>
                      </w14:textFill>
                    </w:rPr>
                    <w:t>序号</w:t>
                  </w:r>
                </w:p>
              </w:tc>
              <w:tc>
                <w:tcPr>
                  <w:tcW w:w="499" w:type="pct"/>
                  <w:tcBorders>
                    <w:tl2br w:val="nil"/>
                    <w:tr2bl w:val="nil"/>
                  </w:tcBorders>
                  <w:noWrap w:val="0"/>
                  <w:vAlign w:val="center"/>
                </w:tcPr>
                <w:p w14:paraId="6A3C9F2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名称</w:t>
                  </w:r>
                </w:p>
              </w:tc>
              <w:tc>
                <w:tcPr>
                  <w:tcW w:w="440" w:type="pct"/>
                  <w:tcBorders>
                    <w:tl2br w:val="nil"/>
                    <w:tr2bl w:val="nil"/>
                  </w:tcBorders>
                  <w:noWrap w:val="0"/>
                  <w:vAlign w:val="center"/>
                </w:tcPr>
                <w:p w14:paraId="09BBCBE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8"/>
                      <w:sz w:val="18"/>
                      <w:szCs w:val="18"/>
                      <w14:textFill>
                        <w14:solidFill>
                          <w14:schemeClr w14:val="tx1"/>
                        </w14:solidFill>
                      </w14:textFill>
                    </w:rPr>
                    <w:t>物料性状</w:t>
                  </w:r>
                </w:p>
              </w:tc>
              <w:tc>
                <w:tcPr>
                  <w:tcW w:w="512" w:type="pct"/>
                  <w:tcBorders>
                    <w:tl2br w:val="nil"/>
                    <w:tr2bl w:val="nil"/>
                  </w:tcBorders>
                  <w:noWrap w:val="0"/>
                  <w:vAlign w:val="center"/>
                </w:tcPr>
                <w:p w14:paraId="090F831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年消耗</w:t>
                  </w:r>
                  <w:r>
                    <w:rPr>
                      <w:rFonts w:hint="eastAsia" w:ascii="宋体" w:hAnsi="宋体" w:eastAsia="宋体" w:cs="宋体"/>
                      <w:color w:val="000000" w:themeColor="text1"/>
                      <w:spacing w:val="-4"/>
                      <w:sz w:val="18"/>
                      <w:szCs w:val="18"/>
                      <w14:textFill>
                        <w14:solidFill>
                          <w14:schemeClr w14:val="tx1"/>
                        </w14:solidFill>
                      </w14:textFill>
                    </w:rPr>
                    <w:t>量t/</w:t>
                  </w:r>
                  <w:r>
                    <w:rPr>
                      <w:rFonts w:hint="eastAsia" w:ascii="宋体" w:hAnsi="宋体" w:eastAsia="宋体" w:cs="宋体"/>
                      <w:color w:val="000000" w:themeColor="text1"/>
                      <w:spacing w:val="-1"/>
                      <w:sz w:val="18"/>
                      <w:szCs w:val="18"/>
                      <w14:textFill>
                        <w14:solidFill>
                          <w14:schemeClr w14:val="tx1"/>
                        </w14:solidFill>
                      </w14:textFill>
                    </w:rPr>
                    <w:t>a</w:t>
                  </w:r>
                </w:p>
              </w:tc>
              <w:tc>
                <w:tcPr>
                  <w:tcW w:w="433" w:type="pct"/>
                  <w:tcBorders>
                    <w:tl2br w:val="nil"/>
                    <w:tr2bl w:val="nil"/>
                  </w:tcBorders>
                  <w:noWrap w:val="0"/>
                  <w:vAlign w:val="center"/>
                </w:tcPr>
                <w:p w14:paraId="12ED3B73">
                  <w:pPr>
                    <w:pStyle w:val="52"/>
                    <w:keepNext w:val="0"/>
                    <w:keepLines w:val="0"/>
                    <w:pageBreakBefore w:val="0"/>
                    <w:widowControl w:val="0"/>
                    <w:kinsoku/>
                    <w:wordWrap/>
                    <w:overflowPunct/>
                    <w:topLinePunct w:val="0"/>
                    <w:autoSpaceDE/>
                    <w:autoSpaceDN/>
                    <w:bidi w:val="0"/>
                    <w:adjustRightInd/>
                    <w:snapToGrid/>
                    <w:spacing w:line="240" w:lineRule="atLeast"/>
                    <w:ind w:left="188"/>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4"/>
                      <w:sz w:val="18"/>
                      <w:szCs w:val="18"/>
                      <w14:textFill>
                        <w14:solidFill>
                          <w14:schemeClr w14:val="tx1"/>
                        </w14:solidFill>
                      </w14:textFill>
                    </w:rPr>
                    <w:t>规格</w:t>
                  </w:r>
                </w:p>
                <w:p w14:paraId="69673F91">
                  <w:pPr>
                    <w:pStyle w:val="52"/>
                    <w:keepNext w:val="0"/>
                    <w:keepLines w:val="0"/>
                    <w:pageBreakBefore w:val="0"/>
                    <w:widowControl w:val="0"/>
                    <w:kinsoku/>
                    <w:wordWrap/>
                    <w:overflowPunct/>
                    <w:topLinePunct w:val="0"/>
                    <w:autoSpaceDE/>
                    <w:autoSpaceDN/>
                    <w:bidi w:val="0"/>
                    <w:adjustRightInd/>
                    <w:snapToGrid/>
                    <w:spacing w:line="240" w:lineRule="atLeast"/>
                    <w:ind w:left="18"/>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（纯度）</w:t>
                  </w:r>
                </w:p>
              </w:tc>
              <w:tc>
                <w:tcPr>
                  <w:tcW w:w="442" w:type="pct"/>
                  <w:tcBorders>
                    <w:tl2br w:val="nil"/>
                    <w:tr2bl w:val="nil"/>
                  </w:tcBorders>
                  <w:noWrap w:val="0"/>
                  <w:vAlign w:val="center"/>
                </w:tcPr>
                <w:p w14:paraId="3786B008">
                  <w:pPr>
                    <w:pStyle w:val="52"/>
                    <w:keepNext w:val="0"/>
                    <w:keepLines w:val="0"/>
                    <w:pageBreakBefore w:val="0"/>
                    <w:widowControl w:val="0"/>
                    <w:kinsoku/>
                    <w:wordWrap/>
                    <w:overflowPunct/>
                    <w:topLinePunct w:val="0"/>
                    <w:autoSpaceDE/>
                    <w:autoSpaceDN/>
                    <w:bidi w:val="0"/>
                    <w:adjustRightInd/>
                    <w:snapToGrid/>
                    <w:spacing w:line="240" w:lineRule="atLeast"/>
                    <w:ind w:left="40"/>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储存方</w:t>
                  </w:r>
                </w:p>
                <w:p w14:paraId="16E87720">
                  <w:pPr>
                    <w:pStyle w:val="52"/>
                    <w:keepNext w:val="0"/>
                    <w:keepLines w:val="0"/>
                    <w:pageBreakBefore w:val="0"/>
                    <w:widowControl w:val="0"/>
                    <w:kinsoku/>
                    <w:wordWrap/>
                    <w:overflowPunct/>
                    <w:topLinePunct w:val="0"/>
                    <w:autoSpaceDE/>
                    <w:autoSpaceDN/>
                    <w:bidi w:val="0"/>
                    <w:adjustRightInd/>
                    <w:snapToGrid/>
                    <w:spacing w:line="240" w:lineRule="atLeast"/>
                    <w:ind w:left="225"/>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式</w:t>
                  </w:r>
                </w:p>
              </w:tc>
              <w:tc>
                <w:tcPr>
                  <w:tcW w:w="346" w:type="pct"/>
                  <w:tcBorders>
                    <w:tl2br w:val="nil"/>
                    <w:tr2bl w:val="nil"/>
                  </w:tcBorders>
                  <w:noWrap w:val="0"/>
                  <w:vAlign w:val="center"/>
                </w:tcPr>
                <w:p w14:paraId="037FCBEE">
                  <w:pPr>
                    <w:pStyle w:val="52"/>
                    <w:keepNext w:val="0"/>
                    <w:keepLines w:val="0"/>
                    <w:pageBreakBefore w:val="0"/>
                    <w:widowControl w:val="0"/>
                    <w:kinsoku/>
                    <w:wordWrap/>
                    <w:overflowPunct/>
                    <w:topLinePunct w:val="0"/>
                    <w:autoSpaceDE/>
                    <w:autoSpaceDN/>
                    <w:bidi w:val="0"/>
                    <w:adjustRightInd/>
                    <w:snapToGrid/>
                    <w:spacing w:line="240" w:lineRule="atLeast"/>
                    <w:ind w:left="42"/>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7"/>
                      <w:sz w:val="18"/>
                      <w:szCs w:val="18"/>
                      <w14:textFill>
                        <w14:solidFill>
                          <w14:schemeClr w14:val="tx1"/>
                        </w14:solidFill>
                      </w14:textFill>
                    </w:rPr>
                    <w:t>最大存储</w:t>
                  </w:r>
                  <w:r>
                    <w:rPr>
                      <w:rFonts w:hint="eastAsia" w:ascii="宋体" w:hAnsi="宋体" w:eastAsia="宋体" w:cs="宋体"/>
                      <w:color w:val="000000" w:themeColor="text1"/>
                      <w:spacing w:val="-5"/>
                      <w:sz w:val="18"/>
                      <w:szCs w:val="18"/>
                      <w14:textFill>
                        <w14:solidFill>
                          <w14:schemeClr w14:val="tx1"/>
                        </w14:solidFill>
                      </w14:textFill>
                    </w:rPr>
                    <w:t>量</w:t>
                  </w:r>
                </w:p>
              </w:tc>
              <w:tc>
                <w:tcPr>
                  <w:tcW w:w="475" w:type="pct"/>
                  <w:tcBorders>
                    <w:tl2br w:val="nil"/>
                    <w:tr2bl w:val="nil"/>
                  </w:tcBorders>
                  <w:noWrap w:val="0"/>
                  <w:vAlign w:val="center"/>
                </w:tcPr>
                <w:p w14:paraId="64D3AEF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存储位置</w:t>
                  </w:r>
                </w:p>
              </w:tc>
              <w:tc>
                <w:tcPr>
                  <w:tcW w:w="400" w:type="pct"/>
                  <w:tcBorders>
                    <w:tl2br w:val="nil"/>
                    <w:tr2bl w:val="nil"/>
                  </w:tcBorders>
                  <w:noWrap w:val="0"/>
                  <w:vAlign w:val="center"/>
                </w:tcPr>
                <w:p w14:paraId="6A35A11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pacing w:val="-4"/>
                      <w:sz w:val="18"/>
                      <w:szCs w:val="18"/>
                      <w14:textFill>
                        <w14:solidFill>
                          <w14:schemeClr w14:val="tx1"/>
                        </w14:solidFill>
                      </w14:textFill>
                    </w:rPr>
                  </w:pPr>
                  <w:r>
                    <w:rPr>
                      <w:rFonts w:hint="eastAsia" w:ascii="宋体" w:hAnsi="宋体" w:eastAsia="宋体" w:cs="宋体"/>
                      <w:color w:val="000000" w:themeColor="text1"/>
                      <w:spacing w:val="-4"/>
                      <w:sz w:val="18"/>
                      <w:szCs w:val="18"/>
                      <w14:textFill>
                        <w14:solidFill>
                          <w14:schemeClr w14:val="tx1"/>
                        </w14:solidFill>
                      </w14:textFill>
                    </w:rPr>
                    <w:t>压力</w:t>
                  </w:r>
                </w:p>
                <w:p w14:paraId="3B50E39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温度</w:t>
                  </w:r>
                </w:p>
              </w:tc>
              <w:tc>
                <w:tcPr>
                  <w:tcW w:w="382" w:type="pct"/>
                  <w:tcBorders>
                    <w:tl2br w:val="nil"/>
                    <w:tr2bl w:val="nil"/>
                  </w:tcBorders>
                  <w:noWrap w:val="0"/>
                  <w:vAlign w:val="center"/>
                </w:tcPr>
                <w:p w14:paraId="5993C3F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pacing w:val="-6"/>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存储</w:t>
                  </w:r>
                </w:p>
                <w:p w14:paraId="7B3F99B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周期</w:t>
                  </w:r>
                </w:p>
              </w:tc>
              <w:tc>
                <w:tcPr>
                  <w:tcW w:w="500" w:type="pct"/>
                  <w:tcBorders>
                    <w:tl2br w:val="nil"/>
                    <w:tr2bl w:val="nil"/>
                  </w:tcBorders>
                  <w:noWrap w:val="0"/>
                  <w:vAlign w:val="center"/>
                </w:tcPr>
                <w:p w14:paraId="69F7B65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用途</w:t>
                  </w:r>
                </w:p>
              </w:tc>
              <w:tc>
                <w:tcPr>
                  <w:tcW w:w="356" w:type="pct"/>
                  <w:tcBorders>
                    <w:tl2br w:val="nil"/>
                    <w:tr2bl w:val="nil"/>
                  </w:tcBorders>
                  <w:noWrap w:val="0"/>
                  <w:vAlign w:val="center"/>
                </w:tcPr>
                <w:p w14:paraId="7A56ACC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4"/>
                      <w:sz w:val="18"/>
                      <w:szCs w:val="18"/>
                      <w14:textFill>
                        <w14:solidFill>
                          <w14:schemeClr w14:val="tx1"/>
                        </w14:solidFill>
                      </w14:textFill>
                    </w:rPr>
                    <w:t>来源</w:t>
                  </w:r>
                </w:p>
              </w:tc>
            </w:tr>
            <w:tr w14:paraId="69CDEDA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8" w:type="pct"/>
                  <w:tcBorders>
                    <w:tl2br w:val="nil"/>
                    <w:tr2bl w:val="nil"/>
                  </w:tcBorders>
                  <w:noWrap w:val="0"/>
                  <w:vAlign w:val="center"/>
                </w:tcPr>
                <w:p w14:paraId="12E0D8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499" w:type="pct"/>
                  <w:tcBorders>
                    <w:tl2br w:val="nil"/>
                    <w:tr2bl w:val="nil"/>
                  </w:tcBorders>
                  <w:noWrap w:val="0"/>
                  <w:vAlign w:val="center"/>
                </w:tcPr>
                <w:p w14:paraId="4A379CB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鳞片石墨</w:t>
                  </w:r>
                </w:p>
                <w:p w14:paraId="145A8005">
                  <w:pPr>
                    <w:pStyle w:val="52"/>
                    <w:keepNext w:val="0"/>
                    <w:keepLines w:val="0"/>
                    <w:pageBreakBefore w:val="0"/>
                    <w:widowControl w:val="0"/>
                    <w:kinsoku/>
                    <w:wordWrap/>
                    <w:overflowPunct/>
                    <w:topLinePunct w:val="0"/>
                    <w:autoSpaceDE/>
                    <w:autoSpaceDN/>
                    <w:bidi w:val="0"/>
                    <w:adjustRightInd/>
                    <w:snapToGrid/>
                    <w:spacing w:line="240" w:lineRule="atLeast"/>
                    <w:ind w:left="110"/>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（原料）</w:t>
                  </w:r>
                </w:p>
              </w:tc>
              <w:tc>
                <w:tcPr>
                  <w:tcW w:w="440" w:type="pct"/>
                  <w:tcBorders>
                    <w:tl2br w:val="nil"/>
                    <w:tr2bl w:val="nil"/>
                  </w:tcBorders>
                  <w:noWrap w:val="0"/>
                  <w:vAlign w:val="center"/>
                </w:tcPr>
                <w:p w14:paraId="308B4B3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鳞片</w:t>
                  </w:r>
                  <w:r>
                    <w:rPr>
                      <w:rFonts w:hint="eastAsia" w:ascii="宋体" w:hAnsi="宋体" w:eastAsia="宋体" w:cs="宋体"/>
                      <w:color w:val="000000" w:themeColor="text1"/>
                      <w:spacing w:val="-2"/>
                      <w:sz w:val="18"/>
                      <w:szCs w:val="18"/>
                      <w:highlight w:val="none"/>
                      <w:lang w:val="en-US" w:eastAsia="zh-CN"/>
                      <w14:textFill>
                        <w14:solidFill>
                          <w14:schemeClr w14:val="tx1"/>
                        </w14:solidFill>
                      </w14:textFill>
                    </w:rPr>
                    <w:t>状</w:t>
                  </w:r>
                  <w:r>
                    <w:rPr>
                      <w:rFonts w:hint="eastAsia" w:ascii="宋体" w:hAnsi="宋体" w:eastAsia="宋体" w:cs="宋体"/>
                      <w:color w:val="000000" w:themeColor="text1"/>
                      <w:spacing w:val="-12"/>
                      <w:sz w:val="18"/>
                      <w:szCs w:val="18"/>
                      <w:highlight w:val="none"/>
                      <w14:textFill>
                        <w14:solidFill>
                          <w14:schemeClr w14:val="tx1"/>
                        </w14:solidFill>
                      </w14:textFill>
                    </w:rPr>
                    <w:t>固态</w:t>
                  </w:r>
                </w:p>
              </w:tc>
              <w:tc>
                <w:tcPr>
                  <w:tcW w:w="512" w:type="pct"/>
                  <w:tcBorders>
                    <w:tl2br w:val="nil"/>
                    <w:tr2bl w:val="nil"/>
                  </w:tcBorders>
                  <w:noWrap w:val="0"/>
                  <w:vAlign w:val="center"/>
                </w:tcPr>
                <w:p w14:paraId="4BC3D8C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pacing w:val="-4"/>
                      <w:sz w:val="18"/>
                      <w:szCs w:val="18"/>
                      <w:highlight w:val="none"/>
                      <w:lang w:val="en-US" w:eastAsia="zh-CN"/>
                      <w14:textFill>
                        <w14:solidFill>
                          <w14:schemeClr w14:val="tx1"/>
                        </w14:solidFill>
                      </w14:textFill>
                    </w:rPr>
                    <w:t>4500</w:t>
                  </w:r>
                </w:p>
              </w:tc>
              <w:tc>
                <w:tcPr>
                  <w:tcW w:w="433" w:type="pct"/>
                  <w:tcBorders>
                    <w:tl2br w:val="nil"/>
                    <w:tr2bl w:val="nil"/>
                  </w:tcBorders>
                  <w:noWrap w:val="0"/>
                  <w:vAlign w:val="center"/>
                </w:tcPr>
                <w:p w14:paraId="0E3A8B66">
                  <w:pPr>
                    <w:keepNext w:val="0"/>
                    <w:keepLines w:val="0"/>
                    <w:pageBreakBefore w:val="0"/>
                    <w:widowControl w:val="0"/>
                    <w:kinsoku/>
                    <w:wordWrap/>
                    <w:overflowPunct/>
                    <w:topLinePunct w:val="0"/>
                    <w:autoSpaceDE/>
                    <w:autoSpaceDN/>
                    <w:bidi w:val="0"/>
                    <w:adjustRightInd/>
                    <w:snapToGrid/>
                    <w:spacing w:line="240" w:lineRule="atLeast"/>
                    <w:ind w:left="8"/>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90%-95%</w:t>
                  </w:r>
                </w:p>
              </w:tc>
              <w:tc>
                <w:tcPr>
                  <w:tcW w:w="442" w:type="pct"/>
                  <w:tcBorders>
                    <w:tl2br w:val="nil"/>
                    <w:tr2bl w:val="nil"/>
                  </w:tcBorders>
                  <w:noWrap w:val="0"/>
                  <w:vAlign w:val="center"/>
                </w:tcPr>
                <w:p w14:paraId="3C4E4012">
                  <w:pPr>
                    <w:pStyle w:val="52"/>
                    <w:keepNext w:val="0"/>
                    <w:keepLines w:val="0"/>
                    <w:pageBreakBefore w:val="0"/>
                    <w:widowControl w:val="0"/>
                    <w:kinsoku/>
                    <w:wordWrap/>
                    <w:overflowPunct/>
                    <w:topLinePunct w:val="0"/>
                    <w:autoSpaceDE/>
                    <w:autoSpaceDN/>
                    <w:bidi w:val="0"/>
                    <w:adjustRightInd/>
                    <w:snapToGrid/>
                    <w:spacing w:line="240" w:lineRule="atLeast"/>
                    <w:ind w:left="141"/>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8"/>
                      <w:sz w:val="18"/>
                      <w:szCs w:val="18"/>
                      <w14:textFill>
                        <w14:solidFill>
                          <w14:schemeClr w14:val="tx1"/>
                        </w14:solidFill>
                      </w14:textFill>
                    </w:rPr>
                    <w:t>吨包</w:t>
                  </w:r>
                </w:p>
              </w:tc>
              <w:tc>
                <w:tcPr>
                  <w:tcW w:w="346" w:type="pct"/>
                  <w:tcBorders>
                    <w:tl2br w:val="nil"/>
                    <w:tr2bl w:val="nil"/>
                  </w:tcBorders>
                  <w:noWrap w:val="0"/>
                  <w:vAlign w:val="center"/>
                </w:tcPr>
                <w:p w14:paraId="4D45C3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pacing w:val="-7"/>
                      <w:sz w:val="18"/>
                      <w:szCs w:val="18"/>
                      <w:lang w:val="en-US" w:eastAsia="zh-CN"/>
                      <w14:textFill>
                        <w14:solidFill>
                          <w14:schemeClr w14:val="tx1"/>
                        </w14:solidFill>
                      </w14:textFill>
                    </w:rPr>
                    <w:t>50t</w:t>
                  </w:r>
                </w:p>
              </w:tc>
              <w:tc>
                <w:tcPr>
                  <w:tcW w:w="475" w:type="pct"/>
                  <w:tcBorders>
                    <w:tl2br w:val="nil"/>
                    <w:tr2bl w:val="nil"/>
                  </w:tcBorders>
                  <w:noWrap w:val="0"/>
                  <w:vAlign w:val="center"/>
                </w:tcPr>
                <w:p w14:paraId="3C398105">
                  <w:pPr>
                    <w:pStyle w:val="52"/>
                    <w:keepNext w:val="0"/>
                    <w:keepLines w:val="0"/>
                    <w:pageBreakBefore w:val="0"/>
                    <w:widowControl w:val="0"/>
                    <w:kinsoku/>
                    <w:wordWrap/>
                    <w:overflowPunct/>
                    <w:topLinePunct w:val="0"/>
                    <w:autoSpaceDE/>
                    <w:autoSpaceDN/>
                    <w:bidi w:val="0"/>
                    <w:adjustRightInd/>
                    <w:snapToGrid/>
                    <w:spacing w:line="240" w:lineRule="atLeast"/>
                    <w:ind w:left="55"/>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原料区</w:t>
                  </w:r>
                </w:p>
              </w:tc>
              <w:tc>
                <w:tcPr>
                  <w:tcW w:w="400" w:type="pct"/>
                  <w:tcBorders>
                    <w:tl2br w:val="nil"/>
                    <w:tr2bl w:val="nil"/>
                  </w:tcBorders>
                  <w:noWrap w:val="0"/>
                  <w:vAlign w:val="center"/>
                </w:tcPr>
                <w:p w14:paraId="7926416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室温</w:t>
                  </w:r>
                </w:p>
              </w:tc>
              <w:tc>
                <w:tcPr>
                  <w:tcW w:w="382" w:type="pct"/>
                  <w:tcBorders>
                    <w:tl2br w:val="nil"/>
                    <w:tr2bl w:val="nil"/>
                  </w:tcBorders>
                  <w:noWrap w:val="0"/>
                  <w:vAlign w:val="center"/>
                </w:tcPr>
                <w:p w14:paraId="2B49079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cs="宋体"/>
                      <w:color w:val="000000" w:themeColor="text1"/>
                      <w:spacing w:val="-1"/>
                      <w:sz w:val="18"/>
                      <w:szCs w:val="18"/>
                      <w:lang w:val="en-US" w:eastAsia="zh-CN"/>
                      <w14:textFill>
                        <w14:solidFill>
                          <w14:schemeClr w14:val="tx1"/>
                        </w14:solidFill>
                      </w14:textFill>
                    </w:rPr>
                    <w:t>3</w:t>
                  </w:r>
                  <w:r>
                    <w:rPr>
                      <w:rFonts w:hint="eastAsia" w:ascii="宋体" w:hAnsi="宋体" w:eastAsia="宋体" w:cs="宋体"/>
                      <w:color w:val="000000" w:themeColor="text1"/>
                      <w:spacing w:val="-1"/>
                      <w:sz w:val="18"/>
                      <w:szCs w:val="18"/>
                      <w14:textFill>
                        <w14:solidFill>
                          <w14:schemeClr w14:val="tx1"/>
                        </w14:solidFill>
                      </w14:textFill>
                    </w:rPr>
                    <w:t>天</w:t>
                  </w:r>
                </w:p>
              </w:tc>
              <w:tc>
                <w:tcPr>
                  <w:tcW w:w="500" w:type="pct"/>
                  <w:tcBorders>
                    <w:tl2br w:val="nil"/>
                    <w:tr2bl w:val="nil"/>
                  </w:tcBorders>
                  <w:noWrap w:val="0"/>
                  <w:vAlign w:val="center"/>
                </w:tcPr>
                <w:p w14:paraId="03AA4CA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原料</w:t>
                  </w:r>
                </w:p>
              </w:tc>
              <w:tc>
                <w:tcPr>
                  <w:tcW w:w="356" w:type="pct"/>
                  <w:tcBorders>
                    <w:tl2br w:val="nil"/>
                    <w:tr2bl w:val="nil"/>
                  </w:tcBorders>
                  <w:noWrap w:val="0"/>
                  <w:vAlign w:val="center"/>
                </w:tcPr>
                <w:p w14:paraId="3452260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外购</w:t>
                  </w:r>
                </w:p>
              </w:tc>
            </w:tr>
            <w:tr w14:paraId="1A10A68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8" w:type="pct"/>
                  <w:tcBorders>
                    <w:tl2br w:val="nil"/>
                    <w:tr2bl w:val="nil"/>
                  </w:tcBorders>
                  <w:noWrap w:val="0"/>
                  <w:vAlign w:val="center"/>
                </w:tcPr>
                <w:p w14:paraId="2F726C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499" w:type="pct"/>
                  <w:tcBorders>
                    <w:tl2br w:val="nil"/>
                    <w:tr2bl w:val="nil"/>
                  </w:tcBorders>
                  <w:noWrap w:val="0"/>
                  <w:vAlign w:val="center"/>
                </w:tcPr>
                <w:p w14:paraId="4804663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双氧水</w:t>
                  </w:r>
                </w:p>
              </w:tc>
              <w:tc>
                <w:tcPr>
                  <w:tcW w:w="440" w:type="pct"/>
                  <w:tcBorders>
                    <w:tl2br w:val="nil"/>
                    <w:tr2bl w:val="nil"/>
                  </w:tcBorders>
                  <w:noWrap w:val="0"/>
                  <w:vAlign w:val="center"/>
                </w:tcPr>
                <w:p w14:paraId="2D1ACC8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液态</w:t>
                  </w:r>
                </w:p>
              </w:tc>
              <w:tc>
                <w:tcPr>
                  <w:tcW w:w="512" w:type="pct"/>
                  <w:tcBorders>
                    <w:tl2br w:val="nil"/>
                    <w:tr2bl w:val="nil"/>
                  </w:tcBorders>
                  <w:noWrap w:val="0"/>
                  <w:vAlign w:val="center"/>
                </w:tcPr>
                <w:p w14:paraId="772C85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pacing w:val="-4"/>
                      <w:sz w:val="18"/>
                      <w:szCs w:val="18"/>
                      <w:lang w:val="en-US" w:eastAsia="zh-CN"/>
                      <w14:textFill>
                        <w14:solidFill>
                          <w14:schemeClr w14:val="tx1"/>
                        </w14:solidFill>
                      </w14:textFill>
                    </w:rPr>
                    <w:t>146</w:t>
                  </w:r>
                </w:p>
              </w:tc>
              <w:tc>
                <w:tcPr>
                  <w:tcW w:w="433" w:type="pct"/>
                  <w:tcBorders>
                    <w:tl2br w:val="nil"/>
                    <w:tr2bl w:val="nil"/>
                  </w:tcBorders>
                  <w:noWrap w:val="0"/>
                  <w:vAlign w:val="center"/>
                </w:tcPr>
                <w:p w14:paraId="2E6FCB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lang w:val="en-US" w:eastAsia="zh-CN"/>
                      <w14:textFill>
                        <w14:solidFill>
                          <w14:schemeClr w14:val="tx1"/>
                        </w14:solidFill>
                      </w14:textFill>
                    </w:rPr>
                    <w:t>6</w:t>
                  </w:r>
                  <w:r>
                    <w:rPr>
                      <w:rFonts w:hint="eastAsia" w:ascii="宋体" w:hAnsi="宋体" w:eastAsia="宋体" w:cs="宋体"/>
                      <w:color w:val="000000" w:themeColor="text1"/>
                      <w:spacing w:val="-3"/>
                      <w:sz w:val="18"/>
                      <w:szCs w:val="18"/>
                      <w14:textFill>
                        <w14:solidFill>
                          <w14:schemeClr w14:val="tx1"/>
                        </w14:solidFill>
                      </w14:textFill>
                    </w:rPr>
                    <w:t>0%</w:t>
                  </w:r>
                </w:p>
              </w:tc>
              <w:tc>
                <w:tcPr>
                  <w:tcW w:w="442" w:type="pct"/>
                  <w:tcBorders>
                    <w:tl2br w:val="nil"/>
                    <w:tr2bl w:val="nil"/>
                  </w:tcBorders>
                  <w:noWrap w:val="0"/>
                  <w:vAlign w:val="center"/>
                </w:tcPr>
                <w:p w14:paraId="5ABAA8C9">
                  <w:pPr>
                    <w:pStyle w:val="52"/>
                    <w:keepNext w:val="0"/>
                    <w:keepLines w:val="0"/>
                    <w:pageBreakBefore w:val="0"/>
                    <w:widowControl w:val="0"/>
                    <w:kinsoku/>
                    <w:wordWrap/>
                    <w:overflowPunct/>
                    <w:topLinePunct w:val="0"/>
                    <w:autoSpaceDE/>
                    <w:autoSpaceDN/>
                    <w:bidi w:val="0"/>
                    <w:adjustRightInd/>
                    <w:snapToGrid/>
                    <w:spacing w:line="240" w:lineRule="atLeast"/>
                    <w:ind w:left="9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cs="宋体"/>
                      <w:color w:val="000000" w:themeColor="text1"/>
                      <w:spacing w:val="-1"/>
                      <w:sz w:val="18"/>
                      <w:szCs w:val="18"/>
                      <w:lang w:val="en-US" w:eastAsia="zh-CN"/>
                      <w14:textFill>
                        <w14:solidFill>
                          <w14:schemeClr w14:val="tx1"/>
                        </w14:solidFill>
                      </w14:textFill>
                    </w:rPr>
                    <w:t>桶装50kg/桶</w:t>
                  </w:r>
                </w:p>
              </w:tc>
              <w:tc>
                <w:tcPr>
                  <w:tcW w:w="346" w:type="pct"/>
                  <w:tcBorders>
                    <w:tl2br w:val="nil"/>
                    <w:tr2bl w:val="nil"/>
                  </w:tcBorders>
                  <w:noWrap w:val="0"/>
                  <w:vAlign w:val="center"/>
                </w:tcPr>
                <w:p w14:paraId="111F8F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1.5</w:t>
                  </w:r>
                  <w:r>
                    <w:rPr>
                      <w:rFonts w:hint="eastAsia" w:ascii="宋体" w:hAnsi="宋体" w:eastAsia="宋体" w:cs="宋体"/>
                      <w:color w:val="000000" w:themeColor="text1"/>
                      <w:spacing w:val="-7"/>
                      <w:sz w:val="18"/>
                      <w:szCs w:val="18"/>
                      <w:lang w:val="en-US" w:eastAsia="zh-CN"/>
                      <w14:textFill>
                        <w14:solidFill>
                          <w14:schemeClr w14:val="tx1"/>
                        </w14:solidFill>
                      </w14:textFill>
                    </w:rPr>
                    <w:t>t</w:t>
                  </w:r>
                </w:p>
              </w:tc>
              <w:tc>
                <w:tcPr>
                  <w:tcW w:w="475" w:type="pct"/>
                  <w:tcBorders>
                    <w:tl2br w:val="nil"/>
                    <w:tr2bl w:val="nil"/>
                  </w:tcBorders>
                  <w:noWrap w:val="0"/>
                  <w:vAlign w:val="center"/>
                </w:tcPr>
                <w:p w14:paraId="4CC6DB8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原料区</w:t>
                  </w:r>
                </w:p>
              </w:tc>
              <w:tc>
                <w:tcPr>
                  <w:tcW w:w="400" w:type="pct"/>
                  <w:tcBorders>
                    <w:tl2br w:val="nil"/>
                    <w:tr2bl w:val="nil"/>
                  </w:tcBorders>
                  <w:noWrap w:val="0"/>
                  <w:vAlign w:val="center"/>
                </w:tcPr>
                <w:p w14:paraId="58AD41C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室温</w:t>
                  </w:r>
                </w:p>
              </w:tc>
              <w:tc>
                <w:tcPr>
                  <w:tcW w:w="382" w:type="pct"/>
                  <w:tcBorders>
                    <w:tl2br w:val="nil"/>
                    <w:tr2bl w:val="nil"/>
                  </w:tcBorders>
                  <w:noWrap w:val="0"/>
                  <w:vAlign w:val="center"/>
                </w:tcPr>
                <w:p w14:paraId="2C67645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cs="宋体"/>
                      <w:color w:val="000000" w:themeColor="text1"/>
                      <w:spacing w:val="-4"/>
                      <w:sz w:val="18"/>
                      <w:szCs w:val="18"/>
                      <w:lang w:val="en-US" w:eastAsia="zh-CN"/>
                      <w14:textFill>
                        <w14:solidFill>
                          <w14:schemeClr w14:val="tx1"/>
                        </w14:solidFill>
                      </w14:textFill>
                    </w:rPr>
                    <w:t>3</w:t>
                  </w:r>
                  <w:r>
                    <w:rPr>
                      <w:rFonts w:hint="eastAsia" w:ascii="宋体" w:hAnsi="宋体" w:eastAsia="宋体" w:cs="宋体"/>
                      <w:color w:val="000000" w:themeColor="text1"/>
                      <w:spacing w:val="-4"/>
                      <w:sz w:val="18"/>
                      <w:szCs w:val="18"/>
                      <w14:textFill>
                        <w14:solidFill>
                          <w14:schemeClr w14:val="tx1"/>
                        </w14:solidFill>
                      </w14:textFill>
                    </w:rPr>
                    <w:t>天</w:t>
                  </w:r>
                </w:p>
              </w:tc>
              <w:tc>
                <w:tcPr>
                  <w:tcW w:w="500" w:type="pct"/>
                  <w:tcBorders>
                    <w:tl2br w:val="nil"/>
                    <w:tr2bl w:val="nil"/>
                  </w:tcBorders>
                  <w:noWrap w:val="0"/>
                  <w:vAlign w:val="center"/>
                </w:tcPr>
                <w:p w14:paraId="388BEDC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插层剂</w:t>
                  </w:r>
                </w:p>
              </w:tc>
              <w:tc>
                <w:tcPr>
                  <w:tcW w:w="356" w:type="pct"/>
                  <w:tcBorders>
                    <w:tl2br w:val="nil"/>
                    <w:tr2bl w:val="nil"/>
                  </w:tcBorders>
                  <w:noWrap w:val="0"/>
                  <w:vAlign w:val="center"/>
                </w:tcPr>
                <w:p w14:paraId="0B92F3A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外购</w:t>
                  </w:r>
                </w:p>
              </w:tc>
            </w:tr>
            <w:tr w14:paraId="6CC1165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08" w:type="pct"/>
                  <w:tcBorders>
                    <w:tl2br w:val="nil"/>
                    <w:tr2bl w:val="nil"/>
                  </w:tcBorders>
                  <w:noWrap w:val="0"/>
                  <w:vAlign w:val="center"/>
                </w:tcPr>
                <w:p w14:paraId="591642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499" w:type="pct"/>
                  <w:tcBorders>
                    <w:tl2br w:val="nil"/>
                    <w:tr2bl w:val="nil"/>
                  </w:tcBorders>
                  <w:noWrap w:val="0"/>
                  <w:vAlign w:val="center"/>
                </w:tcPr>
                <w:p w14:paraId="0665C1B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工业硫酸</w:t>
                  </w:r>
                </w:p>
              </w:tc>
              <w:tc>
                <w:tcPr>
                  <w:tcW w:w="440" w:type="pct"/>
                  <w:tcBorders>
                    <w:tl2br w:val="nil"/>
                    <w:tr2bl w:val="nil"/>
                  </w:tcBorders>
                  <w:noWrap w:val="0"/>
                  <w:vAlign w:val="center"/>
                </w:tcPr>
                <w:p w14:paraId="07D8BC1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液态</w:t>
                  </w:r>
                </w:p>
              </w:tc>
              <w:tc>
                <w:tcPr>
                  <w:tcW w:w="512" w:type="pct"/>
                  <w:tcBorders>
                    <w:tl2br w:val="nil"/>
                    <w:tr2bl w:val="nil"/>
                  </w:tcBorders>
                  <w:noWrap w:val="0"/>
                  <w:vAlign w:val="center"/>
                </w:tcPr>
                <w:p w14:paraId="30CC4E8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4500</w:t>
                  </w:r>
                </w:p>
              </w:tc>
              <w:tc>
                <w:tcPr>
                  <w:tcW w:w="433" w:type="pct"/>
                  <w:tcBorders>
                    <w:tl2br w:val="nil"/>
                    <w:tr2bl w:val="nil"/>
                  </w:tcBorders>
                  <w:noWrap w:val="0"/>
                  <w:vAlign w:val="center"/>
                </w:tcPr>
                <w:p w14:paraId="6F9BC3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98%</w:t>
                  </w:r>
                </w:p>
              </w:tc>
              <w:tc>
                <w:tcPr>
                  <w:tcW w:w="442" w:type="pct"/>
                  <w:tcBorders>
                    <w:tl2br w:val="nil"/>
                    <w:tr2bl w:val="nil"/>
                  </w:tcBorders>
                  <w:noWrap w:val="0"/>
                  <w:vAlign w:val="center"/>
                </w:tcPr>
                <w:p w14:paraId="72EA5FEB">
                  <w:pPr>
                    <w:pStyle w:val="52"/>
                    <w:keepNext w:val="0"/>
                    <w:keepLines w:val="0"/>
                    <w:pageBreakBefore w:val="0"/>
                    <w:widowControl w:val="0"/>
                    <w:kinsoku/>
                    <w:wordWrap/>
                    <w:overflowPunct/>
                    <w:topLinePunct w:val="0"/>
                    <w:autoSpaceDE/>
                    <w:autoSpaceDN/>
                    <w:bidi w:val="0"/>
                    <w:adjustRightInd/>
                    <w:snapToGrid/>
                    <w:spacing w:line="240" w:lineRule="atLeast"/>
                    <w:ind w:left="90"/>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PE罐</w:t>
                  </w:r>
                </w:p>
              </w:tc>
              <w:tc>
                <w:tcPr>
                  <w:tcW w:w="346" w:type="pct"/>
                  <w:tcBorders>
                    <w:tl2br w:val="nil"/>
                    <w:tr2bl w:val="nil"/>
                  </w:tcBorders>
                  <w:noWrap w:val="0"/>
                  <w:vAlign w:val="center"/>
                </w:tcPr>
                <w:p w14:paraId="4DF3F4F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pacing w:val="-2"/>
                      <w:sz w:val="18"/>
                      <w:szCs w:val="18"/>
                      <w:lang w:val="en-US" w:eastAsia="zh-CN"/>
                      <w14:textFill>
                        <w14:solidFill>
                          <w14:schemeClr w14:val="tx1"/>
                        </w14:solidFill>
                      </w14:textFill>
                    </w:rPr>
                    <w:t>60m</w:t>
                  </w:r>
                  <w:r>
                    <w:rPr>
                      <w:rFonts w:hint="eastAsia" w:ascii="宋体" w:hAnsi="宋体" w:eastAsia="宋体" w:cs="宋体"/>
                      <w:color w:val="000000" w:themeColor="text1"/>
                      <w:spacing w:val="-2"/>
                      <w:sz w:val="18"/>
                      <w:szCs w:val="18"/>
                      <w:vertAlign w:val="superscript"/>
                      <w:lang w:val="en-US" w:eastAsia="zh-CN"/>
                      <w14:textFill>
                        <w14:solidFill>
                          <w14:schemeClr w14:val="tx1"/>
                        </w14:solidFill>
                      </w14:textFill>
                    </w:rPr>
                    <w:t>3</w:t>
                  </w:r>
                </w:p>
              </w:tc>
              <w:tc>
                <w:tcPr>
                  <w:tcW w:w="475" w:type="pct"/>
                  <w:tcBorders>
                    <w:tl2br w:val="nil"/>
                    <w:tr2bl w:val="nil"/>
                  </w:tcBorders>
                  <w:noWrap w:val="0"/>
                  <w:vAlign w:val="center"/>
                </w:tcPr>
                <w:p w14:paraId="5036B68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储罐区</w:t>
                  </w:r>
                </w:p>
              </w:tc>
              <w:tc>
                <w:tcPr>
                  <w:tcW w:w="400" w:type="pct"/>
                  <w:tcBorders>
                    <w:tl2br w:val="nil"/>
                    <w:tr2bl w:val="nil"/>
                  </w:tcBorders>
                  <w:noWrap w:val="0"/>
                  <w:vAlign w:val="center"/>
                </w:tcPr>
                <w:p w14:paraId="214823D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常温常压</w:t>
                  </w:r>
                </w:p>
              </w:tc>
              <w:tc>
                <w:tcPr>
                  <w:tcW w:w="382" w:type="pct"/>
                  <w:tcBorders>
                    <w:tl2br w:val="nil"/>
                    <w:tr2bl w:val="nil"/>
                  </w:tcBorders>
                  <w:noWrap w:val="0"/>
                  <w:vAlign w:val="center"/>
                </w:tcPr>
                <w:p w14:paraId="17B689A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lang w:val="en-US" w:eastAsia="zh-CN"/>
                      <w14:textFill>
                        <w14:solidFill>
                          <w14:schemeClr w14:val="tx1"/>
                        </w14:solidFill>
                      </w14:textFill>
                    </w:rPr>
                    <w:t>4</w:t>
                  </w:r>
                  <w:r>
                    <w:rPr>
                      <w:rFonts w:hint="eastAsia" w:ascii="宋体" w:hAnsi="宋体" w:eastAsia="宋体" w:cs="宋体"/>
                      <w:color w:val="000000" w:themeColor="text1"/>
                      <w:spacing w:val="-5"/>
                      <w:sz w:val="18"/>
                      <w:szCs w:val="18"/>
                      <w14:textFill>
                        <w14:solidFill>
                          <w14:schemeClr w14:val="tx1"/>
                        </w14:solidFill>
                      </w14:textFill>
                    </w:rPr>
                    <w:t>天</w:t>
                  </w:r>
                </w:p>
              </w:tc>
              <w:tc>
                <w:tcPr>
                  <w:tcW w:w="500" w:type="pct"/>
                  <w:tcBorders>
                    <w:tl2br w:val="nil"/>
                    <w:tr2bl w:val="nil"/>
                  </w:tcBorders>
                  <w:noWrap w:val="0"/>
                  <w:vAlign w:val="center"/>
                </w:tcPr>
                <w:p w14:paraId="459A083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5"/>
                      <w:sz w:val="18"/>
                      <w:szCs w:val="18"/>
                      <w14:textFill>
                        <w14:solidFill>
                          <w14:schemeClr w14:val="tx1"/>
                        </w14:solidFill>
                      </w14:textFill>
                    </w:rPr>
                    <w:t>氧化剂</w:t>
                  </w:r>
                </w:p>
              </w:tc>
              <w:tc>
                <w:tcPr>
                  <w:tcW w:w="356" w:type="pct"/>
                  <w:tcBorders>
                    <w:tl2br w:val="nil"/>
                    <w:tr2bl w:val="nil"/>
                  </w:tcBorders>
                  <w:noWrap w:val="0"/>
                  <w:vAlign w:val="center"/>
                </w:tcPr>
                <w:p w14:paraId="68C5DFB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外购</w:t>
                  </w:r>
                </w:p>
              </w:tc>
            </w:tr>
            <w:tr w14:paraId="4952756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08" w:type="pct"/>
                  <w:tcBorders>
                    <w:tl2br w:val="nil"/>
                    <w:tr2bl w:val="nil"/>
                  </w:tcBorders>
                  <w:noWrap w:val="0"/>
                  <w:vAlign w:val="center"/>
                </w:tcPr>
                <w:p w14:paraId="2D0FA6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w:t>
                  </w:r>
                </w:p>
              </w:tc>
              <w:tc>
                <w:tcPr>
                  <w:tcW w:w="499" w:type="pct"/>
                  <w:tcBorders>
                    <w:tl2br w:val="nil"/>
                    <w:tr2bl w:val="nil"/>
                  </w:tcBorders>
                  <w:noWrap w:val="0"/>
                  <w:vAlign w:val="center"/>
                </w:tcPr>
                <w:p w14:paraId="29DB0F40">
                  <w:pPr>
                    <w:pStyle w:val="52"/>
                    <w:keepNext w:val="0"/>
                    <w:keepLines w:val="0"/>
                    <w:pageBreakBefore w:val="0"/>
                    <w:widowControl w:val="0"/>
                    <w:kinsoku/>
                    <w:wordWrap/>
                    <w:overflowPunct/>
                    <w:topLinePunct w:val="0"/>
                    <w:autoSpaceDE/>
                    <w:autoSpaceDN/>
                    <w:bidi w:val="0"/>
                    <w:adjustRightInd/>
                    <w:snapToGrid/>
                    <w:spacing w:line="240" w:lineRule="atLeast"/>
                    <w:ind w:left="11"/>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氢氧化钠溶</w:t>
                  </w:r>
                  <w:r>
                    <w:rPr>
                      <w:rFonts w:hint="eastAsia" w:ascii="宋体" w:hAnsi="宋体" w:eastAsia="宋体" w:cs="宋体"/>
                      <w:color w:val="000000" w:themeColor="text1"/>
                      <w:sz w:val="18"/>
                      <w:szCs w:val="18"/>
                      <w:highlight w:val="none"/>
                      <w14:textFill>
                        <w14:solidFill>
                          <w14:schemeClr w14:val="tx1"/>
                        </w14:solidFill>
                      </w14:textFill>
                    </w:rPr>
                    <w:t>液</w:t>
                  </w:r>
                </w:p>
              </w:tc>
              <w:tc>
                <w:tcPr>
                  <w:tcW w:w="440" w:type="pct"/>
                  <w:tcBorders>
                    <w:tl2br w:val="nil"/>
                    <w:tr2bl w:val="nil"/>
                  </w:tcBorders>
                  <w:noWrap w:val="0"/>
                  <w:vAlign w:val="center"/>
                </w:tcPr>
                <w:p w14:paraId="162FABE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18"/>
                      <w:highlight w:val="none"/>
                      <w:lang w:val="en-US"/>
                      <w14:textFill>
                        <w14:solidFill>
                          <w14:schemeClr w14:val="tx1"/>
                        </w14:solidFill>
                      </w14:textFill>
                    </w:rPr>
                  </w:pPr>
                  <w:r>
                    <w:rPr>
                      <w:rFonts w:hint="eastAsia" w:cs="宋体"/>
                      <w:color w:val="000000" w:themeColor="text1"/>
                      <w:spacing w:val="-5"/>
                      <w:sz w:val="18"/>
                      <w:szCs w:val="18"/>
                      <w:highlight w:val="none"/>
                      <w:lang w:val="en-US" w:eastAsia="zh-CN"/>
                      <w14:textFill>
                        <w14:solidFill>
                          <w14:schemeClr w14:val="tx1"/>
                        </w14:solidFill>
                      </w14:textFill>
                    </w:rPr>
                    <w:t>4.4</w:t>
                  </w:r>
                </w:p>
              </w:tc>
              <w:tc>
                <w:tcPr>
                  <w:tcW w:w="512" w:type="pct"/>
                  <w:tcBorders>
                    <w:tl2br w:val="nil"/>
                    <w:tr2bl w:val="nil"/>
                  </w:tcBorders>
                  <w:noWrap w:val="0"/>
                  <w:vAlign w:val="center"/>
                </w:tcPr>
                <w:p w14:paraId="737F43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18"/>
                      <w:highlight w:val="none"/>
                      <w:lang w:val="en-US"/>
                      <w14:textFill>
                        <w14:solidFill>
                          <w14:schemeClr w14:val="tx1"/>
                        </w14:solidFill>
                      </w14:textFill>
                    </w:rPr>
                  </w:pPr>
                </w:p>
              </w:tc>
              <w:tc>
                <w:tcPr>
                  <w:tcW w:w="433" w:type="pct"/>
                  <w:tcBorders>
                    <w:tl2br w:val="nil"/>
                    <w:tr2bl w:val="nil"/>
                  </w:tcBorders>
                  <w:noWrap w:val="0"/>
                  <w:vAlign w:val="center"/>
                </w:tcPr>
                <w:p w14:paraId="3609DD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p>
              </w:tc>
              <w:tc>
                <w:tcPr>
                  <w:tcW w:w="442" w:type="pct"/>
                  <w:tcBorders>
                    <w:tl2br w:val="nil"/>
                    <w:tr2bl w:val="nil"/>
                  </w:tcBorders>
                  <w:noWrap w:val="0"/>
                  <w:vAlign w:val="center"/>
                </w:tcPr>
                <w:p w14:paraId="18C1525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50kg/</w:t>
                  </w:r>
                  <w:r>
                    <w:rPr>
                      <w:rFonts w:hint="eastAsia" w:ascii="宋体" w:hAnsi="宋体" w:eastAsia="宋体" w:cs="宋体"/>
                      <w:color w:val="000000" w:themeColor="text1"/>
                      <w:spacing w:val="-2"/>
                      <w:sz w:val="18"/>
                      <w:szCs w:val="18"/>
                      <w:highlight w:val="none"/>
                      <w:lang w:val="en-US" w:eastAsia="zh-CN"/>
                      <w14:textFill>
                        <w14:solidFill>
                          <w14:schemeClr w14:val="tx1"/>
                        </w14:solidFill>
                      </w14:textFill>
                    </w:rPr>
                    <w:t>袋</w:t>
                  </w:r>
                </w:p>
              </w:tc>
              <w:tc>
                <w:tcPr>
                  <w:tcW w:w="346" w:type="pct"/>
                  <w:tcBorders>
                    <w:tl2br w:val="nil"/>
                    <w:tr2bl w:val="nil"/>
                  </w:tcBorders>
                  <w:noWrap w:val="0"/>
                  <w:vAlign w:val="center"/>
                </w:tcPr>
                <w:p w14:paraId="66C376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pacing w:val="-11"/>
                      <w:sz w:val="18"/>
                      <w:szCs w:val="18"/>
                      <w:highlight w:val="none"/>
                      <w:lang w:val="en-US" w:eastAsia="zh-CN"/>
                      <w14:textFill>
                        <w14:solidFill>
                          <w14:schemeClr w14:val="tx1"/>
                        </w14:solidFill>
                      </w14:textFill>
                    </w:rPr>
                    <w:t>0.1</w:t>
                  </w:r>
                </w:p>
              </w:tc>
              <w:tc>
                <w:tcPr>
                  <w:tcW w:w="475" w:type="pct"/>
                  <w:tcBorders>
                    <w:tl2br w:val="nil"/>
                    <w:tr2bl w:val="nil"/>
                  </w:tcBorders>
                  <w:noWrap w:val="0"/>
                  <w:vAlign w:val="center"/>
                </w:tcPr>
                <w:p w14:paraId="7DCE5BC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pacing w:val="-1"/>
                      <w:sz w:val="18"/>
                      <w:szCs w:val="18"/>
                      <w:highlight w:val="none"/>
                      <w:lang w:val="en-US" w:eastAsia="zh-CN"/>
                      <w14:textFill>
                        <w14:solidFill>
                          <w14:schemeClr w14:val="tx1"/>
                        </w14:solidFill>
                      </w14:textFill>
                    </w:rPr>
                    <w:t>原料区</w:t>
                  </w:r>
                </w:p>
              </w:tc>
              <w:tc>
                <w:tcPr>
                  <w:tcW w:w="400" w:type="pct"/>
                  <w:tcBorders>
                    <w:tl2br w:val="nil"/>
                    <w:tr2bl w:val="nil"/>
                  </w:tcBorders>
                  <w:noWrap w:val="0"/>
                  <w:vAlign w:val="center"/>
                </w:tcPr>
                <w:p w14:paraId="000526B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5"/>
                      <w:sz w:val="18"/>
                      <w:szCs w:val="18"/>
                      <w:highlight w:val="none"/>
                      <w14:textFill>
                        <w14:solidFill>
                          <w14:schemeClr w14:val="tx1"/>
                        </w14:solidFill>
                      </w14:textFill>
                    </w:rPr>
                    <w:t>室温</w:t>
                  </w:r>
                </w:p>
              </w:tc>
              <w:tc>
                <w:tcPr>
                  <w:tcW w:w="382" w:type="pct"/>
                  <w:tcBorders>
                    <w:tl2br w:val="nil"/>
                    <w:tr2bl w:val="nil"/>
                  </w:tcBorders>
                  <w:noWrap w:val="0"/>
                  <w:vAlign w:val="center"/>
                </w:tcPr>
                <w:p w14:paraId="1946C4D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cs="宋体"/>
                      <w:color w:val="000000" w:themeColor="text1"/>
                      <w:spacing w:val="-8"/>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pacing w:val="-8"/>
                      <w:sz w:val="18"/>
                      <w:szCs w:val="18"/>
                      <w:highlight w:val="none"/>
                      <w14:textFill>
                        <w14:solidFill>
                          <w14:schemeClr w14:val="tx1"/>
                        </w14:solidFill>
                      </w14:textFill>
                    </w:rPr>
                    <w:t>天</w:t>
                  </w:r>
                </w:p>
              </w:tc>
              <w:tc>
                <w:tcPr>
                  <w:tcW w:w="500" w:type="pct"/>
                  <w:tcBorders>
                    <w:tl2br w:val="nil"/>
                    <w:tr2bl w:val="nil"/>
                  </w:tcBorders>
                  <w:noWrap w:val="0"/>
                  <w:vAlign w:val="center"/>
                </w:tcPr>
                <w:p w14:paraId="5D5FDE9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2"/>
                      <w:sz w:val="18"/>
                      <w:szCs w:val="18"/>
                      <w:highlight w:val="none"/>
                      <w14:textFill>
                        <w14:solidFill>
                          <w14:schemeClr w14:val="tx1"/>
                        </w14:solidFill>
                      </w14:textFill>
                    </w:rPr>
                    <w:t>酸雾净化</w:t>
                  </w:r>
                </w:p>
              </w:tc>
              <w:tc>
                <w:tcPr>
                  <w:tcW w:w="356" w:type="pct"/>
                  <w:tcBorders>
                    <w:tl2br w:val="nil"/>
                    <w:tr2bl w:val="nil"/>
                  </w:tcBorders>
                  <w:noWrap w:val="0"/>
                  <w:vAlign w:val="center"/>
                </w:tcPr>
                <w:p w14:paraId="22B0300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6"/>
                      <w:sz w:val="18"/>
                      <w:szCs w:val="18"/>
                      <w:highlight w:val="none"/>
                      <w14:textFill>
                        <w14:solidFill>
                          <w14:schemeClr w14:val="tx1"/>
                        </w14:solidFill>
                      </w14:textFill>
                    </w:rPr>
                    <w:t>外购</w:t>
                  </w:r>
                </w:p>
              </w:tc>
            </w:tr>
            <w:tr w14:paraId="7F90301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08" w:type="pct"/>
                  <w:tcBorders>
                    <w:tl2br w:val="nil"/>
                    <w:tr2bl w:val="nil"/>
                  </w:tcBorders>
                  <w:noWrap w:val="0"/>
                  <w:vAlign w:val="center"/>
                </w:tcPr>
                <w:p w14:paraId="231D2E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5</w:t>
                  </w:r>
                </w:p>
              </w:tc>
              <w:tc>
                <w:tcPr>
                  <w:tcW w:w="499" w:type="pct"/>
                  <w:tcBorders>
                    <w:tl2br w:val="nil"/>
                    <w:tr2bl w:val="nil"/>
                  </w:tcBorders>
                  <w:noWrap w:val="0"/>
                  <w:vAlign w:val="center"/>
                </w:tcPr>
                <w:p w14:paraId="58D3891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3"/>
                      <w:sz w:val="18"/>
                      <w:szCs w:val="18"/>
                      <w:highlight w:val="none"/>
                      <w:lang w:val="en-US" w:eastAsia="zh-CN"/>
                      <w14:textFill>
                        <w14:solidFill>
                          <w14:schemeClr w14:val="tx1"/>
                        </w14:solidFill>
                      </w14:textFill>
                    </w:rPr>
                    <w:t>氢氧</w:t>
                  </w:r>
                  <w:r>
                    <w:rPr>
                      <w:rFonts w:hint="eastAsia" w:ascii="宋体" w:hAnsi="宋体" w:eastAsia="宋体" w:cs="宋体"/>
                      <w:color w:val="000000" w:themeColor="text1"/>
                      <w:spacing w:val="-3"/>
                      <w:sz w:val="18"/>
                      <w:szCs w:val="18"/>
                      <w:highlight w:val="none"/>
                      <w14:textFill>
                        <w14:solidFill>
                          <w14:schemeClr w14:val="tx1"/>
                        </w14:solidFill>
                      </w14:textFill>
                    </w:rPr>
                    <w:t>化钙</w:t>
                  </w:r>
                </w:p>
              </w:tc>
              <w:tc>
                <w:tcPr>
                  <w:tcW w:w="440" w:type="pct"/>
                  <w:tcBorders>
                    <w:tl2br w:val="nil"/>
                    <w:tr2bl w:val="nil"/>
                  </w:tcBorders>
                  <w:noWrap w:val="0"/>
                  <w:vAlign w:val="center"/>
                </w:tcPr>
                <w:p w14:paraId="606C3F0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12"/>
                      <w:sz w:val="18"/>
                      <w:szCs w:val="18"/>
                      <w:highlight w:val="none"/>
                      <w14:textFill>
                        <w14:solidFill>
                          <w14:schemeClr w14:val="tx1"/>
                        </w14:solidFill>
                      </w14:textFill>
                    </w:rPr>
                    <w:t>固态</w:t>
                  </w:r>
                </w:p>
              </w:tc>
              <w:tc>
                <w:tcPr>
                  <w:tcW w:w="512" w:type="pct"/>
                  <w:tcBorders>
                    <w:tl2br w:val="nil"/>
                    <w:tr2bl w:val="nil"/>
                  </w:tcBorders>
                  <w:noWrap w:val="0"/>
                  <w:vAlign w:val="center"/>
                </w:tcPr>
                <w:p w14:paraId="3C815B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2888</w:t>
                  </w:r>
                </w:p>
              </w:tc>
              <w:tc>
                <w:tcPr>
                  <w:tcW w:w="433" w:type="pct"/>
                  <w:tcBorders>
                    <w:tl2br w:val="nil"/>
                    <w:tr2bl w:val="nil"/>
                  </w:tcBorders>
                  <w:noWrap w:val="0"/>
                  <w:vAlign w:val="center"/>
                </w:tcPr>
                <w:p w14:paraId="0E3FEB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p>
              </w:tc>
              <w:tc>
                <w:tcPr>
                  <w:tcW w:w="442" w:type="pct"/>
                  <w:tcBorders>
                    <w:tl2br w:val="nil"/>
                    <w:tr2bl w:val="nil"/>
                  </w:tcBorders>
                  <w:noWrap w:val="0"/>
                  <w:vAlign w:val="center"/>
                </w:tcPr>
                <w:p w14:paraId="410E742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4"/>
                      <w:sz w:val="18"/>
                      <w:szCs w:val="18"/>
                      <w:highlight w:val="none"/>
                      <w14:textFill>
                        <w14:solidFill>
                          <w14:schemeClr w14:val="tx1"/>
                        </w14:solidFill>
                      </w14:textFill>
                    </w:rPr>
                    <w:t>塑料编</w:t>
                  </w:r>
                </w:p>
                <w:p w14:paraId="19826C39">
                  <w:pPr>
                    <w:pStyle w:val="52"/>
                    <w:keepNext w:val="0"/>
                    <w:keepLines w:val="0"/>
                    <w:pageBreakBefore w:val="0"/>
                    <w:widowControl w:val="0"/>
                    <w:kinsoku/>
                    <w:wordWrap/>
                    <w:overflowPunct/>
                    <w:topLinePunct w:val="0"/>
                    <w:autoSpaceDE/>
                    <w:autoSpaceDN/>
                    <w:bidi w:val="0"/>
                    <w:adjustRightInd/>
                    <w:snapToGrid/>
                    <w:spacing w:line="240" w:lineRule="atLeast"/>
                    <w:ind w:left="19" w:right="9" w:firstLine="25"/>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4"/>
                      <w:sz w:val="18"/>
                      <w:szCs w:val="18"/>
                      <w:highlight w:val="none"/>
                      <w14:textFill>
                        <w14:solidFill>
                          <w14:schemeClr w14:val="tx1"/>
                        </w14:solidFill>
                      </w14:textFill>
                    </w:rPr>
                    <w:t>织吨袋</w:t>
                  </w:r>
                  <w:r>
                    <w:rPr>
                      <w:rFonts w:hint="eastAsia" w:ascii="宋体" w:hAnsi="宋体" w:eastAsia="宋体" w:cs="宋体"/>
                      <w:color w:val="000000" w:themeColor="text1"/>
                      <w:spacing w:val="-2"/>
                      <w:sz w:val="18"/>
                      <w:szCs w:val="18"/>
                      <w:highlight w:val="none"/>
                      <w14:textFill>
                        <w14:solidFill>
                          <w14:schemeClr w14:val="tx1"/>
                        </w14:solidFill>
                      </w14:textFill>
                    </w:rPr>
                    <w:t>50kg/袋</w:t>
                  </w:r>
                </w:p>
              </w:tc>
              <w:tc>
                <w:tcPr>
                  <w:tcW w:w="346" w:type="pct"/>
                  <w:tcBorders>
                    <w:tl2br w:val="nil"/>
                    <w:tr2bl w:val="nil"/>
                  </w:tcBorders>
                  <w:noWrap w:val="0"/>
                  <w:vAlign w:val="center"/>
                </w:tcPr>
                <w:p w14:paraId="2B6749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4"/>
                      <w:sz w:val="18"/>
                      <w:szCs w:val="18"/>
                      <w:highlight w:val="none"/>
                      <w14:textFill>
                        <w14:solidFill>
                          <w14:schemeClr w14:val="tx1"/>
                        </w14:solidFill>
                      </w14:textFill>
                    </w:rPr>
                    <w:t>60</w:t>
                  </w:r>
                  <w:r>
                    <w:rPr>
                      <w:rFonts w:hint="eastAsia" w:ascii="宋体" w:hAnsi="宋体" w:eastAsia="宋体" w:cs="宋体"/>
                      <w:color w:val="000000" w:themeColor="text1"/>
                      <w:spacing w:val="-7"/>
                      <w:sz w:val="18"/>
                      <w:szCs w:val="18"/>
                      <w:highlight w:val="none"/>
                      <w:lang w:val="en-US" w:eastAsia="zh-CN"/>
                      <w14:textFill>
                        <w14:solidFill>
                          <w14:schemeClr w14:val="tx1"/>
                        </w14:solidFill>
                      </w14:textFill>
                    </w:rPr>
                    <w:t>t</w:t>
                  </w:r>
                </w:p>
              </w:tc>
              <w:tc>
                <w:tcPr>
                  <w:tcW w:w="475" w:type="pct"/>
                  <w:tcBorders>
                    <w:tl2br w:val="nil"/>
                    <w:tr2bl w:val="nil"/>
                  </w:tcBorders>
                  <w:noWrap w:val="0"/>
                  <w:vAlign w:val="center"/>
                </w:tcPr>
                <w:p w14:paraId="70E2532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pacing w:val="-1"/>
                      <w:sz w:val="18"/>
                      <w:szCs w:val="18"/>
                      <w:highlight w:val="none"/>
                      <w14:textFill>
                        <w14:solidFill>
                          <w14:schemeClr w14:val="tx1"/>
                        </w14:solidFill>
                      </w14:textFill>
                    </w:rPr>
                    <w:t>原料</w:t>
                  </w:r>
                  <w:r>
                    <w:rPr>
                      <w:rFonts w:hint="eastAsia" w:cs="宋体"/>
                      <w:color w:val="000000" w:themeColor="text1"/>
                      <w:spacing w:val="-1"/>
                      <w:sz w:val="18"/>
                      <w:szCs w:val="18"/>
                      <w:highlight w:val="none"/>
                      <w:lang w:val="en-US" w:eastAsia="zh-CN"/>
                      <w14:textFill>
                        <w14:solidFill>
                          <w14:schemeClr w14:val="tx1"/>
                        </w14:solidFill>
                      </w14:textFill>
                    </w:rPr>
                    <w:t>区</w:t>
                  </w:r>
                </w:p>
              </w:tc>
              <w:tc>
                <w:tcPr>
                  <w:tcW w:w="400" w:type="pct"/>
                  <w:tcBorders>
                    <w:tl2br w:val="nil"/>
                    <w:tr2bl w:val="nil"/>
                  </w:tcBorders>
                  <w:noWrap w:val="0"/>
                  <w:vAlign w:val="center"/>
                </w:tcPr>
                <w:p w14:paraId="643A7BD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5"/>
                      <w:sz w:val="18"/>
                      <w:szCs w:val="18"/>
                      <w:highlight w:val="none"/>
                      <w14:textFill>
                        <w14:solidFill>
                          <w14:schemeClr w14:val="tx1"/>
                        </w14:solidFill>
                      </w14:textFill>
                    </w:rPr>
                    <w:t>室温</w:t>
                  </w:r>
                </w:p>
              </w:tc>
              <w:tc>
                <w:tcPr>
                  <w:tcW w:w="382" w:type="pct"/>
                  <w:tcBorders>
                    <w:tl2br w:val="nil"/>
                    <w:tr2bl w:val="nil"/>
                  </w:tcBorders>
                  <w:noWrap w:val="0"/>
                  <w:vAlign w:val="center"/>
                </w:tcPr>
                <w:p w14:paraId="4713E3F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cs="宋体"/>
                      <w:color w:val="000000" w:themeColor="text1"/>
                      <w:spacing w:val="-4"/>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pacing w:val="-4"/>
                      <w:sz w:val="18"/>
                      <w:szCs w:val="18"/>
                      <w:highlight w:val="none"/>
                      <w14:textFill>
                        <w14:solidFill>
                          <w14:schemeClr w14:val="tx1"/>
                        </w14:solidFill>
                      </w14:textFill>
                    </w:rPr>
                    <w:t>天</w:t>
                  </w:r>
                </w:p>
              </w:tc>
              <w:tc>
                <w:tcPr>
                  <w:tcW w:w="500" w:type="pct"/>
                  <w:tcBorders>
                    <w:tl2br w:val="nil"/>
                    <w:tr2bl w:val="nil"/>
                  </w:tcBorders>
                  <w:noWrap w:val="0"/>
                  <w:vAlign w:val="center"/>
                </w:tcPr>
                <w:p w14:paraId="0629A9D4">
                  <w:pPr>
                    <w:pStyle w:val="52"/>
                    <w:keepNext w:val="0"/>
                    <w:keepLines w:val="0"/>
                    <w:pageBreakBefore w:val="0"/>
                    <w:widowControl w:val="0"/>
                    <w:kinsoku/>
                    <w:wordWrap/>
                    <w:overflowPunct/>
                    <w:topLinePunct w:val="0"/>
                    <w:autoSpaceDE/>
                    <w:autoSpaceDN/>
                    <w:bidi w:val="0"/>
                    <w:adjustRightInd/>
                    <w:snapToGrid/>
                    <w:spacing w:line="240" w:lineRule="atLeast"/>
                    <w:ind w:left="53"/>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cs="宋体"/>
                      <w:color w:val="000000" w:themeColor="text1"/>
                      <w:spacing w:val="-3"/>
                      <w:sz w:val="18"/>
                      <w:szCs w:val="18"/>
                      <w:highlight w:val="none"/>
                      <w:lang w:val="en-US" w:eastAsia="zh-CN"/>
                      <w14:textFill>
                        <w14:solidFill>
                          <w14:schemeClr w14:val="tx1"/>
                        </w14:solidFill>
                      </w14:textFill>
                    </w:rPr>
                    <w:t>废酸处理</w:t>
                  </w:r>
                  <w:r>
                    <w:rPr>
                      <w:rFonts w:hint="eastAsia" w:ascii="宋体" w:hAnsi="宋体" w:eastAsia="宋体" w:cs="宋体"/>
                      <w:color w:val="000000" w:themeColor="text1"/>
                      <w:spacing w:val="-3"/>
                      <w:sz w:val="18"/>
                      <w:szCs w:val="18"/>
                      <w:highlight w:val="none"/>
                      <w14:textFill>
                        <w14:solidFill>
                          <w14:schemeClr w14:val="tx1"/>
                        </w14:solidFill>
                      </w14:textFill>
                    </w:rPr>
                    <w:t>污水处理</w:t>
                  </w:r>
                </w:p>
              </w:tc>
              <w:tc>
                <w:tcPr>
                  <w:tcW w:w="356" w:type="pct"/>
                  <w:tcBorders>
                    <w:tl2br w:val="nil"/>
                    <w:tr2bl w:val="nil"/>
                  </w:tcBorders>
                  <w:noWrap w:val="0"/>
                  <w:vAlign w:val="center"/>
                </w:tcPr>
                <w:p w14:paraId="03D51A3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pacing w:val="-6"/>
                      <w:sz w:val="18"/>
                      <w:szCs w:val="18"/>
                      <w:highlight w:val="none"/>
                      <w14:textFill>
                        <w14:solidFill>
                          <w14:schemeClr w14:val="tx1"/>
                        </w14:solidFill>
                      </w14:textFill>
                    </w:rPr>
                    <w:t>外购</w:t>
                  </w:r>
                </w:p>
              </w:tc>
            </w:tr>
          </w:tbl>
          <w:p w14:paraId="49BBB6F9">
            <w:pPr>
              <w:jc w:val="both"/>
              <w:rPr>
                <w:rFonts w:hint="eastAsia" w:ascii="Times New Roman" w:hAnsi="Times New Roman" w:eastAsia="宋体" w:cs="Times New Roman"/>
                <w:b/>
                <w:bCs/>
                <w:color w:val="000000" w:themeColor="text1"/>
                <w:spacing w:val="6"/>
                <w:sz w:val="21"/>
                <w:szCs w:val="21"/>
                <w14:textFill>
                  <w14:solidFill>
                    <w14:schemeClr w14:val="tx1"/>
                  </w14:solidFill>
                </w14:textFill>
              </w:rPr>
            </w:pPr>
          </w:p>
          <w:p w14:paraId="5B807AD9">
            <w:pPr>
              <w:jc w:val="center"/>
              <w:rPr>
                <w:rFonts w:hint="eastAsia" w:ascii="宋体" w:hAnsi="宋体" w:eastAsia="宋体" w:cs="宋体"/>
                <w:b/>
                <w:bCs/>
                <w:color w:val="000000" w:themeColor="text1"/>
                <w:spacing w:val="6"/>
                <w:sz w:val="21"/>
                <w:szCs w:val="21"/>
                <w14:textFill>
                  <w14:solidFill>
                    <w14:schemeClr w14:val="tx1"/>
                  </w14:solidFill>
                </w14:textFill>
              </w:rPr>
            </w:pPr>
          </w:p>
          <w:p w14:paraId="381FB282">
            <w:pPr>
              <w:jc w:val="center"/>
              <w:rPr>
                <w:rFonts w:hint="eastAsia" w:ascii="宋体" w:hAnsi="宋体" w:eastAsia="宋体" w:cs="宋体"/>
                <w:b/>
                <w:bCs/>
                <w:color w:val="000000" w:themeColor="text1"/>
                <w:spacing w:val="6"/>
                <w:sz w:val="21"/>
                <w:szCs w:val="21"/>
                <w14:textFill>
                  <w14:solidFill>
                    <w14:schemeClr w14:val="tx1"/>
                  </w14:solidFill>
                </w14:textFill>
              </w:rPr>
            </w:pPr>
          </w:p>
          <w:p w14:paraId="04E4BCEE">
            <w:pPr>
              <w:jc w:val="center"/>
              <w:rPr>
                <w:rFonts w:hint="eastAsia" w:ascii="宋体" w:hAnsi="宋体" w:eastAsia="宋体" w:cs="宋体"/>
                <w:b/>
                <w:bCs/>
                <w:color w:val="000000" w:themeColor="text1"/>
                <w:spacing w:val="6"/>
                <w:sz w:val="21"/>
                <w:szCs w:val="21"/>
                <w14:textFill>
                  <w14:solidFill>
                    <w14:schemeClr w14:val="tx1"/>
                  </w14:solidFill>
                </w14:textFill>
              </w:rPr>
            </w:pPr>
            <w:r>
              <w:rPr>
                <w:rFonts w:hint="eastAsia" w:ascii="宋体" w:hAnsi="宋体" w:eastAsia="宋体" w:cs="宋体"/>
                <w:b/>
                <w:bCs/>
                <w:color w:val="000000" w:themeColor="text1"/>
                <w:spacing w:val="6"/>
                <w:sz w:val="21"/>
                <w:szCs w:val="21"/>
                <w14:textFill>
                  <w14:solidFill>
                    <w14:schemeClr w14:val="tx1"/>
                  </w14:solidFill>
                </w14:textFill>
              </w:rPr>
              <w:t>表2-</w:t>
            </w:r>
            <w:r>
              <w:rPr>
                <w:rFonts w:hint="eastAsia" w:ascii="宋体" w:hAnsi="宋体" w:cs="宋体"/>
                <w:b/>
                <w:bCs/>
                <w:color w:val="000000" w:themeColor="text1"/>
                <w:spacing w:val="6"/>
                <w:sz w:val="21"/>
                <w:szCs w:val="21"/>
                <w:lang w:val="en-US" w:eastAsia="zh-CN"/>
                <w14:textFill>
                  <w14:solidFill>
                    <w14:schemeClr w14:val="tx1"/>
                  </w14:solidFill>
                </w14:textFill>
              </w:rPr>
              <w:t>4</w:t>
            </w:r>
            <w:r>
              <w:rPr>
                <w:rFonts w:hint="eastAsia" w:ascii="宋体" w:hAnsi="宋体" w:eastAsia="宋体" w:cs="宋体"/>
                <w:b/>
                <w:bCs/>
                <w:color w:val="000000" w:themeColor="text1"/>
                <w:spacing w:val="6"/>
                <w:sz w:val="21"/>
                <w:szCs w:val="21"/>
                <w14:textFill>
                  <w14:solidFill>
                    <w14:schemeClr w14:val="tx1"/>
                  </w14:solidFill>
                </w14:textFill>
              </w:rPr>
              <w:t xml:space="preserve">   </w:t>
            </w:r>
            <w:r>
              <w:rPr>
                <w:rFonts w:hint="eastAsia" w:ascii="宋体" w:hAnsi="宋体" w:eastAsia="宋体" w:cs="宋体"/>
                <w:b/>
                <w:color w:val="000000" w:themeColor="text1"/>
                <w:sz w:val="21"/>
                <w:szCs w:val="21"/>
                <w14:textFill>
                  <w14:solidFill>
                    <w14:schemeClr w14:val="tx1"/>
                  </w14:solidFill>
                </w14:textFill>
              </w:rPr>
              <w:t xml:space="preserve"> 鳞片石墨化学全</w:t>
            </w:r>
            <w:r>
              <w:rPr>
                <w:rFonts w:hint="eastAsia" w:ascii="宋体" w:hAnsi="宋体" w:cs="宋体"/>
                <w:b/>
                <w:color w:val="000000" w:themeColor="text1"/>
                <w:sz w:val="21"/>
                <w:szCs w:val="21"/>
                <w:lang w:eastAsia="zh-CN"/>
                <w14:textFill>
                  <w14:solidFill>
                    <w14:schemeClr w14:val="tx1"/>
                  </w14:solidFill>
                </w14:textFill>
              </w:rPr>
              <w:t>成分分析</w:t>
            </w:r>
          </w:p>
          <w:tbl>
            <w:tblPr>
              <w:tblStyle w:val="22"/>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26"/>
              <w:gridCol w:w="2170"/>
              <w:gridCol w:w="2626"/>
              <w:gridCol w:w="2525"/>
            </w:tblGrid>
            <w:tr w14:paraId="7E4F1D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3505" w:type="pct"/>
                  <w:gridSpan w:val="3"/>
                  <w:tcBorders>
                    <w:tl2br w:val="nil"/>
                    <w:tr2bl w:val="nil"/>
                  </w:tcBorders>
                  <w:noWrap w:val="0"/>
                  <w:vAlign w:val="center"/>
                </w:tcPr>
                <w:p w14:paraId="56190B68">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w:t>
                  </w:r>
                </w:p>
              </w:tc>
              <w:tc>
                <w:tcPr>
                  <w:tcW w:w="1494" w:type="pct"/>
                  <w:tcBorders>
                    <w:tl2br w:val="nil"/>
                    <w:tr2bl w:val="nil"/>
                  </w:tcBorders>
                  <w:noWrap w:val="0"/>
                  <w:vAlign w:val="center"/>
                </w:tcPr>
                <w:p w14:paraId="3CC74B75">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50目、80目及100目</w:t>
                  </w:r>
                </w:p>
              </w:tc>
            </w:tr>
            <w:tr w14:paraId="32B64F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3505" w:type="pct"/>
                  <w:gridSpan w:val="3"/>
                  <w:tcBorders>
                    <w:tl2br w:val="nil"/>
                    <w:tr2bl w:val="nil"/>
                  </w:tcBorders>
                  <w:noWrap w:val="0"/>
                  <w:vAlign w:val="center"/>
                </w:tcPr>
                <w:p w14:paraId="6B82EF26">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物质</w:t>
                  </w:r>
                </w:p>
              </w:tc>
              <w:tc>
                <w:tcPr>
                  <w:tcW w:w="1494" w:type="pct"/>
                  <w:tcBorders>
                    <w:tl2br w:val="nil"/>
                    <w:tr2bl w:val="nil"/>
                  </w:tcBorders>
                  <w:noWrap w:val="0"/>
                  <w:vAlign w:val="center"/>
                </w:tcPr>
                <w:p w14:paraId="270BF175">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含量%</w:t>
                  </w:r>
                </w:p>
              </w:tc>
            </w:tr>
            <w:tr w14:paraId="5465F9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3505" w:type="pct"/>
                  <w:gridSpan w:val="3"/>
                  <w:tcBorders>
                    <w:tl2br w:val="nil"/>
                    <w:tr2bl w:val="nil"/>
                  </w:tcBorders>
                  <w:noWrap w:val="0"/>
                  <w:vAlign w:val="center"/>
                </w:tcPr>
                <w:p w14:paraId="79390427">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固定碳</w:t>
                  </w:r>
                </w:p>
              </w:tc>
              <w:tc>
                <w:tcPr>
                  <w:tcW w:w="1494" w:type="pct"/>
                  <w:tcBorders>
                    <w:tl2br w:val="nil"/>
                    <w:tr2bl w:val="nil"/>
                  </w:tcBorders>
                  <w:noWrap w:val="0"/>
                  <w:vAlign w:val="center"/>
                </w:tcPr>
                <w:p w14:paraId="1050FBF2">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95.0</w:t>
                  </w:r>
                </w:p>
              </w:tc>
            </w:tr>
            <w:tr w14:paraId="556226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35BE8C98">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84" w:type="pct"/>
                  <w:vMerge w:val="restart"/>
                  <w:tcBorders>
                    <w:tl2br w:val="nil"/>
                    <w:tr2bl w:val="nil"/>
                  </w:tcBorders>
                  <w:noWrap w:val="0"/>
                  <w:vAlign w:val="center"/>
                </w:tcPr>
                <w:p w14:paraId="0436FCEB">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微量元素</w:t>
                  </w:r>
                </w:p>
              </w:tc>
              <w:tc>
                <w:tcPr>
                  <w:tcW w:w="1553" w:type="pct"/>
                  <w:tcBorders>
                    <w:tl2br w:val="nil"/>
                    <w:tr2bl w:val="nil"/>
                  </w:tcBorders>
                  <w:noWrap w:val="0"/>
                  <w:vAlign w:val="center"/>
                </w:tcPr>
                <w:p w14:paraId="707099C7">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Fe</w:t>
                  </w:r>
                </w:p>
              </w:tc>
              <w:tc>
                <w:tcPr>
                  <w:tcW w:w="1494" w:type="pct"/>
                  <w:tcBorders>
                    <w:tl2br w:val="nil"/>
                    <w:tr2bl w:val="nil"/>
                  </w:tcBorders>
                  <w:noWrap w:val="0"/>
                  <w:vAlign w:val="center"/>
                </w:tcPr>
                <w:p w14:paraId="11488619">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10.8698</w:t>
                  </w:r>
                </w:p>
              </w:tc>
            </w:tr>
            <w:tr w14:paraId="110B40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2574C7E1">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84" w:type="pct"/>
                  <w:vMerge w:val="continue"/>
                  <w:tcBorders>
                    <w:tl2br w:val="nil"/>
                    <w:tr2bl w:val="nil"/>
                  </w:tcBorders>
                  <w:noWrap w:val="0"/>
                  <w:vAlign w:val="center"/>
                </w:tcPr>
                <w:p w14:paraId="0CC940ED">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43D71B7B">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Si</w:t>
                  </w:r>
                </w:p>
              </w:tc>
              <w:tc>
                <w:tcPr>
                  <w:tcW w:w="1494" w:type="pct"/>
                  <w:tcBorders>
                    <w:tl2br w:val="nil"/>
                    <w:tr2bl w:val="nil"/>
                  </w:tcBorders>
                  <w:noWrap w:val="0"/>
                  <w:vAlign w:val="center"/>
                </w:tcPr>
                <w:p w14:paraId="31DEA182">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2.9580</w:t>
                  </w:r>
                </w:p>
              </w:tc>
            </w:tr>
            <w:tr w14:paraId="6B588F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74FE47EF">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84" w:type="pct"/>
                  <w:vMerge w:val="continue"/>
                  <w:tcBorders>
                    <w:tl2br w:val="nil"/>
                    <w:tr2bl w:val="nil"/>
                  </w:tcBorders>
                  <w:noWrap w:val="0"/>
                  <w:vAlign w:val="center"/>
                </w:tcPr>
                <w:p w14:paraId="017A5878">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39FC5516">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O</w:t>
                  </w:r>
                </w:p>
              </w:tc>
              <w:tc>
                <w:tcPr>
                  <w:tcW w:w="1494" w:type="pct"/>
                  <w:tcBorders>
                    <w:tl2br w:val="nil"/>
                    <w:tr2bl w:val="nil"/>
                  </w:tcBorders>
                  <w:noWrap w:val="0"/>
                  <w:vAlign w:val="center"/>
                </w:tcPr>
                <w:p w14:paraId="426C86E3">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2.2464</w:t>
                  </w:r>
                </w:p>
              </w:tc>
            </w:tr>
            <w:tr w14:paraId="06B8FE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14018EAC">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284" w:type="pct"/>
                  <w:vMerge w:val="continue"/>
                  <w:tcBorders>
                    <w:tl2br w:val="nil"/>
                    <w:tr2bl w:val="nil"/>
                  </w:tcBorders>
                  <w:noWrap w:val="0"/>
                  <w:vAlign w:val="center"/>
                </w:tcPr>
                <w:p w14:paraId="673C55AD">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11AD64A9">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AL</w:t>
                  </w:r>
                </w:p>
              </w:tc>
              <w:tc>
                <w:tcPr>
                  <w:tcW w:w="1494" w:type="pct"/>
                  <w:tcBorders>
                    <w:tl2br w:val="nil"/>
                    <w:tr2bl w:val="nil"/>
                  </w:tcBorders>
                  <w:noWrap w:val="0"/>
                  <w:vAlign w:val="center"/>
                </w:tcPr>
                <w:p w14:paraId="3100881F">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1.0745</w:t>
                  </w:r>
                </w:p>
              </w:tc>
            </w:tr>
            <w:tr w14:paraId="561DB8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47A5B88C">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284" w:type="pct"/>
                  <w:vMerge w:val="continue"/>
                  <w:tcBorders>
                    <w:tl2br w:val="nil"/>
                    <w:tr2bl w:val="nil"/>
                  </w:tcBorders>
                  <w:noWrap w:val="0"/>
                  <w:vAlign w:val="center"/>
                </w:tcPr>
                <w:p w14:paraId="536D4A1A">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4DB41D62">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Ca</w:t>
                  </w:r>
                </w:p>
              </w:tc>
              <w:tc>
                <w:tcPr>
                  <w:tcW w:w="1494" w:type="pct"/>
                  <w:tcBorders>
                    <w:tl2br w:val="nil"/>
                    <w:tr2bl w:val="nil"/>
                  </w:tcBorders>
                  <w:noWrap w:val="0"/>
                  <w:vAlign w:val="center"/>
                </w:tcPr>
                <w:p w14:paraId="782B7B55">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0.5708</w:t>
                  </w:r>
                </w:p>
              </w:tc>
            </w:tr>
            <w:tr w14:paraId="70BEF2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33113D5F">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1284" w:type="pct"/>
                  <w:vMerge w:val="continue"/>
                  <w:tcBorders>
                    <w:tl2br w:val="nil"/>
                    <w:tr2bl w:val="nil"/>
                  </w:tcBorders>
                  <w:noWrap w:val="0"/>
                  <w:vAlign w:val="center"/>
                </w:tcPr>
                <w:p w14:paraId="43181F92">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0E2DA4EE">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Mg</w:t>
                  </w:r>
                </w:p>
              </w:tc>
              <w:tc>
                <w:tcPr>
                  <w:tcW w:w="1494" w:type="pct"/>
                  <w:tcBorders>
                    <w:tl2br w:val="nil"/>
                    <w:tr2bl w:val="nil"/>
                  </w:tcBorders>
                  <w:noWrap w:val="0"/>
                  <w:vAlign w:val="center"/>
                </w:tcPr>
                <w:p w14:paraId="10C02151">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0.5096</w:t>
                  </w:r>
                </w:p>
              </w:tc>
            </w:tr>
            <w:tr w14:paraId="0F5E2A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2C0E6E2F">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1284" w:type="pct"/>
                  <w:vMerge w:val="continue"/>
                  <w:tcBorders>
                    <w:tl2br w:val="nil"/>
                    <w:tr2bl w:val="nil"/>
                  </w:tcBorders>
                  <w:noWrap w:val="0"/>
                  <w:vAlign w:val="center"/>
                </w:tcPr>
                <w:p w14:paraId="0E40C846">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036A35F8">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Zn</w:t>
                  </w:r>
                </w:p>
              </w:tc>
              <w:tc>
                <w:tcPr>
                  <w:tcW w:w="1494" w:type="pct"/>
                  <w:tcBorders>
                    <w:tl2br w:val="nil"/>
                    <w:tr2bl w:val="nil"/>
                  </w:tcBorders>
                  <w:noWrap w:val="0"/>
                  <w:vAlign w:val="center"/>
                </w:tcPr>
                <w:p w14:paraId="702CEEF8">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0.2060</w:t>
                  </w:r>
                </w:p>
              </w:tc>
            </w:tr>
            <w:tr w14:paraId="3A5A1C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66929DFD">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1284" w:type="pct"/>
                  <w:vMerge w:val="continue"/>
                  <w:tcBorders>
                    <w:tl2br w:val="nil"/>
                    <w:tr2bl w:val="nil"/>
                  </w:tcBorders>
                  <w:noWrap w:val="0"/>
                  <w:vAlign w:val="center"/>
                </w:tcPr>
                <w:p w14:paraId="519D4B28">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7DD71C1B">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Ti</w:t>
                  </w:r>
                </w:p>
              </w:tc>
              <w:tc>
                <w:tcPr>
                  <w:tcW w:w="1494" w:type="pct"/>
                  <w:tcBorders>
                    <w:tl2br w:val="nil"/>
                    <w:tr2bl w:val="nil"/>
                  </w:tcBorders>
                  <w:noWrap w:val="0"/>
                  <w:vAlign w:val="center"/>
                </w:tcPr>
                <w:p w14:paraId="505024E0">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0.1052</w:t>
                  </w:r>
                </w:p>
              </w:tc>
            </w:tr>
            <w:tr w14:paraId="46125F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112E10C6">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1284" w:type="pct"/>
                  <w:vMerge w:val="continue"/>
                  <w:tcBorders>
                    <w:tl2br w:val="nil"/>
                    <w:tr2bl w:val="nil"/>
                  </w:tcBorders>
                  <w:noWrap w:val="0"/>
                  <w:vAlign w:val="center"/>
                </w:tcPr>
                <w:p w14:paraId="1E8B955D">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6304DEEB">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K</w:t>
                  </w:r>
                </w:p>
              </w:tc>
              <w:tc>
                <w:tcPr>
                  <w:tcW w:w="1494" w:type="pct"/>
                  <w:tcBorders>
                    <w:tl2br w:val="nil"/>
                    <w:tr2bl w:val="nil"/>
                  </w:tcBorders>
                  <w:noWrap w:val="0"/>
                  <w:vAlign w:val="center"/>
                </w:tcPr>
                <w:p w14:paraId="26C02352">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0.0644</w:t>
                  </w:r>
                </w:p>
              </w:tc>
            </w:tr>
            <w:tr w14:paraId="2169D9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5B93D1EA">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1284" w:type="pct"/>
                  <w:vMerge w:val="continue"/>
                  <w:tcBorders>
                    <w:tl2br w:val="nil"/>
                    <w:tr2bl w:val="nil"/>
                  </w:tcBorders>
                  <w:noWrap w:val="0"/>
                  <w:vAlign w:val="center"/>
                </w:tcPr>
                <w:p w14:paraId="100F177D">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5563A9DB">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CL</w:t>
                  </w:r>
                </w:p>
              </w:tc>
              <w:tc>
                <w:tcPr>
                  <w:tcW w:w="1494" w:type="pct"/>
                  <w:tcBorders>
                    <w:tl2br w:val="nil"/>
                    <w:tr2bl w:val="nil"/>
                  </w:tcBorders>
                  <w:noWrap w:val="0"/>
                  <w:vAlign w:val="center"/>
                </w:tcPr>
                <w:p w14:paraId="111D202B">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0.0630</w:t>
                  </w:r>
                </w:p>
              </w:tc>
            </w:tr>
            <w:tr w14:paraId="263EE1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27FF5A86">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p>
              </w:tc>
              <w:tc>
                <w:tcPr>
                  <w:tcW w:w="1284" w:type="pct"/>
                  <w:vMerge w:val="continue"/>
                  <w:tcBorders>
                    <w:tl2br w:val="nil"/>
                    <w:tr2bl w:val="nil"/>
                  </w:tcBorders>
                  <w:noWrap w:val="0"/>
                  <w:vAlign w:val="center"/>
                </w:tcPr>
                <w:p w14:paraId="5F687ABA">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4F7FE594">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Ni</w:t>
                  </w:r>
                </w:p>
              </w:tc>
              <w:tc>
                <w:tcPr>
                  <w:tcW w:w="1494" w:type="pct"/>
                  <w:tcBorders>
                    <w:tl2br w:val="nil"/>
                    <w:tr2bl w:val="nil"/>
                  </w:tcBorders>
                  <w:noWrap w:val="0"/>
                  <w:vAlign w:val="center"/>
                </w:tcPr>
                <w:p w14:paraId="3F486E16">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0.0621</w:t>
                  </w:r>
                </w:p>
              </w:tc>
            </w:tr>
            <w:tr w14:paraId="64ABB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5A5C143E">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p>
              </w:tc>
              <w:tc>
                <w:tcPr>
                  <w:tcW w:w="1284" w:type="pct"/>
                  <w:vMerge w:val="continue"/>
                  <w:tcBorders>
                    <w:tl2br w:val="nil"/>
                    <w:tr2bl w:val="nil"/>
                  </w:tcBorders>
                  <w:noWrap w:val="0"/>
                  <w:vAlign w:val="center"/>
                </w:tcPr>
                <w:p w14:paraId="4DB5B86A">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46567B6A">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Cu</w:t>
                  </w:r>
                </w:p>
              </w:tc>
              <w:tc>
                <w:tcPr>
                  <w:tcW w:w="1494" w:type="pct"/>
                  <w:tcBorders>
                    <w:tl2br w:val="nil"/>
                    <w:tr2bl w:val="nil"/>
                  </w:tcBorders>
                  <w:noWrap w:val="0"/>
                  <w:vAlign w:val="center"/>
                </w:tcPr>
                <w:p w14:paraId="5D07637C">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0.0519</w:t>
                  </w:r>
                </w:p>
              </w:tc>
            </w:tr>
            <w:tr w14:paraId="094D7E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53EE624D">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w:t>
                  </w:r>
                </w:p>
              </w:tc>
              <w:tc>
                <w:tcPr>
                  <w:tcW w:w="1284" w:type="pct"/>
                  <w:vMerge w:val="continue"/>
                  <w:tcBorders>
                    <w:tl2br w:val="nil"/>
                    <w:tr2bl w:val="nil"/>
                  </w:tcBorders>
                  <w:noWrap w:val="0"/>
                  <w:vAlign w:val="center"/>
                </w:tcPr>
                <w:p w14:paraId="3CB755D2">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0D86771D">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V</w:t>
                  </w:r>
                </w:p>
              </w:tc>
              <w:tc>
                <w:tcPr>
                  <w:tcW w:w="1494" w:type="pct"/>
                  <w:tcBorders>
                    <w:tl2br w:val="nil"/>
                    <w:tr2bl w:val="nil"/>
                  </w:tcBorders>
                  <w:noWrap w:val="0"/>
                  <w:vAlign w:val="center"/>
                </w:tcPr>
                <w:p w14:paraId="45146805">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0.0451</w:t>
                  </w:r>
                </w:p>
              </w:tc>
            </w:tr>
            <w:tr w14:paraId="48BF6C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03BA5EC8">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w:t>
                  </w:r>
                </w:p>
              </w:tc>
              <w:tc>
                <w:tcPr>
                  <w:tcW w:w="1284" w:type="pct"/>
                  <w:vMerge w:val="continue"/>
                  <w:tcBorders>
                    <w:tl2br w:val="nil"/>
                    <w:tr2bl w:val="nil"/>
                  </w:tcBorders>
                  <w:noWrap w:val="0"/>
                  <w:vAlign w:val="center"/>
                </w:tcPr>
                <w:p w14:paraId="0E1CC61E">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6C9FEAE8">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S</w:t>
                  </w:r>
                </w:p>
              </w:tc>
              <w:tc>
                <w:tcPr>
                  <w:tcW w:w="1494" w:type="pct"/>
                  <w:tcBorders>
                    <w:tl2br w:val="nil"/>
                    <w:tr2bl w:val="nil"/>
                  </w:tcBorders>
                  <w:noWrap w:val="0"/>
                  <w:vAlign w:val="center"/>
                </w:tcPr>
                <w:p w14:paraId="72D6BD07">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0.0335</w:t>
                  </w:r>
                </w:p>
              </w:tc>
            </w:tr>
            <w:tr w14:paraId="3E0D38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67" w:type="pct"/>
                  <w:tcBorders>
                    <w:tl2br w:val="nil"/>
                    <w:tr2bl w:val="nil"/>
                  </w:tcBorders>
                  <w:noWrap w:val="0"/>
                  <w:vAlign w:val="center"/>
                </w:tcPr>
                <w:p w14:paraId="2BB92DBA">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w:t>
                  </w:r>
                </w:p>
              </w:tc>
              <w:tc>
                <w:tcPr>
                  <w:tcW w:w="1284" w:type="pct"/>
                  <w:vMerge w:val="continue"/>
                  <w:tcBorders>
                    <w:tl2br w:val="nil"/>
                    <w:tr2bl w:val="nil"/>
                  </w:tcBorders>
                  <w:noWrap w:val="0"/>
                  <w:vAlign w:val="center"/>
                </w:tcPr>
                <w:p w14:paraId="3CABB5B1">
                  <w:pPr>
                    <w:pStyle w:val="58"/>
                    <w:rPr>
                      <w:rFonts w:hint="eastAsia" w:ascii="宋体" w:hAnsi="宋体" w:eastAsia="宋体" w:cs="宋体"/>
                      <w:color w:val="000000" w:themeColor="text1"/>
                      <w:sz w:val="21"/>
                      <w:szCs w:val="21"/>
                      <w14:textFill>
                        <w14:solidFill>
                          <w14:schemeClr w14:val="tx1"/>
                        </w14:solidFill>
                      </w14:textFill>
                    </w:rPr>
                  </w:pPr>
                </w:p>
              </w:tc>
              <w:tc>
                <w:tcPr>
                  <w:tcW w:w="1553" w:type="pct"/>
                  <w:tcBorders>
                    <w:tl2br w:val="nil"/>
                    <w:tr2bl w:val="nil"/>
                  </w:tcBorders>
                  <w:noWrap w:val="0"/>
                  <w:vAlign w:val="center"/>
                </w:tcPr>
                <w:p w14:paraId="052D2FAE">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P</w:t>
                  </w:r>
                </w:p>
              </w:tc>
              <w:tc>
                <w:tcPr>
                  <w:tcW w:w="1494" w:type="pct"/>
                  <w:tcBorders>
                    <w:tl2br w:val="nil"/>
                    <w:tr2bl w:val="nil"/>
                  </w:tcBorders>
                  <w:noWrap w:val="0"/>
                  <w:vAlign w:val="center"/>
                </w:tcPr>
                <w:p w14:paraId="7ED167D8">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0.0182</w:t>
                  </w:r>
                </w:p>
              </w:tc>
            </w:tr>
          </w:tbl>
          <w:p w14:paraId="684D92F9">
            <w:pPr>
              <w:jc w:val="center"/>
              <w:rPr>
                <w:rFonts w:hint="eastAsia" w:ascii="Times New Roman" w:hAnsi="Times New Roman" w:eastAsia="宋体" w:cs="Times New Roman"/>
                <w:b/>
                <w:bCs/>
                <w:color w:val="000000" w:themeColor="text1"/>
                <w:spacing w:val="6"/>
                <w:sz w:val="21"/>
                <w:szCs w:val="21"/>
                <w14:textFill>
                  <w14:solidFill>
                    <w14:schemeClr w14:val="tx1"/>
                  </w14:solidFill>
                </w14:textFill>
              </w:rPr>
            </w:pPr>
            <w:r>
              <w:rPr>
                <w:rFonts w:hint="eastAsia" w:ascii="Times New Roman" w:hAnsi="Times New Roman" w:eastAsia="宋体" w:cs="Times New Roman"/>
                <w:b/>
                <w:bCs/>
                <w:color w:val="000000" w:themeColor="text1"/>
                <w:spacing w:val="6"/>
                <w:sz w:val="21"/>
                <w:szCs w:val="21"/>
                <w14:textFill>
                  <w14:solidFill>
                    <w14:schemeClr w14:val="tx1"/>
                  </w14:solidFill>
                </w14:textFill>
              </w:rPr>
              <w:t>表2-</w:t>
            </w:r>
            <w:r>
              <w:rPr>
                <w:rFonts w:hint="eastAsia" w:cs="Times New Roman"/>
                <w:b/>
                <w:bCs/>
                <w:color w:val="000000" w:themeColor="text1"/>
                <w:spacing w:val="6"/>
                <w:sz w:val="21"/>
                <w:szCs w:val="21"/>
                <w:lang w:val="en-US" w:eastAsia="zh-CN"/>
                <w14:textFill>
                  <w14:solidFill>
                    <w14:schemeClr w14:val="tx1"/>
                  </w14:solidFill>
                </w14:textFill>
              </w:rPr>
              <w:t>5</w:t>
            </w:r>
            <w:r>
              <w:rPr>
                <w:rFonts w:hint="eastAsia" w:ascii="Times New Roman" w:hAnsi="Times New Roman" w:eastAsia="宋体" w:cs="Times New Roman"/>
                <w:b/>
                <w:bCs/>
                <w:color w:val="000000" w:themeColor="text1"/>
                <w:spacing w:val="6"/>
                <w:sz w:val="21"/>
                <w:szCs w:val="21"/>
                <w14:textFill>
                  <w14:solidFill>
                    <w14:schemeClr w14:val="tx1"/>
                  </w14:solidFill>
                </w14:textFill>
              </w:rPr>
              <w:t xml:space="preserve">   主要原料理化性质和危害特性</w:t>
            </w:r>
          </w:p>
          <w:tbl>
            <w:tblPr>
              <w:tblStyle w:val="22"/>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5"/>
              <w:gridCol w:w="756"/>
              <w:gridCol w:w="733"/>
              <w:gridCol w:w="1411"/>
              <w:gridCol w:w="689"/>
              <w:gridCol w:w="4197"/>
            </w:tblGrid>
            <w:tr w14:paraId="6D337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pct"/>
                  <w:tcBorders>
                    <w:tl2br w:val="nil"/>
                    <w:tr2bl w:val="nil"/>
                  </w:tcBorders>
                  <w:noWrap w:val="0"/>
                  <w:vAlign w:val="center"/>
                </w:tcPr>
                <w:p w14:paraId="40C4FD95">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名称</w:t>
                  </w:r>
                </w:p>
              </w:tc>
              <w:tc>
                <w:tcPr>
                  <w:tcW w:w="447" w:type="pct"/>
                  <w:tcBorders>
                    <w:tl2br w:val="nil"/>
                    <w:tr2bl w:val="nil"/>
                  </w:tcBorders>
                  <w:noWrap w:val="0"/>
                  <w:vAlign w:val="center"/>
                </w:tcPr>
                <w:p w14:paraId="5EB18232">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分子式及</w:t>
                  </w:r>
                </w:p>
                <w:p w14:paraId="70DF7E75">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分子量</w:t>
                  </w:r>
                </w:p>
              </w:tc>
              <w:tc>
                <w:tcPr>
                  <w:tcW w:w="434" w:type="pct"/>
                  <w:tcBorders>
                    <w:tl2br w:val="nil"/>
                    <w:tr2bl w:val="nil"/>
                  </w:tcBorders>
                  <w:noWrap w:val="0"/>
                  <w:vAlign w:val="center"/>
                </w:tcPr>
                <w:p w14:paraId="1639A1A5">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熔点</w:t>
                  </w:r>
                </w:p>
                <w:p w14:paraId="7571013C">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w:t>
                  </w:r>
                </w:p>
              </w:tc>
              <w:tc>
                <w:tcPr>
                  <w:tcW w:w="835" w:type="pct"/>
                  <w:tcBorders>
                    <w:tl2br w:val="nil"/>
                    <w:tr2bl w:val="nil"/>
                  </w:tcBorders>
                  <w:noWrap w:val="0"/>
                  <w:vAlign w:val="center"/>
                </w:tcPr>
                <w:p w14:paraId="4F37099C">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沸点</w:t>
                  </w:r>
                </w:p>
                <w:p w14:paraId="3F656526">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w:t>
                  </w:r>
                </w:p>
              </w:tc>
              <w:tc>
                <w:tcPr>
                  <w:tcW w:w="408" w:type="pct"/>
                  <w:tcBorders>
                    <w:tl2br w:val="nil"/>
                    <w:tr2bl w:val="nil"/>
                  </w:tcBorders>
                  <w:noWrap w:val="0"/>
                  <w:vAlign w:val="center"/>
                </w:tcPr>
                <w:p w14:paraId="1E1ACCBD">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闪点</w:t>
                  </w:r>
                </w:p>
                <w:p w14:paraId="7DC67D7C">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w:t>
                  </w:r>
                </w:p>
              </w:tc>
              <w:tc>
                <w:tcPr>
                  <w:tcW w:w="2486" w:type="pct"/>
                  <w:tcBorders>
                    <w:tl2br w:val="nil"/>
                    <w:tr2bl w:val="nil"/>
                  </w:tcBorders>
                  <w:noWrap w:val="0"/>
                  <w:vAlign w:val="center"/>
                </w:tcPr>
                <w:p w14:paraId="0FD97CCC">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理化性质</w:t>
                  </w:r>
                </w:p>
              </w:tc>
            </w:tr>
            <w:tr w14:paraId="7D2AD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pct"/>
                  <w:tcBorders>
                    <w:tl2br w:val="nil"/>
                    <w:tr2bl w:val="nil"/>
                  </w:tcBorders>
                  <w:noWrap w:val="0"/>
                  <w:vAlign w:val="center"/>
                </w:tcPr>
                <w:p w14:paraId="078807F7">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硫酸</w:t>
                  </w:r>
                </w:p>
              </w:tc>
              <w:tc>
                <w:tcPr>
                  <w:tcW w:w="447" w:type="pct"/>
                  <w:tcBorders>
                    <w:tl2br w:val="nil"/>
                    <w:tr2bl w:val="nil"/>
                  </w:tcBorders>
                  <w:noWrap w:val="0"/>
                  <w:vAlign w:val="center"/>
                </w:tcPr>
                <w:p w14:paraId="3B881881">
                  <w:pPr>
                    <w:pStyle w:val="57"/>
                    <w:jc w:val="both"/>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H</w:t>
                  </w:r>
                  <w:r>
                    <w:rPr>
                      <w:rFonts w:hint="eastAsia" w:ascii="宋体" w:hAnsi="宋体" w:eastAsia="宋体" w:cs="宋体"/>
                      <w:color w:val="000000" w:themeColor="text1"/>
                      <w:spacing w:val="-11"/>
                      <w:sz w:val="18"/>
                      <w:szCs w:val="18"/>
                      <w:vertAlign w:val="subscript"/>
                      <w14:textFill>
                        <w14:solidFill>
                          <w14:schemeClr w14:val="tx1"/>
                        </w14:solidFill>
                      </w14:textFill>
                    </w:rPr>
                    <w:t>2</w:t>
                  </w:r>
                  <w:r>
                    <w:rPr>
                      <w:rFonts w:hint="eastAsia" w:ascii="宋体" w:hAnsi="宋体" w:eastAsia="宋体" w:cs="宋体"/>
                      <w:color w:val="000000" w:themeColor="text1"/>
                      <w:spacing w:val="-11"/>
                      <w:sz w:val="18"/>
                      <w:szCs w:val="18"/>
                      <w14:textFill>
                        <w14:solidFill>
                          <w14:schemeClr w14:val="tx1"/>
                        </w14:solidFill>
                      </w14:textFill>
                    </w:rPr>
                    <w:t>SO</w:t>
                  </w:r>
                  <w:r>
                    <w:rPr>
                      <w:rFonts w:hint="eastAsia" w:ascii="宋体" w:hAnsi="宋体" w:eastAsia="宋体" w:cs="宋体"/>
                      <w:color w:val="000000" w:themeColor="text1"/>
                      <w:spacing w:val="-11"/>
                      <w:sz w:val="18"/>
                      <w:szCs w:val="18"/>
                      <w:vertAlign w:val="subscript"/>
                      <w14:textFill>
                        <w14:solidFill>
                          <w14:schemeClr w14:val="tx1"/>
                        </w14:solidFill>
                      </w14:textFill>
                    </w:rPr>
                    <w:t>4</w:t>
                  </w:r>
                </w:p>
                <w:p w14:paraId="14DEBD6A">
                  <w:pPr>
                    <w:pStyle w:val="57"/>
                    <w:jc w:val="both"/>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98.08</w:t>
                  </w:r>
                </w:p>
              </w:tc>
              <w:tc>
                <w:tcPr>
                  <w:tcW w:w="434" w:type="pct"/>
                  <w:tcBorders>
                    <w:tl2br w:val="nil"/>
                    <w:tr2bl w:val="nil"/>
                  </w:tcBorders>
                  <w:noWrap w:val="0"/>
                  <w:vAlign w:val="center"/>
                </w:tcPr>
                <w:p w14:paraId="2B5484EA">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10.5</w:t>
                  </w:r>
                </w:p>
              </w:tc>
              <w:tc>
                <w:tcPr>
                  <w:tcW w:w="835" w:type="pct"/>
                  <w:tcBorders>
                    <w:tl2br w:val="nil"/>
                    <w:tr2bl w:val="nil"/>
                  </w:tcBorders>
                  <w:noWrap w:val="0"/>
                  <w:vAlign w:val="center"/>
                </w:tcPr>
                <w:p w14:paraId="7919AC83">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330</w:t>
                  </w:r>
                </w:p>
                <w:p w14:paraId="19BE9215">
                  <w:pPr>
                    <w:pStyle w:val="57"/>
                    <w:jc w:val="both"/>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（1013.25kpa）</w:t>
                  </w:r>
                </w:p>
              </w:tc>
              <w:tc>
                <w:tcPr>
                  <w:tcW w:w="408" w:type="pct"/>
                  <w:tcBorders>
                    <w:tl2br w:val="nil"/>
                    <w:tr2bl w:val="nil"/>
                  </w:tcBorders>
                  <w:noWrap w:val="0"/>
                  <w:vAlign w:val="center"/>
                </w:tcPr>
                <w:p w14:paraId="44E376B1">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w:t>
                  </w:r>
                </w:p>
              </w:tc>
              <w:tc>
                <w:tcPr>
                  <w:tcW w:w="2486" w:type="pct"/>
                  <w:tcBorders>
                    <w:tl2br w:val="nil"/>
                    <w:tr2bl w:val="nil"/>
                  </w:tcBorders>
                  <w:noWrap w:val="0"/>
                  <w:vAlign w:val="center"/>
                </w:tcPr>
                <w:p w14:paraId="13514DDD">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无色透明油状液体，无臭。与易燃物和有机物接触会发生剧烈反应，能腐蚀绝大多数金属和塑料、橡胶及涂料。</w:t>
                  </w:r>
                </w:p>
              </w:tc>
            </w:tr>
            <w:tr w14:paraId="48737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pct"/>
                  <w:tcBorders>
                    <w:tl2br w:val="nil"/>
                    <w:tr2bl w:val="nil"/>
                  </w:tcBorders>
                  <w:noWrap w:val="0"/>
                  <w:vAlign w:val="center"/>
                </w:tcPr>
                <w:p w14:paraId="2C22991C">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双氧水</w:t>
                  </w:r>
                </w:p>
              </w:tc>
              <w:tc>
                <w:tcPr>
                  <w:tcW w:w="447" w:type="pct"/>
                  <w:tcBorders>
                    <w:tl2br w:val="nil"/>
                    <w:tr2bl w:val="nil"/>
                  </w:tcBorders>
                  <w:noWrap w:val="0"/>
                  <w:vAlign w:val="center"/>
                </w:tcPr>
                <w:p w14:paraId="15E8C860">
                  <w:pPr>
                    <w:pStyle w:val="57"/>
                    <w:jc w:val="both"/>
                    <w:rPr>
                      <w:rFonts w:hint="eastAsia" w:ascii="宋体" w:hAnsi="宋体" w:eastAsia="宋体" w:cs="宋体"/>
                      <w:color w:val="000000" w:themeColor="text1"/>
                      <w:spacing w:val="-11"/>
                      <w:sz w:val="18"/>
                      <w:szCs w:val="18"/>
                      <w:vertAlign w:val="subscript"/>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H</w:t>
                  </w:r>
                  <w:r>
                    <w:rPr>
                      <w:rFonts w:hint="eastAsia" w:ascii="宋体" w:hAnsi="宋体" w:eastAsia="宋体" w:cs="宋体"/>
                      <w:color w:val="000000" w:themeColor="text1"/>
                      <w:spacing w:val="-11"/>
                      <w:sz w:val="18"/>
                      <w:szCs w:val="18"/>
                      <w:vertAlign w:val="subscript"/>
                      <w14:textFill>
                        <w14:solidFill>
                          <w14:schemeClr w14:val="tx1"/>
                        </w14:solidFill>
                      </w14:textFill>
                    </w:rPr>
                    <w:t>2</w:t>
                  </w:r>
                  <w:r>
                    <w:rPr>
                      <w:rFonts w:hint="eastAsia" w:ascii="宋体" w:hAnsi="宋体" w:eastAsia="宋体" w:cs="宋体"/>
                      <w:color w:val="000000" w:themeColor="text1"/>
                      <w:spacing w:val="-11"/>
                      <w:sz w:val="18"/>
                      <w:szCs w:val="18"/>
                      <w14:textFill>
                        <w14:solidFill>
                          <w14:schemeClr w14:val="tx1"/>
                        </w14:solidFill>
                      </w14:textFill>
                    </w:rPr>
                    <w:t>O</w:t>
                  </w:r>
                  <w:r>
                    <w:rPr>
                      <w:rFonts w:hint="eastAsia" w:ascii="宋体" w:hAnsi="宋体" w:eastAsia="宋体" w:cs="宋体"/>
                      <w:color w:val="000000" w:themeColor="text1"/>
                      <w:spacing w:val="-11"/>
                      <w:sz w:val="18"/>
                      <w:szCs w:val="18"/>
                      <w:vertAlign w:val="subscript"/>
                      <w14:textFill>
                        <w14:solidFill>
                          <w14:schemeClr w14:val="tx1"/>
                        </w14:solidFill>
                      </w14:textFill>
                    </w:rPr>
                    <w:t>2</w:t>
                  </w:r>
                </w:p>
                <w:p w14:paraId="11EE10B9">
                  <w:pPr>
                    <w:pStyle w:val="57"/>
                    <w:jc w:val="both"/>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34.01</w:t>
                  </w:r>
                </w:p>
              </w:tc>
              <w:tc>
                <w:tcPr>
                  <w:tcW w:w="434" w:type="pct"/>
                  <w:tcBorders>
                    <w:tl2br w:val="nil"/>
                    <w:tr2bl w:val="nil"/>
                  </w:tcBorders>
                  <w:noWrap w:val="0"/>
                  <w:vAlign w:val="center"/>
                </w:tcPr>
                <w:p w14:paraId="3874F601">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-0.4</w:t>
                  </w:r>
                </w:p>
              </w:tc>
              <w:tc>
                <w:tcPr>
                  <w:tcW w:w="835" w:type="pct"/>
                  <w:tcBorders>
                    <w:tl2br w:val="nil"/>
                    <w:tr2bl w:val="nil"/>
                  </w:tcBorders>
                  <w:noWrap w:val="0"/>
                  <w:vAlign w:val="center"/>
                </w:tcPr>
                <w:p w14:paraId="2A293630">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150.2</w:t>
                  </w:r>
                </w:p>
              </w:tc>
              <w:tc>
                <w:tcPr>
                  <w:tcW w:w="408" w:type="pct"/>
                  <w:tcBorders>
                    <w:tl2br w:val="nil"/>
                    <w:tr2bl w:val="nil"/>
                  </w:tcBorders>
                  <w:noWrap w:val="0"/>
                  <w:vAlign w:val="center"/>
                </w:tcPr>
                <w:p w14:paraId="044AA4F4">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w:t>
                  </w:r>
                </w:p>
              </w:tc>
              <w:tc>
                <w:tcPr>
                  <w:tcW w:w="2486" w:type="pct"/>
                  <w:tcBorders>
                    <w:tl2br w:val="nil"/>
                    <w:tr2bl w:val="nil"/>
                  </w:tcBorders>
                  <w:noWrap w:val="0"/>
                  <w:vAlign w:val="center"/>
                </w:tcPr>
                <w:p w14:paraId="687D1A1A">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无色透明液体，有微弱的特殊气味。助燃，爆炸性强氧化剂，本身不燃，但能与可燃物反应放出大量热量和氧气而引起爆炸。</w:t>
                  </w:r>
                </w:p>
              </w:tc>
            </w:tr>
            <w:tr w14:paraId="5BD13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pct"/>
                  <w:tcBorders>
                    <w:tl2br w:val="nil"/>
                    <w:tr2bl w:val="nil"/>
                  </w:tcBorders>
                  <w:noWrap w:val="0"/>
                  <w:vAlign w:val="center"/>
                </w:tcPr>
                <w:p w14:paraId="261E40D2">
                  <w:pPr>
                    <w:widowControl/>
                    <w:adjustRightInd w:val="0"/>
                    <w:snapToGrid w:val="0"/>
                    <w:jc w:val="center"/>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氢氧</w:t>
                  </w:r>
                </w:p>
                <w:p w14:paraId="767A3929">
                  <w:pPr>
                    <w:widowControl/>
                    <w:adjustRightInd w:val="0"/>
                    <w:snapToGrid w:val="0"/>
                    <w:jc w:val="center"/>
                    <w:rPr>
                      <w:rFonts w:hint="eastAsia" w:ascii="宋体" w:hAnsi="宋体" w:eastAsia="宋体" w:cs="宋体"/>
                      <w:color w:val="000000" w:themeColor="text1"/>
                      <w:spacing w:val="-11"/>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化钠</w:t>
                  </w:r>
                </w:p>
              </w:tc>
              <w:tc>
                <w:tcPr>
                  <w:tcW w:w="447" w:type="pct"/>
                  <w:tcBorders>
                    <w:tl2br w:val="nil"/>
                    <w:tr2bl w:val="nil"/>
                  </w:tcBorders>
                  <w:noWrap w:val="0"/>
                  <w:vAlign w:val="center"/>
                </w:tcPr>
                <w:p w14:paraId="39D7DB24">
                  <w:pPr>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NaOH</w:t>
                  </w:r>
                </w:p>
                <w:p w14:paraId="11A1FCFF">
                  <w:pPr>
                    <w:rPr>
                      <w:rFonts w:hint="eastAsia" w:ascii="宋体" w:hAnsi="宋体" w:eastAsia="宋体" w:cs="宋体"/>
                      <w:bCs/>
                      <w:color w:val="000000" w:themeColor="text1"/>
                      <w:spacing w:val="-11"/>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40.01</w:t>
                  </w:r>
                </w:p>
              </w:tc>
              <w:tc>
                <w:tcPr>
                  <w:tcW w:w="434" w:type="pct"/>
                  <w:tcBorders>
                    <w:tl2br w:val="nil"/>
                    <w:tr2bl w:val="nil"/>
                  </w:tcBorders>
                  <w:noWrap w:val="0"/>
                  <w:vAlign w:val="center"/>
                </w:tcPr>
                <w:p w14:paraId="4B00A6D9">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318.4℃</w:t>
                  </w:r>
                </w:p>
              </w:tc>
              <w:tc>
                <w:tcPr>
                  <w:tcW w:w="835" w:type="pct"/>
                  <w:tcBorders>
                    <w:tl2br w:val="nil"/>
                    <w:tr2bl w:val="nil"/>
                  </w:tcBorders>
                  <w:noWrap w:val="0"/>
                  <w:vAlign w:val="center"/>
                </w:tcPr>
                <w:p w14:paraId="28EB2B3B">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1390℃</w:t>
                  </w:r>
                </w:p>
              </w:tc>
              <w:tc>
                <w:tcPr>
                  <w:tcW w:w="408" w:type="pct"/>
                  <w:tcBorders>
                    <w:tl2br w:val="nil"/>
                    <w:tr2bl w:val="nil"/>
                  </w:tcBorders>
                  <w:noWrap w:val="0"/>
                  <w:vAlign w:val="center"/>
                </w:tcPr>
                <w:p w14:paraId="03A75A67">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w:t>
                  </w:r>
                </w:p>
              </w:tc>
              <w:tc>
                <w:tcPr>
                  <w:tcW w:w="2486" w:type="pct"/>
                  <w:tcBorders>
                    <w:tl2br w:val="nil"/>
                    <w:tr2bl w:val="nil"/>
                  </w:tcBorders>
                  <w:noWrap w:val="0"/>
                  <w:vAlign w:val="center"/>
                </w:tcPr>
                <w:p w14:paraId="7A0D9DD2">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外观为白色不透明固体，易潮解</w:t>
                  </w:r>
                  <w:r>
                    <w:rPr>
                      <w:rFonts w:hint="eastAsia" w:ascii="宋体" w:hAnsi="宋体" w:eastAsia="宋体" w:cs="宋体"/>
                      <w:color w:val="000000" w:themeColor="text1"/>
                      <w:spacing w:val="-11"/>
                      <w:sz w:val="18"/>
                      <w:szCs w:val="18"/>
                      <w:lang w:eastAsia="zh-CN"/>
                      <w14:textFill>
                        <w14:solidFill>
                          <w14:schemeClr w14:val="tx1"/>
                        </w14:solidFill>
                      </w14:textFill>
                    </w:rPr>
                    <w:t>，</w:t>
                  </w:r>
                  <w:r>
                    <w:rPr>
                      <w:rFonts w:hint="eastAsia" w:ascii="宋体" w:hAnsi="宋体" w:eastAsia="宋体" w:cs="宋体"/>
                      <w:color w:val="000000" w:themeColor="text1"/>
                      <w:spacing w:val="-11"/>
                      <w:sz w:val="18"/>
                      <w:szCs w:val="18"/>
                      <w14:textFill>
                        <w14:solidFill>
                          <w14:schemeClr w14:val="tx1"/>
                        </w14:solidFill>
                      </w14:textFill>
                    </w:rPr>
                    <w:t>相对密度（水=1）为2.12；溶解性：易溶于水、乙醇、甘油，不溶于丙酮。</w:t>
                  </w:r>
                </w:p>
              </w:tc>
            </w:tr>
            <w:tr w14:paraId="2EB26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pct"/>
                  <w:tcBorders>
                    <w:tl2br w:val="nil"/>
                    <w:tr2bl w:val="nil"/>
                  </w:tcBorders>
                  <w:noWrap w:val="0"/>
                  <w:vAlign w:val="center"/>
                </w:tcPr>
                <w:p w14:paraId="7D33CA75">
                  <w:pPr>
                    <w:widowControl/>
                    <w:adjustRightInd w:val="0"/>
                    <w:snapToGrid w:val="0"/>
                    <w:jc w:val="center"/>
                    <w:rPr>
                      <w:rFonts w:hint="eastAsia" w:ascii="宋体" w:hAnsi="宋体" w:eastAsia="宋体" w:cs="宋体"/>
                      <w:color w:val="000000" w:themeColor="text1"/>
                      <w:spacing w:val="-11"/>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天然气</w:t>
                  </w:r>
                </w:p>
              </w:tc>
              <w:tc>
                <w:tcPr>
                  <w:tcW w:w="447" w:type="pct"/>
                  <w:tcBorders>
                    <w:tl2br w:val="nil"/>
                    <w:tr2bl w:val="nil"/>
                  </w:tcBorders>
                  <w:noWrap w:val="0"/>
                  <w:vAlign w:val="center"/>
                </w:tcPr>
                <w:p w14:paraId="2C5E0BD9">
                  <w:pPr>
                    <w:rPr>
                      <w:rFonts w:hint="eastAsia" w:ascii="宋体" w:hAnsi="宋体" w:eastAsia="宋体" w:cs="宋体"/>
                      <w:bCs/>
                      <w:color w:val="000000" w:themeColor="text1"/>
                      <w:spacing w:val="-11"/>
                      <w:sz w:val="18"/>
                      <w:szCs w:val="18"/>
                      <w:vertAlign w:val="subscript"/>
                      <w:lang w:val="en-US" w:eastAsia="zh-CN"/>
                      <w14:textFill>
                        <w14:solidFill>
                          <w14:schemeClr w14:val="tx1"/>
                        </w14:solidFill>
                      </w14:textFill>
                    </w:rPr>
                  </w:pPr>
                  <w:r>
                    <w:rPr>
                      <w:rFonts w:hint="eastAsia" w:ascii="宋体" w:hAnsi="宋体" w:eastAsia="宋体" w:cs="宋体"/>
                      <w:bCs/>
                      <w:color w:val="000000" w:themeColor="text1"/>
                      <w:spacing w:val="-11"/>
                      <w:sz w:val="18"/>
                      <w:szCs w:val="18"/>
                      <w:lang w:val="en-US" w:eastAsia="zh-CN"/>
                      <w14:textFill>
                        <w14:solidFill>
                          <w14:schemeClr w14:val="tx1"/>
                        </w14:solidFill>
                      </w14:textFill>
                    </w:rPr>
                    <w:t>CH</w:t>
                  </w:r>
                  <w:r>
                    <w:rPr>
                      <w:rFonts w:hint="eastAsia" w:ascii="宋体" w:hAnsi="宋体" w:eastAsia="宋体" w:cs="宋体"/>
                      <w:bCs/>
                      <w:color w:val="000000" w:themeColor="text1"/>
                      <w:spacing w:val="-11"/>
                      <w:sz w:val="18"/>
                      <w:szCs w:val="18"/>
                      <w:vertAlign w:val="subscript"/>
                      <w:lang w:val="en-US" w:eastAsia="zh-CN"/>
                      <w14:textFill>
                        <w14:solidFill>
                          <w14:schemeClr w14:val="tx1"/>
                        </w14:solidFill>
                      </w14:textFill>
                    </w:rPr>
                    <w:t>4</w:t>
                  </w:r>
                </w:p>
                <w:p w14:paraId="20A5CDDE">
                  <w:pPr>
                    <w:rPr>
                      <w:rFonts w:hint="eastAsia" w:ascii="宋体" w:hAnsi="宋体" w:eastAsia="宋体" w:cs="宋体"/>
                      <w:bCs/>
                      <w:color w:val="000000" w:themeColor="text1"/>
                      <w:spacing w:val="-1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pacing w:val="-11"/>
                      <w:sz w:val="18"/>
                      <w:szCs w:val="18"/>
                      <w14:textFill>
                        <w14:solidFill>
                          <w14:schemeClr w14:val="tx1"/>
                        </w14:solidFill>
                      </w14:textFill>
                    </w:rPr>
                    <w:t>16.04</w:t>
                  </w:r>
                </w:p>
              </w:tc>
              <w:tc>
                <w:tcPr>
                  <w:tcW w:w="434" w:type="pct"/>
                  <w:tcBorders>
                    <w:tl2br w:val="nil"/>
                    <w:tr2bl w:val="nil"/>
                  </w:tcBorders>
                  <w:noWrap w:val="0"/>
                  <w:vAlign w:val="center"/>
                </w:tcPr>
                <w:p w14:paraId="41A12C15">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bCs/>
                      <w:color w:val="000000" w:themeColor="text1"/>
                      <w:spacing w:val="-11"/>
                      <w:sz w:val="18"/>
                      <w:szCs w:val="18"/>
                      <w14:textFill>
                        <w14:solidFill>
                          <w14:schemeClr w14:val="tx1"/>
                        </w14:solidFill>
                      </w14:textFill>
                    </w:rPr>
                    <w:t>-182.5℃</w:t>
                  </w:r>
                </w:p>
              </w:tc>
              <w:tc>
                <w:tcPr>
                  <w:tcW w:w="835" w:type="pct"/>
                  <w:tcBorders>
                    <w:tl2br w:val="nil"/>
                    <w:tr2bl w:val="nil"/>
                  </w:tcBorders>
                  <w:noWrap w:val="0"/>
                  <w:vAlign w:val="center"/>
                </w:tcPr>
                <w:p w14:paraId="6909001F">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bCs/>
                      <w:color w:val="000000" w:themeColor="text1"/>
                      <w:spacing w:val="-11"/>
                      <w:sz w:val="18"/>
                      <w:szCs w:val="18"/>
                      <w14:textFill>
                        <w14:solidFill>
                          <w14:schemeClr w14:val="tx1"/>
                        </w14:solidFill>
                      </w14:textFill>
                    </w:rPr>
                    <w:t>-161.5℃</w:t>
                  </w:r>
                </w:p>
              </w:tc>
              <w:tc>
                <w:tcPr>
                  <w:tcW w:w="408" w:type="pct"/>
                  <w:tcBorders>
                    <w:tl2br w:val="nil"/>
                    <w:tr2bl w:val="nil"/>
                  </w:tcBorders>
                  <w:noWrap w:val="0"/>
                  <w:vAlign w:val="center"/>
                </w:tcPr>
                <w:p w14:paraId="7CD03E7A">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bCs/>
                      <w:color w:val="000000" w:themeColor="text1"/>
                      <w:spacing w:val="-11"/>
                      <w:sz w:val="18"/>
                      <w:szCs w:val="18"/>
                      <w14:textFill>
                        <w14:solidFill>
                          <w14:schemeClr w14:val="tx1"/>
                        </w14:solidFill>
                      </w14:textFill>
                    </w:rPr>
                    <w:t>-188℃</w:t>
                  </w:r>
                </w:p>
              </w:tc>
              <w:tc>
                <w:tcPr>
                  <w:tcW w:w="2486" w:type="pct"/>
                  <w:tcBorders>
                    <w:tl2br w:val="nil"/>
                    <w:tr2bl w:val="nil"/>
                  </w:tcBorders>
                  <w:noWrap w:val="0"/>
                  <w:vAlign w:val="center"/>
                </w:tcPr>
                <w:p w14:paraId="36B03AEE">
                  <w:pPr>
                    <w:pStyle w:val="57"/>
                    <w:rPr>
                      <w:rFonts w:hint="eastAsia" w:ascii="宋体" w:hAnsi="宋体" w:eastAsia="宋体" w:cs="宋体"/>
                      <w:color w:val="000000" w:themeColor="text1"/>
                      <w:spacing w:val="-11"/>
                      <w:sz w:val="18"/>
                      <w:szCs w:val="18"/>
                      <w14:textFill>
                        <w14:solidFill>
                          <w14:schemeClr w14:val="tx1"/>
                        </w14:solidFill>
                      </w14:textFill>
                    </w:rPr>
                  </w:pPr>
                  <w:r>
                    <w:rPr>
                      <w:rFonts w:hint="eastAsia" w:ascii="宋体" w:hAnsi="宋体" w:eastAsia="宋体" w:cs="宋体"/>
                      <w:bCs/>
                      <w:color w:val="000000" w:themeColor="text1"/>
                      <w:spacing w:val="-11"/>
                      <w:sz w:val="18"/>
                      <w:szCs w:val="18"/>
                      <w14:textFill>
                        <w14:solidFill>
                          <w14:schemeClr w14:val="tx1"/>
                        </w14:solidFill>
                      </w14:textFill>
                    </w:rPr>
                    <w:t>外观与性状：无色无臭气体；爆炸</w:t>
                  </w:r>
                  <w:r>
                    <w:rPr>
                      <w:rFonts w:hint="eastAsia" w:ascii="宋体" w:hAnsi="宋体" w:cs="宋体"/>
                      <w:bCs/>
                      <w:color w:val="000000" w:themeColor="text1"/>
                      <w:spacing w:val="-11"/>
                      <w:sz w:val="18"/>
                      <w:szCs w:val="18"/>
                      <w:lang w:eastAsia="zh-CN"/>
                      <w14:textFill>
                        <w14:solidFill>
                          <w14:schemeClr w14:val="tx1"/>
                        </w14:solidFill>
                      </w14:textFill>
                    </w:rPr>
                    <w:t>限值</w:t>
                  </w:r>
                  <w:r>
                    <w:rPr>
                      <w:rFonts w:hint="eastAsia" w:ascii="宋体" w:hAnsi="宋体" w:eastAsia="宋体" w:cs="宋体"/>
                      <w:bCs/>
                      <w:color w:val="000000" w:themeColor="text1"/>
                      <w:spacing w:val="-11"/>
                      <w:sz w:val="18"/>
                      <w:szCs w:val="18"/>
                      <w14:textFill>
                        <w14:solidFill>
                          <w14:schemeClr w14:val="tx1"/>
                        </w14:solidFill>
                      </w14:textFill>
                    </w:rPr>
                    <w:t>：5.3~15%（V/V）；溶解性：微溶于水，溶于醇、乙醚。主要用途：用作燃料和用于炭黑、氢、乙炔、甲醛等的制造。与空气混合能形成爆炸性混合物，遇热源和明火有燃烧爆炸的危险。与五氧化溴、氯气、次氯酸、三氟化氮、液氧、二氟化氧</w:t>
                  </w:r>
                  <w:r>
                    <w:rPr>
                      <w:rFonts w:hint="eastAsia" w:ascii="宋体" w:hAnsi="宋体" w:cs="宋体"/>
                      <w:bCs/>
                      <w:color w:val="000000" w:themeColor="text1"/>
                      <w:spacing w:val="-11"/>
                      <w:sz w:val="18"/>
                      <w:szCs w:val="18"/>
                      <w:lang w:eastAsia="zh-CN"/>
                      <w14:textFill>
                        <w14:solidFill>
                          <w14:schemeClr w14:val="tx1"/>
                        </w14:solidFill>
                      </w14:textFill>
                    </w:rPr>
                    <w:t>及其他</w:t>
                  </w:r>
                  <w:r>
                    <w:rPr>
                      <w:rFonts w:hint="eastAsia" w:ascii="宋体" w:hAnsi="宋体" w:eastAsia="宋体" w:cs="宋体"/>
                      <w:bCs/>
                      <w:color w:val="000000" w:themeColor="text1"/>
                      <w:spacing w:val="-11"/>
                      <w:sz w:val="18"/>
                      <w:szCs w:val="18"/>
                      <w14:textFill>
                        <w14:solidFill>
                          <w14:schemeClr w14:val="tx1"/>
                        </w14:solidFill>
                      </w14:textFill>
                    </w:rPr>
                    <w:t>强氧化剂接触剧烈反应。有害燃烧产物：一氧化碳、二氧化碳。</w:t>
                  </w:r>
                </w:p>
              </w:tc>
            </w:tr>
            <w:tr w14:paraId="4AC84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7" w:type="pct"/>
                  <w:tcBorders>
                    <w:tl2br w:val="nil"/>
                    <w:tr2bl w:val="nil"/>
                  </w:tcBorders>
                  <w:noWrap w:val="0"/>
                  <w:vAlign w:val="center"/>
                </w:tcPr>
                <w:p w14:paraId="1794A4B9">
                  <w:pPr>
                    <w:widowControl/>
                    <w:adjustRightInd w:val="0"/>
                    <w:snapToGrid w:val="0"/>
                    <w:jc w:val="center"/>
                    <w:rPr>
                      <w:rFonts w:hint="eastAsia" w:ascii="宋体" w:hAnsi="宋体" w:eastAsia="宋体" w:cs="宋体"/>
                      <w:color w:val="000000" w:themeColor="text1"/>
                      <w:spacing w:val="-11"/>
                      <w:sz w:val="18"/>
                      <w:szCs w:val="18"/>
                      <w:lang w:val="en-US" w:eastAsia="zh-CN"/>
                      <w14:textFill>
                        <w14:solidFill>
                          <w14:schemeClr w14:val="tx1"/>
                        </w14:solidFill>
                      </w14:textFill>
                    </w:rPr>
                  </w:pPr>
                  <w:r>
                    <w:rPr>
                      <w:rFonts w:hint="eastAsia" w:ascii="宋体" w:hAnsi="宋体" w:eastAsia="宋体" w:cs="宋体"/>
                      <w:color w:val="000000" w:themeColor="text1"/>
                      <w:spacing w:val="-11"/>
                      <w:sz w:val="18"/>
                      <w:szCs w:val="18"/>
                      <w:lang w:val="en-US" w:eastAsia="zh-CN"/>
                      <w14:textFill>
                        <w14:solidFill>
                          <w14:schemeClr w14:val="tx1"/>
                        </w14:solidFill>
                      </w14:textFill>
                    </w:rPr>
                    <w:t>导热油</w:t>
                  </w:r>
                </w:p>
              </w:tc>
              <w:tc>
                <w:tcPr>
                  <w:tcW w:w="447" w:type="pct"/>
                  <w:tcBorders>
                    <w:tl2br w:val="nil"/>
                    <w:tr2bl w:val="nil"/>
                  </w:tcBorders>
                  <w:noWrap w:val="0"/>
                  <w:vAlign w:val="center"/>
                </w:tcPr>
                <w:p w14:paraId="57B46675">
                  <w:pPr>
                    <w:rPr>
                      <w:rFonts w:hint="eastAsia" w:ascii="宋体" w:hAnsi="宋体" w:eastAsia="宋体" w:cs="宋体"/>
                      <w:bCs/>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w:t>
                  </w:r>
                </w:p>
              </w:tc>
              <w:tc>
                <w:tcPr>
                  <w:tcW w:w="434" w:type="pct"/>
                  <w:tcBorders>
                    <w:tl2br w:val="nil"/>
                    <w:tr2bl w:val="nil"/>
                  </w:tcBorders>
                  <w:noWrap w:val="0"/>
                  <w:vAlign w:val="center"/>
                </w:tcPr>
                <w:p w14:paraId="25DA540B">
                  <w:pPr>
                    <w:pStyle w:val="57"/>
                    <w:rPr>
                      <w:rFonts w:hint="eastAsia" w:ascii="宋体" w:hAnsi="宋体" w:eastAsia="宋体" w:cs="宋体"/>
                      <w:bCs/>
                      <w:color w:val="000000" w:themeColor="text1"/>
                      <w:spacing w:val="-11"/>
                      <w:sz w:val="18"/>
                      <w:szCs w:val="18"/>
                      <w14:textFill>
                        <w14:solidFill>
                          <w14:schemeClr w14:val="tx1"/>
                        </w14:solidFill>
                      </w14:textFill>
                    </w:rPr>
                  </w:pPr>
                  <w:r>
                    <w:rPr>
                      <w:rFonts w:hint="eastAsia" w:ascii="宋体" w:hAnsi="宋体" w:eastAsia="宋体" w:cs="宋体"/>
                      <w:color w:val="000000" w:themeColor="text1"/>
                      <w:spacing w:val="-11"/>
                      <w:sz w:val="18"/>
                      <w:szCs w:val="18"/>
                      <w14:textFill>
                        <w14:solidFill>
                          <w14:schemeClr w14:val="tx1"/>
                        </w14:solidFill>
                      </w14:textFill>
                    </w:rPr>
                    <w:t>/</w:t>
                  </w:r>
                </w:p>
              </w:tc>
              <w:tc>
                <w:tcPr>
                  <w:tcW w:w="835" w:type="pct"/>
                  <w:tcBorders>
                    <w:tl2br w:val="nil"/>
                    <w:tr2bl w:val="nil"/>
                  </w:tcBorders>
                  <w:noWrap w:val="0"/>
                  <w:vAlign w:val="center"/>
                </w:tcPr>
                <w:p w14:paraId="0C292F58">
                  <w:pPr>
                    <w:pStyle w:val="57"/>
                    <w:rPr>
                      <w:rFonts w:hint="eastAsia" w:ascii="宋体" w:hAnsi="宋体" w:eastAsia="宋体" w:cs="宋体"/>
                      <w:bCs/>
                      <w:color w:val="000000" w:themeColor="text1"/>
                      <w:spacing w:val="-11"/>
                      <w:sz w:val="18"/>
                      <w:szCs w:val="18"/>
                      <w14:textFill>
                        <w14:solidFill>
                          <w14:schemeClr w14:val="tx1"/>
                        </w14:solidFill>
                      </w14:textFill>
                    </w:rPr>
                  </w:pPr>
                  <w:r>
                    <w:rPr>
                      <w:rFonts w:hint="eastAsia" w:ascii="宋体" w:hAnsi="宋体" w:eastAsia="宋体" w:cs="宋体"/>
                      <w:bCs/>
                      <w:color w:val="000000" w:themeColor="text1"/>
                      <w:spacing w:val="-11"/>
                      <w:sz w:val="18"/>
                      <w:szCs w:val="18"/>
                      <w14:textFill>
                        <w14:solidFill>
                          <w14:schemeClr w14:val="tx1"/>
                        </w14:solidFill>
                      </w14:textFill>
                    </w:rPr>
                    <w:t>280℃</w:t>
                  </w:r>
                </w:p>
              </w:tc>
              <w:tc>
                <w:tcPr>
                  <w:tcW w:w="408" w:type="pct"/>
                  <w:tcBorders>
                    <w:tl2br w:val="nil"/>
                    <w:tr2bl w:val="nil"/>
                  </w:tcBorders>
                  <w:noWrap w:val="0"/>
                  <w:vAlign w:val="center"/>
                </w:tcPr>
                <w:p w14:paraId="46203EAD">
                  <w:pPr>
                    <w:pStyle w:val="57"/>
                    <w:rPr>
                      <w:rFonts w:hint="eastAsia" w:ascii="宋体" w:hAnsi="宋体" w:eastAsia="宋体" w:cs="宋体"/>
                      <w:bCs/>
                      <w:color w:val="000000" w:themeColor="text1"/>
                      <w:spacing w:val="-11"/>
                      <w:sz w:val="18"/>
                      <w:szCs w:val="18"/>
                      <w14:textFill>
                        <w14:solidFill>
                          <w14:schemeClr w14:val="tx1"/>
                        </w14:solidFill>
                      </w14:textFill>
                    </w:rPr>
                  </w:pPr>
                  <w:r>
                    <w:rPr>
                      <w:rFonts w:hint="eastAsia" w:ascii="宋体" w:hAnsi="宋体" w:eastAsia="宋体" w:cs="宋体"/>
                      <w:bCs/>
                      <w:color w:val="000000" w:themeColor="text1"/>
                      <w:spacing w:val="-11"/>
                      <w:sz w:val="18"/>
                      <w:szCs w:val="18"/>
                      <w:lang w:val="en-US" w:eastAsia="zh-CN"/>
                      <w14:textFill>
                        <w14:solidFill>
                          <w14:schemeClr w14:val="tx1"/>
                        </w14:solidFill>
                      </w14:textFill>
                    </w:rPr>
                    <w:t>216℃</w:t>
                  </w:r>
                </w:p>
              </w:tc>
              <w:tc>
                <w:tcPr>
                  <w:tcW w:w="2486" w:type="pct"/>
                  <w:tcBorders>
                    <w:tl2br w:val="nil"/>
                    <w:tr2bl w:val="nil"/>
                  </w:tcBorders>
                  <w:noWrap w:val="0"/>
                  <w:vAlign w:val="center"/>
                </w:tcPr>
                <w:p w14:paraId="3ADB9DC0">
                  <w:pPr>
                    <w:pStyle w:val="57"/>
                    <w:rPr>
                      <w:rFonts w:hint="eastAsia" w:ascii="宋体" w:hAnsi="宋体" w:eastAsia="宋体" w:cs="宋体"/>
                      <w:bCs/>
                      <w:color w:val="000000" w:themeColor="text1"/>
                      <w:spacing w:val="-11"/>
                      <w:sz w:val="18"/>
                      <w:szCs w:val="18"/>
                      <w14:textFill>
                        <w14:solidFill>
                          <w14:schemeClr w14:val="tx1"/>
                        </w14:solidFill>
                      </w14:textFill>
                    </w:rPr>
                  </w:pPr>
                  <w:r>
                    <w:rPr>
                      <w:rFonts w:hint="eastAsia" w:ascii="宋体" w:hAnsi="宋体" w:eastAsia="宋体" w:cs="宋体"/>
                      <w:bCs/>
                      <w:color w:val="000000" w:themeColor="text1"/>
                      <w:spacing w:val="-11"/>
                      <w:sz w:val="18"/>
                      <w:szCs w:val="18"/>
                      <w14:textFill>
                        <w14:solidFill>
                          <w14:schemeClr w14:val="tx1"/>
                        </w14:solidFill>
                      </w14:textFill>
                    </w:rPr>
                    <w:t>正常条件下使用不会成为健康危险源，用过的油可能包含有害杂质。未被评为可燃物，但会燃烧。储存应使用密闭容器，放在凉爽、通风良好的地方，使用适当加注标签及可封闭的容器。储存温度：长期储存（3个月以上）-15~50℃；短期储存：-20~60℃。不适用PVC包装。</w:t>
                  </w:r>
                </w:p>
              </w:tc>
            </w:tr>
          </w:tbl>
          <w:p w14:paraId="2439F428">
            <w:pPr>
              <w:pStyle w:val="62"/>
              <w:numPr>
                <w:ilvl w:val="0"/>
                <w:numId w:val="0"/>
              </w:numPr>
              <w:spacing w:beforeLines="0" w:afterLines="0" w:line="460" w:lineRule="exact"/>
              <w:outlineLvl w:val="9"/>
              <w:rPr>
                <w:rFonts w:hint="default" w:eastAsia="宋体" w:cs="宋体"/>
                <w:snapToGrid w:val="0"/>
                <w:color w:val="000000" w:themeColor="text1"/>
                <w:sz w:val="18"/>
                <w:szCs w:val="18"/>
                <w:lang w:val="en-US" w:eastAsia="zh-CN"/>
                <w14:textFill>
                  <w14:solidFill>
                    <w14:schemeClr w14:val="tx1"/>
                  </w14:solidFill>
                </w14:textFill>
              </w:rPr>
            </w:pPr>
            <w:r>
              <w:rPr>
                <w:rFonts w:hint="eastAsia" w:cs="宋体"/>
                <w:snapToGrid w:val="0"/>
                <w:color w:val="000000" w:themeColor="text1"/>
                <w:sz w:val="18"/>
                <w:szCs w:val="18"/>
                <w:lang w:val="en-US" w:eastAsia="zh-CN"/>
                <w14:textFill>
                  <w14:solidFill>
                    <w14:schemeClr w14:val="tx1"/>
                  </w14:solidFill>
                </w14:textFill>
              </w:rPr>
              <w:t>注：导热油循环使用，更换时由专业单位统一更换并清运，不设置暂存场所。</w:t>
            </w:r>
          </w:p>
          <w:p w14:paraId="41D27331">
            <w:pPr>
              <w:pStyle w:val="62"/>
              <w:numPr>
                <w:ilvl w:val="0"/>
                <w:numId w:val="0"/>
              </w:numPr>
              <w:spacing w:beforeLines="0" w:afterLines="0" w:line="460" w:lineRule="exact"/>
              <w:ind w:firstLine="480" w:firstLineChars="200"/>
              <w:outlineLvl w:val="9"/>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本项目</w:t>
            </w:r>
            <w:r>
              <w:rPr>
                <w:rFonts w:hint="eastAsia" w:cs="宋体"/>
                <w:snapToGrid w:val="0"/>
                <w:color w:val="000000" w:themeColor="text1"/>
                <w14:textFill>
                  <w14:solidFill>
                    <w14:schemeClr w14:val="tx1"/>
                  </w14:solidFill>
                </w14:textFill>
              </w:rPr>
              <w:t>可膨胀石墨生产主要原辅材料为鳞片石墨、硫酸、双氧水、废气处理过程收集的粉尘、筛分过程收集的石墨渣、清洗废水压滤过程产生的石墨沉渣。物料平衡见表2-</w:t>
            </w:r>
            <w:r>
              <w:rPr>
                <w:rFonts w:hint="eastAsia" w:cs="宋体"/>
                <w:snapToGrid w:val="0"/>
                <w:color w:val="000000" w:themeColor="text1"/>
                <w:lang w:val="en-US" w:eastAsia="zh-CN"/>
                <w14:textFill>
                  <w14:solidFill>
                    <w14:schemeClr w14:val="tx1"/>
                  </w14:solidFill>
                </w14:textFill>
              </w:rPr>
              <w:t>6</w:t>
            </w:r>
            <w:r>
              <w:rPr>
                <w:rFonts w:hint="eastAsia" w:cs="宋体"/>
                <w:snapToGrid w:val="0"/>
                <w:color w:val="000000" w:themeColor="text1"/>
                <w14:textFill>
                  <w14:solidFill>
                    <w14:schemeClr w14:val="tx1"/>
                  </w14:solidFill>
                </w14:textFill>
              </w:rPr>
              <w:t>和图2-</w:t>
            </w:r>
            <w:r>
              <w:rPr>
                <w:rFonts w:hint="eastAsia" w:cs="宋体"/>
                <w:snapToGrid w:val="0"/>
                <w:color w:val="000000" w:themeColor="text1"/>
                <w:lang w:val="en-US" w:eastAsia="zh-CN"/>
                <w14:textFill>
                  <w14:solidFill>
                    <w14:schemeClr w14:val="tx1"/>
                  </w14:solidFill>
                </w14:textFill>
              </w:rPr>
              <w:t>1</w:t>
            </w:r>
            <w:r>
              <w:rPr>
                <w:rFonts w:hint="eastAsia" w:cs="宋体"/>
                <w:snapToGrid w:val="0"/>
                <w:color w:val="000000" w:themeColor="text1"/>
                <w14:textFill>
                  <w14:solidFill>
                    <w14:schemeClr w14:val="tx1"/>
                  </w14:solidFill>
                </w14:textFill>
              </w:rPr>
              <w:t>。硫酸平衡见图2-</w:t>
            </w:r>
            <w:r>
              <w:rPr>
                <w:rFonts w:hint="eastAsia" w:cs="宋体"/>
                <w:snapToGrid w:val="0"/>
                <w:color w:val="000000" w:themeColor="text1"/>
                <w:lang w:val="en-US" w:eastAsia="zh-CN"/>
                <w14:textFill>
                  <w14:solidFill>
                    <w14:schemeClr w14:val="tx1"/>
                  </w14:solidFill>
                </w14:textFill>
              </w:rPr>
              <w:t>1</w:t>
            </w:r>
            <w:r>
              <w:rPr>
                <w:rFonts w:hint="eastAsia" w:cs="宋体"/>
                <w:snapToGrid w:val="0"/>
                <w:color w:val="000000" w:themeColor="text1"/>
                <w14:textFill>
                  <w14:solidFill>
                    <w14:schemeClr w14:val="tx1"/>
                  </w14:solidFill>
                </w14:textFill>
              </w:rPr>
              <w:t>。</w:t>
            </w:r>
          </w:p>
          <w:p w14:paraId="33F4A44A">
            <w:pPr>
              <w:adjustRightInd w:val="0"/>
              <w:snapToGrid w:val="0"/>
              <w:spacing w:line="420" w:lineRule="exact"/>
              <w:ind w:firstLine="482"/>
              <w:jc w:val="center"/>
              <w:rPr>
                <w:b/>
                <w:color w:val="000000" w:themeColor="text1"/>
                <w14:textFill>
                  <w14:solidFill>
                    <w14:schemeClr w14:val="tx1"/>
                  </w14:solidFill>
                </w14:textFill>
              </w:rPr>
            </w:pPr>
            <w:r>
              <w:rPr>
                <w:b/>
                <w:color w:val="000000" w:themeColor="text1"/>
                <w14:textFill>
                  <w14:solidFill>
                    <w14:schemeClr w14:val="tx1"/>
                  </w14:solidFill>
                </w14:textFill>
              </w:rPr>
              <w:t>表2-</w:t>
            </w:r>
            <w:r>
              <w:rPr>
                <w:rFonts w:hint="eastAsia"/>
                <w:b/>
                <w:color w:val="000000" w:themeColor="text1"/>
                <w:lang w:val="en-US" w:eastAsia="zh-CN"/>
                <w14:textFill>
                  <w14:solidFill>
                    <w14:schemeClr w14:val="tx1"/>
                  </w14:solidFill>
                </w14:textFill>
              </w:rPr>
              <w:t>6</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可膨胀石墨</w:t>
            </w:r>
            <w:r>
              <w:rPr>
                <w:b/>
                <w:color w:val="000000" w:themeColor="text1"/>
                <w14:textFill>
                  <w14:solidFill>
                    <w14:schemeClr w14:val="tx1"/>
                  </w14:solidFill>
                </w14:textFill>
              </w:rPr>
              <w:t>生产物料平衡表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70"/>
              <w:gridCol w:w="1635"/>
              <w:gridCol w:w="1250"/>
              <w:gridCol w:w="710"/>
              <w:gridCol w:w="1824"/>
              <w:gridCol w:w="2557"/>
            </w:tblGrid>
            <w:tr w14:paraId="65FF3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986" w:type="pct"/>
                  <w:gridSpan w:val="3"/>
                  <w:tcBorders>
                    <w:tl2br w:val="nil"/>
                    <w:tr2bl w:val="nil"/>
                  </w:tcBorders>
                  <w:noWrap w:val="0"/>
                  <w:vAlign w:val="center"/>
                </w:tcPr>
                <w:p w14:paraId="14AF3F05">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投入</w:t>
                  </w:r>
                </w:p>
              </w:tc>
              <w:tc>
                <w:tcPr>
                  <w:tcW w:w="3013" w:type="pct"/>
                  <w:gridSpan w:val="3"/>
                  <w:tcBorders>
                    <w:tl2br w:val="nil"/>
                    <w:tr2bl w:val="nil"/>
                  </w:tcBorders>
                  <w:noWrap w:val="0"/>
                  <w:vAlign w:val="center"/>
                </w:tcPr>
                <w:p w14:paraId="1F0035CE">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产出</w:t>
                  </w:r>
                </w:p>
              </w:tc>
            </w:tr>
            <w:tr w14:paraId="42D10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78" w:type="pct"/>
                  <w:tcBorders>
                    <w:tl2br w:val="nil"/>
                    <w:tr2bl w:val="nil"/>
                  </w:tcBorders>
                  <w:noWrap w:val="0"/>
                  <w:vAlign w:val="center"/>
                </w:tcPr>
                <w:p w14:paraId="42A74676">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967" w:type="pct"/>
                  <w:tcBorders>
                    <w:tl2br w:val="nil"/>
                    <w:tr2bl w:val="nil"/>
                  </w:tcBorders>
                  <w:noWrap w:val="0"/>
                  <w:vAlign w:val="center"/>
                </w:tcPr>
                <w:p w14:paraId="290DF159">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物料名称</w:t>
                  </w:r>
                </w:p>
              </w:tc>
              <w:tc>
                <w:tcPr>
                  <w:tcW w:w="739" w:type="pct"/>
                  <w:tcBorders>
                    <w:tl2br w:val="nil"/>
                    <w:tr2bl w:val="nil"/>
                  </w:tcBorders>
                  <w:noWrap w:val="0"/>
                  <w:vAlign w:val="center"/>
                </w:tcPr>
                <w:p w14:paraId="09346F43">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数量(t/a)</w:t>
                  </w:r>
                </w:p>
              </w:tc>
              <w:tc>
                <w:tcPr>
                  <w:tcW w:w="420" w:type="pct"/>
                  <w:tcBorders>
                    <w:tl2br w:val="nil"/>
                    <w:tr2bl w:val="nil"/>
                  </w:tcBorders>
                  <w:noWrap w:val="0"/>
                  <w:vAlign w:val="center"/>
                </w:tcPr>
                <w:p w14:paraId="3B1799C2">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1079" w:type="pct"/>
                  <w:tcBorders>
                    <w:tl2br w:val="nil"/>
                    <w:tr2bl w:val="nil"/>
                  </w:tcBorders>
                  <w:noWrap w:val="0"/>
                  <w:vAlign w:val="center"/>
                </w:tcPr>
                <w:p w14:paraId="4206394F">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物料名称</w:t>
                  </w:r>
                </w:p>
              </w:tc>
              <w:tc>
                <w:tcPr>
                  <w:tcW w:w="1513" w:type="pct"/>
                  <w:tcBorders>
                    <w:tl2br w:val="nil"/>
                    <w:tr2bl w:val="nil"/>
                  </w:tcBorders>
                  <w:noWrap w:val="0"/>
                  <w:vAlign w:val="center"/>
                </w:tcPr>
                <w:p w14:paraId="6E1B2092">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数量(t/a)</w:t>
                  </w:r>
                </w:p>
              </w:tc>
            </w:tr>
            <w:tr w14:paraId="1A561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78" w:type="pct"/>
                  <w:tcBorders>
                    <w:tl2br w:val="nil"/>
                    <w:tr2bl w:val="nil"/>
                  </w:tcBorders>
                  <w:noWrap w:val="0"/>
                  <w:vAlign w:val="center"/>
                </w:tcPr>
                <w:p w14:paraId="6CCF8465">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967" w:type="pct"/>
                  <w:tcBorders>
                    <w:tl2br w:val="nil"/>
                    <w:tr2bl w:val="nil"/>
                  </w:tcBorders>
                  <w:noWrap w:val="0"/>
                  <w:vAlign w:val="center"/>
                </w:tcPr>
                <w:p w14:paraId="4F2E79B1">
                  <w:pPr>
                    <w:pStyle w:val="5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石墨原料</w:t>
                  </w:r>
                </w:p>
              </w:tc>
              <w:tc>
                <w:tcPr>
                  <w:tcW w:w="739" w:type="pct"/>
                  <w:tcBorders>
                    <w:tl2br w:val="nil"/>
                    <w:tr2bl w:val="nil"/>
                  </w:tcBorders>
                  <w:noWrap w:val="0"/>
                  <w:vAlign w:val="center"/>
                </w:tcPr>
                <w:p w14:paraId="124AE2E0">
                  <w:pPr>
                    <w:pStyle w:val="5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4500</w:t>
                  </w:r>
                </w:p>
              </w:tc>
              <w:tc>
                <w:tcPr>
                  <w:tcW w:w="420" w:type="pct"/>
                  <w:tcBorders>
                    <w:tl2br w:val="nil"/>
                    <w:tr2bl w:val="nil"/>
                  </w:tcBorders>
                  <w:noWrap w:val="0"/>
                  <w:vAlign w:val="center"/>
                </w:tcPr>
                <w:p w14:paraId="39F0C37F">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79" w:type="pct"/>
                  <w:tcBorders>
                    <w:tl2br w:val="nil"/>
                    <w:tr2bl w:val="nil"/>
                  </w:tcBorders>
                  <w:noWrap w:val="0"/>
                  <w:vAlign w:val="center"/>
                </w:tcPr>
                <w:p w14:paraId="423C57DB">
                  <w:pPr>
                    <w:pStyle w:val="5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可膨胀石墨</w:t>
                  </w:r>
                </w:p>
              </w:tc>
              <w:tc>
                <w:tcPr>
                  <w:tcW w:w="1513" w:type="pct"/>
                  <w:tcBorders>
                    <w:tl2br w:val="nil"/>
                    <w:tr2bl w:val="nil"/>
                  </w:tcBorders>
                  <w:noWrap w:val="0"/>
                  <w:vAlign w:val="center"/>
                </w:tcPr>
                <w:p w14:paraId="72A5AF43">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5000</w:t>
                  </w:r>
                </w:p>
              </w:tc>
            </w:tr>
            <w:tr w14:paraId="4D34B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78" w:type="pct"/>
                  <w:tcBorders>
                    <w:tl2br w:val="nil"/>
                    <w:tr2bl w:val="nil"/>
                  </w:tcBorders>
                  <w:noWrap w:val="0"/>
                  <w:vAlign w:val="center"/>
                </w:tcPr>
                <w:p w14:paraId="09759D55">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967" w:type="pct"/>
                  <w:tcBorders>
                    <w:tl2br w:val="nil"/>
                    <w:tr2bl w:val="nil"/>
                  </w:tcBorders>
                  <w:noWrap w:val="0"/>
                  <w:vAlign w:val="center"/>
                </w:tcPr>
                <w:p w14:paraId="530FF2A3">
                  <w:pPr>
                    <w:pStyle w:val="5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回收粉尘</w:t>
                  </w:r>
                </w:p>
              </w:tc>
              <w:tc>
                <w:tcPr>
                  <w:tcW w:w="739" w:type="pct"/>
                  <w:tcBorders>
                    <w:tl2br w:val="nil"/>
                    <w:tr2bl w:val="nil"/>
                  </w:tcBorders>
                  <w:noWrap w:val="0"/>
                  <w:vAlign w:val="center"/>
                </w:tcPr>
                <w:p w14:paraId="3517994D">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8.64</w:t>
                  </w:r>
                </w:p>
              </w:tc>
              <w:tc>
                <w:tcPr>
                  <w:tcW w:w="420" w:type="pct"/>
                  <w:tcBorders>
                    <w:tl2br w:val="nil"/>
                    <w:tr2bl w:val="nil"/>
                  </w:tcBorders>
                  <w:noWrap w:val="0"/>
                  <w:vAlign w:val="center"/>
                </w:tcPr>
                <w:p w14:paraId="30190156">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079" w:type="pct"/>
                  <w:tcBorders>
                    <w:tl2br w:val="nil"/>
                    <w:tr2bl w:val="nil"/>
                  </w:tcBorders>
                  <w:noWrap w:val="0"/>
                  <w:vAlign w:val="center"/>
                </w:tcPr>
                <w:p w14:paraId="581AD478">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筛分石墨渣</w:t>
                  </w:r>
                </w:p>
              </w:tc>
              <w:tc>
                <w:tcPr>
                  <w:tcW w:w="1513" w:type="pct"/>
                  <w:tcBorders>
                    <w:tl2br w:val="nil"/>
                    <w:tr2bl w:val="nil"/>
                  </w:tcBorders>
                  <w:noWrap w:val="0"/>
                  <w:vAlign w:val="center"/>
                </w:tcPr>
                <w:p w14:paraId="1F6C4E5D">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w:t>
                  </w:r>
                </w:p>
              </w:tc>
            </w:tr>
            <w:tr w14:paraId="14774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78" w:type="pct"/>
                  <w:tcBorders>
                    <w:tl2br w:val="nil"/>
                    <w:tr2bl w:val="nil"/>
                  </w:tcBorders>
                  <w:noWrap w:val="0"/>
                  <w:vAlign w:val="center"/>
                </w:tcPr>
                <w:p w14:paraId="722A2242">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967" w:type="pct"/>
                  <w:tcBorders>
                    <w:tl2br w:val="nil"/>
                    <w:tr2bl w:val="nil"/>
                  </w:tcBorders>
                  <w:noWrap w:val="0"/>
                  <w:vAlign w:val="center"/>
                </w:tcPr>
                <w:p w14:paraId="09794635">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筛分石墨渣</w:t>
                  </w:r>
                </w:p>
              </w:tc>
              <w:tc>
                <w:tcPr>
                  <w:tcW w:w="739" w:type="pct"/>
                  <w:tcBorders>
                    <w:tl2br w:val="nil"/>
                    <w:tr2bl w:val="nil"/>
                  </w:tcBorders>
                  <w:noWrap w:val="0"/>
                  <w:vAlign w:val="center"/>
                </w:tcPr>
                <w:p w14:paraId="1575E164">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50</w:t>
                  </w:r>
                </w:p>
              </w:tc>
              <w:tc>
                <w:tcPr>
                  <w:tcW w:w="420" w:type="pct"/>
                  <w:tcBorders>
                    <w:tl2br w:val="nil"/>
                    <w:tr2bl w:val="nil"/>
                  </w:tcBorders>
                  <w:noWrap w:val="0"/>
                  <w:vAlign w:val="center"/>
                </w:tcPr>
                <w:p w14:paraId="258BE45D">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079" w:type="pct"/>
                  <w:tcBorders>
                    <w:tl2br w:val="nil"/>
                    <w:tr2bl w:val="nil"/>
                  </w:tcBorders>
                  <w:noWrap w:val="0"/>
                  <w:vAlign w:val="center"/>
                </w:tcPr>
                <w:p w14:paraId="55ECDBA5">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回收粉尘</w:t>
                  </w:r>
                </w:p>
              </w:tc>
              <w:tc>
                <w:tcPr>
                  <w:tcW w:w="1513" w:type="pct"/>
                  <w:tcBorders>
                    <w:tl2br w:val="nil"/>
                    <w:tr2bl w:val="nil"/>
                  </w:tcBorders>
                  <w:noWrap w:val="0"/>
                  <w:vAlign w:val="center"/>
                </w:tcPr>
                <w:p w14:paraId="7CA3DDAB">
                  <w:pPr>
                    <w:pStyle w:val="58"/>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           8.64</w:t>
                  </w:r>
                </w:p>
              </w:tc>
            </w:tr>
            <w:tr w14:paraId="7F291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78" w:type="pct"/>
                  <w:tcBorders>
                    <w:tl2br w:val="nil"/>
                    <w:tr2bl w:val="nil"/>
                  </w:tcBorders>
                  <w:noWrap w:val="0"/>
                  <w:vAlign w:val="center"/>
                </w:tcPr>
                <w:p w14:paraId="13DD90E6">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967" w:type="pct"/>
                  <w:tcBorders>
                    <w:tl2br w:val="nil"/>
                    <w:tr2bl w:val="nil"/>
                  </w:tcBorders>
                  <w:noWrap w:val="0"/>
                  <w:vAlign w:val="center"/>
                </w:tcPr>
                <w:p w14:paraId="0516E37E">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石墨沉渣</w:t>
                  </w:r>
                </w:p>
              </w:tc>
              <w:tc>
                <w:tcPr>
                  <w:tcW w:w="739" w:type="pct"/>
                  <w:tcBorders>
                    <w:tl2br w:val="nil"/>
                    <w:tr2bl w:val="nil"/>
                  </w:tcBorders>
                  <w:noWrap w:val="0"/>
                  <w:vAlign w:val="center"/>
                </w:tcPr>
                <w:p w14:paraId="7FFD19CE">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420" w:type="pct"/>
                  <w:tcBorders>
                    <w:tl2br w:val="nil"/>
                    <w:tr2bl w:val="nil"/>
                  </w:tcBorders>
                  <w:noWrap w:val="0"/>
                  <w:vAlign w:val="center"/>
                </w:tcPr>
                <w:p w14:paraId="23413C1E">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079" w:type="pct"/>
                  <w:tcBorders>
                    <w:tl2br w:val="nil"/>
                    <w:tr2bl w:val="nil"/>
                  </w:tcBorders>
                  <w:noWrap w:val="0"/>
                  <w:vAlign w:val="center"/>
                </w:tcPr>
                <w:p w14:paraId="39B6B658">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硫酸雾有组织排放</w:t>
                  </w:r>
                </w:p>
              </w:tc>
              <w:tc>
                <w:tcPr>
                  <w:tcW w:w="1513" w:type="pct"/>
                  <w:tcBorders>
                    <w:tl2br w:val="nil"/>
                    <w:tr2bl w:val="nil"/>
                  </w:tcBorders>
                  <w:noWrap w:val="0"/>
                  <w:vAlign w:val="center"/>
                </w:tcPr>
                <w:p w14:paraId="0E021930">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0.153</w:t>
                  </w:r>
                </w:p>
              </w:tc>
            </w:tr>
            <w:tr w14:paraId="737C9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7" w:hRule="atLeast"/>
                <w:jc w:val="center"/>
              </w:trPr>
              <w:tc>
                <w:tcPr>
                  <w:tcW w:w="278" w:type="pct"/>
                  <w:tcBorders>
                    <w:tl2br w:val="nil"/>
                    <w:tr2bl w:val="nil"/>
                  </w:tcBorders>
                  <w:noWrap w:val="0"/>
                  <w:vAlign w:val="center"/>
                </w:tcPr>
                <w:p w14:paraId="34C0413B">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967" w:type="pct"/>
                  <w:tcBorders>
                    <w:tl2br w:val="nil"/>
                    <w:tr2bl w:val="nil"/>
                  </w:tcBorders>
                  <w:shd w:val="clear" w:color="auto" w:fill="auto"/>
                  <w:noWrap w:val="0"/>
                  <w:vAlign w:val="center"/>
                </w:tcPr>
                <w:p w14:paraId="1787CC07">
                  <w:pPr>
                    <w:pStyle w:val="58"/>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双氧水</w:t>
                  </w:r>
                </w:p>
              </w:tc>
              <w:tc>
                <w:tcPr>
                  <w:tcW w:w="739" w:type="pct"/>
                  <w:tcBorders>
                    <w:tl2br w:val="nil"/>
                    <w:tr2bl w:val="nil"/>
                  </w:tcBorders>
                  <w:shd w:val="clear" w:color="auto" w:fill="auto"/>
                  <w:noWrap w:val="0"/>
                  <w:vAlign w:val="center"/>
                </w:tcPr>
                <w:p w14:paraId="6BCE0602">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146（60%）</w:t>
                  </w:r>
                </w:p>
              </w:tc>
              <w:tc>
                <w:tcPr>
                  <w:tcW w:w="420" w:type="pct"/>
                  <w:tcBorders>
                    <w:tl2br w:val="nil"/>
                    <w:tr2bl w:val="nil"/>
                  </w:tcBorders>
                  <w:noWrap w:val="0"/>
                  <w:vAlign w:val="center"/>
                </w:tcPr>
                <w:p w14:paraId="182C2686">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1079" w:type="pct"/>
                  <w:tcBorders>
                    <w:tl2br w:val="nil"/>
                    <w:tr2bl w:val="nil"/>
                  </w:tcBorders>
                  <w:noWrap w:val="0"/>
                  <w:vAlign w:val="center"/>
                </w:tcPr>
                <w:p w14:paraId="0A559004">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硫酸雾无组织排放</w:t>
                  </w:r>
                </w:p>
              </w:tc>
              <w:tc>
                <w:tcPr>
                  <w:tcW w:w="1513" w:type="pct"/>
                  <w:tcBorders>
                    <w:tl2br w:val="nil"/>
                    <w:tr2bl w:val="nil"/>
                  </w:tcBorders>
                  <w:noWrap w:val="0"/>
                  <w:vAlign w:val="center"/>
                </w:tcPr>
                <w:p w14:paraId="3158F32C">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493</w:t>
                  </w:r>
                </w:p>
              </w:tc>
            </w:tr>
            <w:tr w14:paraId="3A4B0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78" w:type="pct"/>
                  <w:tcBorders>
                    <w:tl2br w:val="nil"/>
                    <w:tr2bl w:val="nil"/>
                  </w:tcBorders>
                  <w:noWrap w:val="0"/>
                  <w:vAlign w:val="center"/>
                </w:tcPr>
                <w:p w14:paraId="255652D2">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967" w:type="pct"/>
                  <w:tcBorders>
                    <w:tl2br w:val="nil"/>
                    <w:tr2bl w:val="nil"/>
                  </w:tcBorders>
                  <w:shd w:val="clear" w:color="auto" w:fill="auto"/>
                  <w:noWrap w:val="0"/>
                  <w:vAlign w:val="center"/>
                </w:tcPr>
                <w:p w14:paraId="21AB16AA">
                  <w:pPr>
                    <w:pStyle w:val="58"/>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浓硫酸</w:t>
                  </w:r>
                </w:p>
              </w:tc>
              <w:tc>
                <w:tcPr>
                  <w:tcW w:w="739" w:type="pct"/>
                  <w:tcBorders>
                    <w:tl2br w:val="nil"/>
                    <w:tr2bl w:val="nil"/>
                  </w:tcBorders>
                  <w:shd w:val="clear" w:color="auto" w:fill="auto"/>
                  <w:noWrap w:val="0"/>
                  <w:vAlign w:val="center"/>
                </w:tcPr>
                <w:p w14:paraId="666994C2">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4500</w:t>
                  </w:r>
                </w:p>
              </w:tc>
              <w:tc>
                <w:tcPr>
                  <w:tcW w:w="420" w:type="pct"/>
                  <w:tcBorders>
                    <w:tl2br w:val="nil"/>
                    <w:tr2bl w:val="nil"/>
                  </w:tcBorders>
                  <w:noWrap w:val="0"/>
                  <w:vAlign w:val="center"/>
                </w:tcPr>
                <w:p w14:paraId="77AD4DCB">
                  <w:pPr>
                    <w:pStyle w:val="5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1079" w:type="pct"/>
                  <w:tcBorders>
                    <w:tl2br w:val="nil"/>
                    <w:tr2bl w:val="nil"/>
                  </w:tcBorders>
                  <w:noWrap w:val="0"/>
                  <w:vAlign w:val="center"/>
                </w:tcPr>
                <w:p w14:paraId="3BA7D0F0">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无组织粉尘</w:t>
                  </w:r>
                </w:p>
              </w:tc>
              <w:tc>
                <w:tcPr>
                  <w:tcW w:w="1513" w:type="pct"/>
                  <w:tcBorders>
                    <w:tl2br w:val="nil"/>
                    <w:tr2bl w:val="nil"/>
                  </w:tcBorders>
                  <w:noWrap w:val="0"/>
                  <w:vAlign w:val="center"/>
                </w:tcPr>
                <w:p w14:paraId="520FA7F3">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9.745</w:t>
                  </w:r>
                </w:p>
              </w:tc>
            </w:tr>
            <w:tr w14:paraId="471F9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278" w:type="pct"/>
                  <w:tcBorders>
                    <w:tl2br w:val="nil"/>
                    <w:tr2bl w:val="nil"/>
                  </w:tcBorders>
                  <w:noWrap w:val="0"/>
                  <w:vAlign w:val="center"/>
                </w:tcPr>
                <w:p w14:paraId="0A4816FA">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967" w:type="pct"/>
                  <w:tcBorders>
                    <w:tl2br w:val="nil"/>
                    <w:tr2bl w:val="nil"/>
                  </w:tcBorders>
                  <w:shd w:val="clear" w:color="auto" w:fill="auto"/>
                  <w:noWrap w:val="0"/>
                  <w:vAlign w:val="center"/>
                </w:tcPr>
                <w:p w14:paraId="7DCF9775">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氢氧化钙</w:t>
                  </w:r>
                </w:p>
              </w:tc>
              <w:tc>
                <w:tcPr>
                  <w:tcW w:w="739" w:type="pct"/>
                  <w:tcBorders>
                    <w:tl2br w:val="nil"/>
                    <w:tr2bl w:val="nil"/>
                  </w:tcBorders>
                  <w:shd w:val="clear" w:color="auto" w:fill="auto"/>
                  <w:noWrap w:val="0"/>
                  <w:vAlign w:val="center"/>
                </w:tcPr>
                <w:p w14:paraId="3C7E48EE">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2888</w:t>
                  </w:r>
                </w:p>
              </w:tc>
              <w:tc>
                <w:tcPr>
                  <w:tcW w:w="420" w:type="pct"/>
                  <w:tcBorders>
                    <w:tl2br w:val="nil"/>
                    <w:tr2bl w:val="nil"/>
                  </w:tcBorders>
                  <w:noWrap w:val="0"/>
                  <w:vAlign w:val="center"/>
                </w:tcPr>
                <w:p w14:paraId="52DC048C">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1079" w:type="pct"/>
                  <w:tcBorders>
                    <w:tl2br w:val="nil"/>
                    <w:tr2bl w:val="nil"/>
                  </w:tcBorders>
                  <w:noWrap w:val="0"/>
                  <w:vAlign w:val="center"/>
                </w:tcPr>
                <w:p w14:paraId="74F98CC3">
                  <w:pPr>
                    <w:pStyle w:val="5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有组织粉尘排放</w:t>
                  </w:r>
                </w:p>
              </w:tc>
              <w:tc>
                <w:tcPr>
                  <w:tcW w:w="1513" w:type="pct"/>
                  <w:tcBorders>
                    <w:tl2br w:val="nil"/>
                    <w:tr2bl w:val="nil"/>
                  </w:tcBorders>
                  <w:noWrap w:val="0"/>
                  <w:vAlign w:val="center"/>
                </w:tcPr>
                <w:p w14:paraId="15154DBD">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0.099</w:t>
                  </w:r>
                </w:p>
              </w:tc>
            </w:tr>
            <w:tr w14:paraId="365DD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78" w:type="pct"/>
                  <w:tcBorders>
                    <w:tl2br w:val="nil"/>
                    <w:tr2bl w:val="nil"/>
                  </w:tcBorders>
                  <w:noWrap w:val="0"/>
                  <w:vAlign w:val="center"/>
                </w:tcPr>
                <w:p w14:paraId="4D9017AD">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967" w:type="pct"/>
                  <w:tcBorders>
                    <w:tl2br w:val="nil"/>
                    <w:tr2bl w:val="nil"/>
                  </w:tcBorders>
                  <w:shd w:val="clear" w:color="auto" w:fill="auto"/>
                  <w:noWrap w:val="0"/>
                  <w:vAlign w:val="center"/>
                </w:tcPr>
                <w:p w14:paraId="739B66D0">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739" w:type="pct"/>
                  <w:tcBorders>
                    <w:tl2br w:val="nil"/>
                    <w:tr2bl w:val="nil"/>
                  </w:tcBorders>
                  <w:shd w:val="clear" w:color="auto" w:fill="auto"/>
                  <w:noWrap w:val="0"/>
                  <w:vAlign w:val="center"/>
                </w:tcPr>
                <w:p w14:paraId="7F035E0F">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420" w:type="pct"/>
                  <w:tcBorders>
                    <w:tl2br w:val="nil"/>
                    <w:tr2bl w:val="nil"/>
                  </w:tcBorders>
                  <w:noWrap w:val="0"/>
                  <w:vAlign w:val="center"/>
                </w:tcPr>
                <w:p w14:paraId="19345E80">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079" w:type="pct"/>
                  <w:tcBorders>
                    <w:tl2br w:val="nil"/>
                    <w:tr2bl w:val="nil"/>
                  </w:tcBorders>
                  <w:shd w:val="clear" w:color="auto" w:fill="auto"/>
                  <w:noWrap w:val="0"/>
                  <w:vAlign w:val="center"/>
                </w:tcPr>
                <w:p w14:paraId="324AFC98">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沉淀物</w:t>
                  </w:r>
                </w:p>
              </w:tc>
              <w:tc>
                <w:tcPr>
                  <w:tcW w:w="1513" w:type="pct"/>
                  <w:tcBorders>
                    <w:tl2br w:val="nil"/>
                    <w:tr2bl w:val="nil"/>
                  </w:tcBorders>
                  <w:shd w:val="clear" w:color="auto" w:fill="auto"/>
                  <w:noWrap w:val="0"/>
                  <w:vAlign w:val="center"/>
                </w:tcPr>
                <w:p w14:paraId="73D1119B">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FF"/>
                      <w:sz w:val="21"/>
                      <w:szCs w:val="21"/>
                      <w:u w:val="single"/>
                      <w:lang w:val="en-US" w:eastAsia="zh-CN"/>
                    </w:rPr>
                    <w:t>4988.25（废酸中和，含水率20%）+674.475（污水中和，脱水后含水率为34%</w:t>
                  </w:r>
                </w:p>
              </w:tc>
            </w:tr>
            <w:tr w14:paraId="16944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78" w:type="pct"/>
                  <w:tcBorders>
                    <w:tl2br w:val="nil"/>
                    <w:tr2bl w:val="nil"/>
                  </w:tcBorders>
                  <w:noWrap w:val="0"/>
                  <w:vAlign w:val="center"/>
                </w:tcPr>
                <w:p w14:paraId="754FAFE2">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967" w:type="pct"/>
                  <w:tcBorders>
                    <w:tl2br w:val="nil"/>
                    <w:tr2bl w:val="nil"/>
                  </w:tcBorders>
                  <w:noWrap w:val="0"/>
                  <w:vAlign w:val="center"/>
                </w:tcPr>
                <w:p w14:paraId="4545E613">
                  <w:pPr>
                    <w:pStyle w:val="5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739" w:type="pct"/>
                  <w:tcBorders>
                    <w:tl2br w:val="nil"/>
                    <w:tr2bl w:val="nil"/>
                  </w:tcBorders>
                  <w:noWrap w:val="0"/>
                  <w:vAlign w:val="center"/>
                </w:tcPr>
                <w:p w14:paraId="6CFB11FC">
                  <w:pPr>
                    <w:pStyle w:val="5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420" w:type="pct"/>
                  <w:tcBorders>
                    <w:tl2br w:val="nil"/>
                    <w:tr2bl w:val="nil"/>
                  </w:tcBorders>
                  <w:noWrap w:val="0"/>
                  <w:vAlign w:val="center"/>
                </w:tcPr>
                <w:p w14:paraId="544EBBF7">
                  <w:pPr>
                    <w:pStyle w:val="5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w:t>
                  </w:r>
                </w:p>
              </w:tc>
              <w:tc>
                <w:tcPr>
                  <w:tcW w:w="1079" w:type="pct"/>
                  <w:tcBorders>
                    <w:tl2br w:val="nil"/>
                    <w:tr2bl w:val="nil"/>
                  </w:tcBorders>
                  <w:shd w:val="clear" w:color="auto" w:fill="auto"/>
                  <w:noWrap w:val="0"/>
                  <w:vAlign w:val="center"/>
                </w:tcPr>
                <w:p w14:paraId="2C82399C">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石墨沉渣</w:t>
                  </w:r>
                </w:p>
              </w:tc>
              <w:tc>
                <w:tcPr>
                  <w:tcW w:w="1513" w:type="pct"/>
                  <w:tcBorders>
                    <w:tl2br w:val="nil"/>
                    <w:tr2bl w:val="nil"/>
                  </w:tcBorders>
                  <w:shd w:val="clear" w:color="auto" w:fill="auto"/>
                  <w:noWrap w:val="0"/>
                  <w:vAlign w:val="center"/>
                </w:tcPr>
                <w:p w14:paraId="244DC8B3">
                  <w:pPr>
                    <w:pStyle w:val="58"/>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r>
            <w:tr w14:paraId="6FD92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278" w:type="pct"/>
                  <w:tcBorders>
                    <w:tl2br w:val="nil"/>
                    <w:tr2bl w:val="nil"/>
                  </w:tcBorders>
                  <w:noWrap w:val="0"/>
                  <w:vAlign w:val="center"/>
                </w:tcPr>
                <w:p w14:paraId="4294EF4A">
                  <w:pPr>
                    <w:pStyle w:val="58"/>
                    <w:rPr>
                      <w:rFonts w:hint="eastAsia"/>
                      <w:color w:val="000000" w:themeColor="text1"/>
                      <w:sz w:val="21"/>
                      <w:szCs w:val="21"/>
                      <w14:textFill>
                        <w14:solidFill>
                          <w14:schemeClr w14:val="tx1"/>
                        </w14:solidFill>
                      </w14:textFill>
                    </w:rPr>
                  </w:pPr>
                </w:p>
              </w:tc>
              <w:tc>
                <w:tcPr>
                  <w:tcW w:w="967" w:type="pct"/>
                  <w:tcBorders>
                    <w:tl2br w:val="nil"/>
                    <w:tr2bl w:val="nil"/>
                  </w:tcBorders>
                  <w:noWrap w:val="0"/>
                  <w:vAlign w:val="center"/>
                </w:tcPr>
                <w:p w14:paraId="431FCEA4">
                  <w:pPr>
                    <w:pStyle w:val="58"/>
                    <w:rPr>
                      <w:rFonts w:hint="eastAsia"/>
                      <w:color w:val="000000" w:themeColor="text1"/>
                      <w:sz w:val="21"/>
                      <w:szCs w:val="21"/>
                      <w14:textFill>
                        <w14:solidFill>
                          <w14:schemeClr w14:val="tx1"/>
                        </w14:solidFill>
                      </w14:textFill>
                    </w:rPr>
                  </w:pPr>
                </w:p>
              </w:tc>
              <w:tc>
                <w:tcPr>
                  <w:tcW w:w="739" w:type="pct"/>
                  <w:tcBorders>
                    <w:tl2br w:val="nil"/>
                    <w:tr2bl w:val="nil"/>
                  </w:tcBorders>
                  <w:noWrap w:val="0"/>
                  <w:vAlign w:val="center"/>
                </w:tcPr>
                <w:p w14:paraId="3179194E">
                  <w:pPr>
                    <w:pStyle w:val="58"/>
                    <w:rPr>
                      <w:rFonts w:hint="eastAsia"/>
                      <w:color w:val="000000" w:themeColor="text1"/>
                      <w:sz w:val="21"/>
                      <w:szCs w:val="21"/>
                      <w14:textFill>
                        <w14:solidFill>
                          <w14:schemeClr w14:val="tx1"/>
                        </w14:solidFill>
                      </w14:textFill>
                    </w:rPr>
                  </w:pPr>
                </w:p>
              </w:tc>
              <w:tc>
                <w:tcPr>
                  <w:tcW w:w="420" w:type="pct"/>
                  <w:tcBorders>
                    <w:tl2br w:val="nil"/>
                    <w:tr2bl w:val="nil"/>
                  </w:tcBorders>
                  <w:noWrap w:val="0"/>
                  <w:vAlign w:val="center"/>
                </w:tcPr>
                <w:p w14:paraId="4AFF6166">
                  <w:pPr>
                    <w:pStyle w:val="58"/>
                    <w:rPr>
                      <w:rFonts w:hint="eastAsia"/>
                      <w:color w:val="000000" w:themeColor="text1"/>
                      <w:sz w:val="21"/>
                      <w:szCs w:val="21"/>
                      <w14:textFill>
                        <w14:solidFill>
                          <w14:schemeClr w14:val="tx1"/>
                        </w14:solidFill>
                      </w14:textFill>
                    </w:rPr>
                  </w:pPr>
                </w:p>
              </w:tc>
              <w:tc>
                <w:tcPr>
                  <w:tcW w:w="1079" w:type="pct"/>
                  <w:tcBorders>
                    <w:tl2br w:val="nil"/>
                    <w:tr2bl w:val="nil"/>
                  </w:tcBorders>
                  <w:noWrap w:val="0"/>
                  <w:vAlign w:val="center"/>
                </w:tcPr>
                <w:p w14:paraId="788D0D4A">
                  <w:pPr>
                    <w:pStyle w:val="58"/>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其它（损耗、中和反应生成水）</w:t>
                  </w:r>
                </w:p>
              </w:tc>
              <w:tc>
                <w:tcPr>
                  <w:tcW w:w="1513" w:type="pct"/>
                  <w:tcBorders>
                    <w:tl2br w:val="nil"/>
                    <w:tr2bl w:val="nil"/>
                  </w:tcBorders>
                  <w:noWrap w:val="0"/>
                  <w:vAlign w:val="center"/>
                </w:tcPr>
                <w:p w14:paraId="0DBFCE3C">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1360.785</w:t>
                  </w:r>
                </w:p>
              </w:tc>
            </w:tr>
            <w:tr w14:paraId="6DB0D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46" w:type="pct"/>
                  <w:gridSpan w:val="2"/>
                  <w:tcBorders>
                    <w:tl2br w:val="nil"/>
                    <w:tr2bl w:val="nil"/>
                  </w:tcBorders>
                  <w:noWrap w:val="0"/>
                  <w:vAlign w:val="center"/>
                </w:tcPr>
                <w:p w14:paraId="54645BA7">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合计</w:t>
                  </w:r>
                </w:p>
              </w:tc>
              <w:tc>
                <w:tcPr>
                  <w:tcW w:w="739" w:type="pct"/>
                  <w:tcBorders>
                    <w:tl2br w:val="nil"/>
                    <w:tr2bl w:val="nil"/>
                  </w:tcBorders>
                  <w:noWrap w:val="0"/>
                  <w:vAlign w:val="center"/>
                </w:tcPr>
                <w:p w14:paraId="1B0F1F3F">
                  <w:pPr>
                    <w:pStyle w:val="5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12095.64</w:t>
                  </w:r>
                </w:p>
              </w:tc>
              <w:tc>
                <w:tcPr>
                  <w:tcW w:w="1500" w:type="pct"/>
                  <w:gridSpan w:val="2"/>
                  <w:tcBorders>
                    <w:tl2br w:val="nil"/>
                    <w:tr2bl w:val="nil"/>
                  </w:tcBorders>
                  <w:noWrap w:val="0"/>
                  <w:vAlign w:val="center"/>
                </w:tcPr>
                <w:p w14:paraId="5B252C1C">
                  <w:pPr>
                    <w:pStyle w:val="5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合计</w:t>
                  </w:r>
                </w:p>
              </w:tc>
              <w:tc>
                <w:tcPr>
                  <w:tcW w:w="1513" w:type="pct"/>
                  <w:tcBorders>
                    <w:tl2br w:val="nil"/>
                    <w:tr2bl w:val="nil"/>
                  </w:tcBorders>
                  <w:noWrap w:val="0"/>
                  <w:vAlign w:val="center"/>
                </w:tcPr>
                <w:p w14:paraId="04F8928A">
                  <w:pPr>
                    <w:pStyle w:val="58"/>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12095.64</w:t>
                  </w:r>
                </w:p>
              </w:tc>
            </w:tr>
            <w:tr w14:paraId="5097A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78" w:type="pct"/>
                  <w:tcBorders>
                    <w:tl2br w:val="nil"/>
                    <w:tr2bl w:val="nil"/>
                  </w:tcBorders>
                  <w:noWrap w:val="0"/>
                  <w:vAlign w:val="center"/>
                </w:tcPr>
                <w:p w14:paraId="5A8FC552">
                  <w:pPr>
                    <w:pStyle w:val="58"/>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注</w:t>
                  </w:r>
                </w:p>
              </w:tc>
              <w:tc>
                <w:tcPr>
                  <w:tcW w:w="4721" w:type="pct"/>
                  <w:gridSpan w:val="5"/>
                  <w:tcBorders>
                    <w:tl2br w:val="nil"/>
                    <w:tr2bl w:val="nil"/>
                  </w:tcBorders>
                  <w:noWrap w:val="0"/>
                  <w:vAlign w:val="center"/>
                </w:tcPr>
                <w:p w14:paraId="16B2309C">
                  <w:pPr>
                    <w:pStyle w:val="58"/>
                    <w:jc w:val="both"/>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FF"/>
                      <w:sz w:val="21"/>
                      <w:szCs w:val="21"/>
                      <w:u w:val="single"/>
                      <w:lang w:val="en-US" w:eastAsia="zh-CN"/>
                    </w:rPr>
                    <w:t>硫酸每天用量为15吨/天，浓度为98%，酸酸纯度为14.7吨/天，用于石墨插层后浓度变为95%，则需要消耗硫酸1.68吨/天，产品带走1.72吨/天，酸雾损耗0.646吨/天，最终硫酸剩余10.654吨/天，按</w:t>
                  </w:r>
                  <w:r>
                    <w:rPr>
                      <w:rFonts w:hint="eastAsia" w:ascii="宋体" w:hAnsi="宋体" w:eastAsia="宋体" w:cs="宋体"/>
                      <w:color w:val="0000FF"/>
                      <w:sz w:val="21"/>
                      <w:szCs w:val="21"/>
                      <w:u w:val="single"/>
                    </w:rPr>
                    <w:t>H</w:t>
                  </w:r>
                  <w:r>
                    <w:rPr>
                      <w:rFonts w:hint="eastAsia" w:ascii="宋体" w:hAnsi="宋体" w:eastAsia="宋体" w:cs="宋体"/>
                      <w:color w:val="0000FF"/>
                      <w:sz w:val="21"/>
                      <w:szCs w:val="21"/>
                      <w:u w:val="single"/>
                      <w:vertAlign w:val="subscript"/>
                    </w:rPr>
                    <w:t>2</w:t>
                  </w:r>
                  <w:r>
                    <w:rPr>
                      <w:rFonts w:hint="eastAsia" w:ascii="宋体" w:hAnsi="宋体" w:eastAsia="宋体" w:cs="宋体"/>
                      <w:color w:val="0000FF"/>
                      <w:sz w:val="21"/>
                      <w:szCs w:val="21"/>
                      <w:u w:val="single"/>
                    </w:rPr>
                    <w:t>SO</w:t>
                  </w:r>
                  <w:r>
                    <w:rPr>
                      <w:rFonts w:hint="eastAsia" w:ascii="宋体" w:hAnsi="宋体" w:eastAsia="宋体" w:cs="宋体"/>
                      <w:color w:val="0000FF"/>
                      <w:sz w:val="21"/>
                      <w:szCs w:val="21"/>
                      <w:u w:val="single"/>
                      <w:vertAlign w:val="subscript"/>
                    </w:rPr>
                    <w:t>4</w:t>
                  </w:r>
                  <w:r>
                    <w:rPr>
                      <w:rFonts w:hint="eastAsia" w:ascii="宋体" w:hAnsi="宋体" w:eastAsia="宋体" w:cs="宋体"/>
                      <w:color w:val="0000FF"/>
                      <w:sz w:val="21"/>
                      <w:szCs w:val="21"/>
                      <w:u w:val="single"/>
                    </w:rPr>
                    <w:t>+</w:t>
                  </w:r>
                  <w:r>
                    <w:rPr>
                      <w:rFonts w:hint="eastAsia" w:ascii="宋体" w:hAnsi="宋体" w:eastAsia="宋体" w:cs="宋体"/>
                      <w:color w:val="0000FF"/>
                      <w:sz w:val="21"/>
                      <w:szCs w:val="21"/>
                      <w:u w:val="single"/>
                      <w:lang w:val="en-US" w:eastAsia="zh-CN"/>
                    </w:rPr>
                    <w:t>Ca(OH)</w:t>
                  </w:r>
                  <w:r>
                    <w:rPr>
                      <w:rFonts w:hint="eastAsia" w:ascii="宋体" w:hAnsi="宋体" w:eastAsia="宋体" w:cs="宋体"/>
                      <w:color w:val="0000FF"/>
                      <w:sz w:val="21"/>
                      <w:szCs w:val="21"/>
                      <w:u w:val="single"/>
                      <w:vertAlign w:val="subscript"/>
                      <w:lang w:val="en-US" w:eastAsia="zh-CN"/>
                    </w:rPr>
                    <w:t>2</w:t>
                  </w:r>
                  <w:r>
                    <w:rPr>
                      <w:rFonts w:hint="eastAsia" w:ascii="宋体" w:hAnsi="宋体" w:eastAsia="宋体" w:cs="宋体"/>
                      <w:color w:val="0000FF"/>
                      <w:sz w:val="21"/>
                      <w:szCs w:val="21"/>
                      <w:u w:val="single"/>
                      <w:lang w:val="en-US" w:eastAsia="zh-CN"/>
                    </w:rPr>
                    <w:t>=Ca</w:t>
                  </w:r>
                  <w:r>
                    <w:rPr>
                      <w:rFonts w:hint="eastAsia" w:ascii="宋体" w:hAnsi="宋体" w:eastAsia="宋体" w:cs="宋体"/>
                      <w:color w:val="0000FF"/>
                      <w:sz w:val="21"/>
                      <w:szCs w:val="21"/>
                      <w:u w:val="single"/>
                    </w:rPr>
                    <w:t>SO</w:t>
                  </w:r>
                  <w:r>
                    <w:rPr>
                      <w:rFonts w:hint="eastAsia" w:ascii="宋体" w:hAnsi="宋体" w:eastAsia="宋体" w:cs="宋体"/>
                      <w:color w:val="0000FF"/>
                      <w:sz w:val="21"/>
                      <w:szCs w:val="21"/>
                      <w:u w:val="single"/>
                      <w:vertAlign w:val="subscript"/>
                    </w:rPr>
                    <w:t>4</w:t>
                  </w:r>
                  <w:r>
                    <w:rPr>
                      <w:rFonts w:hint="eastAsia" w:ascii="宋体" w:hAnsi="宋体" w:eastAsia="宋体" w:cs="宋体"/>
                      <w:color w:val="0000FF"/>
                      <w:sz w:val="21"/>
                      <w:szCs w:val="21"/>
                      <w:u w:val="single"/>
                    </w:rPr>
                    <w:t xml:space="preserve"> +</w:t>
                  </w:r>
                  <w:r>
                    <w:rPr>
                      <w:rFonts w:hint="eastAsia" w:ascii="宋体" w:hAnsi="宋体" w:eastAsia="宋体" w:cs="宋体"/>
                      <w:color w:val="0000FF"/>
                      <w:sz w:val="21"/>
                      <w:szCs w:val="21"/>
                      <w:u w:val="single"/>
                      <w:lang w:val="en-US" w:eastAsia="zh-CN"/>
                    </w:rPr>
                    <w:t>2</w:t>
                  </w:r>
                  <w:r>
                    <w:rPr>
                      <w:rFonts w:hint="eastAsia" w:ascii="宋体" w:hAnsi="宋体" w:eastAsia="宋体" w:cs="宋体"/>
                      <w:color w:val="0000FF"/>
                      <w:sz w:val="21"/>
                      <w:szCs w:val="21"/>
                      <w:u w:val="single"/>
                    </w:rPr>
                    <w:t>H</w:t>
                  </w:r>
                  <w:r>
                    <w:rPr>
                      <w:rFonts w:hint="eastAsia" w:ascii="宋体" w:hAnsi="宋体" w:eastAsia="宋体" w:cs="宋体"/>
                      <w:color w:val="0000FF"/>
                      <w:sz w:val="21"/>
                      <w:szCs w:val="21"/>
                      <w:u w:val="single"/>
                      <w:vertAlign w:val="subscript"/>
                    </w:rPr>
                    <w:t>2</w:t>
                  </w:r>
                  <w:r>
                    <w:rPr>
                      <w:rFonts w:hint="eastAsia" w:ascii="宋体" w:hAnsi="宋体" w:eastAsia="宋体" w:cs="宋体"/>
                      <w:color w:val="0000FF"/>
                      <w:sz w:val="21"/>
                      <w:szCs w:val="21"/>
                      <w:u w:val="single"/>
                    </w:rPr>
                    <w:t>O</w:t>
                  </w:r>
                  <w:r>
                    <w:rPr>
                      <w:rFonts w:hint="eastAsia" w:ascii="宋体" w:hAnsi="宋体" w:eastAsia="宋体" w:cs="宋体"/>
                      <w:color w:val="0000FF"/>
                      <w:sz w:val="21"/>
                      <w:szCs w:val="21"/>
                      <w:u w:val="single"/>
                      <w:lang w:val="en-US" w:eastAsia="zh-CN"/>
                    </w:rPr>
                    <w:t>,则Ca</w:t>
                  </w:r>
                  <w:r>
                    <w:rPr>
                      <w:rFonts w:hint="eastAsia" w:ascii="宋体" w:hAnsi="宋体" w:eastAsia="宋体" w:cs="宋体"/>
                      <w:color w:val="0000FF"/>
                      <w:sz w:val="21"/>
                      <w:szCs w:val="21"/>
                      <w:u w:val="single"/>
                    </w:rPr>
                    <w:t>SO</w:t>
                  </w:r>
                  <w:r>
                    <w:rPr>
                      <w:rFonts w:hint="eastAsia" w:ascii="宋体" w:hAnsi="宋体" w:eastAsia="宋体" w:cs="宋体"/>
                      <w:color w:val="0000FF"/>
                      <w:sz w:val="21"/>
                      <w:szCs w:val="21"/>
                      <w:u w:val="single"/>
                      <w:vertAlign w:val="subscript"/>
                    </w:rPr>
                    <w:t>4</w:t>
                  </w:r>
                  <w:r>
                    <w:rPr>
                      <w:rFonts w:hint="eastAsia" w:ascii="宋体" w:hAnsi="宋体" w:eastAsia="宋体" w:cs="宋体"/>
                      <w:color w:val="0000FF"/>
                      <w:sz w:val="21"/>
                      <w:szCs w:val="21"/>
                      <w:u w:val="single"/>
                      <w:vertAlign w:val="baseline"/>
                      <w:lang w:val="en-US" w:eastAsia="zh-CN"/>
                    </w:rPr>
                    <w:t>产生量为</w:t>
                  </w:r>
                  <w:r>
                    <w:rPr>
                      <w:rFonts w:hint="eastAsia" w:ascii="宋体" w:hAnsi="宋体" w:cs="宋体"/>
                      <w:color w:val="0000FF"/>
                      <w:sz w:val="21"/>
                      <w:szCs w:val="21"/>
                      <w:u w:val="single"/>
                      <w:vertAlign w:val="baseline"/>
                      <w:lang w:val="en-US" w:eastAsia="zh-CN"/>
                    </w:rPr>
                    <w:t>14.78</w:t>
                  </w:r>
                  <w:r>
                    <w:rPr>
                      <w:rFonts w:hint="eastAsia"/>
                      <w:color w:val="0000FF"/>
                      <w:sz w:val="21"/>
                      <w:szCs w:val="21"/>
                      <w:u w:val="single"/>
                      <w:lang w:val="en-US" w:eastAsia="zh-CN"/>
                    </w:rPr>
                    <w:t>吨/天（4434吨/年），90%是废酸中和反应所得（含水率20%），10%是酸洗废水中和所得（含水率30-40%，本项目取34%）</w:t>
                  </w:r>
                </w:p>
              </w:tc>
            </w:tr>
          </w:tbl>
          <w:p w14:paraId="454B98F3">
            <w:pPr>
              <w:pStyle w:val="52"/>
              <w:keepNext w:val="0"/>
              <w:keepLines w:val="0"/>
              <w:pageBreakBefore w:val="0"/>
              <w:widowControl w:val="0"/>
              <w:kinsoku/>
              <w:wordWrap/>
              <w:overflowPunct/>
              <w:topLinePunct w:val="0"/>
              <w:autoSpaceDE/>
              <w:autoSpaceDN/>
              <w:bidi w:val="0"/>
              <w:adjustRightInd/>
              <w:snapToGrid/>
              <w:spacing w:line="240" w:lineRule="atLeast"/>
              <w:ind w:firstLine="2108" w:firstLineChars="1000"/>
              <w:textAlignment w:val="auto"/>
              <w:outlineLvl w:val="1"/>
              <w:rPr>
                <w:b/>
                <w:bCs/>
                <w:color w:val="000000" w:themeColor="text1"/>
                <w:spacing w:val="5"/>
                <w14:textFill>
                  <w14:solidFill>
                    <w14:schemeClr w14:val="tx1"/>
                  </w14:solidFill>
                </w14:textFill>
              </w:rPr>
            </w:pPr>
            <w:r>
              <w:rPr>
                <w:b/>
                <w:bCs/>
                <w:color w:val="000000" w:themeColor="text1"/>
                <w:spacing w:val="5"/>
                <w14:textFill>
                  <w14:solidFill>
                    <w14:schemeClr w14:val="tx1"/>
                  </w14:solidFill>
                </w14:textFill>
              </w:rPr>
              <w:t>表</w:t>
            </w:r>
            <w:r>
              <w:rPr>
                <w:color w:val="000000" w:themeColor="text1"/>
                <w:spacing w:val="-26"/>
                <w14:textFill>
                  <w14:solidFill>
                    <w14:schemeClr w14:val="tx1"/>
                  </w14:solidFill>
                </w14:textFill>
              </w:rPr>
              <w:t xml:space="preserve"> </w:t>
            </w:r>
            <w:r>
              <w:rPr>
                <w:rFonts w:ascii="Times New Roman" w:hAnsi="Times New Roman" w:eastAsia="Times New Roman" w:cs="Times New Roman"/>
                <w:b/>
                <w:bCs/>
                <w:color w:val="000000" w:themeColor="text1"/>
                <w:spacing w:val="5"/>
                <w14:textFill>
                  <w14:solidFill>
                    <w14:schemeClr w14:val="tx1"/>
                  </w14:solidFill>
                </w14:textFill>
              </w:rPr>
              <w:t xml:space="preserve">2-8    </w:t>
            </w:r>
            <w:r>
              <w:rPr>
                <w:b/>
                <w:bCs/>
                <w:color w:val="000000" w:themeColor="text1"/>
                <w:spacing w:val="5"/>
                <w14:textFill>
                  <w14:solidFill>
                    <w14:schemeClr w14:val="tx1"/>
                  </w14:solidFill>
                </w14:textFill>
              </w:rPr>
              <w:t>项目能源消耗情况一览表</w:t>
            </w:r>
          </w:p>
          <w:tbl>
            <w:tblPr>
              <w:tblStyle w:val="53"/>
              <w:tblW w:w="4998"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670"/>
              <w:gridCol w:w="920"/>
              <w:gridCol w:w="1240"/>
              <w:gridCol w:w="5016"/>
            </w:tblGrid>
            <w:tr w14:paraId="45F69FD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55" w:type="pct"/>
                  <w:tcBorders>
                    <w:tl2br w:val="nil"/>
                    <w:tr2bl w:val="nil"/>
                  </w:tcBorders>
                  <w:noWrap w:val="0"/>
                  <w:vAlign w:val="center"/>
                </w:tcPr>
                <w:p w14:paraId="0D281E3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序号</w:t>
                  </w:r>
                </w:p>
              </w:tc>
              <w:tc>
                <w:tcPr>
                  <w:tcW w:w="396" w:type="pct"/>
                  <w:tcBorders>
                    <w:tl2br w:val="nil"/>
                    <w:tr2bl w:val="nil"/>
                  </w:tcBorders>
                  <w:noWrap w:val="0"/>
                  <w:vAlign w:val="center"/>
                </w:tcPr>
                <w:p w14:paraId="1881D9C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名称</w:t>
                  </w:r>
                </w:p>
              </w:tc>
              <w:tc>
                <w:tcPr>
                  <w:tcW w:w="544" w:type="pct"/>
                  <w:tcBorders>
                    <w:tl2br w:val="nil"/>
                    <w:tr2bl w:val="nil"/>
                  </w:tcBorders>
                  <w:noWrap w:val="0"/>
                  <w:vAlign w:val="center"/>
                </w:tcPr>
                <w:p w14:paraId="08EF9FA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性质</w:t>
                  </w:r>
                </w:p>
              </w:tc>
              <w:tc>
                <w:tcPr>
                  <w:tcW w:w="734" w:type="pct"/>
                  <w:tcBorders>
                    <w:tl2br w:val="nil"/>
                    <w:tr2bl w:val="nil"/>
                  </w:tcBorders>
                  <w:noWrap w:val="0"/>
                  <w:vAlign w:val="center"/>
                </w:tcPr>
                <w:p w14:paraId="1BD425C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000000" w:themeColor="text1"/>
                      <w:sz w:val="18"/>
                      <w:szCs w:val="18"/>
                      <w14:textFill>
                        <w14:solidFill>
                          <w14:schemeClr w14:val="tx1"/>
                        </w14:solidFill>
                      </w14:textFill>
                    </w:rPr>
                  </w:pPr>
                  <w:r>
                    <w:rPr>
                      <w:color w:val="000000" w:themeColor="text1"/>
                      <w:spacing w:val="-3"/>
                      <w:sz w:val="18"/>
                      <w:szCs w:val="18"/>
                      <w14:textFill>
                        <w14:solidFill>
                          <w14:schemeClr w14:val="tx1"/>
                        </w14:solidFill>
                      </w14:textFill>
                    </w:rPr>
                    <w:t>本项目</w:t>
                  </w:r>
                </w:p>
              </w:tc>
              <w:tc>
                <w:tcPr>
                  <w:tcW w:w="2969" w:type="pct"/>
                  <w:tcBorders>
                    <w:tl2br w:val="nil"/>
                    <w:tr2bl w:val="nil"/>
                  </w:tcBorders>
                  <w:noWrap w:val="0"/>
                  <w:vAlign w:val="center"/>
                </w:tcPr>
                <w:p w14:paraId="0ECD4D7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来源</w:t>
                  </w:r>
                </w:p>
              </w:tc>
            </w:tr>
            <w:tr w14:paraId="3E67EE3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55" w:type="pct"/>
                  <w:vMerge w:val="restart"/>
                  <w:tcBorders>
                    <w:tl2br w:val="nil"/>
                    <w:tr2bl w:val="nil"/>
                  </w:tcBorders>
                  <w:noWrap w:val="0"/>
                  <w:vAlign w:val="center"/>
                </w:tcPr>
                <w:p w14:paraId="26642324">
                  <w:pPr>
                    <w:spacing w:before="231" w:line="188" w:lineRule="auto"/>
                    <w:jc w:val="center"/>
                    <w:rPr>
                      <w:rFonts w:ascii="Times New Roman" w:hAnsi="Times New Roman" w:eastAsia="Times New Roman" w:cs="Times New Roman"/>
                      <w:color w:val="000000" w:themeColor="text1"/>
                      <w:sz w:val="18"/>
                      <w:szCs w:val="18"/>
                      <w14:textFill>
                        <w14:solidFill>
                          <w14:schemeClr w14:val="tx1"/>
                        </w14:solidFill>
                      </w14:textFill>
                    </w:rPr>
                  </w:pPr>
                  <w:r>
                    <w:rPr>
                      <w:rFonts w:ascii="Times New Roman" w:hAnsi="Times New Roman" w:eastAsia="Times New Roman" w:cs="Times New Roman"/>
                      <w:color w:val="000000" w:themeColor="text1"/>
                      <w:sz w:val="18"/>
                      <w:szCs w:val="18"/>
                      <w14:textFill>
                        <w14:solidFill>
                          <w14:schemeClr w14:val="tx1"/>
                        </w14:solidFill>
                      </w14:textFill>
                    </w:rPr>
                    <w:t>1</w:t>
                  </w:r>
                </w:p>
              </w:tc>
              <w:tc>
                <w:tcPr>
                  <w:tcW w:w="396" w:type="pct"/>
                  <w:vMerge w:val="restart"/>
                  <w:tcBorders>
                    <w:tl2br w:val="nil"/>
                    <w:tr2bl w:val="nil"/>
                  </w:tcBorders>
                  <w:noWrap w:val="0"/>
                  <w:vAlign w:val="center"/>
                </w:tcPr>
                <w:p w14:paraId="02A64406">
                  <w:pPr>
                    <w:pStyle w:val="52"/>
                    <w:spacing w:before="202" w:line="219"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w:t>
                  </w:r>
                </w:p>
              </w:tc>
              <w:tc>
                <w:tcPr>
                  <w:tcW w:w="544" w:type="pct"/>
                  <w:tcBorders>
                    <w:tl2br w:val="nil"/>
                    <w:tr2bl w:val="nil"/>
                  </w:tcBorders>
                  <w:noWrap w:val="0"/>
                  <w:vAlign w:val="center"/>
                </w:tcPr>
                <w:p w14:paraId="642E7BCD">
                  <w:pPr>
                    <w:pStyle w:val="52"/>
                    <w:spacing w:before="58" w:line="217" w:lineRule="auto"/>
                    <w:jc w:val="center"/>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生产</w:t>
                  </w:r>
                </w:p>
              </w:tc>
              <w:tc>
                <w:tcPr>
                  <w:tcW w:w="734" w:type="pct"/>
                  <w:tcBorders>
                    <w:tl2br w:val="nil"/>
                    <w:tr2bl w:val="nil"/>
                  </w:tcBorders>
                  <w:noWrap w:val="0"/>
                  <w:vAlign w:val="center"/>
                </w:tcPr>
                <w:p w14:paraId="59AAD5BD">
                  <w:pPr>
                    <w:spacing w:before="74" w:line="206" w:lineRule="auto"/>
                    <w:jc w:val="center"/>
                    <w:rPr>
                      <w:rFonts w:ascii="Times New Roman" w:hAnsi="Times New Roman" w:eastAsia="Times New Roman" w:cs="Times New Roman"/>
                      <w:color w:val="000000" w:themeColor="text1"/>
                      <w:sz w:val="18"/>
                      <w:szCs w:val="18"/>
                      <w:highlight w:val="none"/>
                      <w14:textFill>
                        <w14:solidFill>
                          <w14:schemeClr w14:val="tx1"/>
                        </w14:solidFill>
                      </w14:textFill>
                    </w:rPr>
                  </w:pPr>
                  <w:r>
                    <w:rPr>
                      <w:rFonts w:hint="eastAsia" w:eastAsia="宋体" w:cs="Times New Roman"/>
                      <w:color w:val="000000" w:themeColor="text1"/>
                      <w:spacing w:val="-3"/>
                      <w:sz w:val="18"/>
                      <w:szCs w:val="18"/>
                      <w:highlight w:val="none"/>
                      <w:lang w:val="en-US" w:eastAsia="zh-CN"/>
                      <w14:textFill>
                        <w14:solidFill>
                          <w14:schemeClr w14:val="tx1"/>
                        </w14:solidFill>
                      </w14:textFill>
                    </w:rPr>
                    <w:t>115800</w:t>
                  </w:r>
                  <w:r>
                    <w:rPr>
                      <w:rFonts w:ascii="Times New Roman" w:hAnsi="Times New Roman" w:eastAsia="Times New Roman" w:cs="Times New Roman"/>
                      <w:color w:val="000000" w:themeColor="text1"/>
                      <w:spacing w:val="-3"/>
                      <w:sz w:val="18"/>
                      <w:szCs w:val="18"/>
                      <w:highlight w:val="none"/>
                      <w14:textFill>
                        <w14:solidFill>
                          <w14:schemeClr w14:val="tx1"/>
                        </w14:solidFill>
                      </w14:textFill>
                    </w:rPr>
                    <w:t>m</w:t>
                  </w:r>
                  <w:r>
                    <w:rPr>
                      <w:rFonts w:ascii="Times New Roman" w:hAnsi="Times New Roman" w:eastAsia="Times New Roman" w:cs="Times New Roman"/>
                      <w:color w:val="000000" w:themeColor="text1"/>
                      <w:spacing w:val="-3"/>
                      <w:position w:val="5"/>
                      <w:sz w:val="11"/>
                      <w:szCs w:val="11"/>
                      <w:highlight w:val="none"/>
                      <w14:textFill>
                        <w14:solidFill>
                          <w14:schemeClr w14:val="tx1"/>
                        </w14:solidFill>
                      </w14:textFill>
                    </w:rPr>
                    <w:t>3</w:t>
                  </w:r>
                  <w:r>
                    <w:rPr>
                      <w:rFonts w:ascii="Times New Roman" w:hAnsi="Times New Roman" w:eastAsia="Times New Roman" w:cs="Times New Roman"/>
                      <w:color w:val="000000" w:themeColor="text1"/>
                      <w:spacing w:val="-3"/>
                      <w:sz w:val="18"/>
                      <w:szCs w:val="18"/>
                      <w:highlight w:val="none"/>
                      <w14:textFill>
                        <w14:solidFill>
                          <w14:schemeClr w14:val="tx1"/>
                        </w14:solidFill>
                      </w14:textFill>
                    </w:rPr>
                    <w:t>/a</w:t>
                  </w:r>
                </w:p>
              </w:tc>
              <w:tc>
                <w:tcPr>
                  <w:tcW w:w="2969" w:type="pct"/>
                  <w:vMerge w:val="restart"/>
                  <w:tcBorders>
                    <w:tl2br w:val="nil"/>
                    <w:tr2bl w:val="nil"/>
                  </w:tcBorders>
                  <w:noWrap w:val="0"/>
                  <w:vAlign w:val="center"/>
                </w:tcPr>
                <w:p w14:paraId="1514CA25">
                  <w:pPr>
                    <w:pStyle w:val="52"/>
                    <w:spacing w:before="202" w:line="219" w:lineRule="auto"/>
                    <w:jc w:val="center"/>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市政管网供给新鲜水</w:t>
                  </w:r>
                </w:p>
              </w:tc>
            </w:tr>
            <w:tr w14:paraId="2C78FBA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55" w:type="pct"/>
                  <w:vMerge w:val="continue"/>
                  <w:tcBorders>
                    <w:tl2br w:val="nil"/>
                    <w:tr2bl w:val="nil"/>
                  </w:tcBorders>
                  <w:noWrap w:val="0"/>
                  <w:vAlign w:val="center"/>
                </w:tcPr>
                <w:p w14:paraId="2E03FE35">
                  <w:pPr>
                    <w:jc w:val="center"/>
                    <w:rPr>
                      <w:rFonts w:ascii="Arial"/>
                      <w:color w:val="000000" w:themeColor="text1"/>
                      <w:sz w:val="21"/>
                      <w14:textFill>
                        <w14:solidFill>
                          <w14:schemeClr w14:val="tx1"/>
                        </w14:solidFill>
                      </w14:textFill>
                    </w:rPr>
                  </w:pPr>
                </w:p>
              </w:tc>
              <w:tc>
                <w:tcPr>
                  <w:tcW w:w="396" w:type="pct"/>
                  <w:vMerge w:val="continue"/>
                  <w:tcBorders>
                    <w:tl2br w:val="nil"/>
                    <w:tr2bl w:val="nil"/>
                  </w:tcBorders>
                  <w:noWrap w:val="0"/>
                  <w:vAlign w:val="center"/>
                </w:tcPr>
                <w:p w14:paraId="1D2F9FD3">
                  <w:pPr>
                    <w:jc w:val="center"/>
                    <w:rPr>
                      <w:rFonts w:ascii="Arial"/>
                      <w:color w:val="000000" w:themeColor="text1"/>
                      <w:sz w:val="21"/>
                      <w14:textFill>
                        <w14:solidFill>
                          <w14:schemeClr w14:val="tx1"/>
                        </w14:solidFill>
                      </w14:textFill>
                    </w:rPr>
                  </w:pPr>
                </w:p>
              </w:tc>
              <w:tc>
                <w:tcPr>
                  <w:tcW w:w="544" w:type="pct"/>
                  <w:tcBorders>
                    <w:tl2br w:val="nil"/>
                    <w:tr2bl w:val="nil"/>
                  </w:tcBorders>
                  <w:noWrap w:val="0"/>
                  <w:vAlign w:val="center"/>
                </w:tcPr>
                <w:p w14:paraId="4EC67C15">
                  <w:pPr>
                    <w:pStyle w:val="52"/>
                    <w:spacing w:before="59" w:line="216" w:lineRule="auto"/>
                    <w:jc w:val="center"/>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生活</w:t>
                  </w:r>
                </w:p>
              </w:tc>
              <w:tc>
                <w:tcPr>
                  <w:tcW w:w="734" w:type="pct"/>
                  <w:tcBorders>
                    <w:tl2br w:val="nil"/>
                    <w:tr2bl w:val="nil"/>
                  </w:tcBorders>
                  <w:noWrap w:val="0"/>
                  <w:vAlign w:val="center"/>
                </w:tcPr>
                <w:p w14:paraId="4D23126D">
                  <w:pPr>
                    <w:spacing w:before="74" w:line="206" w:lineRule="auto"/>
                    <w:jc w:val="center"/>
                    <w:rPr>
                      <w:rFonts w:ascii="Times New Roman" w:hAnsi="Times New Roman" w:eastAsia="Times New Roman" w:cs="Times New Roman"/>
                      <w:color w:val="000000" w:themeColor="text1"/>
                      <w:sz w:val="18"/>
                      <w:szCs w:val="18"/>
                      <w:highlight w:val="none"/>
                      <w14:textFill>
                        <w14:solidFill>
                          <w14:schemeClr w14:val="tx1"/>
                        </w14:solidFill>
                      </w14:textFill>
                    </w:rPr>
                  </w:pPr>
                  <w:r>
                    <w:rPr>
                      <w:rFonts w:hint="eastAsia" w:eastAsia="宋体" w:cs="Times New Roman"/>
                      <w:color w:val="000000" w:themeColor="text1"/>
                      <w:spacing w:val="-3"/>
                      <w:sz w:val="18"/>
                      <w:szCs w:val="18"/>
                      <w:highlight w:val="none"/>
                      <w:lang w:val="en-US" w:eastAsia="zh-CN"/>
                      <w14:textFill>
                        <w14:solidFill>
                          <w14:schemeClr w14:val="tx1"/>
                        </w14:solidFill>
                      </w14:textFill>
                    </w:rPr>
                    <w:t>690</w:t>
                  </w:r>
                  <w:r>
                    <w:rPr>
                      <w:rFonts w:ascii="Times New Roman" w:hAnsi="Times New Roman" w:eastAsia="Times New Roman" w:cs="Times New Roman"/>
                      <w:color w:val="000000" w:themeColor="text1"/>
                      <w:spacing w:val="-3"/>
                      <w:sz w:val="18"/>
                      <w:szCs w:val="18"/>
                      <w:highlight w:val="none"/>
                      <w14:textFill>
                        <w14:solidFill>
                          <w14:schemeClr w14:val="tx1"/>
                        </w14:solidFill>
                      </w14:textFill>
                    </w:rPr>
                    <w:t>m</w:t>
                  </w:r>
                  <w:r>
                    <w:rPr>
                      <w:rFonts w:ascii="Times New Roman" w:hAnsi="Times New Roman" w:eastAsia="Times New Roman" w:cs="Times New Roman"/>
                      <w:color w:val="000000" w:themeColor="text1"/>
                      <w:spacing w:val="-3"/>
                      <w:position w:val="5"/>
                      <w:sz w:val="11"/>
                      <w:szCs w:val="11"/>
                      <w:highlight w:val="none"/>
                      <w14:textFill>
                        <w14:solidFill>
                          <w14:schemeClr w14:val="tx1"/>
                        </w14:solidFill>
                      </w14:textFill>
                    </w:rPr>
                    <w:t>3</w:t>
                  </w:r>
                  <w:r>
                    <w:rPr>
                      <w:rFonts w:ascii="Times New Roman" w:hAnsi="Times New Roman" w:eastAsia="Times New Roman" w:cs="Times New Roman"/>
                      <w:color w:val="000000" w:themeColor="text1"/>
                      <w:spacing w:val="-3"/>
                      <w:sz w:val="18"/>
                      <w:szCs w:val="18"/>
                      <w:highlight w:val="none"/>
                      <w14:textFill>
                        <w14:solidFill>
                          <w14:schemeClr w14:val="tx1"/>
                        </w14:solidFill>
                      </w14:textFill>
                    </w:rPr>
                    <w:t>/a</w:t>
                  </w:r>
                </w:p>
              </w:tc>
              <w:tc>
                <w:tcPr>
                  <w:tcW w:w="2969" w:type="pct"/>
                  <w:vMerge w:val="continue"/>
                  <w:tcBorders>
                    <w:tl2br w:val="nil"/>
                    <w:tr2bl w:val="nil"/>
                  </w:tcBorders>
                  <w:noWrap w:val="0"/>
                  <w:vAlign w:val="center"/>
                </w:tcPr>
                <w:p w14:paraId="3FEF57F7">
                  <w:pPr>
                    <w:jc w:val="center"/>
                    <w:rPr>
                      <w:rFonts w:ascii="Arial"/>
                      <w:color w:val="000000" w:themeColor="text1"/>
                      <w:sz w:val="21"/>
                      <w14:textFill>
                        <w14:solidFill>
                          <w14:schemeClr w14:val="tx1"/>
                        </w14:solidFill>
                      </w14:textFill>
                    </w:rPr>
                  </w:pPr>
                </w:p>
              </w:tc>
            </w:tr>
            <w:tr w14:paraId="0189611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355" w:type="pct"/>
                  <w:tcBorders>
                    <w:tl2br w:val="nil"/>
                    <w:tr2bl w:val="nil"/>
                  </w:tcBorders>
                  <w:noWrap w:val="0"/>
                  <w:vAlign w:val="center"/>
                </w:tcPr>
                <w:p w14:paraId="1203D1ED">
                  <w:pPr>
                    <w:spacing w:before="105" w:line="188" w:lineRule="auto"/>
                    <w:jc w:val="center"/>
                    <w:rPr>
                      <w:rFonts w:ascii="Times New Roman" w:hAnsi="Times New Roman" w:eastAsia="Times New Roman" w:cs="Times New Roman"/>
                      <w:color w:val="000000" w:themeColor="text1"/>
                      <w:sz w:val="18"/>
                      <w:szCs w:val="18"/>
                      <w14:textFill>
                        <w14:solidFill>
                          <w14:schemeClr w14:val="tx1"/>
                        </w14:solidFill>
                      </w14:textFill>
                    </w:rPr>
                  </w:pPr>
                  <w:r>
                    <w:rPr>
                      <w:rFonts w:ascii="Times New Roman" w:hAnsi="Times New Roman" w:eastAsia="Times New Roman" w:cs="Times New Roman"/>
                      <w:color w:val="000000" w:themeColor="text1"/>
                      <w:sz w:val="18"/>
                      <w:szCs w:val="18"/>
                      <w14:textFill>
                        <w14:solidFill>
                          <w14:schemeClr w14:val="tx1"/>
                        </w14:solidFill>
                      </w14:textFill>
                    </w:rPr>
                    <w:t>2</w:t>
                  </w:r>
                </w:p>
              </w:tc>
              <w:tc>
                <w:tcPr>
                  <w:tcW w:w="396" w:type="pct"/>
                  <w:tcBorders>
                    <w:tl2br w:val="nil"/>
                    <w:tr2bl w:val="nil"/>
                  </w:tcBorders>
                  <w:noWrap w:val="0"/>
                  <w:vAlign w:val="center"/>
                </w:tcPr>
                <w:p w14:paraId="1678C611">
                  <w:pPr>
                    <w:pStyle w:val="52"/>
                    <w:spacing w:before="74" w:line="225"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电</w:t>
                  </w:r>
                </w:p>
              </w:tc>
              <w:tc>
                <w:tcPr>
                  <w:tcW w:w="544" w:type="pct"/>
                  <w:tcBorders>
                    <w:tl2br w:val="nil"/>
                    <w:tr2bl w:val="nil"/>
                  </w:tcBorders>
                  <w:noWrap w:val="0"/>
                  <w:vAlign w:val="center"/>
                </w:tcPr>
                <w:p w14:paraId="55885C1D">
                  <w:pPr>
                    <w:pStyle w:val="52"/>
                    <w:spacing w:before="74" w:line="219" w:lineRule="auto"/>
                    <w:jc w:val="center"/>
                    <w:rPr>
                      <w:color w:val="000000" w:themeColor="text1"/>
                      <w:sz w:val="18"/>
                      <w:szCs w:val="18"/>
                      <w14:textFill>
                        <w14:solidFill>
                          <w14:schemeClr w14:val="tx1"/>
                        </w14:solidFill>
                      </w14:textFill>
                    </w:rPr>
                  </w:pPr>
                  <w:r>
                    <w:rPr>
                      <w:color w:val="000000" w:themeColor="text1"/>
                      <w:spacing w:val="-2"/>
                      <w:sz w:val="18"/>
                      <w:szCs w:val="18"/>
                      <w14:textFill>
                        <w14:solidFill>
                          <w14:schemeClr w14:val="tx1"/>
                        </w14:solidFill>
                      </w14:textFill>
                    </w:rPr>
                    <w:t>生产、生活</w:t>
                  </w:r>
                </w:p>
              </w:tc>
              <w:tc>
                <w:tcPr>
                  <w:tcW w:w="734" w:type="pct"/>
                  <w:tcBorders>
                    <w:tl2br w:val="nil"/>
                    <w:tr2bl w:val="nil"/>
                  </w:tcBorders>
                  <w:noWrap w:val="0"/>
                  <w:vAlign w:val="center"/>
                </w:tcPr>
                <w:p w14:paraId="49B03CE3">
                  <w:pPr>
                    <w:pStyle w:val="52"/>
                    <w:spacing w:before="74" w:line="220" w:lineRule="auto"/>
                    <w:jc w:val="center"/>
                    <w:rPr>
                      <w:rFonts w:ascii="Times New Roman" w:hAnsi="Times New Roman" w:eastAsia="Times New Roman" w:cs="Times New Roman"/>
                      <w:color w:val="000000" w:themeColor="text1"/>
                      <w:sz w:val="18"/>
                      <w:szCs w:val="18"/>
                      <w:highlight w:val="yellow"/>
                      <w14:textFill>
                        <w14:solidFill>
                          <w14:schemeClr w14:val="tx1"/>
                        </w14:solidFill>
                      </w14:textFill>
                    </w:rPr>
                  </w:pPr>
                  <w:r>
                    <w:rPr>
                      <w:rFonts w:hint="eastAsia" w:ascii="Times New Roman" w:hAnsi="Times New Roman" w:eastAsia="宋体" w:cs="Times New Roman"/>
                      <w:color w:val="000000" w:themeColor="text1"/>
                      <w:spacing w:val="-4"/>
                      <w:sz w:val="18"/>
                      <w:szCs w:val="18"/>
                      <w:highlight w:val="none"/>
                      <w:lang w:val="en-US" w:eastAsia="zh-CN"/>
                      <w14:textFill>
                        <w14:solidFill>
                          <w14:schemeClr w14:val="tx1"/>
                        </w14:solidFill>
                      </w14:textFill>
                    </w:rPr>
                    <w:t>8</w:t>
                  </w:r>
                  <w:r>
                    <w:rPr>
                      <w:rFonts w:ascii="Times New Roman" w:hAnsi="Times New Roman" w:eastAsia="Times New Roman" w:cs="Times New Roman"/>
                      <w:color w:val="000000" w:themeColor="text1"/>
                      <w:spacing w:val="-4"/>
                      <w:sz w:val="18"/>
                      <w:szCs w:val="18"/>
                      <w:highlight w:val="none"/>
                      <w14:textFill>
                        <w14:solidFill>
                          <w14:schemeClr w14:val="tx1"/>
                        </w14:solidFill>
                      </w14:textFill>
                    </w:rPr>
                    <w:t>00</w:t>
                  </w:r>
                  <w:r>
                    <w:rPr>
                      <w:color w:val="000000" w:themeColor="text1"/>
                      <w:spacing w:val="-4"/>
                      <w:sz w:val="18"/>
                      <w:szCs w:val="18"/>
                      <w:highlight w:val="none"/>
                      <w14:textFill>
                        <w14:solidFill>
                          <w14:schemeClr w14:val="tx1"/>
                        </w14:solidFill>
                      </w14:textFill>
                    </w:rPr>
                    <w:t>万</w:t>
                  </w:r>
                  <w:r>
                    <w:rPr>
                      <w:color w:val="000000" w:themeColor="text1"/>
                      <w:spacing w:val="-46"/>
                      <w:sz w:val="18"/>
                      <w:szCs w:val="18"/>
                      <w:highlight w:val="none"/>
                      <w14:textFill>
                        <w14:solidFill>
                          <w14:schemeClr w14:val="tx1"/>
                        </w14:solidFill>
                      </w14:textFill>
                    </w:rPr>
                    <w:t xml:space="preserve"> </w:t>
                  </w:r>
                  <w:r>
                    <w:rPr>
                      <w:rFonts w:ascii="Times New Roman" w:hAnsi="Times New Roman" w:eastAsia="Times New Roman" w:cs="Times New Roman"/>
                      <w:color w:val="000000" w:themeColor="text1"/>
                      <w:spacing w:val="-4"/>
                      <w:sz w:val="18"/>
                      <w:szCs w:val="18"/>
                      <w:highlight w:val="none"/>
                      <w14:textFill>
                        <w14:solidFill>
                          <w14:schemeClr w14:val="tx1"/>
                        </w14:solidFill>
                      </w14:textFill>
                    </w:rPr>
                    <w:t>kW</w:t>
                  </w:r>
                  <w:r>
                    <w:rPr>
                      <w:color w:val="000000" w:themeColor="text1"/>
                      <w:position w:val="5"/>
                      <w:sz w:val="18"/>
                      <w:szCs w:val="18"/>
                      <w:highlight w:val="none"/>
                      <w14:textFill>
                        <w14:solidFill>
                          <w14:schemeClr w14:val="tx1"/>
                        </w14:solidFill>
                      </w14:textFill>
                    </w:rPr>
                    <w:drawing>
                      <wp:inline distT="0" distB="0" distL="114300" distR="114300">
                        <wp:extent cx="35560" cy="17145"/>
                        <wp:effectExtent l="0" t="0" r="2540" b="1905"/>
                        <wp:docPr id="57" name="IM 16"/>
                        <wp:cNvGraphicFramePr/>
                        <a:graphic xmlns:a="http://schemas.openxmlformats.org/drawingml/2006/main">
                          <a:graphicData uri="http://schemas.openxmlformats.org/drawingml/2006/picture">
                            <pic:pic xmlns:pic="http://schemas.openxmlformats.org/drawingml/2006/picture">
                              <pic:nvPicPr>
                                <pic:cNvPr id="57" name="IM 16"/>
                                <pic:cNvPicPr/>
                              </pic:nvPicPr>
                              <pic:blipFill>
                                <a:blip r:embed="rId12"/>
                                <a:stretch>
                                  <a:fillRect/>
                                </a:stretch>
                              </pic:blipFill>
                              <pic:spPr>
                                <a:xfrm>
                                  <a:off x="0" y="0"/>
                                  <a:ext cx="35560" cy="17145"/>
                                </a:xfrm>
                                <a:prstGeom prst="rect">
                                  <a:avLst/>
                                </a:prstGeom>
                                <a:noFill/>
                                <a:ln>
                                  <a:noFill/>
                                </a:ln>
                              </pic:spPr>
                            </pic:pic>
                          </a:graphicData>
                        </a:graphic>
                      </wp:inline>
                    </w:drawing>
                  </w:r>
                  <w:r>
                    <w:rPr>
                      <w:rFonts w:ascii="Times New Roman" w:hAnsi="Times New Roman" w:eastAsia="Times New Roman" w:cs="Times New Roman"/>
                      <w:color w:val="000000" w:themeColor="text1"/>
                      <w:spacing w:val="-4"/>
                      <w:sz w:val="18"/>
                      <w:szCs w:val="18"/>
                      <w:highlight w:val="none"/>
                      <w14:textFill>
                        <w14:solidFill>
                          <w14:schemeClr w14:val="tx1"/>
                        </w14:solidFill>
                      </w14:textFill>
                    </w:rPr>
                    <w:t>h/a</w:t>
                  </w:r>
                </w:p>
              </w:tc>
              <w:tc>
                <w:tcPr>
                  <w:tcW w:w="2969" w:type="pct"/>
                  <w:tcBorders>
                    <w:tl2br w:val="nil"/>
                    <w:tr2bl w:val="nil"/>
                  </w:tcBorders>
                  <w:noWrap w:val="0"/>
                  <w:vAlign w:val="center"/>
                </w:tcPr>
                <w:p w14:paraId="27E8B394">
                  <w:pPr>
                    <w:pStyle w:val="52"/>
                    <w:spacing w:before="73" w:line="219" w:lineRule="auto"/>
                    <w:jc w:val="center"/>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园区供电系统</w:t>
                  </w:r>
                </w:p>
              </w:tc>
            </w:tr>
            <w:tr w14:paraId="735C717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355" w:type="pct"/>
                  <w:tcBorders>
                    <w:tl2br w:val="nil"/>
                    <w:tr2bl w:val="nil"/>
                  </w:tcBorders>
                  <w:noWrap w:val="0"/>
                  <w:vAlign w:val="center"/>
                </w:tcPr>
                <w:p w14:paraId="73AFF3E8">
                  <w:pPr>
                    <w:spacing w:before="51" w:line="188" w:lineRule="auto"/>
                    <w:jc w:val="center"/>
                    <w:rPr>
                      <w:rFonts w:ascii="Times New Roman" w:hAnsi="Times New Roman" w:eastAsia="Times New Roman" w:cs="Times New Roman"/>
                      <w:color w:val="000000" w:themeColor="text1"/>
                      <w:sz w:val="18"/>
                      <w:szCs w:val="18"/>
                      <w14:textFill>
                        <w14:solidFill>
                          <w14:schemeClr w14:val="tx1"/>
                        </w14:solidFill>
                      </w14:textFill>
                    </w:rPr>
                  </w:pPr>
                  <w:r>
                    <w:rPr>
                      <w:rFonts w:ascii="Times New Roman" w:hAnsi="Times New Roman" w:eastAsia="Times New Roman" w:cs="Times New Roman"/>
                      <w:color w:val="000000" w:themeColor="text1"/>
                      <w:sz w:val="18"/>
                      <w:szCs w:val="18"/>
                      <w14:textFill>
                        <w14:solidFill>
                          <w14:schemeClr w14:val="tx1"/>
                        </w14:solidFill>
                      </w14:textFill>
                    </w:rPr>
                    <w:t>3</w:t>
                  </w:r>
                </w:p>
              </w:tc>
              <w:tc>
                <w:tcPr>
                  <w:tcW w:w="396" w:type="pct"/>
                  <w:tcBorders>
                    <w:tl2br w:val="nil"/>
                    <w:tr2bl w:val="nil"/>
                  </w:tcBorders>
                  <w:noWrap w:val="0"/>
                  <w:vAlign w:val="center"/>
                </w:tcPr>
                <w:p w14:paraId="6690DF2A">
                  <w:pPr>
                    <w:pStyle w:val="52"/>
                    <w:spacing w:before="58" w:line="220" w:lineRule="auto"/>
                    <w:jc w:val="center"/>
                    <w:rPr>
                      <w:color w:val="000000" w:themeColor="text1"/>
                      <w:sz w:val="18"/>
                      <w:szCs w:val="18"/>
                      <w14:textFill>
                        <w14:solidFill>
                          <w14:schemeClr w14:val="tx1"/>
                        </w14:solidFill>
                      </w14:textFill>
                    </w:rPr>
                  </w:pPr>
                  <w:r>
                    <w:rPr>
                      <w:color w:val="000000" w:themeColor="text1"/>
                      <w:spacing w:val="-4"/>
                      <w:sz w:val="18"/>
                      <w:szCs w:val="18"/>
                      <w14:textFill>
                        <w14:solidFill>
                          <w14:schemeClr w14:val="tx1"/>
                        </w14:solidFill>
                      </w14:textFill>
                    </w:rPr>
                    <w:t>天然气</w:t>
                  </w:r>
                </w:p>
              </w:tc>
              <w:tc>
                <w:tcPr>
                  <w:tcW w:w="544" w:type="pct"/>
                  <w:tcBorders>
                    <w:tl2br w:val="nil"/>
                    <w:tr2bl w:val="nil"/>
                  </w:tcBorders>
                  <w:noWrap w:val="0"/>
                  <w:vAlign w:val="center"/>
                </w:tcPr>
                <w:p w14:paraId="537871F6">
                  <w:pPr>
                    <w:pStyle w:val="52"/>
                    <w:spacing w:before="59" w:line="219" w:lineRule="auto"/>
                    <w:jc w:val="center"/>
                    <w:rPr>
                      <w:color w:val="000000" w:themeColor="text1"/>
                      <w:sz w:val="18"/>
                      <w:szCs w:val="18"/>
                      <w14:textFill>
                        <w14:solidFill>
                          <w14:schemeClr w14:val="tx1"/>
                        </w14:solidFill>
                      </w14:textFill>
                    </w:rPr>
                  </w:pPr>
                  <w:r>
                    <w:rPr>
                      <w:color w:val="000000" w:themeColor="text1"/>
                      <w:spacing w:val="-5"/>
                      <w:sz w:val="18"/>
                      <w:szCs w:val="18"/>
                      <w14:textFill>
                        <w14:solidFill>
                          <w14:schemeClr w14:val="tx1"/>
                        </w14:solidFill>
                      </w14:textFill>
                    </w:rPr>
                    <w:t>生产</w:t>
                  </w:r>
                </w:p>
              </w:tc>
              <w:tc>
                <w:tcPr>
                  <w:tcW w:w="734" w:type="pct"/>
                  <w:tcBorders>
                    <w:tl2br w:val="nil"/>
                    <w:tr2bl w:val="nil"/>
                  </w:tcBorders>
                  <w:noWrap w:val="0"/>
                  <w:vAlign w:val="center"/>
                </w:tcPr>
                <w:p w14:paraId="4E05C90E">
                  <w:pPr>
                    <w:pStyle w:val="52"/>
                    <w:spacing w:before="58" w:line="220" w:lineRule="auto"/>
                    <w:jc w:val="center"/>
                    <w:rPr>
                      <w:rFonts w:ascii="Times New Roman" w:hAnsi="Times New Roman" w:eastAsia="Times New Roman" w:cs="Times New Roman"/>
                      <w:color w:val="000000" w:themeColor="text1"/>
                      <w:sz w:val="18"/>
                      <w:szCs w:val="18"/>
                      <w:highlight w:val="yellow"/>
                      <w14:textFill>
                        <w14:solidFill>
                          <w14:schemeClr w14:val="tx1"/>
                        </w14:solidFill>
                      </w14:textFill>
                    </w:rPr>
                  </w:pPr>
                  <w:r>
                    <w:rPr>
                      <w:rFonts w:hint="eastAsia" w:ascii="Times New Roman" w:hAnsi="Times New Roman" w:eastAsia="宋体" w:cs="Times New Roman"/>
                      <w:color w:val="000000" w:themeColor="text1"/>
                      <w:spacing w:val="-2"/>
                      <w:sz w:val="18"/>
                      <w:szCs w:val="18"/>
                      <w:highlight w:val="none"/>
                      <w:lang w:val="en-US" w:eastAsia="zh-CN"/>
                      <w14:textFill>
                        <w14:solidFill>
                          <w14:schemeClr w14:val="tx1"/>
                        </w14:solidFill>
                      </w14:textFill>
                    </w:rPr>
                    <w:t>20</w:t>
                  </w:r>
                  <w:r>
                    <w:rPr>
                      <w:color w:val="000000" w:themeColor="text1"/>
                      <w:spacing w:val="-2"/>
                      <w:sz w:val="18"/>
                      <w:szCs w:val="18"/>
                      <w:highlight w:val="none"/>
                      <w14:textFill>
                        <w14:solidFill>
                          <w14:schemeClr w14:val="tx1"/>
                        </w14:solidFill>
                      </w14:textFill>
                    </w:rPr>
                    <w:t>万</w:t>
                  </w:r>
                  <w:r>
                    <w:rPr>
                      <w:color w:val="000000" w:themeColor="text1"/>
                      <w:spacing w:val="-47"/>
                      <w:sz w:val="18"/>
                      <w:szCs w:val="18"/>
                      <w:highlight w:val="none"/>
                      <w14:textFill>
                        <w14:solidFill>
                          <w14:schemeClr w14:val="tx1"/>
                        </w14:solidFill>
                      </w14:textFill>
                    </w:rPr>
                    <w:t xml:space="preserve"> </w:t>
                  </w:r>
                  <w:r>
                    <w:rPr>
                      <w:rFonts w:ascii="Times New Roman" w:hAnsi="Times New Roman" w:eastAsia="Times New Roman" w:cs="Times New Roman"/>
                      <w:color w:val="000000" w:themeColor="text1"/>
                      <w:spacing w:val="-2"/>
                      <w:sz w:val="18"/>
                      <w:szCs w:val="18"/>
                      <w:highlight w:val="none"/>
                      <w14:textFill>
                        <w14:solidFill>
                          <w14:schemeClr w14:val="tx1"/>
                        </w14:solidFill>
                      </w14:textFill>
                    </w:rPr>
                    <w:t>Nm</w:t>
                  </w:r>
                  <w:r>
                    <w:rPr>
                      <w:rFonts w:ascii="Times New Roman" w:hAnsi="Times New Roman" w:eastAsia="Times New Roman" w:cs="Times New Roman"/>
                      <w:color w:val="000000" w:themeColor="text1"/>
                      <w:spacing w:val="-2"/>
                      <w:position w:val="5"/>
                      <w:sz w:val="11"/>
                      <w:szCs w:val="11"/>
                      <w:highlight w:val="none"/>
                      <w14:textFill>
                        <w14:solidFill>
                          <w14:schemeClr w14:val="tx1"/>
                        </w14:solidFill>
                      </w14:textFill>
                    </w:rPr>
                    <w:t>3</w:t>
                  </w:r>
                  <w:r>
                    <w:rPr>
                      <w:rFonts w:ascii="Times New Roman" w:hAnsi="Times New Roman" w:eastAsia="Times New Roman" w:cs="Times New Roman"/>
                      <w:color w:val="000000" w:themeColor="text1"/>
                      <w:spacing w:val="-2"/>
                      <w:sz w:val="18"/>
                      <w:szCs w:val="18"/>
                      <w:highlight w:val="none"/>
                      <w14:textFill>
                        <w14:solidFill>
                          <w14:schemeClr w14:val="tx1"/>
                        </w14:solidFill>
                      </w14:textFill>
                    </w:rPr>
                    <w:t>/a</w:t>
                  </w:r>
                </w:p>
              </w:tc>
              <w:tc>
                <w:tcPr>
                  <w:tcW w:w="2969" w:type="pct"/>
                  <w:tcBorders>
                    <w:tl2br w:val="nil"/>
                    <w:tr2bl w:val="nil"/>
                  </w:tcBorders>
                  <w:noWrap w:val="0"/>
                  <w:vAlign w:val="center"/>
                </w:tcPr>
                <w:p w14:paraId="3D2F6DE7">
                  <w:pPr>
                    <w:pStyle w:val="52"/>
                    <w:spacing w:before="39" w:line="219" w:lineRule="auto"/>
                    <w:ind w:firstLine="352" w:firstLineChars="200"/>
                    <w:jc w:val="both"/>
                    <w:rPr>
                      <w:rFonts w:hint="default" w:eastAsia="宋体"/>
                      <w:color w:val="000000" w:themeColor="text1"/>
                      <w:spacing w:val="-2"/>
                      <w:sz w:val="18"/>
                      <w:szCs w:val="18"/>
                      <w:lang w:val="en-US" w:eastAsia="zh-CN"/>
                      <w14:textFill>
                        <w14:solidFill>
                          <w14:schemeClr w14:val="tx1"/>
                        </w14:solidFill>
                      </w14:textFill>
                    </w:rPr>
                  </w:pPr>
                  <w:r>
                    <w:rPr>
                      <w:b w:val="0"/>
                      <w:bCs w:val="0"/>
                      <w:color w:val="000000" w:themeColor="text1"/>
                      <w:spacing w:val="-2"/>
                      <w:sz w:val="18"/>
                      <w:szCs w:val="18"/>
                      <w14:textFill>
                        <w14:solidFill>
                          <w14:schemeClr w14:val="tx1"/>
                        </w14:solidFill>
                      </w14:textFill>
                    </w:rPr>
                    <w:t>本</w:t>
                  </w:r>
                  <w:r>
                    <w:rPr>
                      <w:rFonts w:hint="eastAsia" w:ascii="宋体" w:hAnsi="宋体" w:eastAsia="宋体" w:cs="宋体"/>
                      <w:b w:val="0"/>
                      <w:bCs w:val="0"/>
                      <w:color w:val="000000" w:themeColor="text1"/>
                      <w:spacing w:val="-2"/>
                      <w:sz w:val="18"/>
                      <w:szCs w:val="18"/>
                      <w14:textFill>
                        <w14:solidFill>
                          <w14:schemeClr w14:val="tx1"/>
                        </w14:solidFill>
                      </w14:textFill>
                    </w:rPr>
                    <w:t>项目使用天然气来自园区集中供气管网，由国家管网集团大连液化天然气有限公司撬装</w:t>
                  </w:r>
                  <w:r>
                    <w:rPr>
                      <w:rFonts w:hint="eastAsia" w:ascii="宋体" w:hAnsi="宋体" w:eastAsia="宋体" w:cs="宋体"/>
                      <w:b w:val="0"/>
                      <w:bCs w:val="0"/>
                      <w:color w:val="000000" w:themeColor="text1"/>
                      <w:spacing w:val="-10"/>
                      <w:sz w:val="18"/>
                      <w:szCs w:val="18"/>
                      <w14:textFill>
                        <w14:solidFill>
                          <w14:schemeClr w14:val="tx1"/>
                        </w14:solidFill>
                      </w14:textFill>
                    </w:rPr>
                    <w:t>站提供，经管径</w:t>
                  </w:r>
                  <w:r>
                    <w:rPr>
                      <w:rFonts w:hint="eastAsia" w:ascii="宋体" w:hAnsi="宋体" w:eastAsia="宋体" w:cs="宋体"/>
                      <w:b w:val="0"/>
                      <w:bCs w:val="0"/>
                      <w:color w:val="000000" w:themeColor="text1"/>
                      <w:spacing w:val="-24"/>
                      <w:sz w:val="18"/>
                      <w:szCs w:val="18"/>
                      <w14:textFill>
                        <w14:solidFill>
                          <w14:schemeClr w14:val="tx1"/>
                        </w14:solidFill>
                      </w14:textFill>
                    </w:rPr>
                    <w:t xml:space="preserve"> </w:t>
                  </w:r>
                  <w:r>
                    <w:rPr>
                      <w:rFonts w:hint="eastAsia" w:ascii="宋体" w:hAnsi="宋体" w:eastAsia="宋体" w:cs="宋体"/>
                      <w:b w:val="0"/>
                      <w:bCs w:val="0"/>
                      <w:color w:val="000000" w:themeColor="text1"/>
                      <w:spacing w:val="-10"/>
                      <w:sz w:val="18"/>
                      <w:szCs w:val="18"/>
                      <w14:textFill>
                        <w14:solidFill>
                          <w14:schemeClr w14:val="tx1"/>
                        </w14:solidFill>
                      </w14:textFill>
                    </w:rPr>
                    <w:t>180mm</w:t>
                  </w:r>
                  <w:r>
                    <w:rPr>
                      <w:rFonts w:hint="eastAsia" w:ascii="宋体" w:hAnsi="宋体" w:eastAsia="宋体" w:cs="宋体"/>
                      <w:b w:val="0"/>
                      <w:bCs w:val="0"/>
                      <w:color w:val="000000" w:themeColor="text1"/>
                      <w:spacing w:val="24"/>
                      <w:w w:val="101"/>
                      <w:sz w:val="18"/>
                      <w:szCs w:val="18"/>
                      <w14:textFill>
                        <w14:solidFill>
                          <w14:schemeClr w14:val="tx1"/>
                        </w14:solidFill>
                      </w14:textFill>
                    </w:rPr>
                    <w:t xml:space="preserve"> </w:t>
                  </w:r>
                  <w:r>
                    <w:rPr>
                      <w:rFonts w:hint="eastAsia" w:ascii="宋体" w:hAnsi="宋体" w:eastAsia="宋体" w:cs="宋体"/>
                      <w:b w:val="0"/>
                      <w:bCs w:val="0"/>
                      <w:color w:val="000000" w:themeColor="text1"/>
                      <w:spacing w:val="-10"/>
                      <w:sz w:val="18"/>
                      <w:szCs w:val="18"/>
                      <w14:textFill>
                        <w14:solidFill>
                          <w14:schemeClr w14:val="tx1"/>
                        </w14:solidFill>
                      </w14:textFill>
                    </w:rPr>
                    <w:t>的管线</w:t>
                  </w:r>
                  <w:r>
                    <w:rPr>
                      <w:rFonts w:hint="eastAsia" w:ascii="宋体" w:hAnsi="宋体" w:eastAsia="宋体" w:cs="宋体"/>
                      <w:b w:val="0"/>
                      <w:bCs w:val="0"/>
                      <w:color w:val="000000" w:themeColor="text1"/>
                      <w:spacing w:val="-2"/>
                      <w:sz w:val="18"/>
                      <w:szCs w:val="18"/>
                      <w14:textFill>
                        <w14:solidFill>
                          <w14:schemeClr w14:val="tx1"/>
                        </w14:solidFill>
                      </w14:textFill>
                    </w:rPr>
                    <w:t>进入厂内。</w:t>
                  </w:r>
                  <w:r>
                    <w:rPr>
                      <w:rFonts w:hint="eastAsia" w:ascii="宋体" w:hAnsi="宋体" w:eastAsia="宋体" w:cs="宋体"/>
                      <w:b w:val="0"/>
                      <w:bCs w:val="0"/>
                      <w:i w:val="0"/>
                      <w:iCs w:val="0"/>
                      <w:caps w:val="0"/>
                      <w:color w:val="000000" w:themeColor="text1"/>
                      <w:spacing w:val="0"/>
                      <w:sz w:val="18"/>
                      <w:szCs w:val="18"/>
                      <w:shd w:val="clear" w:color="auto" w:fill="FFFFFF"/>
                      <w14:textFill>
                        <w14:solidFill>
                          <w14:schemeClr w14:val="tx1"/>
                        </w14:solidFill>
                      </w14:textFill>
                    </w:rPr>
                    <w:t>水的蒸发潜热约为 </w:t>
                  </w:r>
                  <w:r>
                    <w:rPr>
                      <w:rStyle w:val="26"/>
                      <w:rFonts w:hint="eastAsia" w:ascii="宋体" w:hAnsi="宋体" w:eastAsia="宋体" w:cs="宋体"/>
                      <w:b w:val="0"/>
                      <w:bCs w:val="0"/>
                      <w:i w:val="0"/>
                      <w:iCs w:val="0"/>
                      <w:caps w:val="0"/>
                      <w:color w:val="000000" w:themeColor="text1"/>
                      <w:spacing w:val="0"/>
                      <w:sz w:val="18"/>
                      <w:szCs w:val="18"/>
                      <w:shd w:val="clear" w:color="auto" w:fill="FFFFFF"/>
                      <w14:textFill>
                        <w14:solidFill>
                          <w14:schemeClr w14:val="tx1"/>
                        </w14:solidFill>
                      </w14:textFill>
                    </w:rPr>
                    <w:t>2260 kJ/kg标准天然气热值</w:t>
                  </w:r>
                  <w:r>
                    <w:rPr>
                      <w:rFonts w:hint="eastAsia" w:ascii="宋体" w:hAnsi="宋体" w:eastAsia="宋体" w:cs="宋体"/>
                      <w:b w:val="0"/>
                      <w:bCs w:val="0"/>
                      <w:i w:val="0"/>
                      <w:iCs w:val="0"/>
                      <w:caps w:val="0"/>
                      <w:color w:val="000000" w:themeColor="text1"/>
                      <w:spacing w:val="0"/>
                      <w:sz w:val="18"/>
                      <w:szCs w:val="18"/>
                      <w:shd w:val="clear" w:color="auto" w:fill="FFFFFF"/>
                      <w14:textFill>
                        <w14:solidFill>
                          <w14:schemeClr w14:val="tx1"/>
                        </w14:solidFill>
                      </w14:textFill>
                    </w:rPr>
                    <w:t>：约</w:t>
                  </w:r>
                  <w:r>
                    <w:rPr>
                      <w:rStyle w:val="26"/>
                      <w:rFonts w:hint="eastAsia" w:ascii="宋体" w:hAnsi="宋体" w:eastAsia="宋体" w:cs="宋体"/>
                      <w:b w:val="0"/>
                      <w:bCs w:val="0"/>
                      <w:i w:val="0"/>
                      <w:iCs w:val="0"/>
                      <w:caps w:val="0"/>
                      <w:color w:val="000000" w:themeColor="text1"/>
                      <w:spacing w:val="0"/>
                      <w:sz w:val="18"/>
                      <w:szCs w:val="18"/>
                      <w:shd w:val="clear" w:color="auto" w:fill="FFFFFF"/>
                      <w14:textFill>
                        <w14:solidFill>
                          <w14:schemeClr w14:val="tx1"/>
                        </w14:solidFill>
                      </w14:textFill>
                    </w:rPr>
                    <w:t>3</w:t>
                  </w:r>
                  <w:r>
                    <w:rPr>
                      <w:rStyle w:val="26"/>
                      <w:rFonts w:hint="eastAsia" w:ascii="宋体" w:hAnsi="宋体" w:eastAsia="宋体" w:cs="宋体"/>
                      <w:b w:val="0"/>
                      <w:bCs w:val="0"/>
                      <w:i w:val="0"/>
                      <w:iCs w:val="0"/>
                      <w:caps w:val="0"/>
                      <w:color w:val="000000" w:themeColor="text1"/>
                      <w:spacing w:val="0"/>
                      <w:sz w:val="18"/>
                      <w:szCs w:val="18"/>
                      <w:shd w:val="clear" w:color="auto" w:fill="FFFFFF"/>
                      <w:lang w:val="en-US" w:eastAsia="zh-CN"/>
                      <w14:textFill>
                        <w14:solidFill>
                          <w14:schemeClr w14:val="tx1"/>
                        </w14:solidFill>
                      </w14:textFill>
                    </w:rPr>
                    <w:t>6533</w:t>
                  </w:r>
                  <w:r>
                    <w:rPr>
                      <w:rStyle w:val="26"/>
                      <w:rFonts w:hint="eastAsia" w:ascii="宋体" w:hAnsi="宋体" w:eastAsia="宋体" w:cs="宋体"/>
                      <w:b w:val="0"/>
                      <w:bCs w:val="0"/>
                      <w:i w:val="0"/>
                      <w:iCs w:val="0"/>
                      <w:caps w:val="0"/>
                      <w:color w:val="000000" w:themeColor="text1"/>
                      <w:spacing w:val="0"/>
                      <w:sz w:val="18"/>
                      <w:szCs w:val="18"/>
                      <w:shd w:val="clear" w:color="auto" w:fill="FFFFFF"/>
                      <w14:textFill>
                        <w14:solidFill>
                          <w14:schemeClr w14:val="tx1"/>
                        </w14:solidFill>
                      </w14:textFill>
                    </w:rPr>
                    <w:t xml:space="preserve"> kJ/m³</w:t>
                  </w:r>
                  <w:r>
                    <w:rPr>
                      <w:rFonts w:hint="eastAsia" w:ascii="宋体" w:hAnsi="宋体" w:eastAsia="宋体" w:cs="宋体"/>
                      <w:b w:val="0"/>
                      <w:bCs w:val="0"/>
                      <w:i w:val="0"/>
                      <w:iCs w:val="0"/>
                      <w:caps w:val="0"/>
                      <w:color w:val="000000" w:themeColor="text1"/>
                      <w:spacing w:val="0"/>
                      <w:sz w:val="18"/>
                      <w:szCs w:val="18"/>
                      <w:shd w:val="clear" w:color="auto" w:fill="FFFFFF"/>
                      <w14:textFill>
                        <w14:solidFill>
                          <w14:schemeClr w14:val="tx1"/>
                        </w14:solidFill>
                      </w14:textFill>
                    </w:rPr>
                    <w:t>烘干系统的热效率（η）通常为</w:t>
                  </w:r>
                  <w:r>
                    <w:rPr>
                      <w:rStyle w:val="26"/>
                      <w:rFonts w:hint="eastAsia" w:ascii="宋体" w:hAnsi="宋体" w:eastAsia="宋体" w:cs="宋体"/>
                      <w:b w:val="0"/>
                      <w:bCs w:val="0"/>
                      <w:i w:val="0"/>
                      <w:iCs w:val="0"/>
                      <w:caps w:val="0"/>
                      <w:color w:val="000000" w:themeColor="text1"/>
                      <w:spacing w:val="0"/>
                      <w:sz w:val="18"/>
                      <w:szCs w:val="18"/>
                      <w:shd w:val="clear" w:color="auto" w:fill="FFFFFF"/>
                      <w:lang w:val="en-US" w:eastAsia="zh-CN"/>
                      <w14:textFill>
                        <w14:solidFill>
                          <w14:schemeClr w14:val="tx1"/>
                        </w14:solidFill>
                      </w14:textFill>
                    </w:rPr>
                    <w:t>75</w:t>
                  </w:r>
                  <w:r>
                    <w:rPr>
                      <w:rStyle w:val="26"/>
                      <w:rFonts w:hint="eastAsia" w:ascii="宋体" w:hAnsi="宋体" w:eastAsia="宋体" w:cs="宋体"/>
                      <w:b w:val="0"/>
                      <w:bCs w:val="0"/>
                      <w:i w:val="0"/>
                      <w:iCs w:val="0"/>
                      <w:caps w:val="0"/>
                      <w:color w:val="000000" w:themeColor="text1"/>
                      <w:spacing w:val="0"/>
                      <w:sz w:val="18"/>
                      <w:szCs w:val="18"/>
                      <w:shd w:val="clear" w:color="auto" w:fill="FFFFFF"/>
                      <w14:textFill>
                        <w14:solidFill>
                          <w14:schemeClr w14:val="tx1"/>
                        </w14:solidFill>
                      </w14:textFill>
                    </w:rPr>
                    <w:t>%</w:t>
                  </w:r>
                  <w:r>
                    <w:rPr>
                      <w:rStyle w:val="26"/>
                      <w:rFonts w:hint="eastAsia" w:ascii="宋体" w:hAnsi="宋体" w:eastAsia="宋体" w:cs="宋体"/>
                      <w:b w:val="0"/>
                      <w:bCs w:val="0"/>
                      <w:i w:val="0"/>
                      <w:iCs w:val="0"/>
                      <w:caps w:val="0"/>
                      <w:color w:val="000000" w:themeColor="text1"/>
                      <w:spacing w:val="0"/>
                      <w:sz w:val="18"/>
                      <w:szCs w:val="18"/>
                      <w:shd w:val="clear" w:color="auto" w:fill="FFFFFF"/>
                      <w:lang w:eastAsia="zh-CN"/>
                      <w14:textFill>
                        <w14:solidFill>
                          <w14:schemeClr w14:val="tx1"/>
                        </w14:solidFill>
                      </w14:textFill>
                    </w:rPr>
                    <w:t>，</w:t>
                  </w:r>
                  <w:r>
                    <w:rPr>
                      <w:rStyle w:val="26"/>
                      <w:rFonts w:hint="eastAsia" w:ascii="宋体" w:hAnsi="宋体" w:eastAsia="宋体" w:cs="宋体"/>
                      <w:b w:val="0"/>
                      <w:bCs w:val="0"/>
                      <w:i w:val="0"/>
                      <w:iCs w:val="0"/>
                      <w:caps w:val="0"/>
                      <w:color w:val="000000" w:themeColor="text1"/>
                      <w:spacing w:val="0"/>
                      <w:sz w:val="18"/>
                      <w:szCs w:val="18"/>
                      <w:shd w:val="clear" w:color="auto" w:fill="FFFFFF"/>
                      <w:lang w:val="en-US" w:eastAsia="zh-CN"/>
                      <w14:textFill>
                        <w14:solidFill>
                          <w14:schemeClr w14:val="tx1"/>
                        </w14:solidFill>
                      </w14:textFill>
                    </w:rPr>
                    <w:t>则本项目燃气量约为20万立</w:t>
                  </w:r>
                </w:p>
              </w:tc>
            </w:tr>
          </w:tbl>
          <w:p w14:paraId="7363565C">
            <w:pPr>
              <w:pStyle w:val="5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b/>
                <w:bCs/>
                <w:color w:val="000000" w:themeColor="text1"/>
                <w:spacing w:val="5"/>
                <w:highlight w:val="yellow"/>
                <w:lang w:val="en-US" w:eastAsia="zh-CN"/>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column">
                    <wp:posOffset>36195</wp:posOffset>
                  </wp:positionH>
                  <wp:positionV relativeFrom="paragraph">
                    <wp:posOffset>194310</wp:posOffset>
                  </wp:positionV>
                  <wp:extent cx="5192395" cy="1947545"/>
                  <wp:effectExtent l="0" t="0" r="4445" b="3175"/>
                  <wp:wrapNone/>
                  <wp:docPr id="1" name="IM 18"/>
                  <wp:cNvGraphicFramePr/>
                  <a:graphic xmlns:a="http://schemas.openxmlformats.org/drawingml/2006/main">
                    <a:graphicData uri="http://schemas.openxmlformats.org/drawingml/2006/picture">
                      <pic:pic xmlns:pic="http://schemas.openxmlformats.org/drawingml/2006/picture">
                        <pic:nvPicPr>
                          <pic:cNvPr id="1" name="IM 18"/>
                          <pic:cNvPicPr/>
                        </pic:nvPicPr>
                        <pic:blipFill>
                          <a:blip r:embed="rId13"/>
                          <a:stretch>
                            <a:fillRect/>
                          </a:stretch>
                        </pic:blipFill>
                        <pic:spPr>
                          <a:xfrm>
                            <a:off x="0" y="0"/>
                            <a:ext cx="5192395" cy="1947545"/>
                          </a:xfrm>
                          <a:prstGeom prst="rect">
                            <a:avLst/>
                          </a:prstGeom>
                          <a:noFill/>
                          <a:ln>
                            <a:noFill/>
                          </a:ln>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2057400</wp:posOffset>
                      </wp:positionH>
                      <wp:positionV relativeFrom="paragraph">
                        <wp:posOffset>219075</wp:posOffset>
                      </wp:positionV>
                      <wp:extent cx="556260" cy="499745"/>
                      <wp:effectExtent l="0" t="0" r="0" b="0"/>
                      <wp:wrapNone/>
                      <wp:docPr id="6" name="文本框 2"/>
                      <wp:cNvGraphicFramePr/>
                      <a:graphic xmlns:a="http://schemas.openxmlformats.org/drawingml/2006/main">
                        <a:graphicData uri="http://schemas.microsoft.com/office/word/2010/wordprocessingShape">
                          <wps:wsp>
                            <wps:cNvSpPr txBox="1"/>
                            <wps:spPr>
                              <a:xfrm>
                                <a:off x="0" y="0"/>
                                <a:ext cx="353060" cy="195580"/>
                              </a:xfrm>
                              <a:prstGeom prst="rect">
                                <a:avLst/>
                              </a:prstGeom>
                              <a:noFill/>
                              <a:ln>
                                <a:noFill/>
                              </a:ln>
                              <a:effectLst/>
                            </wps:spPr>
                            <wps:txbx>
                              <w:txbxContent>
                                <w:p w14:paraId="7C7F21A0">
                                  <w:pPr>
                                    <w:pStyle w:val="52"/>
                                    <w:spacing w:before="20" w:line="267" w:lineRule="exact"/>
                                    <w:ind w:left="20"/>
                                    <w:rPr>
                                      <w:rFonts w:hint="default"/>
                                      <w:spacing w:val="3"/>
                                      <w:position w:val="1"/>
                                      <w:lang w:val="en-US" w:eastAsia="zh-CN"/>
                                    </w:rPr>
                                  </w:pPr>
                                  <w:r>
                                    <w:rPr>
                                      <w:rFonts w:hint="eastAsia"/>
                                      <w:spacing w:val="3"/>
                                      <w:position w:val="1"/>
                                      <w:lang w:val="en-US" w:eastAsia="zh-CN"/>
                                    </w:rPr>
                                    <w:t>515.5</w:t>
                                  </w:r>
                                </w:p>
                                <w:p w14:paraId="447AC25F">
                                  <w:pPr>
                                    <w:pStyle w:val="52"/>
                                    <w:spacing w:before="20" w:line="267" w:lineRule="exact"/>
                                    <w:ind w:left="20"/>
                                    <w:rPr>
                                      <w:rFonts w:hint="eastAsia"/>
                                      <w:spacing w:val="3"/>
                                      <w:position w:val="1"/>
                                      <w:lang w:val="en-US" w:eastAsia="zh-CN"/>
                                    </w:rPr>
                                  </w:pPr>
                                </w:p>
                                <w:p w14:paraId="701E0E80">
                                  <w:pPr>
                                    <w:pStyle w:val="52"/>
                                    <w:spacing w:before="20" w:line="267" w:lineRule="exact"/>
                                    <w:ind w:left="20"/>
                                    <w:rPr>
                                      <w:rFonts w:hint="default"/>
                                      <w:spacing w:val="3"/>
                                      <w:position w:val="1"/>
                                      <w:lang w:val="en-US" w:eastAsia="zh-CN"/>
                                    </w:rPr>
                                  </w:pPr>
                                  <w:r>
                                    <w:rPr>
                                      <w:rFonts w:hint="eastAsia"/>
                                      <w:spacing w:val="3"/>
                                      <w:position w:val="1"/>
                                      <w:lang w:val="en-US" w:eastAsia="zh-CN"/>
                                    </w:rPr>
                                    <w:t>3582.866</w:t>
                                  </w:r>
                                </w:p>
                              </w:txbxContent>
                            </wps:txbx>
                            <wps:bodyPr vert="horz" wrap="square" lIns="0" tIns="0" rIns="0" bIns="0" anchor="t" anchorCtr="0" upright="1"/>
                          </wps:wsp>
                        </a:graphicData>
                      </a:graphic>
                    </wp:anchor>
                  </w:drawing>
                </mc:Choice>
                <mc:Fallback>
                  <w:pict>
                    <v:shape id="文本框 2" o:spid="_x0000_s1026" o:spt="202" type="#_x0000_t202" style="position:absolute;left:0pt;margin-left:162pt;margin-top:17.25pt;height:39.35pt;width:43.8pt;z-index:251664384;mso-width-relative:page;mso-height-relative:page;" filled="f" stroked="f" coordsize="21600,21600" o:gfxdata="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dTjDHZAAAACgEAAA8A&#10;AAAAAAAAAQAgAAAAIgAAAGRycy9kb3ducmV2LnhtbFBLAQIUABQAAAAIAIdO4kAciivj3QEAALID&#10;AAAOAAAAAAAAAAEAIAAAACgBAABkcnMvZTJvRG9jLnhtbFBLBQYAAAAABgAGAFkBAAB3BQAAAAA=&#10;">
                      <v:fill on="f" focussize="0,0"/>
                      <v:stroke on="f"/>
                      <v:imagedata o:title=""/>
                      <o:lock v:ext="edit" aspectratio="f"/>
                      <v:textbox inset="0mm,0mm,0mm,0mm">
                        <w:txbxContent>
                          <w:p w14:paraId="7C7F21A0">
                            <w:pPr>
                              <w:pStyle w:val="52"/>
                              <w:spacing w:before="20" w:line="267" w:lineRule="exact"/>
                              <w:ind w:left="20"/>
                              <w:rPr>
                                <w:rFonts w:hint="default"/>
                                <w:spacing w:val="3"/>
                                <w:position w:val="1"/>
                                <w:lang w:val="en-US" w:eastAsia="zh-CN"/>
                              </w:rPr>
                            </w:pPr>
                            <w:r>
                              <w:rPr>
                                <w:rFonts w:hint="eastAsia"/>
                                <w:spacing w:val="3"/>
                                <w:position w:val="1"/>
                                <w:lang w:val="en-US" w:eastAsia="zh-CN"/>
                              </w:rPr>
                              <w:t>515.5</w:t>
                            </w:r>
                          </w:p>
                          <w:p w14:paraId="447AC25F">
                            <w:pPr>
                              <w:pStyle w:val="52"/>
                              <w:spacing w:before="20" w:line="267" w:lineRule="exact"/>
                              <w:ind w:left="20"/>
                              <w:rPr>
                                <w:rFonts w:hint="eastAsia"/>
                                <w:spacing w:val="3"/>
                                <w:position w:val="1"/>
                                <w:lang w:val="en-US" w:eastAsia="zh-CN"/>
                              </w:rPr>
                            </w:pPr>
                          </w:p>
                          <w:p w14:paraId="701E0E80">
                            <w:pPr>
                              <w:pStyle w:val="52"/>
                              <w:spacing w:before="20" w:line="267" w:lineRule="exact"/>
                              <w:ind w:left="20"/>
                              <w:rPr>
                                <w:rFonts w:hint="default"/>
                                <w:spacing w:val="3"/>
                                <w:position w:val="1"/>
                                <w:lang w:val="en-US" w:eastAsia="zh-CN"/>
                              </w:rPr>
                            </w:pPr>
                            <w:r>
                              <w:rPr>
                                <w:rFonts w:hint="eastAsia"/>
                                <w:spacing w:val="3"/>
                                <w:position w:val="1"/>
                                <w:lang w:val="en-US" w:eastAsia="zh-CN"/>
                              </w:rPr>
                              <w:t>3582.866</w:t>
                            </w:r>
                          </w:p>
                        </w:txbxContent>
                      </v:textbox>
                    </v:shape>
                  </w:pict>
                </mc:Fallback>
              </mc:AlternateContent>
            </w:r>
            <w:r>
              <w:rPr>
                <w:rFonts w:hint="eastAsia"/>
                <w:b/>
                <w:bCs/>
                <w:color w:val="000000" w:themeColor="text1"/>
                <w:spacing w:val="5"/>
                <w:lang w:val="en-US" w:eastAsia="zh-CN"/>
                <w14:textFill>
                  <w14:solidFill>
                    <w14:schemeClr w14:val="tx1"/>
                  </w14:solidFill>
                </w14:textFill>
              </w:rPr>
              <w:t>注：</w:t>
            </w:r>
            <w:r>
              <w:rPr>
                <w:rFonts w:hint="eastAsia"/>
                <w:b/>
                <w:bCs/>
                <w:color w:val="000000" w:themeColor="text1"/>
                <w:spacing w:val="5"/>
                <w:highlight w:val="none"/>
                <w:lang w:val="en-US" w:eastAsia="zh-CN"/>
                <w14:textFill>
                  <w14:solidFill>
                    <w14:schemeClr w14:val="tx1"/>
                  </w14:solidFill>
                </w14:textFill>
              </w:rPr>
              <w:t>能源消耗248.8千克标煤/吨.</w:t>
            </w:r>
          </w:p>
          <w:p w14:paraId="13D11F0C">
            <w:pPr>
              <w:pStyle w:val="52"/>
              <w:keepNext w:val="0"/>
              <w:keepLines w:val="0"/>
              <w:pageBreakBefore w:val="0"/>
              <w:widowControl w:val="0"/>
              <w:kinsoku/>
              <w:wordWrap/>
              <w:overflowPunct/>
              <w:topLinePunct w:val="0"/>
              <w:autoSpaceDE/>
              <w:autoSpaceDN/>
              <w:bidi w:val="0"/>
              <w:adjustRightInd/>
              <w:snapToGrid/>
              <w:spacing w:line="360" w:lineRule="auto"/>
              <w:textAlignment w:val="auto"/>
              <w:outlineLvl w:val="1"/>
              <w:rPr>
                <w:color w:val="000000" w:themeColor="text1"/>
                <w:spacing w:val="7"/>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color w:val="000000" w:themeColor="text1"/>
                <w:spacing w:val="7"/>
                <w14:textFill>
                  <w14:solidFill>
                    <w14:schemeClr w14:val="tx1"/>
                  </w14:solidFill>
                </w14:textFill>
              </w:rPr>
              <w:t>进入产品</w:t>
            </w:r>
          </w:p>
          <w:p w14:paraId="5E159C5D">
            <w:pPr>
              <w:pStyle w:val="52"/>
              <w:keepNext w:val="0"/>
              <w:keepLines w:val="0"/>
              <w:pageBreakBefore w:val="0"/>
              <w:widowControl w:val="0"/>
              <w:kinsoku/>
              <w:wordWrap/>
              <w:overflowPunct/>
              <w:topLinePunct w:val="0"/>
              <w:autoSpaceDE/>
              <w:autoSpaceDN/>
              <w:bidi w:val="0"/>
              <w:adjustRightInd/>
              <w:snapToGrid/>
              <w:spacing w:line="360" w:lineRule="auto"/>
              <w:textAlignment w:val="auto"/>
              <w:outlineLvl w:val="1"/>
              <w:rPr>
                <w:color w:val="000000" w:themeColor="text1"/>
                <w:spacing w:val="7"/>
                <w14:textFill>
                  <w14:solidFill>
                    <w14:schemeClr w14:val="tx1"/>
                  </w14:solidFill>
                </w14:textFill>
              </w:rPr>
            </w:pPr>
          </w:p>
          <w:p w14:paraId="62316290">
            <w:pPr>
              <w:pStyle w:val="52"/>
              <w:spacing w:before="1" w:line="468" w:lineRule="auto"/>
              <w:ind w:left="4317" w:right="2106" w:firstLine="194"/>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1978660</wp:posOffset>
                      </wp:positionH>
                      <wp:positionV relativeFrom="paragraph">
                        <wp:posOffset>93980</wp:posOffset>
                      </wp:positionV>
                      <wp:extent cx="692150" cy="621665"/>
                      <wp:effectExtent l="0" t="0" r="0" b="0"/>
                      <wp:wrapNone/>
                      <wp:docPr id="7" name="文本框 3"/>
                      <wp:cNvGraphicFramePr/>
                      <a:graphic xmlns:a="http://schemas.openxmlformats.org/drawingml/2006/main">
                        <a:graphicData uri="http://schemas.microsoft.com/office/word/2010/wordprocessingShape">
                          <wps:wsp>
                            <wps:cNvSpPr txBox="1"/>
                            <wps:spPr>
                              <a:xfrm>
                                <a:off x="0" y="0"/>
                                <a:ext cx="381635" cy="508000"/>
                              </a:xfrm>
                              <a:prstGeom prst="rect">
                                <a:avLst/>
                              </a:prstGeom>
                              <a:noFill/>
                              <a:ln>
                                <a:noFill/>
                              </a:ln>
                              <a:effectLst/>
                            </wps:spPr>
                            <wps:txbx>
                              <w:txbxContent>
                                <w:p w14:paraId="312B20F9">
                                  <w:pPr>
                                    <w:pStyle w:val="52"/>
                                    <w:spacing w:before="224" w:line="267" w:lineRule="exact"/>
                                    <w:ind w:left="20"/>
                                    <w:rPr>
                                      <w:rFonts w:hint="default" w:eastAsia="宋体"/>
                                      <w:lang w:val="en-US" w:eastAsia="zh-CN"/>
                                    </w:rPr>
                                  </w:pPr>
                                  <w:r>
                                    <w:rPr>
                                      <w:rFonts w:hint="eastAsia"/>
                                      <w:spacing w:val="2"/>
                                      <w:position w:val="1"/>
                                      <w:lang w:val="en-US" w:eastAsia="zh-CN"/>
                                    </w:rPr>
                                    <w:t>398.096</w:t>
                                  </w:r>
                                </w:p>
                              </w:txbxContent>
                            </wps:txbx>
                            <wps:bodyPr vert="horz" wrap="square" lIns="0" tIns="0" rIns="0" bIns="0" anchor="t" anchorCtr="0" upright="1"/>
                          </wps:wsp>
                        </a:graphicData>
                      </a:graphic>
                    </wp:anchor>
                  </w:drawing>
                </mc:Choice>
                <mc:Fallback>
                  <w:pict>
                    <v:shape id="文本框 3" o:spid="_x0000_s1026" o:spt="202" type="#_x0000_t202" style="position:absolute;left:0pt;margin-left:155.8pt;margin-top:7.4pt;height:48.95pt;width:54.5pt;z-index:251665408;mso-width-relative:page;mso-height-relative:page;" filled="f" stroked="f" coordsize="21600,21600" o:gfxdata="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PFTfdcAAAAKAQAADwAA&#10;AAAAAAABACAAAAAiAAAAZHJzL2Rvd25yZXYueG1sUEsBAhQAFAAAAAgAh07iQHaKzFneAQAAsgMA&#10;AA4AAAAAAAAAAQAgAAAAJgEAAGRycy9lMm9Eb2MueG1sUEsFBgAAAAAGAAYAWQEAAHYFAAAAAA==&#10;">
                      <v:fill on="f" focussize="0,0"/>
                      <v:stroke on="f"/>
                      <v:imagedata o:title=""/>
                      <o:lock v:ext="edit" aspectratio="f"/>
                      <v:textbox inset="0mm,0mm,0mm,0mm">
                        <w:txbxContent>
                          <w:p w14:paraId="312B20F9">
                            <w:pPr>
                              <w:pStyle w:val="52"/>
                              <w:spacing w:before="224" w:line="267" w:lineRule="exact"/>
                              <w:ind w:left="20"/>
                              <w:rPr>
                                <w:rFonts w:hint="default" w:eastAsia="宋体"/>
                                <w:lang w:val="en-US" w:eastAsia="zh-CN"/>
                              </w:rPr>
                            </w:pPr>
                            <w:r>
                              <w:rPr>
                                <w:rFonts w:hint="eastAsia"/>
                                <w:spacing w:val="2"/>
                                <w:position w:val="1"/>
                                <w:lang w:val="en-US" w:eastAsia="zh-CN"/>
                              </w:rPr>
                              <w:t>398.096</w:t>
                            </w:r>
                          </w:p>
                        </w:txbxContent>
                      </v:textbox>
                    </v:shape>
                  </w:pict>
                </mc:Fallback>
              </mc:AlternateContent>
            </w:r>
            <w:r>
              <w:rPr>
                <w:rFonts w:hint="default"/>
                <w:color w:val="000000" w:themeColor="text1"/>
                <w:lang w:val="en-US"/>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422275</wp:posOffset>
                      </wp:positionH>
                      <wp:positionV relativeFrom="paragraph">
                        <wp:posOffset>142875</wp:posOffset>
                      </wp:positionV>
                      <wp:extent cx="1283970" cy="21844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283970" cy="218440"/>
                              </a:xfrm>
                              <a:prstGeom prst="rect">
                                <a:avLst/>
                              </a:prstGeom>
                              <a:noFill/>
                              <a:ln>
                                <a:noFill/>
                              </a:ln>
                              <a:effectLst/>
                            </wps:spPr>
                            <wps:txbx>
                              <w:txbxContent>
                                <w:p w14:paraId="53F0BEA1">
                                  <w:pPr>
                                    <w:pStyle w:val="52"/>
                                    <w:spacing w:before="20" w:line="303" w:lineRule="exact"/>
                                    <w:ind w:left="20"/>
                                    <w:jc w:val="left"/>
                                  </w:pPr>
                                  <w:r>
                                    <w:rPr>
                                      <w:spacing w:val="3"/>
                                      <w:position w:val="1"/>
                                    </w:rPr>
                                    <w:t>98%浓硫酸</w:t>
                                  </w:r>
                                  <w:r>
                                    <w:rPr>
                                      <w:spacing w:val="19"/>
                                      <w:position w:val="1"/>
                                    </w:rPr>
                                    <w:t xml:space="preserve"> </w:t>
                                  </w:r>
                                  <w:r>
                                    <w:rPr>
                                      <w:rFonts w:hint="eastAsia"/>
                                      <w:spacing w:val="19"/>
                                      <w:position w:val="1"/>
                                      <w:lang w:val="en-US" w:eastAsia="zh-CN"/>
                                    </w:rPr>
                                    <w:t>4500</w:t>
                                  </w:r>
                                  <w:r>
                                    <w:rPr>
                                      <w:spacing w:val="19"/>
                                      <w:position w:val="1"/>
                                    </w:rPr>
                                    <w:t xml:space="preserve"> </w:t>
                                  </w:r>
                                  <w:r>
                                    <w:rPr>
                                      <w:spacing w:val="3"/>
                                      <w:position w:val="5"/>
                                    </w:rPr>
                                    <w:t>13879.62</w:t>
                                  </w:r>
                                </w:p>
                              </w:txbxContent>
                            </wps:txbx>
                            <wps:bodyPr vert="horz" wrap="square" lIns="0" tIns="0" rIns="0" bIns="0" anchor="t" anchorCtr="0" upright="1"/>
                          </wps:wsp>
                        </a:graphicData>
                      </a:graphic>
                    </wp:anchor>
                  </w:drawing>
                </mc:Choice>
                <mc:Fallback>
                  <w:pict>
                    <v:shape id="文本框 1" o:spid="_x0000_s1026" o:spt="202" type="#_x0000_t202" style="position:absolute;left:0pt;margin-left:33.25pt;margin-top:11.25pt;height:17.2pt;width:101.1pt;z-index:251663360;mso-width-relative:page;mso-height-relative:page;" filled="f" stroked="f" coordsize="21600,21600" o:gfxdata="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SccvtgAAAAIAQAADwAA&#10;AAAAAAABACAAAAAiAAAAZHJzL2Rvd25yZXYueG1sUEsBAhQAFAAAAAgAh07iQMb7CfjdAQAAswMA&#10;AA4AAAAAAAAAAQAgAAAAJwEAAGRycy9lMm9Eb2MueG1sUEsFBgAAAAAGAAYAWQEAAHYFAAAAAA==&#10;">
                      <v:fill on="f" focussize="0,0"/>
                      <v:stroke on="f"/>
                      <v:imagedata o:title=""/>
                      <o:lock v:ext="edit" aspectratio="f"/>
                      <v:textbox inset="0mm,0mm,0mm,0mm">
                        <w:txbxContent>
                          <w:p w14:paraId="53F0BEA1">
                            <w:pPr>
                              <w:pStyle w:val="52"/>
                              <w:spacing w:before="20" w:line="303" w:lineRule="exact"/>
                              <w:ind w:left="20"/>
                              <w:jc w:val="left"/>
                            </w:pPr>
                            <w:r>
                              <w:rPr>
                                <w:spacing w:val="3"/>
                                <w:position w:val="1"/>
                              </w:rPr>
                              <w:t>98%浓硫酸</w:t>
                            </w:r>
                            <w:r>
                              <w:rPr>
                                <w:spacing w:val="19"/>
                                <w:position w:val="1"/>
                              </w:rPr>
                              <w:t xml:space="preserve"> </w:t>
                            </w:r>
                            <w:r>
                              <w:rPr>
                                <w:rFonts w:hint="eastAsia"/>
                                <w:spacing w:val="19"/>
                                <w:position w:val="1"/>
                                <w:lang w:val="en-US" w:eastAsia="zh-CN"/>
                              </w:rPr>
                              <w:t>4500</w:t>
                            </w:r>
                            <w:r>
                              <w:rPr>
                                <w:spacing w:val="19"/>
                                <w:position w:val="1"/>
                              </w:rPr>
                              <w:t xml:space="preserve"> </w:t>
                            </w:r>
                            <w:r>
                              <w:rPr>
                                <w:spacing w:val="3"/>
                                <w:position w:val="5"/>
                              </w:rPr>
                              <w:t>13879.62</w:t>
                            </w:r>
                          </w:p>
                        </w:txbxContent>
                      </v:textbox>
                    </v:shape>
                  </w:pict>
                </mc:Fallback>
              </mc:AlternateContent>
            </w:r>
            <w:r>
              <w:rPr>
                <w:rFonts w:hint="eastAsia"/>
                <w:color w:val="000000" w:themeColor="text1"/>
                <w:lang w:val="en-US" w:eastAsia="zh-CN"/>
                <w14:textFill>
                  <w14:solidFill>
                    <w14:schemeClr w14:val="tx1"/>
                  </w14:solidFill>
                </w14:textFill>
              </w:rPr>
              <w:t>废</w:t>
            </w:r>
            <w:r>
              <w:rPr>
                <w:color w:val="000000" w:themeColor="text1"/>
                <w:spacing w:val="6"/>
                <w14:textFill>
                  <w14:solidFill>
                    <w14:schemeClr w14:val="tx1"/>
                  </w14:solidFill>
                </w14:textFill>
              </w:rPr>
              <w:t>硫</w:t>
            </w:r>
            <w:r>
              <w:rPr>
                <w:color w:val="000000" w:themeColor="text1"/>
                <w14:textFill>
                  <w14:solidFill>
                    <w14:schemeClr w14:val="tx1"/>
                  </w14:solidFill>
                </w14:textFill>
              </w:rPr>
              <w:t xml:space="preserve"> </w:t>
            </w:r>
          </w:p>
          <w:p w14:paraId="26BE2FC0">
            <w:pPr>
              <w:pStyle w:val="52"/>
              <w:spacing w:before="1" w:line="468" w:lineRule="auto"/>
              <w:ind w:left="4317" w:right="2106" w:firstLine="194"/>
              <w:rPr>
                <w:color w:val="000000" w:themeColor="text1"/>
                <w14:textFill>
                  <w14:solidFill>
                    <w14:schemeClr w14:val="tx1"/>
                  </w14:solidFill>
                </w14:textFill>
              </w:rPr>
            </w:pPr>
            <w:r>
              <w:rPr>
                <w:color w:val="000000" w:themeColor="text1"/>
                <w:spacing w:val="7"/>
                <w14:textFill>
                  <w14:solidFill>
                    <w14:schemeClr w14:val="tx1"/>
                  </w14:solidFill>
                </w14:textFill>
              </w:rPr>
              <w:t>进入废水</w:t>
            </w:r>
          </w:p>
          <w:p w14:paraId="3EE9C41A">
            <w:pPr>
              <w:pStyle w:val="52"/>
              <w:spacing w:before="26" w:line="228" w:lineRule="auto"/>
              <w:ind w:left="4334"/>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2023745</wp:posOffset>
                      </wp:positionH>
                      <wp:positionV relativeFrom="paragraph">
                        <wp:posOffset>219710</wp:posOffset>
                      </wp:positionV>
                      <wp:extent cx="421640" cy="1955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8440" cy="195580"/>
                              </a:xfrm>
                              <a:prstGeom prst="rect">
                                <a:avLst/>
                              </a:prstGeom>
                              <a:noFill/>
                              <a:ln>
                                <a:noFill/>
                              </a:ln>
                              <a:effectLst/>
                            </wps:spPr>
                            <wps:txbx>
                              <w:txbxContent>
                                <w:p w14:paraId="1ED3ECA9">
                                  <w:pPr>
                                    <w:pStyle w:val="52"/>
                                    <w:spacing w:before="20" w:line="267" w:lineRule="exact"/>
                                    <w:ind w:left="20"/>
                                    <w:rPr>
                                      <w:rFonts w:hint="default" w:eastAsia="宋体"/>
                                      <w:lang w:val="en-US" w:eastAsia="zh-CN"/>
                                    </w:rPr>
                                  </w:pPr>
                                  <w:r>
                                    <w:rPr>
                                      <w:rFonts w:hint="eastAsia"/>
                                      <w:spacing w:val="1"/>
                                      <w:position w:val="1"/>
                                      <w:lang w:val="en-US" w:eastAsia="zh-CN"/>
                                    </w:rPr>
                                    <w:t>2.892</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59.35pt;margin-top:17.3pt;height:15.4pt;width:33.2pt;z-index:251662336;mso-width-relative:page;mso-height-relative:page;" filled="f" stroked="f" coordsize="21600,21600" o:gfxdata="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1DPAPZAAAACQEAAA8A&#10;AAAAAAAAAQAgAAAAIgAAAGRycy9kb3ducmV2LnhtbFBLAQIUABQAAAAIAIdO4kD7yFXK3QEAALID&#10;AAAOAAAAAAAAAAEAIAAAACgBAABkcnMvZTJvRG9jLnhtbFBLBQYAAAAABgAGAFkBAAB3BQAAAAA=&#10;">
                      <v:fill on="f" focussize="0,0"/>
                      <v:stroke on="f"/>
                      <v:imagedata o:title=""/>
                      <o:lock v:ext="edit" aspectratio="f"/>
                      <v:textbox inset="0mm,0mm,0mm,0mm">
                        <w:txbxContent>
                          <w:p w14:paraId="1ED3ECA9">
                            <w:pPr>
                              <w:pStyle w:val="52"/>
                              <w:spacing w:before="20" w:line="267" w:lineRule="exact"/>
                              <w:ind w:left="20"/>
                              <w:rPr>
                                <w:rFonts w:hint="default" w:eastAsia="宋体"/>
                                <w:lang w:val="en-US" w:eastAsia="zh-CN"/>
                              </w:rPr>
                            </w:pPr>
                            <w:r>
                              <w:rPr>
                                <w:rFonts w:hint="eastAsia"/>
                                <w:spacing w:val="1"/>
                                <w:position w:val="1"/>
                                <w:lang w:val="en-US" w:eastAsia="zh-CN"/>
                              </w:rPr>
                              <w:t>2.892</w:t>
                            </w:r>
                          </w:p>
                        </w:txbxContent>
                      </v:textbox>
                    </v:shape>
                  </w:pict>
                </mc:Fallback>
              </mc:AlternateContent>
            </w:r>
            <w:r>
              <w:rPr>
                <w:color w:val="000000" w:themeColor="text1"/>
                <w:spacing w:val="8"/>
                <w14:textFill>
                  <w14:solidFill>
                    <w14:schemeClr w14:val="tx1"/>
                  </w14:solidFill>
                </w14:textFill>
              </w:rPr>
              <w:t>进入大气酸雾</w:t>
            </w:r>
            <w:r>
              <w:rPr>
                <w:rFonts w:hint="eastAsia"/>
                <w:color w:val="000000" w:themeColor="text1"/>
                <w:spacing w:val="8"/>
                <w:lang w:eastAsia="zh-CN"/>
                <w14:textFill>
                  <w14:solidFill>
                    <w14:schemeClr w14:val="tx1"/>
                  </w14:solidFill>
                </w14:textFill>
              </w:rPr>
              <w:t>（</w:t>
            </w:r>
            <w:r>
              <w:rPr>
                <w:rFonts w:hint="eastAsia"/>
                <w:color w:val="000000" w:themeColor="text1"/>
                <w:spacing w:val="8"/>
                <w:lang w:val="en-US" w:eastAsia="zh-CN"/>
                <w14:textFill>
                  <w14:solidFill>
                    <w14:schemeClr w14:val="tx1"/>
                  </w14:solidFill>
                </w14:textFill>
              </w:rPr>
              <w:t>有组织0.153无组织0.493）</w:t>
            </w:r>
          </w:p>
          <w:p w14:paraId="0CAF73FE">
            <w:pPr>
              <w:pStyle w:val="52"/>
              <w:spacing w:before="65" w:line="198" w:lineRule="auto"/>
              <w:ind w:firstLine="4368" w:firstLineChars="2100"/>
              <w:rPr>
                <w:color w:val="000000" w:themeColor="text1"/>
                <w:spacing w:val="4"/>
                <w14:textFill>
                  <w14:solidFill>
                    <w14:schemeClr w14:val="tx1"/>
                  </w14:solidFill>
                </w14:textFill>
              </w:rPr>
            </w:pPr>
          </w:p>
          <w:p w14:paraId="5DAFD791">
            <w:pPr>
              <w:pStyle w:val="52"/>
              <w:spacing w:before="65" w:line="198" w:lineRule="auto"/>
              <w:ind w:firstLine="4368" w:firstLineChars="2100"/>
              <w:rPr>
                <w:color w:val="000000" w:themeColor="text1"/>
                <w14:textFill>
                  <w14:solidFill>
                    <w14:schemeClr w14:val="tx1"/>
                  </w14:solidFill>
                </w14:textFill>
              </w:rPr>
            </w:pPr>
            <w:r>
              <w:rPr>
                <w:color w:val="000000" w:themeColor="text1"/>
                <w:spacing w:val="4"/>
                <w14:textFill>
                  <w14:solidFill>
                    <w14:schemeClr w14:val="tx1"/>
                  </w14:solidFill>
                </w14:textFill>
              </w:rPr>
              <w:t>中和硫酸雾</w:t>
            </w:r>
          </w:p>
          <w:p w14:paraId="087735F0">
            <w:pPr>
              <w:pStyle w:val="52"/>
              <w:keepNext w:val="0"/>
              <w:keepLines w:val="0"/>
              <w:pageBreakBefore w:val="0"/>
              <w:widowControl w:val="0"/>
              <w:kinsoku/>
              <w:wordWrap/>
              <w:overflowPunct/>
              <w:topLinePunct w:val="0"/>
              <w:autoSpaceDE/>
              <w:autoSpaceDN/>
              <w:bidi w:val="0"/>
              <w:adjustRightInd/>
              <w:snapToGrid/>
              <w:spacing w:line="360" w:lineRule="auto"/>
              <w:ind w:firstLine="177" w:firstLineChars="100"/>
              <w:textAlignment w:val="auto"/>
              <w:outlineLvl w:val="1"/>
              <w:rPr>
                <w:rFonts w:hint="eastAsia"/>
                <w:b/>
                <w:bCs/>
                <w:color w:val="000000" w:themeColor="text1"/>
                <w:spacing w:val="5"/>
                <w:highlight w:val="yellow"/>
                <w:lang w:val="en-US" w:eastAsia="zh-CN"/>
                <w14:textFill>
                  <w14:solidFill>
                    <w14:schemeClr w14:val="tx1"/>
                  </w14:solidFill>
                </w14:textFill>
              </w:rPr>
            </w:pPr>
            <w:r>
              <w:rPr>
                <w:b/>
                <w:bCs/>
                <w:color w:val="000000" w:themeColor="text1"/>
                <w:spacing w:val="-2"/>
                <w:sz w:val="18"/>
                <w:szCs w:val="18"/>
                <w14:textFill>
                  <w14:solidFill>
                    <w14:schemeClr w14:val="tx1"/>
                  </w14:solidFill>
                </w14:textFill>
              </w:rPr>
              <w:t>注：上述数值都是以纯硫酸进行统计。</w:t>
            </w:r>
          </w:p>
          <w:p w14:paraId="30E7A173">
            <w:pPr>
              <w:pStyle w:val="52"/>
              <w:spacing w:before="26" w:line="227" w:lineRule="auto"/>
              <w:ind w:left="2448"/>
              <w:rPr>
                <w:color w:val="000000" w:themeColor="text1"/>
                <w14:textFill>
                  <w14:solidFill>
                    <w14:schemeClr w14:val="tx1"/>
                  </w14:solidFill>
                </w14:textFill>
              </w:rPr>
            </w:pPr>
            <w:r>
              <w:rPr>
                <w:b/>
                <w:bCs/>
                <w:color w:val="000000" w:themeColor="text1"/>
                <w:spacing w:val="4"/>
                <w14:textFill>
                  <w14:solidFill>
                    <w14:schemeClr w14:val="tx1"/>
                  </w14:solidFill>
                </w14:textFill>
              </w:rPr>
              <w:t>图</w:t>
            </w:r>
            <w:r>
              <w:rPr>
                <w:color w:val="000000" w:themeColor="text1"/>
                <w:spacing w:val="-42"/>
                <w14:textFill>
                  <w14:solidFill>
                    <w14:schemeClr w14:val="tx1"/>
                  </w14:solidFill>
                </w14:textFill>
              </w:rPr>
              <w:t xml:space="preserve"> </w:t>
            </w:r>
            <w:r>
              <w:rPr>
                <w:rFonts w:ascii="Times New Roman" w:hAnsi="Times New Roman" w:eastAsia="Times New Roman" w:cs="Times New Roman"/>
                <w:b/>
                <w:bCs/>
                <w:color w:val="000000" w:themeColor="text1"/>
                <w:spacing w:val="4"/>
                <w14:textFill>
                  <w14:solidFill>
                    <w14:schemeClr w14:val="tx1"/>
                  </w14:solidFill>
                </w14:textFill>
              </w:rPr>
              <w:t xml:space="preserve">2-1        </w:t>
            </w:r>
            <w:r>
              <w:rPr>
                <w:b/>
                <w:bCs/>
                <w:color w:val="000000" w:themeColor="text1"/>
                <w:spacing w:val="4"/>
                <w14:textFill>
                  <w14:solidFill>
                    <w14:schemeClr w14:val="tx1"/>
                  </w14:solidFill>
                </w14:textFill>
              </w:rPr>
              <w:t>本项目硫酸平衡图</w:t>
            </w:r>
            <w:r>
              <w:rPr>
                <w:color w:val="000000" w:themeColor="text1"/>
                <w:spacing w:val="11"/>
                <w14:textFill>
                  <w14:solidFill>
                    <w14:schemeClr w14:val="tx1"/>
                  </w14:solidFill>
                </w14:textFill>
              </w:rPr>
              <w:t xml:space="preserve">  </w:t>
            </w:r>
            <w:r>
              <w:rPr>
                <w:b/>
                <w:bCs/>
                <w:color w:val="000000" w:themeColor="text1"/>
                <w:spacing w:val="4"/>
                <w14:textFill>
                  <w14:solidFill>
                    <w14:schemeClr w14:val="tx1"/>
                  </w14:solidFill>
                </w14:textFill>
              </w:rPr>
              <w:t>单位：</w:t>
            </w:r>
            <w:r>
              <w:rPr>
                <w:b/>
                <w:bCs/>
                <w:color w:val="000000" w:themeColor="text1"/>
                <w:spacing w:val="3"/>
                <w14:textFill>
                  <w14:solidFill>
                    <w14:schemeClr w14:val="tx1"/>
                  </w14:solidFill>
                </w14:textFill>
              </w:rPr>
              <w:t>t/a</w:t>
            </w:r>
          </w:p>
          <w:p w14:paraId="705BDE06">
            <w:pPr>
              <w:pStyle w:val="5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000000" w:themeColor="text1"/>
                <w:spacing w:val="5"/>
                <w:sz w:val="24"/>
                <w:szCs w:val="24"/>
                <w:lang w:val="en-US" w:eastAsia="zh-CN"/>
                <w14:textFill>
                  <w14:solidFill>
                    <w14:schemeClr w14:val="tx1"/>
                  </w14:solidFill>
                </w14:textFill>
              </w:rPr>
            </w:pPr>
          </w:p>
          <w:p w14:paraId="71EC19FF">
            <w:pPr>
              <w:pStyle w:val="5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000000" w:themeColor="text1"/>
                <w:spacing w:val="5"/>
                <w:sz w:val="24"/>
                <w:szCs w:val="24"/>
                <w:lang w:val="en-US" w:eastAsia="zh-CN"/>
                <w14:textFill>
                  <w14:solidFill>
                    <w14:schemeClr w14:val="tx1"/>
                  </w14:solidFill>
                </w14:textFill>
              </w:rPr>
            </w:pPr>
          </w:p>
          <w:p w14:paraId="0D972423">
            <w:pPr>
              <w:pStyle w:val="52"/>
              <w:keepNext w:val="0"/>
              <w:keepLines w:val="0"/>
              <w:pageBreakBefore w:val="0"/>
              <w:widowControl w:val="0"/>
              <w:kinsoku/>
              <w:wordWrap/>
              <w:overflowPunct/>
              <w:topLinePunct w:val="0"/>
              <w:autoSpaceDE/>
              <w:autoSpaceDN/>
              <w:bidi w:val="0"/>
              <w:adjustRightInd/>
              <w:snapToGrid/>
              <w:spacing w:line="360" w:lineRule="auto"/>
              <w:textAlignment w:val="auto"/>
              <w:outlineLvl w:val="1"/>
              <w:rPr>
                <w:b/>
                <w:bCs/>
                <w:color w:val="000000" w:themeColor="text1"/>
                <w:spacing w:val="6"/>
                <w14:textFill>
                  <w14:solidFill>
                    <w14:schemeClr w14:val="tx1"/>
                  </w14:solidFill>
                </w14:textFill>
              </w:rPr>
            </w:pPr>
            <w:r>
              <w:rPr>
                <w:rFonts w:hint="eastAsia" w:ascii="宋体" w:hAnsi="宋体" w:eastAsia="宋体" w:cs="宋体"/>
                <w:b/>
                <w:bCs/>
                <w:color w:val="000000" w:themeColor="text1"/>
                <w:spacing w:val="5"/>
                <w:sz w:val="24"/>
                <w:szCs w:val="24"/>
                <w:lang w:val="en-US" w:eastAsia="zh-CN"/>
                <w14:textFill>
                  <w14:solidFill>
                    <w14:schemeClr w14:val="tx1"/>
                  </w14:solidFill>
                </w14:textFill>
              </w:rPr>
              <w:t>6、建筑物</w:t>
            </w:r>
          </w:p>
          <w:p w14:paraId="45E987C5">
            <w:pPr>
              <w:jc w:val="center"/>
              <w:rPr>
                <w:color w:val="000000" w:themeColor="text1"/>
                <w14:textFill>
                  <w14:solidFill>
                    <w14:schemeClr w14:val="tx1"/>
                  </w14:solidFill>
                </w14:textFill>
              </w:rPr>
            </w:pPr>
            <w:r>
              <w:rPr>
                <w:b/>
                <w:bCs/>
                <w:color w:val="000000" w:themeColor="text1"/>
                <w:spacing w:val="6"/>
                <w14:textFill>
                  <w14:solidFill>
                    <w14:schemeClr w14:val="tx1"/>
                  </w14:solidFill>
                </w14:textFill>
              </w:rPr>
              <w:t>表</w:t>
            </w:r>
            <w:r>
              <w:rPr>
                <w:color w:val="000000" w:themeColor="text1"/>
                <w:spacing w:val="-42"/>
                <w14:textFill>
                  <w14:solidFill>
                    <w14:schemeClr w14:val="tx1"/>
                  </w14:solidFill>
                </w14:textFill>
              </w:rPr>
              <w:t xml:space="preserve"> </w:t>
            </w:r>
            <w:r>
              <w:rPr>
                <w:rFonts w:ascii="Times New Roman" w:hAnsi="Times New Roman" w:eastAsia="Times New Roman" w:cs="Times New Roman"/>
                <w:b/>
                <w:bCs/>
                <w:color w:val="000000" w:themeColor="text1"/>
                <w:spacing w:val="6"/>
                <w14:textFill>
                  <w14:solidFill>
                    <w14:schemeClr w14:val="tx1"/>
                  </w14:solidFill>
                </w14:textFill>
              </w:rPr>
              <w:t>2-</w:t>
            </w:r>
            <w:r>
              <w:rPr>
                <w:rFonts w:hint="eastAsia" w:ascii="Times New Roman" w:hAnsi="Times New Roman" w:eastAsia="宋体" w:cs="Times New Roman"/>
                <w:b/>
                <w:bCs/>
                <w:color w:val="000000" w:themeColor="text1"/>
                <w:spacing w:val="6"/>
                <w:lang w:val="en-US" w:eastAsia="zh-CN"/>
                <w14:textFill>
                  <w14:solidFill>
                    <w14:schemeClr w14:val="tx1"/>
                  </w14:solidFill>
                </w14:textFill>
              </w:rPr>
              <w:t>9</w:t>
            </w:r>
            <w:r>
              <w:rPr>
                <w:rFonts w:ascii="Times New Roman" w:hAnsi="Times New Roman" w:eastAsia="Times New Roman" w:cs="Times New Roman"/>
                <w:b/>
                <w:bCs/>
                <w:color w:val="000000" w:themeColor="text1"/>
                <w:spacing w:val="6"/>
                <w14:textFill>
                  <w14:solidFill>
                    <w14:schemeClr w14:val="tx1"/>
                  </w14:solidFill>
                </w14:textFill>
              </w:rPr>
              <w:t xml:space="preserve">    </w:t>
            </w:r>
            <w:r>
              <w:rPr>
                <w:b/>
                <w:bCs/>
                <w:color w:val="000000" w:themeColor="text1"/>
                <w:spacing w:val="6"/>
                <w14:textFill>
                  <w14:solidFill>
                    <w14:schemeClr w14:val="tx1"/>
                  </w14:solidFill>
                </w14:textFill>
              </w:rPr>
              <w:t>本项目主要建构筑物一览表</w:t>
            </w:r>
          </w:p>
          <w:tbl>
            <w:tblPr>
              <w:tblStyle w:val="53"/>
              <w:tblW w:w="4998"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906"/>
              <w:gridCol w:w="808"/>
              <w:gridCol w:w="663"/>
              <w:gridCol w:w="925"/>
              <w:gridCol w:w="1122"/>
              <w:gridCol w:w="3470"/>
            </w:tblGrid>
            <w:tr w14:paraId="6916ECD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27" w:type="pct"/>
                  <w:tcBorders>
                    <w:tl2br w:val="nil"/>
                    <w:tr2bl w:val="nil"/>
                  </w:tcBorders>
                  <w:noWrap w:val="0"/>
                  <w:vAlign w:val="center"/>
                </w:tcPr>
                <w:p w14:paraId="575658F9">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14:textFill>
                        <w14:solidFill>
                          <w14:schemeClr w14:val="tx1"/>
                        </w14:solidFill>
                      </w14:textFill>
                    </w:rPr>
                  </w:pPr>
                  <w:r>
                    <w:rPr>
                      <w:b/>
                      <w:bCs/>
                      <w:color w:val="000000" w:themeColor="text1"/>
                      <w:spacing w:val="4"/>
                      <w14:textFill>
                        <w14:solidFill>
                          <w14:schemeClr w14:val="tx1"/>
                        </w14:solidFill>
                      </w14:textFill>
                    </w:rPr>
                    <w:t>序号</w:t>
                  </w:r>
                </w:p>
              </w:tc>
              <w:tc>
                <w:tcPr>
                  <w:tcW w:w="536" w:type="pct"/>
                  <w:tcBorders>
                    <w:tl2br w:val="nil"/>
                    <w:tr2bl w:val="nil"/>
                  </w:tcBorders>
                  <w:noWrap w:val="0"/>
                  <w:vAlign w:val="center"/>
                </w:tcPr>
                <w:p w14:paraId="76593643">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color w:val="000000" w:themeColor="text1"/>
                      <w:spacing w:val="6"/>
                      <w14:textFill>
                        <w14:solidFill>
                          <w14:schemeClr w14:val="tx1"/>
                        </w14:solidFill>
                      </w14:textFill>
                    </w:rPr>
                  </w:pPr>
                  <w:r>
                    <w:rPr>
                      <w:b/>
                      <w:bCs/>
                      <w:color w:val="000000" w:themeColor="text1"/>
                      <w:spacing w:val="6"/>
                      <w14:textFill>
                        <w14:solidFill>
                          <w14:schemeClr w14:val="tx1"/>
                        </w14:solidFill>
                      </w14:textFill>
                    </w:rPr>
                    <w:t>建筑物</w:t>
                  </w:r>
                </w:p>
                <w:p w14:paraId="3BE1D0F5">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14:textFill>
                        <w14:solidFill>
                          <w14:schemeClr w14:val="tx1"/>
                        </w14:solidFill>
                      </w14:textFill>
                    </w:rPr>
                  </w:pPr>
                  <w:r>
                    <w:rPr>
                      <w:b/>
                      <w:bCs/>
                      <w:color w:val="000000" w:themeColor="text1"/>
                      <w:spacing w:val="6"/>
                      <w14:textFill>
                        <w14:solidFill>
                          <w14:schemeClr w14:val="tx1"/>
                        </w14:solidFill>
                      </w14:textFill>
                    </w:rPr>
                    <w:t>名称</w:t>
                  </w:r>
                </w:p>
              </w:tc>
              <w:tc>
                <w:tcPr>
                  <w:tcW w:w="478" w:type="pct"/>
                  <w:tcBorders>
                    <w:tl2br w:val="nil"/>
                    <w:tr2bl w:val="nil"/>
                  </w:tcBorders>
                  <w:noWrap w:val="0"/>
                  <w:vAlign w:val="center"/>
                </w:tcPr>
                <w:p w14:paraId="023CAAF5">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color w:val="000000" w:themeColor="text1"/>
                      <w:spacing w:val="6"/>
                      <w14:textFill>
                        <w14:solidFill>
                          <w14:schemeClr w14:val="tx1"/>
                        </w14:solidFill>
                      </w14:textFill>
                    </w:rPr>
                  </w:pPr>
                  <w:r>
                    <w:rPr>
                      <w:b/>
                      <w:bCs/>
                      <w:color w:val="000000" w:themeColor="text1"/>
                      <w:spacing w:val="6"/>
                      <w14:textFill>
                        <w14:solidFill>
                          <w14:schemeClr w14:val="tx1"/>
                        </w14:solidFill>
                      </w14:textFill>
                    </w:rPr>
                    <w:t>建筑物</w:t>
                  </w:r>
                </w:p>
                <w:p w14:paraId="08D0A20D">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14:textFill>
                        <w14:solidFill>
                          <w14:schemeClr w14:val="tx1"/>
                        </w14:solidFill>
                      </w14:textFill>
                    </w:rPr>
                  </w:pPr>
                  <w:r>
                    <w:rPr>
                      <w:b/>
                      <w:bCs/>
                      <w:color w:val="000000" w:themeColor="text1"/>
                      <w:spacing w:val="6"/>
                      <w14:textFill>
                        <w14:solidFill>
                          <w14:schemeClr w14:val="tx1"/>
                        </w14:solidFill>
                      </w14:textFill>
                    </w:rPr>
                    <w:t>层数</w:t>
                  </w:r>
                </w:p>
              </w:tc>
              <w:tc>
                <w:tcPr>
                  <w:tcW w:w="392" w:type="pct"/>
                  <w:tcBorders>
                    <w:tl2br w:val="nil"/>
                    <w:tr2bl w:val="nil"/>
                  </w:tcBorders>
                  <w:noWrap w:val="0"/>
                  <w:vAlign w:val="center"/>
                </w:tcPr>
                <w:p w14:paraId="69F90431">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color w:val="000000" w:themeColor="text1"/>
                      <w:spacing w:val="5"/>
                      <w14:textFill>
                        <w14:solidFill>
                          <w14:schemeClr w14:val="tx1"/>
                        </w14:solidFill>
                      </w14:textFill>
                    </w:rPr>
                  </w:pPr>
                  <w:r>
                    <w:rPr>
                      <w:b/>
                      <w:bCs/>
                      <w:color w:val="000000" w:themeColor="text1"/>
                      <w:spacing w:val="5"/>
                      <w14:textFill>
                        <w14:solidFill>
                          <w14:schemeClr w14:val="tx1"/>
                        </w14:solidFill>
                      </w14:textFill>
                    </w:rPr>
                    <w:t>结构</w:t>
                  </w:r>
                </w:p>
                <w:p w14:paraId="56A29EE9">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14:textFill>
                        <w14:solidFill>
                          <w14:schemeClr w14:val="tx1"/>
                        </w14:solidFill>
                      </w14:textFill>
                    </w:rPr>
                  </w:pPr>
                  <w:r>
                    <w:rPr>
                      <w:b/>
                      <w:bCs/>
                      <w:color w:val="000000" w:themeColor="text1"/>
                      <w:spacing w:val="5"/>
                      <w14:textFill>
                        <w14:solidFill>
                          <w14:schemeClr w14:val="tx1"/>
                        </w14:solidFill>
                      </w14:textFill>
                    </w:rPr>
                    <w:t>类型</w:t>
                  </w:r>
                </w:p>
              </w:tc>
              <w:tc>
                <w:tcPr>
                  <w:tcW w:w="547" w:type="pct"/>
                  <w:tcBorders>
                    <w:tl2br w:val="nil"/>
                    <w:tr2bl w:val="nil"/>
                  </w:tcBorders>
                  <w:noWrap w:val="0"/>
                  <w:vAlign w:val="center"/>
                </w:tcPr>
                <w:p w14:paraId="34FDDD5D">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color w:val="000000" w:themeColor="text1"/>
                      <w:spacing w:val="-3"/>
                      <w14:textFill>
                        <w14:solidFill>
                          <w14:schemeClr w14:val="tx1"/>
                        </w14:solidFill>
                      </w14:textFill>
                    </w:rPr>
                  </w:pPr>
                  <w:r>
                    <w:rPr>
                      <w:b/>
                      <w:bCs/>
                      <w:color w:val="000000" w:themeColor="text1"/>
                      <w:spacing w:val="-3"/>
                      <w14:textFill>
                        <w14:solidFill>
                          <w14:schemeClr w14:val="tx1"/>
                        </w14:solidFill>
                      </w14:textFill>
                    </w:rPr>
                    <w:t>占地面积</w:t>
                  </w:r>
                </w:p>
                <w:p w14:paraId="4F6D7949">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14:textFill>
                        <w14:solidFill>
                          <w14:schemeClr w14:val="tx1"/>
                        </w14:solidFill>
                      </w14:textFill>
                    </w:rPr>
                  </w:pPr>
                  <w:r>
                    <w:rPr>
                      <w:b/>
                      <w:bCs/>
                      <w:color w:val="000000" w:themeColor="text1"/>
                      <w:spacing w:val="-1"/>
                      <w14:textFill>
                        <w14:solidFill>
                          <w14:schemeClr w14:val="tx1"/>
                        </w14:solidFill>
                      </w14:textFill>
                    </w:rPr>
                    <w:t>（</w:t>
                  </w:r>
                  <w:r>
                    <w:rPr>
                      <w:rFonts w:ascii="Times New Roman" w:hAnsi="Times New Roman" w:eastAsia="Times New Roman" w:cs="Times New Roman"/>
                      <w:b/>
                      <w:bCs/>
                      <w:color w:val="000000" w:themeColor="text1"/>
                      <w:spacing w:val="-1"/>
                      <w14:textFill>
                        <w14:solidFill>
                          <w14:schemeClr w14:val="tx1"/>
                        </w14:solidFill>
                      </w14:textFill>
                    </w:rPr>
                    <w:t>m</w:t>
                  </w:r>
                  <w:r>
                    <w:rPr>
                      <w:rFonts w:ascii="Times New Roman" w:hAnsi="Times New Roman" w:eastAsia="Times New Roman" w:cs="Times New Roman"/>
                      <w:b/>
                      <w:bCs/>
                      <w:color w:val="000000" w:themeColor="text1"/>
                      <w:spacing w:val="-1"/>
                      <w:position w:val="6"/>
                      <w:sz w:val="13"/>
                      <w:szCs w:val="13"/>
                      <w14:textFill>
                        <w14:solidFill>
                          <w14:schemeClr w14:val="tx1"/>
                        </w14:solidFill>
                      </w14:textFill>
                    </w:rPr>
                    <w:t>2</w:t>
                  </w:r>
                  <w:r>
                    <w:rPr>
                      <w:b/>
                      <w:bCs/>
                      <w:color w:val="000000" w:themeColor="text1"/>
                      <w:spacing w:val="-1"/>
                      <w14:textFill>
                        <w14:solidFill>
                          <w14:schemeClr w14:val="tx1"/>
                        </w14:solidFill>
                      </w14:textFill>
                    </w:rPr>
                    <w:t>）</w:t>
                  </w:r>
                </w:p>
              </w:tc>
              <w:tc>
                <w:tcPr>
                  <w:tcW w:w="664" w:type="pct"/>
                  <w:tcBorders>
                    <w:tl2br w:val="nil"/>
                    <w:tr2bl w:val="nil"/>
                  </w:tcBorders>
                  <w:noWrap w:val="0"/>
                  <w:vAlign w:val="center"/>
                </w:tcPr>
                <w:p w14:paraId="2293CAB9">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b/>
                      <w:bCs/>
                      <w:color w:val="000000" w:themeColor="text1"/>
                      <w:spacing w:val="5"/>
                      <w14:textFill>
                        <w14:solidFill>
                          <w14:schemeClr w14:val="tx1"/>
                        </w14:solidFill>
                      </w14:textFill>
                    </w:rPr>
                  </w:pPr>
                  <w:r>
                    <w:rPr>
                      <w:b/>
                      <w:bCs/>
                      <w:color w:val="000000" w:themeColor="text1"/>
                      <w:spacing w:val="5"/>
                      <w14:textFill>
                        <w14:solidFill>
                          <w14:schemeClr w14:val="tx1"/>
                        </w14:solidFill>
                      </w14:textFill>
                    </w:rPr>
                    <w:t>建筑面积</w:t>
                  </w:r>
                </w:p>
                <w:p w14:paraId="69F603FF">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14:textFill>
                        <w14:solidFill>
                          <w14:schemeClr w14:val="tx1"/>
                        </w14:solidFill>
                      </w14:textFill>
                    </w:rPr>
                  </w:pPr>
                  <w:r>
                    <w:rPr>
                      <w:b/>
                      <w:bCs/>
                      <w:color w:val="000000" w:themeColor="text1"/>
                      <w:spacing w:val="-1"/>
                      <w14:textFill>
                        <w14:solidFill>
                          <w14:schemeClr w14:val="tx1"/>
                        </w14:solidFill>
                      </w14:textFill>
                    </w:rPr>
                    <w:t>（</w:t>
                  </w:r>
                  <w:r>
                    <w:rPr>
                      <w:rFonts w:ascii="Times New Roman" w:hAnsi="Times New Roman" w:eastAsia="Times New Roman" w:cs="Times New Roman"/>
                      <w:b/>
                      <w:bCs/>
                      <w:color w:val="000000" w:themeColor="text1"/>
                      <w:spacing w:val="-1"/>
                      <w14:textFill>
                        <w14:solidFill>
                          <w14:schemeClr w14:val="tx1"/>
                        </w14:solidFill>
                      </w14:textFill>
                    </w:rPr>
                    <w:t>m</w:t>
                  </w:r>
                  <w:r>
                    <w:rPr>
                      <w:rFonts w:ascii="Times New Roman" w:hAnsi="Times New Roman" w:eastAsia="Times New Roman" w:cs="Times New Roman"/>
                      <w:b/>
                      <w:bCs/>
                      <w:color w:val="000000" w:themeColor="text1"/>
                      <w:spacing w:val="-1"/>
                      <w:position w:val="6"/>
                      <w:sz w:val="13"/>
                      <w:szCs w:val="13"/>
                      <w14:textFill>
                        <w14:solidFill>
                          <w14:schemeClr w14:val="tx1"/>
                        </w14:solidFill>
                      </w14:textFill>
                    </w:rPr>
                    <w:t>2</w:t>
                  </w:r>
                  <w:r>
                    <w:rPr>
                      <w:b/>
                      <w:bCs/>
                      <w:color w:val="000000" w:themeColor="text1"/>
                      <w:spacing w:val="-1"/>
                      <w14:textFill>
                        <w14:solidFill>
                          <w14:schemeClr w14:val="tx1"/>
                        </w14:solidFill>
                      </w14:textFill>
                    </w:rPr>
                    <w:t>）</w:t>
                  </w:r>
                </w:p>
              </w:tc>
              <w:tc>
                <w:tcPr>
                  <w:tcW w:w="2053" w:type="pct"/>
                  <w:tcBorders>
                    <w:tl2br w:val="nil"/>
                    <w:tr2bl w:val="nil"/>
                  </w:tcBorders>
                  <w:noWrap w:val="0"/>
                  <w:vAlign w:val="center"/>
                </w:tcPr>
                <w:p w14:paraId="158D04CD">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布局</w:t>
                  </w:r>
                </w:p>
              </w:tc>
            </w:tr>
            <w:tr w14:paraId="7AE9621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27" w:type="pct"/>
                  <w:tcBorders>
                    <w:tl2br w:val="nil"/>
                    <w:tr2bl w:val="nil"/>
                  </w:tcBorders>
                  <w:noWrap w:val="0"/>
                  <w:vAlign w:val="center"/>
                </w:tcPr>
                <w:p w14:paraId="64B5FCB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w:t>
                  </w:r>
                </w:p>
              </w:tc>
              <w:tc>
                <w:tcPr>
                  <w:tcW w:w="536" w:type="pct"/>
                  <w:tcBorders>
                    <w:tl2br w:val="nil"/>
                    <w:tr2bl w:val="nil"/>
                  </w:tcBorders>
                  <w:noWrap w:val="0"/>
                  <w:vAlign w:val="center"/>
                </w:tcPr>
                <w:p w14:paraId="1D003332">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14:textFill>
                        <w14:solidFill>
                          <w14:schemeClr w14:val="tx1"/>
                        </w14:solidFill>
                      </w14:textFill>
                    </w:rPr>
                  </w:pPr>
                  <w:r>
                    <w:rPr>
                      <w:color w:val="000000" w:themeColor="text1"/>
                      <w:spacing w:val="3"/>
                      <w14:textFill>
                        <w14:solidFill>
                          <w14:schemeClr w14:val="tx1"/>
                        </w14:solidFill>
                      </w14:textFill>
                    </w:rPr>
                    <w:t>厂房</w:t>
                  </w:r>
                </w:p>
              </w:tc>
              <w:tc>
                <w:tcPr>
                  <w:tcW w:w="478" w:type="pct"/>
                  <w:tcBorders>
                    <w:tl2br w:val="nil"/>
                    <w:tr2bl w:val="nil"/>
                  </w:tcBorders>
                  <w:noWrap w:val="0"/>
                  <w:vAlign w:val="center"/>
                </w:tcPr>
                <w:p w14:paraId="3C9B8E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w:t>
                  </w:r>
                </w:p>
              </w:tc>
              <w:tc>
                <w:tcPr>
                  <w:tcW w:w="392" w:type="pct"/>
                  <w:tcBorders>
                    <w:tl2br w:val="nil"/>
                    <w:tr2bl w:val="nil"/>
                  </w:tcBorders>
                  <w:noWrap w:val="0"/>
                  <w:vAlign w:val="center"/>
                </w:tcPr>
                <w:p w14:paraId="3C0E40B8">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钢构</w:t>
                  </w:r>
                </w:p>
              </w:tc>
              <w:tc>
                <w:tcPr>
                  <w:tcW w:w="547" w:type="pct"/>
                  <w:tcBorders>
                    <w:tl2br w:val="nil"/>
                    <w:tr2bl w:val="nil"/>
                  </w:tcBorders>
                  <w:noWrap w:val="0"/>
                  <w:vAlign w:val="center"/>
                </w:tcPr>
                <w:p w14:paraId="7329E7D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3"/>
                      <w:sz w:val="20"/>
                      <w:szCs w:val="20"/>
                      <w14:textFill>
                        <w14:solidFill>
                          <w14:schemeClr w14:val="tx1"/>
                        </w14:solidFill>
                      </w14:textFill>
                    </w:rPr>
                    <w:t>3373.313</w:t>
                  </w:r>
                </w:p>
              </w:tc>
              <w:tc>
                <w:tcPr>
                  <w:tcW w:w="664" w:type="pct"/>
                  <w:tcBorders>
                    <w:tl2br w:val="nil"/>
                    <w:tr2bl w:val="nil"/>
                  </w:tcBorders>
                  <w:noWrap w:val="0"/>
                  <w:vAlign w:val="center"/>
                </w:tcPr>
                <w:p w14:paraId="615398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3"/>
                      <w:sz w:val="20"/>
                      <w:szCs w:val="20"/>
                      <w14:textFill>
                        <w14:solidFill>
                          <w14:schemeClr w14:val="tx1"/>
                        </w14:solidFill>
                      </w14:textFill>
                    </w:rPr>
                    <w:t>3373.313</w:t>
                  </w:r>
                </w:p>
              </w:tc>
              <w:tc>
                <w:tcPr>
                  <w:tcW w:w="2053" w:type="pct"/>
                  <w:tcBorders>
                    <w:tl2br w:val="nil"/>
                    <w:tr2bl w:val="nil"/>
                  </w:tcBorders>
                  <w:noWrap w:val="0"/>
                  <w:vAlign w:val="center"/>
                </w:tcPr>
                <w:p w14:paraId="49A02779">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位于厂区北部，内部设置储存区、生产区、废气处理、污水处理区等</w:t>
                  </w:r>
                </w:p>
              </w:tc>
            </w:tr>
            <w:tr w14:paraId="6A331C4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327" w:type="pct"/>
                  <w:tcBorders>
                    <w:tl2br w:val="nil"/>
                    <w:tr2bl w:val="nil"/>
                  </w:tcBorders>
                  <w:noWrap w:val="0"/>
                  <w:vAlign w:val="center"/>
                </w:tcPr>
                <w:p w14:paraId="0F48D2B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w:t>
                  </w:r>
                </w:p>
              </w:tc>
              <w:tc>
                <w:tcPr>
                  <w:tcW w:w="536" w:type="pct"/>
                  <w:tcBorders>
                    <w:tl2br w:val="nil"/>
                    <w:tr2bl w:val="nil"/>
                  </w:tcBorders>
                  <w:noWrap w:val="0"/>
                  <w:vAlign w:val="center"/>
                </w:tcPr>
                <w:p w14:paraId="7FE6E861">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eastAsia="宋体"/>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pacing w:val="7"/>
                      <w:lang w:val="en-US" w:eastAsia="zh-CN"/>
                      <w14:textFill>
                        <w14:solidFill>
                          <w14:schemeClr w14:val="tx1"/>
                        </w14:solidFill>
                      </w14:textFill>
                    </w:rPr>
                    <w:t>办公室及门卫</w:t>
                  </w:r>
                </w:p>
              </w:tc>
              <w:tc>
                <w:tcPr>
                  <w:tcW w:w="478" w:type="pct"/>
                  <w:tcBorders>
                    <w:tl2br w:val="nil"/>
                    <w:tr2bl w:val="nil"/>
                  </w:tcBorders>
                  <w:noWrap w:val="0"/>
                  <w:vAlign w:val="center"/>
                </w:tcPr>
                <w:p w14:paraId="302DC57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1</w:t>
                  </w:r>
                </w:p>
              </w:tc>
              <w:tc>
                <w:tcPr>
                  <w:tcW w:w="392" w:type="pct"/>
                  <w:tcBorders>
                    <w:tl2br w:val="nil"/>
                    <w:tr2bl w:val="nil"/>
                  </w:tcBorders>
                  <w:noWrap w:val="0"/>
                  <w:vAlign w:val="center"/>
                </w:tcPr>
                <w:p w14:paraId="53F0B70E">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钢构</w:t>
                  </w:r>
                </w:p>
              </w:tc>
              <w:tc>
                <w:tcPr>
                  <w:tcW w:w="547" w:type="pct"/>
                  <w:tcBorders>
                    <w:tl2br w:val="nil"/>
                    <w:tr2bl w:val="nil"/>
                  </w:tcBorders>
                  <w:noWrap w:val="0"/>
                  <w:vAlign w:val="center"/>
                </w:tcPr>
                <w:p w14:paraId="1F3AE57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3"/>
                      <w:sz w:val="20"/>
                      <w:szCs w:val="20"/>
                      <w14:textFill>
                        <w14:solidFill>
                          <w14:schemeClr w14:val="tx1"/>
                        </w14:solidFill>
                      </w14:textFill>
                    </w:rPr>
                    <w:t>3372.688</w:t>
                  </w:r>
                </w:p>
              </w:tc>
              <w:tc>
                <w:tcPr>
                  <w:tcW w:w="664" w:type="pct"/>
                  <w:tcBorders>
                    <w:tl2br w:val="nil"/>
                    <w:tr2bl w:val="nil"/>
                  </w:tcBorders>
                  <w:noWrap w:val="0"/>
                  <w:vAlign w:val="center"/>
                </w:tcPr>
                <w:p w14:paraId="5641643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3"/>
                      <w:sz w:val="20"/>
                      <w:szCs w:val="20"/>
                      <w14:textFill>
                        <w14:solidFill>
                          <w14:schemeClr w14:val="tx1"/>
                        </w14:solidFill>
                      </w14:textFill>
                    </w:rPr>
                    <w:t>3372.688</w:t>
                  </w:r>
                </w:p>
              </w:tc>
              <w:tc>
                <w:tcPr>
                  <w:tcW w:w="2053" w:type="pct"/>
                  <w:tcBorders>
                    <w:tl2br w:val="nil"/>
                    <w:tr2bl w:val="nil"/>
                  </w:tcBorders>
                  <w:noWrap w:val="0"/>
                  <w:vAlign w:val="center"/>
                </w:tcPr>
                <w:p w14:paraId="4F35E3E0">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位于厂区南部</w:t>
                  </w:r>
                </w:p>
              </w:tc>
            </w:tr>
            <w:tr w14:paraId="0871917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327" w:type="pct"/>
                  <w:tcBorders>
                    <w:tl2br w:val="nil"/>
                    <w:tr2bl w:val="nil"/>
                  </w:tcBorders>
                  <w:noWrap w:val="0"/>
                  <w:vAlign w:val="center"/>
                </w:tcPr>
                <w:p w14:paraId="206641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imes New Roman" w:hAnsi="Times New Roman" w:eastAsia="宋体" w:cs="Times New Roman"/>
                      <w:color w:val="000000" w:themeColor="text1"/>
                      <w:sz w:val="20"/>
                      <w:szCs w:val="20"/>
                      <w:lang w:val="en-US" w:eastAsia="zh-CN"/>
                      <w14:textFill>
                        <w14:solidFill>
                          <w14:schemeClr w14:val="tx1"/>
                        </w14:solidFill>
                      </w14:textFill>
                    </w:rPr>
                  </w:pPr>
                  <w:r>
                    <w:rPr>
                      <w:rFonts w:hint="eastAsia" w:eastAsia="宋体" w:cs="Times New Roman"/>
                      <w:color w:val="000000" w:themeColor="text1"/>
                      <w:sz w:val="20"/>
                      <w:szCs w:val="20"/>
                      <w:lang w:val="en-US" w:eastAsia="zh-CN"/>
                      <w14:textFill>
                        <w14:solidFill>
                          <w14:schemeClr w14:val="tx1"/>
                        </w14:solidFill>
                      </w14:textFill>
                    </w:rPr>
                    <w:t>3</w:t>
                  </w:r>
                </w:p>
              </w:tc>
              <w:tc>
                <w:tcPr>
                  <w:tcW w:w="536" w:type="pct"/>
                  <w:tcBorders>
                    <w:tl2br w:val="nil"/>
                    <w:tr2bl w:val="nil"/>
                  </w:tcBorders>
                  <w:noWrap w:val="0"/>
                  <w:vAlign w:val="center"/>
                </w:tcPr>
                <w:p w14:paraId="5FBD2857">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Times New Roman" w:hAnsi="Times New Roman" w:eastAsia="宋体" w:cs="Times New Roman"/>
                      <w:color w:val="000000" w:themeColor="text1"/>
                      <w:spacing w:val="7"/>
                      <w:lang w:val="en-US" w:eastAsia="zh-CN"/>
                      <w14:textFill>
                        <w14:solidFill>
                          <w14:schemeClr w14:val="tx1"/>
                        </w14:solidFill>
                      </w14:textFill>
                    </w:rPr>
                  </w:pPr>
                  <w:r>
                    <w:rPr>
                      <w:rFonts w:hint="eastAsia" w:ascii="Times New Roman" w:hAnsi="Times New Roman" w:cs="Times New Roman"/>
                      <w:color w:val="000000" w:themeColor="text1"/>
                      <w:spacing w:val="7"/>
                      <w:lang w:val="en-US" w:eastAsia="zh-CN"/>
                      <w14:textFill>
                        <w14:solidFill>
                          <w14:schemeClr w14:val="tx1"/>
                        </w14:solidFill>
                      </w14:textFill>
                    </w:rPr>
                    <w:t>一般固废区</w:t>
                  </w:r>
                </w:p>
              </w:tc>
              <w:tc>
                <w:tcPr>
                  <w:tcW w:w="478" w:type="pct"/>
                  <w:tcBorders>
                    <w:tl2br w:val="nil"/>
                    <w:tr2bl w:val="nil"/>
                  </w:tcBorders>
                  <w:noWrap w:val="0"/>
                  <w:vAlign w:val="center"/>
                </w:tcPr>
                <w:p w14:paraId="25CD13D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imes New Roman" w:hAnsi="Times New Roman" w:eastAsia="宋体" w:cs="Times New Roman"/>
                      <w:color w:val="000000" w:themeColor="text1"/>
                      <w:sz w:val="20"/>
                      <w:szCs w:val="20"/>
                      <w:lang w:val="en-US" w:eastAsia="zh-CN"/>
                      <w14:textFill>
                        <w14:solidFill>
                          <w14:schemeClr w14:val="tx1"/>
                        </w14:solidFill>
                      </w14:textFill>
                    </w:rPr>
                  </w:pPr>
                  <w:r>
                    <w:rPr>
                      <w:rFonts w:hint="eastAsia" w:eastAsia="宋体" w:cs="Times New Roman"/>
                      <w:color w:val="000000" w:themeColor="text1"/>
                      <w:sz w:val="20"/>
                      <w:szCs w:val="20"/>
                      <w:lang w:val="en-US" w:eastAsia="zh-CN"/>
                      <w14:textFill>
                        <w14:solidFill>
                          <w14:schemeClr w14:val="tx1"/>
                        </w14:solidFill>
                      </w14:textFill>
                    </w:rPr>
                    <w:t>1</w:t>
                  </w:r>
                </w:p>
              </w:tc>
              <w:tc>
                <w:tcPr>
                  <w:tcW w:w="392" w:type="pct"/>
                  <w:tcBorders>
                    <w:tl2br w:val="nil"/>
                    <w:tr2bl w:val="nil"/>
                  </w:tcBorders>
                  <w:noWrap w:val="0"/>
                  <w:vAlign w:val="center"/>
                </w:tcPr>
                <w:p w14:paraId="7F1C81B2">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color w:val="000000" w:themeColor="text1"/>
                      <w:spacing w:val="5"/>
                      <w:highlight w:val="none"/>
                      <w14:textFill>
                        <w14:solidFill>
                          <w14:schemeClr w14:val="tx1"/>
                        </w14:solidFill>
                      </w14:textFill>
                    </w:rPr>
                  </w:pPr>
                  <w:r>
                    <w:rPr>
                      <w:color w:val="000000" w:themeColor="text1"/>
                      <w:spacing w:val="5"/>
                      <w:highlight w:val="none"/>
                      <w14:textFill>
                        <w14:solidFill>
                          <w14:schemeClr w14:val="tx1"/>
                        </w14:solidFill>
                      </w14:textFill>
                    </w:rPr>
                    <w:t>钢构</w:t>
                  </w:r>
                </w:p>
              </w:tc>
              <w:tc>
                <w:tcPr>
                  <w:tcW w:w="547" w:type="pct"/>
                  <w:tcBorders>
                    <w:tl2br w:val="nil"/>
                    <w:tr2bl w:val="nil"/>
                  </w:tcBorders>
                  <w:noWrap w:val="0"/>
                  <w:vAlign w:val="center"/>
                </w:tcPr>
                <w:p w14:paraId="4879F8B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Times New Roman" w:hAnsi="Times New Roman" w:eastAsia="宋体" w:cs="Times New Roman"/>
                      <w:color w:val="000000" w:themeColor="text1"/>
                      <w:spacing w:val="3"/>
                      <w:sz w:val="20"/>
                      <w:szCs w:val="20"/>
                      <w:lang w:val="en-US" w:eastAsia="zh-CN"/>
                      <w14:textFill>
                        <w14:solidFill>
                          <w14:schemeClr w14:val="tx1"/>
                        </w14:solidFill>
                      </w14:textFill>
                    </w:rPr>
                  </w:pPr>
                  <w:r>
                    <w:rPr>
                      <w:rFonts w:hint="eastAsia" w:eastAsia="宋体" w:cs="Times New Roman"/>
                      <w:color w:val="000000" w:themeColor="text1"/>
                      <w:spacing w:val="3"/>
                      <w:sz w:val="20"/>
                      <w:szCs w:val="20"/>
                      <w:lang w:val="en-US" w:eastAsia="zh-CN"/>
                      <w14:textFill>
                        <w14:solidFill>
                          <w14:schemeClr w14:val="tx1"/>
                        </w14:solidFill>
                      </w14:textFill>
                    </w:rPr>
                    <w:t>60</w:t>
                  </w:r>
                </w:p>
              </w:tc>
              <w:tc>
                <w:tcPr>
                  <w:tcW w:w="664" w:type="pct"/>
                  <w:tcBorders>
                    <w:tl2br w:val="nil"/>
                    <w:tr2bl w:val="nil"/>
                  </w:tcBorders>
                  <w:noWrap w:val="0"/>
                  <w:vAlign w:val="center"/>
                </w:tcPr>
                <w:p w14:paraId="203063B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ascii="Times New Roman" w:hAnsi="Times New Roman" w:eastAsia="宋体" w:cs="Times New Roman"/>
                      <w:color w:val="000000" w:themeColor="text1"/>
                      <w:spacing w:val="3"/>
                      <w:sz w:val="20"/>
                      <w:szCs w:val="20"/>
                      <w:lang w:val="en-US" w:eastAsia="zh-CN"/>
                      <w14:textFill>
                        <w14:solidFill>
                          <w14:schemeClr w14:val="tx1"/>
                        </w14:solidFill>
                      </w14:textFill>
                    </w:rPr>
                  </w:pPr>
                  <w:r>
                    <w:rPr>
                      <w:rFonts w:hint="eastAsia" w:eastAsia="宋体" w:cs="Times New Roman"/>
                      <w:color w:val="000000" w:themeColor="text1"/>
                      <w:spacing w:val="3"/>
                      <w:sz w:val="20"/>
                      <w:szCs w:val="20"/>
                      <w:lang w:val="en-US" w:eastAsia="zh-CN"/>
                      <w14:textFill>
                        <w14:solidFill>
                          <w14:schemeClr w14:val="tx1"/>
                        </w14:solidFill>
                      </w14:textFill>
                    </w:rPr>
                    <w:t>60</w:t>
                  </w:r>
                </w:p>
              </w:tc>
              <w:tc>
                <w:tcPr>
                  <w:tcW w:w="2053" w:type="pct"/>
                  <w:tcBorders>
                    <w:tl2br w:val="nil"/>
                    <w:tr2bl w:val="nil"/>
                  </w:tcBorders>
                  <w:noWrap w:val="0"/>
                  <w:vAlign w:val="center"/>
                </w:tcPr>
                <w:p w14:paraId="62AA9BA6">
                  <w:pPr>
                    <w:pStyle w:val="52"/>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位于车间东南侧</w:t>
                  </w:r>
                </w:p>
              </w:tc>
            </w:tr>
          </w:tbl>
          <w:p w14:paraId="2055C303">
            <w:pPr>
              <w:pStyle w:val="5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lang w:val="en-US" w:eastAsia="zh-CN"/>
                <w14:textFill>
                  <w14:solidFill>
                    <w14:schemeClr w14:val="tx1"/>
                  </w14:solidFill>
                </w14:textFill>
              </w:rPr>
              <w:t>7</w:t>
            </w:r>
            <w:r>
              <w:rPr>
                <w:rFonts w:hint="eastAsia" w:ascii="宋体" w:hAnsi="宋体" w:eastAsia="宋体" w:cs="宋体"/>
                <w:b/>
                <w:bCs/>
                <w:color w:val="000000" w:themeColor="text1"/>
                <w:spacing w:val="5"/>
                <w:sz w:val="24"/>
                <w:szCs w:val="24"/>
                <w14:textFill>
                  <w14:solidFill>
                    <w14:schemeClr w14:val="tx1"/>
                  </w14:solidFill>
                </w14:textFill>
              </w:rPr>
              <w:t>、劳动定员及工作班制</w:t>
            </w:r>
          </w:p>
          <w:p w14:paraId="6A634A10">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企业劳动定员</w:t>
            </w:r>
            <w:r>
              <w:rPr>
                <w:rFonts w:hint="eastAsia" w:ascii="宋体" w:hAnsi="宋体" w:eastAsia="宋体" w:cs="宋体"/>
                <w:color w:val="000000" w:themeColor="text1"/>
                <w:spacing w:val="7"/>
                <w:sz w:val="24"/>
                <w:szCs w:val="24"/>
                <w:lang w:val="en-US" w:eastAsia="zh-CN"/>
                <w14:textFill>
                  <w14:solidFill>
                    <w14:schemeClr w14:val="tx1"/>
                  </w14:solidFill>
                </w14:textFill>
              </w:rPr>
              <w:t>23</w:t>
            </w:r>
            <w:r>
              <w:rPr>
                <w:rFonts w:hint="eastAsia" w:ascii="宋体" w:hAnsi="宋体" w:eastAsia="宋体" w:cs="宋体"/>
                <w:color w:val="000000" w:themeColor="text1"/>
                <w:spacing w:val="7"/>
                <w:sz w:val="24"/>
                <w:szCs w:val="24"/>
                <w14:textFill>
                  <w14:solidFill>
                    <w14:schemeClr w14:val="tx1"/>
                  </w14:solidFill>
                </w14:textFill>
              </w:rPr>
              <w:t>人，年工作300天，采用三班制，每班工作8小时。</w:t>
            </w:r>
          </w:p>
          <w:p w14:paraId="72950A18">
            <w:pPr>
              <w:pStyle w:val="5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2"/>
                <w:sz w:val="24"/>
                <w:szCs w:val="24"/>
                <w:lang w:val="en-US" w:eastAsia="zh-CN"/>
                <w14:textFill>
                  <w14:solidFill>
                    <w14:schemeClr w14:val="tx1"/>
                  </w14:solidFill>
                </w14:textFill>
              </w:rPr>
              <w:t>8</w:t>
            </w:r>
            <w:r>
              <w:rPr>
                <w:rFonts w:hint="eastAsia" w:ascii="宋体" w:hAnsi="宋体" w:eastAsia="宋体" w:cs="宋体"/>
                <w:b/>
                <w:bCs/>
                <w:color w:val="000000" w:themeColor="text1"/>
                <w:spacing w:val="2"/>
                <w:sz w:val="24"/>
                <w:szCs w:val="24"/>
                <w14:textFill>
                  <w14:solidFill>
                    <w14:schemeClr w14:val="tx1"/>
                  </w14:solidFill>
                </w14:textFill>
              </w:rPr>
              <w:t>、公用工程</w:t>
            </w:r>
          </w:p>
          <w:p w14:paraId="08F0B6AE">
            <w:pPr>
              <w:pStyle w:val="52"/>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（1）供电</w:t>
            </w:r>
          </w:p>
          <w:p w14:paraId="2AE36B09">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依托</w:t>
            </w:r>
            <w:r>
              <w:rPr>
                <w:rFonts w:hint="eastAsia" w:ascii="宋体" w:hAnsi="宋体" w:eastAsia="宋体" w:cs="宋体"/>
                <w:color w:val="000000" w:themeColor="text1"/>
                <w:spacing w:val="8"/>
                <w:sz w:val="24"/>
                <w:szCs w:val="24"/>
                <w:lang w:val="en-US" w:eastAsia="zh-CN"/>
                <w14:textFill>
                  <w14:solidFill>
                    <w14:schemeClr w14:val="tx1"/>
                  </w14:solidFill>
                </w14:textFill>
              </w:rPr>
              <w:t>开发</w:t>
            </w:r>
            <w:r>
              <w:rPr>
                <w:rFonts w:hint="eastAsia" w:ascii="宋体" w:hAnsi="宋体" w:eastAsia="宋体" w:cs="宋体"/>
                <w:color w:val="000000" w:themeColor="text1"/>
                <w:spacing w:val="8"/>
                <w:sz w:val="24"/>
                <w:szCs w:val="24"/>
                <w14:textFill>
                  <w14:solidFill>
                    <w14:schemeClr w14:val="tx1"/>
                  </w14:solidFill>
                </w14:textFill>
              </w:rPr>
              <w:t>区提供电力供应，</w:t>
            </w:r>
            <w:r>
              <w:rPr>
                <w:rFonts w:hint="eastAsia" w:ascii="宋体" w:hAnsi="宋体" w:eastAsia="宋体" w:cs="宋体"/>
                <w:color w:val="000000" w:themeColor="text1"/>
                <w:spacing w:val="-54"/>
                <w:sz w:val="24"/>
                <w:szCs w:val="24"/>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电力线路沿路埋设。</w:t>
            </w:r>
          </w:p>
          <w:p w14:paraId="390401D4">
            <w:pPr>
              <w:pStyle w:val="52"/>
              <w:keepNext w:val="0"/>
              <w:keepLines w:val="0"/>
              <w:pageBreakBefore w:val="0"/>
              <w:widowControl w:val="0"/>
              <w:kinsoku/>
              <w:wordWrap/>
              <w:overflowPunct/>
              <w:topLinePunct w:val="0"/>
              <w:autoSpaceDE/>
              <w:autoSpaceDN/>
              <w:bidi w:val="0"/>
              <w:adjustRightInd/>
              <w:snapToGrid/>
              <w:spacing w:line="360" w:lineRule="auto"/>
              <w:ind w:left="53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（2）给水</w:t>
            </w:r>
          </w:p>
          <w:p w14:paraId="222AE5D6">
            <w:pPr>
              <w:pStyle w:val="52"/>
              <w:keepNext w:val="0"/>
              <w:keepLines w:val="0"/>
              <w:pageBreakBefore w:val="0"/>
              <w:widowControl w:val="0"/>
              <w:kinsoku/>
              <w:wordWrap/>
              <w:overflowPunct/>
              <w:topLinePunct w:val="0"/>
              <w:autoSpaceDE/>
              <w:autoSpaceDN/>
              <w:bidi w:val="0"/>
              <w:adjustRightInd/>
              <w:snapToGrid/>
              <w:spacing w:line="360" w:lineRule="auto"/>
              <w:ind w:right="139" w:firstLine="52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0"/>
                <w:sz w:val="24"/>
                <w:szCs w:val="24"/>
                <w14:textFill>
                  <w14:solidFill>
                    <w14:schemeClr w14:val="tx1"/>
                  </w14:solidFill>
                </w14:textFill>
              </w:rPr>
              <w:t>企业用水由市政给水管网提供。项目主要用水环节包括工艺用水、碱液喷淋装置用水、</w:t>
            </w:r>
            <w:r>
              <w:rPr>
                <w:rFonts w:hint="eastAsia" w:ascii="宋体" w:hAnsi="宋体" w:eastAsia="宋体" w:cs="宋体"/>
                <w:color w:val="000000" w:themeColor="text1"/>
                <w:spacing w:val="7"/>
                <w:sz w:val="24"/>
                <w:szCs w:val="24"/>
                <w14:textFill>
                  <w14:solidFill>
                    <w14:schemeClr w14:val="tx1"/>
                  </w14:solidFill>
                </w14:textFill>
              </w:rPr>
              <w:t>职工生活用水。</w:t>
            </w:r>
          </w:p>
          <w:p w14:paraId="1D7FEDC2">
            <w:pPr>
              <w:pStyle w:val="52"/>
              <w:keepNext w:val="0"/>
              <w:keepLines w:val="0"/>
              <w:pageBreakBefore w:val="0"/>
              <w:widowControl w:val="0"/>
              <w:kinsoku/>
              <w:wordWrap/>
              <w:overflowPunct/>
              <w:topLinePunct w:val="0"/>
              <w:autoSpaceDE/>
              <w:autoSpaceDN/>
              <w:bidi w:val="0"/>
              <w:adjustRightInd/>
              <w:snapToGrid/>
              <w:spacing w:line="360" w:lineRule="auto"/>
              <w:ind w:left="52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①工艺用水为石墨水洗用水</w:t>
            </w:r>
          </w:p>
          <w:p w14:paraId="08DB8871">
            <w:pPr>
              <w:pStyle w:val="52"/>
              <w:keepNext w:val="0"/>
              <w:keepLines w:val="0"/>
              <w:pageBreakBefore w:val="0"/>
              <w:widowControl w:val="0"/>
              <w:kinsoku/>
              <w:wordWrap/>
              <w:overflowPunct/>
              <w:topLinePunct w:val="0"/>
              <w:autoSpaceDE/>
              <w:autoSpaceDN/>
              <w:bidi w:val="0"/>
              <w:adjustRightInd/>
              <w:snapToGrid/>
              <w:spacing w:line="360" w:lineRule="auto"/>
              <w:ind w:right="102" w:firstLine="524"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项目</w:t>
            </w:r>
            <w:r>
              <w:rPr>
                <w:rFonts w:hint="eastAsia" w:ascii="宋体" w:hAnsi="宋体" w:eastAsia="宋体" w:cs="宋体"/>
                <w:color w:val="000000" w:themeColor="text1"/>
                <w:spacing w:val="11"/>
                <w:sz w:val="24"/>
                <w:szCs w:val="24"/>
                <w:lang w:val="en-US" w:eastAsia="zh-CN"/>
                <w14:textFill>
                  <w14:solidFill>
                    <w14:schemeClr w14:val="tx1"/>
                  </w14:solidFill>
                </w14:textFill>
              </w:rPr>
              <w:t>搅拌罐</w:t>
            </w:r>
            <w:r>
              <w:rPr>
                <w:rFonts w:hint="eastAsia" w:cs="宋体"/>
                <w:color w:val="000000" w:themeColor="text1"/>
                <w:spacing w:val="11"/>
                <w:sz w:val="24"/>
                <w:szCs w:val="24"/>
                <w:lang w:val="en-US" w:eastAsia="zh-CN"/>
                <w14:textFill>
                  <w14:solidFill>
                    <w14:schemeClr w14:val="tx1"/>
                  </w14:solidFill>
                </w14:textFill>
              </w:rPr>
              <w:t>3</w:t>
            </w:r>
            <w:r>
              <w:rPr>
                <w:rFonts w:hint="eastAsia" w:ascii="宋体" w:hAnsi="宋体" w:eastAsia="宋体" w:cs="宋体"/>
                <w:color w:val="000000" w:themeColor="text1"/>
                <w:spacing w:val="11"/>
                <w:sz w:val="24"/>
                <w:szCs w:val="24"/>
                <w:lang w:val="en-US" w:eastAsia="zh-CN"/>
                <w14:textFill>
                  <w14:solidFill>
                    <w14:schemeClr w14:val="tx1"/>
                  </w14:solidFill>
                </w14:textFill>
              </w:rPr>
              <w:t>m</w:t>
            </w:r>
            <w:r>
              <w:rPr>
                <w:rFonts w:hint="eastAsia" w:ascii="宋体" w:hAnsi="宋体" w:eastAsia="宋体" w:cs="宋体"/>
                <w:color w:val="000000" w:themeColor="text1"/>
                <w:spacing w:val="11"/>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11"/>
                <w:sz w:val="24"/>
                <w:szCs w:val="24"/>
                <w:lang w:val="en-US" w:eastAsia="zh-CN"/>
                <w14:textFill>
                  <w14:solidFill>
                    <w14:schemeClr w14:val="tx1"/>
                  </w14:solidFill>
                </w14:textFill>
              </w:rPr>
              <w:t>共</w:t>
            </w:r>
            <w:r>
              <w:rPr>
                <w:rFonts w:hint="eastAsia" w:cs="宋体"/>
                <w:color w:val="000000" w:themeColor="text1"/>
                <w:spacing w:val="11"/>
                <w:sz w:val="24"/>
                <w:szCs w:val="24"/>
                <w:lang w:val="en-US" w:eastAsia="zh-CN"/>
                <w14:textFill>
                  <w14:solidFill>
                    <w14:schemeClr w14:val="tx1"/>
                  </w14:solidFill>
                </w14:textFill>
              </w:rPr>
              <w:t>10</w:t>
            </w:r>
            <w:r>
              <w:rPr>
                <w:rFonts w:hint="eastAsia" w:ascii="宋体" w:hAnsi="宋体" w:eastAsia="宋体" w:cs="宋体"/>
                <w:color w:val="000000" w:themeColor="text1"/>
                <w:spacing w:val="11"/>
                <w:sz w:val="24"/>
                <w:szCs w:val="24"/>
                <w:lang w:val="en-US" w:eastAsia="zh-CN"/>
                <w14:textFill>
                  <w14:solidFill>
                    <w14:schemeClr w14:val="tx1"/>
                  </w14:solidFill>
                </w14:textFill>
              </w:rPr>
              <w:t>个，</w:t>
            </w:r>
            <w:r>
              <w:rPr>
                <w:color w:val="0000FF"/>
                <w:sz w:val="24"/>
                <w:szCs w:val="24"/>
              </w:rPr>
              <w:t>共计运行3批次</w:t>
            </w:r>
            <w:r>
              <w:rPr>
                <w:rFonts w:hint="eastAsia" w:ascii="宋体" w:hAnsi="宋体" w:eastAsia="宋体" w:cs="宋体"/>
                <w:color w:val="000000" w:themeColor="text1"/>
                <w:spacing w:val="11"/>
                <w:sz w:val="24"/>
                <w:szCs w:val="24"/>
                <w:lang w:val="en-US" w:eastAsia="zh-CN"/>
                <w14:textFill>
                  <w14:solidFill>
                    <w14:schemeClr w14:val="tx1"/>
                  </w14:solidFill>
                </w14:textFill>
              </w:rPr>
              <w:t>，</w:t>
            </w:r>
            <w:r>
              <w:rPr>
                <w:rFonts w:hint="eastAsia" w:cs="宋体"/>
                <w:color w:val="000000" w:themeColor="text1"/>
                <w:spacing w:val="11"/>
                <w:sz w:val="24"/>
                <w:szCs w:val="24"/>
                <w:lang w:val="en-US" w:eastAsia="zh-CN"/>
                <w14:textFill>
                  <w14:solidFill>
                    <w14:schemeClr w14:val="tx1"/>
                  </w14:solidFill>
                </w14:textFill>
              </w:rPr>
              <w:t>则</w:t>
            </w:r>
            <w:r>
              <w:rPr>
                <w:rFonts w:hint="eastAsia" w:ascii="宋体" w:hAnsi="宋体" w:eastAsia="宋体" w:cs="宋体"/>
                <w:color w:val="000000" w:themeColor="text1"/>
                <w:spacing w:val="11"/>
                <w:sz w:val="24"/>
                <w:szCs w:val="24"/>
                <w14:textFill>
                  <w14:solidFill>
                    <w14:schemeClr w14:val="tx1"/>
                  </w14:solidFill>
                </w14:textFill>
              </w:rPr>
              <w:t>水洗工序用水量合</w:t>
            </w:r>
            <w:r>
              <w:rPr>
                <w:rFonts w:hint="eastAsia" w:ascii="宋体" w:hAnsi="宋体" w:eastAsia="宋体" w:cs="宋体"/>
                <w:color w:val="000000" w:themeColor="text1"/>
                <w:spacing w:val="9"/>
                <w:sz w:val="24"/>
                <w:szCs w:val="24"/>
                <w14:textFill>
                  <w14:solidFill>
                    <w14:schemeClr w14:val="tx1"/>
                  </w14:solidFill>
                </w14:textFill>
              </w:rPr>
              <w:t>计为</w:t>
            </w:r>
            <w:r>
              <w:rPr>
                <w:rFonts w:hint="eastAsia" w:ascii="宋体" w:hAnsi="宋体" w:eastAsia="宋体" w:cs="宋体"/>
                <w:color w:val="000000" w:themeColor="text1"/>
                <w:spacing w:val="-37"/>
                <w:sz w:val="24"/>
                <w:szCs w:val="24"/>
                <w14:textFill>
                  <w14:solidFill>
                    <w14:schemeClr w14:val="tx1"/>
                  </w14:solidFill>
                </w14:textFill>
              </w:rPr>
              <w:t xml:space="preserve"> </w:t>
            </w:r>
            <w:r>
              <w:rPr>
                <w:rFonts w:hint="eastAsia" w:cs="宋体"/>
                <w:color w:val="000000" w:themeColor="text1"/>
                <w:spacing w:val="9"/>
                <w:sz w:val="24"/>
                <w:szCs w:val="24"/>
                <w:lang w:val="en-US" w:eastAsia="zh-CN"/>
                <w14:textFill>
                  <w14:solidFill>
                    <w14:schemeClr w14:val="tx1"/>
                  </w14:solidFill>
                </w14:textFill>
              </w:rPr>
              <w:t>9</w:t>
            </w:r>
            <w:r>
              <w:rPr>
                <w:rFonts w:hint="eastAsia" w:ascii="宋体" w:hAnsi="宋体" w:eastAsia="宋体" w:cs="宋体"/>
                <w:color w:val="000000" w:themeColor="text1"/>
                <w:spacing w:val="9"/>
                <w:sz w:val="24"/>
                <w:szCs w:val="24"/>
                <w:lang w:val="en-US" w:eastAsia="zh-CN"/>
                <w14:textFill>
                  <w14:solidFill>
                    <w14:schemeClr w14:val="tx1"/>
                  </w14:solidFill>
                </w14:textFill>
              </w:rPr>
              <w:t>0</w:t>
            </w:r>
            <w:r>
              <w:rPr>
                <w:rFonts w:hint="eastAsia" w:ascii="宋体" w:hAnsi="宋体" w:eastAsia="宋体" w:cs="宋体"/>
                <w:color w:val="000000" w:themeColor="text1"/>
                <w:spacing w:val="9"/>
                <w:sz w:val="24"/>
                <w:szCs w:val="24"/>
                <w14:textFill>
                  <w14:solidFill>
                    <w14:schemeClr w14:val="tx1"/>
                  </w14:solidFill>
                </w14:textFill>
              </w:rPr>
              <w:t>m</w:t>
            </w:r>
            <w:r>
              <w:rPr>
                <w:rFonts w:hint="eastAsia" w:ascii="宋体" w:hAnsi="宋体" w:eastAsia="宋体" w:cs="宋体"/>
                <w:color w:val="000000" w:themeColor="text1"/>
                <w:spacing w:val="9"/>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9"/>
                <w:sz w:val="24"/>
                <w:szCs w:val="24"/>
                <w14:textFill>
                  <w14:solidFill>
                    <w14:schemeClr w14:val="tx1"/>
                  </w14:solidFill>
                </w14:textFill>
              </w:rPr>
              <w:t>/d</w:t>
            </w:r>
            <w:r>
              <w:rPr>
                <w:rFonts w:hint="eastAsia" w:ascii="宋体" w:hAnsi="宋体" w:eastAsia="宋体" w:cs="宋体"/>
                <w:color w:val="000000" w:themeColor="text1"/>
                <w:spacing w:val="-58"/>
                <w:sz w:val="24"/>
                <w:szCs w:val="24"/>
                <w14:textFill>
                  <w14:solidFill>
                    <w14:schemeClr w14:val="tx1"/>
                  </w14:solidFill>
                </w14:textFill>
              </w:rPr>
              <w:t xml:space="preserve"> </w:t>
            </w:r>
            <w:r>
              <w:rPr>
                <w:rFonts w:hint="eastAsia" w:cs="宋体"/>
                <w:color w:val="000000" w:themeColor="text1"/>
                <w:spacing w:val="-58"/>
                <w:sz w:val="24"/>
                <w:szCs w:val="24"/>
                <w:lang w:eastAsia="zh-CN"/>
                <w14:textFill>
                  <w14:solidFill>
                    <w14:schemeClr w14:val="tx1"/>
                  </w14:solidFill>
                </w14:textFill>
              </w:rPr>
              <w:t>。</w:t>
            </w:r>
          </w:p>
          <w:p w14:paraId="7931EE35">
            <w:pPr>
              <w:pStyle w:val="52"/>
              <w:keepNext w:val="0"/>
              <w:keepLines w:val="0"/>
              <w:pageBreakBefore w:val="0"/>
              <w:widowControl w:val="0"/>
              <w:kinsoku/>
              <w:wordWrap/>
              <w:overflowPunct/>
              <w:topLinePunct w:val="0"/>
              <w:autoSpaceDE/>
              <w:autoSpaceDN/>
              <w:bidi w:val="0"/>
              <w:adjustRightInd/>
              <w:snapToGrid/>
              <w:spacing w:line="360" w:lineRule="auto"/>
              <w:ind w:left="525"/>
              <w:textAlignment w:val="auto"/>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②碱液喷淋装置补充水：</w:t>
            </w:r>
          </w:p>
          <w:p w14:paraId="45A928F4">
            <w:pPr>
              <w:pStyle w:val="52"/>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项目采用浓度为</w:t>
            </w:r>
            <w:r>
              <w:rPr>
                <w:rFonts w:hint="eastAsia" w:ascii="宋体" w:hAnsi="宋体" w:eastAsia="宋体" w:cs="宋体"/>
                <w:color w:val="000000" w:themeColor="text1"/>
                <w:spacing w:val="6"/>
                <w:sz w:val="24"/>
                <w:szCs w:val="24"/>
                <w:highlight w:val="none"/>
                <w14:textFill>
                  <w14:solidFill>
                    <w14:schemeClr w14:val="tx1"/>
                  </w14:solidFill>
                </w14:textFill>
              </w:rPr>
              <w:t>10%的NaOH溶</w:t>
            </w:r>
            <w:r>
              <w:rPr>
                <w:rFonts w:hint="eastAsia" w:ascii="宋体" w:hAnsi="宋体" w:eastAsia="宋体" w:cs="宋体"/>
                <w:color w:val="000000" w:themeColor="text1"/>
                <w:spacing w:val="6"/>
                <w:sz w:val="24"/>
                <w:szCs w:val="24"/>
                <w14:textFill>
                  <w14:solidFill>
                    <w14:schemeClr w14:val="tx1"/>
                  </w14:solidFill>
                </w14:textFill>
              </w:rPr>
              <w:t>液对酸性废气进行吸收处理。酸雾废气量为1000m</w:t>
            </w:r>
            <w:r>
              <w:rPr>
                <w:rFonts w:hint="eastAsia" w:ascii="宋体" w:hAnsi="宋体" w:eastAsia="宋体" w:cs="宋体"/>
                <w:color w:val="000000" w:themeColor="text1"/>
                <w:spacing w:val="6"/>
                <w:sz w:val="24"/>
                <w:szCs w:val="24"/>
                <w:vertAlign w:val="superscript"/>
                <w14:textFill>
                  <w14:solidFill>
                    <w14:schemeClr w14:val="tx1"/>
                  </w14:solidFill>
                </w14:textFill>
              </w:rPr>
              <w:t>3</w:t>
            </w:r>
            <w:r>
              <w:rPr>
                <w:rFonts w:hint="eastAsia" w:ascii="宋体" w:hAnsi="宋体" w:eastAsia="宋体" w:cs="宋体"/>
                <w:color w:val="000000" w:themeColor="text1"/>
                <w:spacing w:val="6"/>
                <w:sz w:val="24"/>
                <w:szCs w:val="24"/>
                <w14:textFill>
                  <w14:solidFill>
                    <w14:schemeClr w14:val="tx1"/>
                  </w14:solidFill>
                </w14:textFill>
              </w:rPr>
              <w:t>/h，喷淋塔液气比设计为1.</w:t>
            </w:r>
            <w:r>
              <w:rPr>
                <w:rFonts w:hint="eastAsia" w:ascii="宋体" w:hAnsi="宋体" w:eastAsia="宋体" w:cs="宋体"/>
                <w:color w:val="000000" w:themeColor="text1"/>
                <w:spacing w:val="6"/>
                <w:sz w:val="24"/>
                <w:szCs w:val="24"/>
                <w:lang w:val="en-US" w:eastAsia="zh-CN"/>
                <w14:textFill>
                  <w14:solidFill>
                    <w14:schemeClr w14:val="tx1"/>
                  </w14:solidFill>
                </w14:textFill>
              </w:rPr>
              <w:t>0</w:t>
            </w:r>
            <w:r>
              <w:rPr>
                <w:rFonts w:hint="eastAsia" w:ascii="宋体" w:hAnsi="宋体" w:eastAsia="宋体" w:cs="宋体"/>
                <w:color w:val="000000" w:themeColor="text1"/>
                <w:spacing w:val="6"/>
                <w:sz w:val="24"/>
                <w:szCs w:val="24"/>
                <w14:textFill>
                  <w14:solidFill>
                    <w14:schemeClr w14:val="tx1"/>
                  </w14:solidFill>
                </w14:textFill>
              </w:rPr>
              <w:t>L/m³，则喷淋塔</w:t>
            </w:r>
            <w:r>
              <w:rPr>
                <w:rFonts w:hint="eastAsia" w:cs="宋体"/>
                <w:color w:val="000000" w:themeColor="text1"/>
                <w:spacing w:val="6"/>
                <w:sz w:val="24"/>
                <w:szCs w:val="24"/>
                <w:lang w:val="en-US" w:eastAsia="zh-CN"/>
                <w14:textFill>
                  <w14:solidFill>
                    <w14:schemeClr w14:val="tx1"/>
                  </w14:solidFill>
                </w14:textFill>
              </w:rPr>
              <w:t>循环</w:t>
            </w:r>
            <w:r>
              <w:rPr>
                <w:rFonts w:hint="eastAsia" w:ascii="宋体" w:hAnsi="宋体" w:eastAsia="宋体" w:cs="宋体"/>
                <w:color w:val="000000" w:themeColor="text1"/>
                <w:spacing w:val="6"/>
                <w:sz w:val="24"/>
                <w:szCs w:val="24"/>
                <w14:textFill>
                  <w14:solidFill>
                    <w14:schemeClr w14:val="tx1"/>
                  </w14:solidFill>
                </w14:textFill>
              </w:rPr>
              <w:t>水量总计为</w:t>
            </w:r>
            <w:r>
              <w:rPr>
                <w:rFonts w:hint="eastAsia" w:ascii="宋体" w:hAnsi="宋体" w:eastAsia="宋体" w:cs="宋体"/>
                <w:color w:val="000000" w:themeColor="text1"/>
                <w:spacing w:val="6"/>
                <w:sz w:val="24"/>
                <w:szCs w:val="24"/>
                <w:lang w:val="en-US" w:eastAsia="zh-CN"/>
                <w14:textFill>
                  <w14:solidFill>
                    <w14:schemeClr w14:val="tx1"/>
                  </w14:solidFill>
                </w14:textFill>
              </w:rPr>
              <w:t>24</w:t>
            </w:r>
            <w:r>
              <w:rPr>
                <w:rFonts w:hint="eastAsia" w:ascii="宋体" w:hAnsi="宋体" w:eastAsia="宋体" w:cs="宋体"/>
                <w:color w:val="000000" w:themeColor="text1"/>
                <w:spacing w:val="6"/>
                <w:sz w:val="24"/>
                <w:szCs w:val="24"/>
                <w14:textFill>
                  <w14:solidFill>
                    <w14:schemeClr w14:val="tx1"/>
                  </w14:solidFill>
                </w14:textFill>
              </w:rPr>
              <w:t>m³/d。喷淋水蒸发</w:t>
            </w:r>
            <w:r>
              <w:rPr>
                <w:rFonts w:hint="eastAsia" w:ascii="宋体" w:hAnsi="宋体" w:eastAsia="宋体" w:cs="宋体"/>
                <w:color w:val="000000" w:themeColor="text1"/>
                <w:spacing w:val="6"/>
                <w:sz w:val="24"/>
                <w:szCs w:val="24"/>
                <w:lang w:val="en-US" w:eastAsia="zh-CN"/>
                <w14:textFill>
                  <w14:solidFill>
                    <w14:schemeClr w14:val="tx1"/>
                  </w14:solidFill>
                </w14:textFill>
              </w:rPr>
              <w:t>及沉淀物带走</w:t>
            </w:r>
            <w:r>
              <w:rPr>
                <w:rFonts w:hint="eastAsia" w:ascii="宋体" w:hAnsi="宋体" w:eastAsia="宋体" w:cs="宋体"/>
                <w:color w:val="000000" w:themeColor="text1"/>
                <w:spacing w:val="6"/>
                <w:sz w:val="24"/>
                <w:szCs w:val="24"/>
                <w14:textFill>
                  <w14:solidFill>
                    <w14:schemeClr w14:val="tx1"/>
                  </w14:solidFill>
                </w14:textFill>
              </w:rPr>
              <w:t>损失量为循环水量的</w:t>
            </w:r>
            <w:r>
              <w:rPr>
                <w:rFonts w:hint="eastAsia" w:ascii="宋体" w:hAnsi="宋体" w:eastAsia="宋体" w:cs="宋体"/>
                <w:color w:val="000000" w:themeColor="text1"/>
                <w:spacing w:val="6"/>
                <w:sz w:val="24"/>
                <w:szCs w:val="24"/>
                <w:lang w:val="en-US" w:eastAsia="zh-CN"/>
                <w14:textFill>
                  <w14:solidFill>
                    <w14:schemeClr w14:val="tx1"/>
                  </w14:solidFill>
                </w14:textFill>
              </w:rPr>
              <w:t>15</w:t>
            </w:r>
            <w:r>
              <w:rPr>
                <w:rFonts w:hint="eastAsia" w:ascii="宋体" w:hAnsi="宋体" w:eastAsia="宋体" w:cs="宋体"/>
                <w:color w:val="000000" w:themeColor="text1"/>
                <w:spacing w:val="6"/>
                <w:sz w:val="24"/>
                <w:szCs w:val="24"/>
                <w14:textFill>
                  <w14:solidFill>
                    <w14:schemeClr w14:val="tx1"/>
                  </w14:solidFill>
                </w14:textFill>
              </w:rPr>
              <w:t>%，则补充自来水水量为</w:t>
            </w:r>
            <w:r>
              <w:rPr>
                <w:rFonts w:hint="eastAsia" w:ascii="宋体" w:hAnsi="宋体" w:eastAsia="宋体" w:cs="宋体"/>
                <w:color w:val="000000" w:themeColor="text1"/>
                <w:spacing w:val="6"/>
                <w:sz w:val="24"/>
                <w:szCs w:val="24"/>
                <w:lang w:val="en-US" w:eastAsia="zh-CN"/>
                <w14:textFill>
                  <w14:solidFill>
                    <w14:schemeClr w14:val="tx1"/>
                  </w14:solidFill>
                </w14:textFill>
              </w:rPr>
              <w:t>3.6</w:t>
            </w:r>
          </w:p>
          <w:p w14:paraId="5BC4ADC3">
            <w:pPr>
              <w:pStyle w:val="5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m³/d（</w:t>
            </w:r>
            <w:r>
              <w:rPr>
                <w:rFonts w:hint="eastAsia" w:ascii="宋体" w:hAnsi="宋体" w:eastAsia="宋体" w:cs="宋体"/>
                <w:color w:val="000000" w:themeColor="text1"/>
                <w:spacing w:val="6"/>
                <w:sz w:val="24"/>
                <w:szCs w:val="24"/>
                <w:lang w:val="en-US" w:eastAsia="zh-CN"/>
                <w14:textFill>
                  <w14:solidFill>
                    <w14:schemeClr w14:val="tx1"/>
                  </w14:solidFill>
                </w14:textFill>
              </w:rPr>
              <w:t>1080</w:t>
            </w:r>
            <w:r>
              <w:rPr>
                <w:rFonts w:hint="eastAsia" w:ascii="宋体" w:hAnsi="宋体" w:eastAsia="宋体" w:cs="宋体"/>
                <w:color w:val="000000" w:themeColor="text1"/>
                <w:spacing w:val="6"/>
                <w:sz w:val="24"/>
                <w:szCs w:val="24"/>
                <w14:textFill>
                  <w14:solidFill>
                    <w14:schemeClr w14:val="tx1"/>
                  </w14:solidFill>
                </w14:textFill>
              </w:rPr>
              <w:t>m³/a）</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lang w:val="en-US" w:eastAsia="zh-CN"/>
                <w14:textFill>
                  <w14:solidFill>
                    <w14:schemeClr w14:val="tx1"/>
                  </w14:solidFill>
                </w14:textFill>
              </w:rPr>
              <w:t>10天更换一次，则废水排放量为20.4</w:t>
            </w:r>
            <w:r>
              <w:rPr>
                <w:rFonts w:hint="eastAsia" w:ascii="宋体" w:hAnsi="宋体" w:eastAsia="宋体" w:cs="宋体"/>
                <w:color w:val="000000" w:themeColor="text1"/>
                <w:spacing w:val="6"/>
                <w:sz w:val="24"/>
                <w:szCs w:val="24"/>
                <w14:textFill>
                  <w14:solidFill>
                    <w14:schemeClr w14:val="tx1"/>
                  </w14:solidFill>
                </w14:textFill>
              </w:rPr>
              <w:t>m³/</w:t>
            </w:r>
            <w:r>
              <w:rPr>
                <w:rFonts w:hint="eastAsia" w:ascii="宋体" w:hAnsi="宋体" w:eastAsia="宋体" w:cs="宋体"/>
                <w:color w:val="000000" w:themeColor="text1"/>
                <w:spacing w:val="6"/>
                <w:sz w:val="24"/>
                <w:szCs w:val="24"/>
                <w:lang w:val="en-US" w:eastAsia="zh-CN"/>
                <w14:textFill>
                  <w14:solidFill>
                    <w14:schemeClr w14:val="tx1"/>
                  </w14:solidFill>
                </w14:textFill>
              </w:rPr>
              <w:t>次</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lang w:val="en-US" w:eastAsia="zh-CN"/>
                <w14:textFill>
                  <w14:solidFill>
                    <w14:schemeClr w14:val="tx1"/>
                  </w14:solidFill>
                </w14:textFill>
              </w:rPr>
              <w:t>612</w:t>
            </w:r>
            <w:r>
              <w:rPr>
                <w:rFonts w:hint="eastAsia" w:ascii="宋体" w:hAnsi="宋体" w:eastAsia="宋体" w:cs="宋体"/>
                <w:color w:val="000000" w:themeColor="text1"/>
                <w:spacing w:val="6"/>
                <w:sz w:val="24"/>
                <w:szCs w:val="24"/>
                <w14:textFill>
                  <w14:solidFill>
                    <w14:schemeClr w14:val="tx1"/>
                  </w14:solidFill>
                </w14:textFill>
              </w:rPr>
              <w:t>m³/a</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w:t>
            </w:r>
          </w:p>
          <w:p w14:paraId="0FD04F2B">
            <w:pPr>
              <w:pStyle w:val="52"/>
              <w:keepNext w:val="0"/>
              <w:keepLines w:val="0"/>
              <w:pageBreakBefore w:val="0"/>
              <w:widowControl w:val="0"/>
              <w:kinsoku/>
              <w:wordWrap/>
              <w:overflowPunct/>
              <w:topLinePunct w:val="0"/>
              <w:autoSpaceDE/>
              <w:autoSpaceDN/>
              <w:bidi w:val="0"/>
              <w:adjustRightInd/>
              <w:snapToGrid/>
              <w:spacing w:line="360" w:lineRule="auto"/>
              <w:ind w:left="126" w:right="100" w:firstLine="461"/>
              <w:jc w:val="both"/>
              <w:textAlignment w:val="auto"/>
              <w:rPr>
                <w:rFonts w:hint="eastAsia" w:cs="宋体"/>
                <w:color w:val="00B050"/>
                <w:spacing w:val="17"/>
                <w:sz w:val="24"/>
                <w:szCs w:val="24"/>
                <w:u w:val="single"/>
                <w:lang w:val="en-US" w:eastAsia="zh-CN"/>
              </w:rPr>
            </w:pPr>
            <w:r>
              <w:rPr>
                <w:rFonts w:hint="eastAsia" w:ascii="宋体" w:hAnsi="宋体" w:eastAsia="宋体" w:cs="宋体"/>
                <w:color w:val="00B050"/>
                <w:spacing w:val="17"/>
                <w:sz w:val="24"/>
                <w:szCs w:val="24"/>
                <w:u w:val="single"/>
              </w:rPr>
              <w:t>③</w:t>
            </w:r>
            <w:r>
              <w:rPr>
                <w:rFonts w:hint="eastAsia" w:cs="宋体"/>
                <w:color w:val="00B050"/>
                <w:spacing w:val="17"/>
                <w:sz w:val="24"/>
                <w:szCs w:val="24"/>
                <w:u w:val="single"/>
                <w:lang w:val="en-US" w:eastAsia="zh-CN"/>
              </w:rPr>
              <w:t>间接冷却水</w:t>
            </w:r>
          </w:p>
          <w:p w14:paraId="44718F7D">
            <w:pPr>
              <w:pStyle w:val="52"/>
              <w:keepNext w:val="0"/>
              <w:keepLines w:val="0"/>
              <w:pageBreakBefore w:val="0"/>
              <w:widowControl w:val="0"/>
              <w:kinsoku/>
              <w:wordWrap/>
              <w:overflowPunct/>
              <w:topLinePunct w:val="0"/>
              <w:autoSpaceDE/>
              <w:autoSpaceDN/>
              <w:bidi w:val="0"/>
              <w:adjustRightInd/>
              <w:snapToGrid/>
              <w:spacing w:line="360" w:lineRule="auto"/>
              <w:ind w:left="126" w:right="100" w:firstLine="461"/>
              <w:jc w:val="both"/>
              <w:textAlignment w:val="auto"/>
              <w:rPr>
                <w:rFonts w:hint="default" w:cs="宋体"/>
                <w:color w:val="00B050"/>
                <w:spacing w:val="17"/>
                <w:sz w:val="24"/>
                <w:szCs w:val="24"/>
                <w:u w:val="single"/>
                <w:lang w:val="en-US" w:eastAsia="zh-CN"/>
              </w:rPr>
            </w:pPr>
            <w:r>
              <w:rPr>
                <w:rFonts w:hint="eastAsia" w:cs="宋体"/>
                <w:color w:val="00B050"/>
                <w:spacing w:val="17"/>
                <w:sz w:val="24"/>
                <w:szCs w:val="24"/>
                <w:u w:val="single"/>
                <w:lang w:val="en-US" w:eastAsia="zh-CN"/>
              </w:rPr>
              <w:t>本项目在插层、中和以及清洗过程均属于放热反应，因此需要间接冷却水，冷却水用量为24m</w:t>
            </w:r>
            <w:r>
              <w:rPr>
                <w:rFonts w:hint="eastAsia" w:cs="宋体"/>
                <w:color w:val="00B050"/>
                <w:spacing w:val="17"/>
                <w:sz w:val="24"/>
                <w:szCs w:val="24"/>
                <w:u w:val="single"/>
                <w:vertAlign w:val="superscript"/>
                <w:lang w:val="en-US" w:eastAsia="zh-CN"/>
              </w:rPr>
              <w:t>3</w:t>
            </w:r>
            <w:r>
              <w:rPr>
                <w:rFonts w:hint="eastAsia" w:cs="宋体"/>
                <w:color w:val="00B050"/>
                <w:spacing w:val="17"/>
                <w:sz w:val="24"/>
                <w:szCs w:val="24"/>
                <w:u w:val="single"/>
                <w:lang w:val="en-US" w:eastAsia="zh-CN"/>
              </w:rPr>
              <w:t>/d。</w:t>
            </w:r>
          </w:p>
          <w:p w14:paraId="7A72F3C1">
            <w:pPr>
              <w:pStyle w:val="52"/>
              <w:keepNext w:val="0"/>
              <w:keepLines w:val="0"/>
              <w:pageBreakBefore w:val="0"/>
              <w:widowControl w:val="0"/>
              <w:kinsoku/>
              <w:wordWrap/>
              <w:overflowPunct/>
              <w:topLinePunct w:val="0"/>
              <w:autoSpaceDE/>
              <w:autoSpaceDN/>
              <w:bidi w:val="0"/>
              <w:adjustRightInd/>
              <w:snapToGrid/>
              <w:spacing w:line="360" w:lineRule="auto"/>
              <w:ind w:left="58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④生活用水：</w:t>
            </w:r>
          </w:p>
          <w:p w14:paraId="7C3A4688">
            <w:pPr>
              <w:pStyle w:val="52"/>
              <w:keepNext w:val="0"/>
              <w:keepLines w:val="0"/>
              <w:pageBreakBefore w:val="0"/>
              <w:widowControl w:val="0"/>
              <w:kinsoku/>
              <w:wordWrap/>
              <w:overflowPunct/>
              <w:topLinePunct w:val="0"/>
              <w:autoSpaceDE/>
              <w:autoSpaceDN/>
              <w:bidi w:val="0"/>
              <w:adjustRightInd/>
              <w:snapToGrid/>
              <w:spacing w:line="360" w:lineRule="auto"/>
              <w:ind w:left="126" w:right="100" w:firstLine="461"/>
              <w:jc w:val="both"/>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本项目员工</w:t>
            </w:r>
            <w:r>
              <w:rPr>
                <w:rFonts w:hint="eastAsia" w:ascii="宋体" w:hAnsi="宋体" w:eastAsia="宋体" w:cs="宋体"/>
                <w:color w:val="000000" w:themeColor="text1"/>
                <w:spacing w:val="-43"/>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lang w:val="en-US" w:eastAsia="zh-CN"/>
                <w14:textFill>
                  <w14:solidFill>
                    <w14:schemeClr w14:val="tx1"/>
                  </w14:solidFill>
                </w14:textFill>
              </w:rPr>
              <w:t>23</w:t>
            </w:r>
            <w:r>
              <w:rPr>
                <w:rFonts w:hint="eastAsia" w:ascii="宋体" w:hAnsi="宋体" w:eastAsia="宋体" w:cs="宋体"/>
                <w:color w:val="000000" w:themeColor="text1"/>
                <w:spacing w:val="2"/>
                <w:sz w:val="24"/>
                <w:szCs w:val="24"/>
                <w14:textFill>
                  <w14:solidFill>
                    <w14:schemeClr w14:val="tx1"/>
                  </w14:solidFill>
                </w14:textFill>
              </w:rPr>
              <w:t>人，根据</w:t>
            </w:r>
            <w:r>
              <w:rPr>
                <w:rFonts w:hint="eastAsia" w:ascii="宋体" w:hAnsi="宋体" w:eastAsia="宋体" w:cs="宋体"/>
                <w:color w:val="000000" w:themeColor="text1"/>
                <w:spacing w:val="6"/>
                <w:sz w:val="24"/>
                <w:szCs w:val="24"/>
                <w14:textFill>
                  <w14:solidFill>
                    <w14:schemeClr w14:val="tx1"/>
                  </w14:solidFill>
                </w14:textFill>
              </w:rPr>
              <w:t>人均生活用水定额按</w:t>
            </w:r>
            <w:r>
              <w:rPr>
                <w:rFonts w:hint="eastAsia" w:ascii="宋体" w:hAnsi="宋体" w:eastAsia="宋体" w:cs="宋体"/>
                <w:color w:val="000000" w:themeColor="text1"/>
                <w:spacing w:val="-22"/>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1</w:t>
            </w:r>
            <w:r>
              <w:rPr>
                <w:rFonts w:hint="eastAsia" w:ascii="宋体" w:hAnsi="宋体" w:eastAsia="宋体" w:cs="宋体"/>
                <w:color w:val="000000" w:themeColor="text1"/>
                <w:spacing w:val="6"/>
                <w:sz w:val="24"/>
                <w:szCs w:val="24"/>
                <w:lang w:val="en-US" w:eastAsia="zh-CN"/>
                <w14:textFill>
                  <w14:solidFill>
                    <w14:schemeClr w14:val="tx1"/>
                  </w14:solidFill>
                </w14:textFill>
              </w:rPr>
              <w:t>00</w:t>
            </w:r>
            <w:r>
              <w:rPr>
                <w:rFonts w:hint="eastAsia" w:ascii="宋体" w:hAnsi="宋体" w:eastAsia="宋体" w:cs="宋体"/>
                <w:color w:val="000000" w:themeColor="text1"/>
                <w:spacing w:val="5"/>
                <w:sz w:val="24"/>
                <w:szCs w:val="24"/>
                <w14:textFill>
                  <w14:solidFill>
                    <w14:schemeClr w14:val="tx1"/>
                  </w14:solidFill>
                </w14:textFill>
              </w:rPr>
              <w:t>L/人•天计，工作</w:t>
            </w:r>
            <w:r>
              <w:rPr>
                <w:rFonts w:hint="eastAsia" w:ascii="宋体" w:hAnsi="宋体" w:eastAsia="宋体" w:cs="宋体"/>
                <w:color w:val="000000" w:themeColor="text1"/>
                <w:spacing w:val="-39"/>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300d/年，项</w:t>
            </w:r>
            <w:r>
              <w:rPr>
                <w:rFonts w:hint="eastAsia" w:ascii="宋体" w:hAnsi="宋体" w:eastAsia="宋体" w:cs="宋体"/>
                <w:color w:val="000000" w:themeColor="text1"/>
                <w:spacing w:val="4"/>
                <w:sz w:val="24"/>
                <w:szCs w:val="24"/>
                <w14:textFill>
                  <w14:solidFill>
                    <w14:schemeClr w14:val="tx1"/>
                  </w14:solidFill>
                </w14:textFill>
              </w:rPr>
              <w:t>目员工生活水消耗量</w:t>
            </w:r>
            <w:r>
              <w:rPr>
                <w:rFonts w:hint="eastAsia" w:ascii="宋体" w:hAnsi="宋体" w:eastAsia="宋体" w:cs="宋体"/>
                <w:color w:val="000000" w:themeColor="text1"/>
                <w:spacing w:val="-40"/>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lang w:val="en-US" w:eastAsia="zh-CN"/>
                <w14:textFill>
                  <w14:solidFill>
                    <w14:schemeClr w14:val="tx1"/>
                  </w14:solidFill>
                </w14:textFill>
              </w:rPr>
              <w:t>2.3</w:t>
            </w:r>
            <w:r>
              <w:rPr>
                <w:rFonts w:hint="eastAsia" w:ascii="宋体" w:hAnsi="宋体" w:eastAsia="宋体" w:cs="宋体"/>
                <w:color w:val="000000" w:themeColor="text1"/>
                <w:spacing w:val="4"/>
                <w:sz w:val="24"/>
                <w:szCs w:val="24"/>
                <w14:textFill>
                  <w14:solidFill>
                    <w14:schemeClr w14:val="tx1"/>
                  </w14:solidFill>
                </w14:textFill>
              </w:rPr>
              <w:t>m</w:t>
            </w:r>
            <w:r>
              <w:rPr>
                <w:rFonts w:hint="eastAsia" w:ascii="宋体" w:hAnsi="宋体" w:eastAsia="宋体" w:cs="宋体"/>
                <w:color w:val="000000" w:themeColor="text1"/>
                <w:spacing w:val="4"/>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4"/>
                <w:sz w:val="24"/>
                <w:szCs w:val="24"/>
                <w14:textFill>
                  <w14:solidFill>
                    <w14:schemeClr w14:val="tx1"/>
                  </w14:solidFill>
                </w14:textFill>
              </w:rPr>
              <w:t>/d</w:t>
            </w:r>
            <w:r>
              <w:rPr>
                <w:rFonts w:hint="eastAsia" w:ascii="宋体" w:hAnsi="宋体" w:eastAsia="宋体" w:cs="宋体"/>
                <w:color w:val="000000" w:themeColor="text1"/>
                <w:spacing w:val="-24"/>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，年用水量</w:t>
            </w:r>
            <w:r>
              <w:rPr>
                <w:rFonts w:hint="eastAsia" w:ascii="宋体" w:hAnsi="宋体" w:eastAsia="宋体" w:cs="宋体"/>
                <w:color w:val="000000" w:themeColor="text1"/>
                <w:spacing w:val="4"/>
                <w:sz w:val="24"/>
                <w:szCs w:val="24"/>
                <w:lang w:val="en-US" w:eastAsia="zh-CN"/>
                <w14:textFill>
                  <w14:solidFill>
                    <w14:schemeClr w14:val="tx1"/>
                  </w14:solidFill>
                </w14:textFill>
              </w:rPr>
              <w:t>690</w:t>
            </w:r>
            <w:r>
              <w:rPr>
                <w:rFonts w:hint="eastAsia" w:ascii="宋体" w:hAnsi="宋体" w:eastAsia="宋体" w:cs="宋体"/>
                <w:color w:val="000000" w:themeColor="text1"/>
                <w:spacing w:val="4"/>
                <w:sz w:val="24"/>
                <w:szCs w:val="24"/>
                <w14:textFill>
                  <w14:solidFill>
                    <w14:schemeClr w14:val="tx1"/>
                  </w14:solidFill>
                </w14:textFill>
              </w:rPr>
              <w:t>m</w:t>
            </w:r>
            <w:r>
              <w:rPr>
                <w:rFonts w:hint="eastAsia" w:ascii="宋体" w:hAnsi="宋体" w:eastAsia="宋体" w:cs="宋体"/>
                <w:color w:val="000000" w:themeColor="text1"/>
                <w:spacing w:val="4"/>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spacing w:val="4"/>
                <w:sz w:val="24"/>
                <w:szCs w:val="24"/>
                <w14:textFill>
                  <w14:solidFill>
                    <w14:schemeClr w14:val="tx1"/>
                  </w14:solidFill>
                </w14:textFill>
              </w:rPr>
              <w:t>/a。</w:t>
            </w:r>
          </w:p>
          <w:p w14:paraId="251EFCC2">
            <w:pPr>
              <w:pStyle w:val="52"/>
              <w:keepNext w:val="0"/>
              <w:keepLines w:val="0"/>
              <w:pageBreakBefore w:val="0"/>
              <w:widowControl w:val="0"/>
              <w:kinsoku/>
              <w:wordWrap/>
              <w:overflowPunct/>
              <w:topLinePunct w:val="0"/>
              <w:autoSpaceDE/>
              <w:autoSpaceDN/>
              <w:bidi w:val="0"/>
              <w:adjustRightInd/>
              <w:snapToGrid/>
              <w:spacing w:line="360" w:lineRule="auto"/>
              <w:ind w:left="53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（3）排水</w:t>
            </w:r>
          </w:p>
          <w:p w14:paraId="5B8720AD">
            <w:pPr>
              <w:pStyle w:val="52"/>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①生产废水</w:t>
            </w:r>
            <w:r>
              <w:rPr>
                <w:rFonts w:hint="eastAsia" w:cs="宋体"/>
                <w:color w:val="000000" w:themeColor="text1"/>
                <w:spacing w:val="7"/>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lang w:val="en-US" w:eastAsia="zh-CN"/>
                <w14:textFill>
                  <w14:solidFill>
                    <w14:schemeClr w14:val="tx1"/>
                  </w14:solidFill>
                </w14:textFill>
              </w:rPr>
              <w:t>酸雾喷淋水每10天更换一次</w:t>
            </w:r>
            <w:r>
              <w:rPr>
                <w:rFonts w:hint="eastAsia" w:ascii="宋体" w:hAnsi="宋体" w:eastAsia="宋体" w:cs="宋体"/>
                <w:color w:val="000000" w:themeColor="text1"/>
                <w:spacing w:val="6"/>
                <w:sz w:val="24"/>
                <w:szCs w:val="24"/>
                <w:u w:val="single"/>
                <w:lang w:val="en-US" w:eastAsia="zh-CN"/>
                <w14:textFill>
                  <w14:solidFill>
                    <w14:schemeClr w14:val="tx1"/>
                  </w14:solidFill>
                </w14:textFill>
              </w:rPr>
              <w:t>，</w:t>
            </w:r>
            <w:r>
              <w:rPr>
                <w:rFonts w:hint="eastAsia" w:cs="宋体"/>
                <w:color w:val="0000FF"/>
                <w:spacing w:val="6"/>
                <w:sz w:val="24"/>
                <w:szCs w:val="24"/>
                <w:u w:val="single"/>
                <w:lang w:val="en-US" w:eastAsia="zh-CN"/>
              </w:rPr>
              <w:t>全年更换30次，</w:t>
            </w:r>
            <w:r>
              <w:rPr>
                <w:rFonts w:hint="eastAsia" w:ascii="宋体" w:hAnsi="宋体" w:eastAsia="宋体" w:cs="宋体"/>
                <w:color w:val="000000" w:themeColor="text1"/>
                <w:spacing w:val="6"/>
                <w:sz w:val="24"/>
                <w:szCs w:val="24"/>
                <w:lang w:val="en-US" w:eastAsia="zh-CN"/>
                <w14:textFill>
                  <w14:solidFill>
                    <w14:schemeClr w14:val="tx1"/>
                  </w14:solidFill>
                </w14:textFill>
              </w:rPr>
              <w:t>则废水排放量为20.4</w:t>
            </w:r>
            <w:r>
              <w:rPr>
                <w:rFonts w:hint="eastAsia" w:ascii="宋体" w:hAnsi="宋体" w:eastAsia="宋体" w:cs="宋体"/>
                <w:color w:val="000000" w:themeColor="text1"/>
                <w:spacing w:val="6"/>
                <w:sz w:val="24"/>
                <w:szCs w:val="24"/>
                <w14:textFill>
                  <w14:solidFill>
                    <w14:schemeClr w14:val="tx1"/>
                  </w14:solidFill>
                </w14:textFill>
              </w:rPr>
              <w:t>m³/</w:t>
            </w:r>
            <w:r>
              <w:rPr>
                <w:rFonts w:hint="eastAsia" w:ascii="宋体" w:hAnsi="宋体" w:eastAsia="宋体" w:cs="宋体"/>
                <w:color w:val="000000" w:themeColor="text1"/>
                <w:spacing w:val="6"/>
                <w:sz w:val="24"/>
                <w:szCs w:val="24"/>
                <w:lang w:val="en-US" w:eastAsia="zh-CN"/>
                <w14:textFill>
                  <w14:solidFill>
                    <w14:schemeClr w14:val="tx1"/>
                  </w14:solidFill>
                </w14:textFill>
              </w:rPr>
              <w:t>次</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lang w:val="en-US" w:eastAsia="zh-CN"/>
                <w14:textFill>
                  <w14:solidFill>
                    <w14:schemeClr w14:val="tx1"/>
                  </w14:solidFill>
                </w14:textFill>
              </w:rPr>
              <w:t>612</w:t>
            </w:r>
            <w:r>
              <w:rPr>
                <w:rFonts w:hint="eastAsia" w:ascii="宋体" w:hAnsi="宋体" w:eastAsia="宋体" w:cs="宋体"/>
                <w:color w:val="000000" w:themeColor="text1"/>
                <w:spacing w:val="6"/>
                <w:sz w:val="24"/>
                <w:szCs w:val="24"/>
                <w14:textFill>
                  <w14:solidFill>
                    <w14:schemeClr w14:val="tx1"/>
                  </w14:solidFill>
                </w14:textFill>
              </w:rPr>
              <w:t>m³/a</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w:t>
            </w:r>
          </w:p>
          <w:p w14:paraId="200C23DB">
            <w:pPr>
              <w:pStyle w:val="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sz w:val="24"/>
                <w:szCs w:val="24"/>
              </w:rPr>
              <w:t>本项目单套生产装置单批次</w:t>
            </w:r>
            <w:r>
              <w:rPr>
                <w:rFonts w:hint="eastAsia"/>
                <w:sz w:val="24"/>
                <w:szCs w:val="24"/>
                <w:lang w:val="en-US" w:eastAsia="zh-CN"/>
              </w:rPr>
              <w:t>1台设备</w:t>
            </w:r>
            <w:r>
              <w:rPr>
                <w:sz w:val="24"/>
                <w:szCs w:val="24"/>
              </w:rPr>
              <w:t>水洗用水量约为</w:t>
            </w:r>
            <w:r>
              <w:rPr>
                <w:rFonts w:hint="eastAsia"/>
                <w:sz w:val="24"/>
                <w:szCs w:val="24"/>
                <w:lang w:val="en-US" w:eastAsia="zh-CN"/>
              </w:rPr>
              <w:t>3</w:t>
            </w:r>
            <w:r>
              <w:rPr>
                <w:sz w:val="24"/>
                <w:szCs w:val="24"/>
              </w:rPr>
              <w:t>m</w:t>
            </w:r>
            <w:r>
              <w:rPr>
                <w:sz w:val="24"/>
                <w:szCs w:val="24"/>
                <w:vertAlign w:val="superscript"/>
              </w:rPr>
              <w:t>3</w:t>
            </w:r>
            <w:r>
              <w:rPr>
                <w:sz w:val="24"/>
                <w:szCs w:val="24"/>
              </w:rPr>
              <w:t>，每天</w:t>
            </w:r>
            <w:r>
              <w:rPr>
                <w:rFonts w:hint="eastAsia"/>
                <w:sz w:val="24"/>
                <w:szCs w:val="24"/>
                <w:lang w:val="en-US" w:eastAsia="zh-CN"/>
              </w:rPr>
              <w:t>10</w:t>
            </w:r>
            <w:r>
              <w:rPr>
                <w:sz w:val="24"/>
                <w:szCs w:val="24"/>
              </w:rPr>
              <w:t>套</w:t>
            </w:r>
            <w:r>
              <w:rPr>
                <w:rFonts w:hint="eastAsia"/>
                <w:sz w:val="24"/>
                <w:szCs w:val="24"/>
                <w:lang w:val="en-US" w:eastAsia="zh-CN"/>
              </w:rPr>
              <w:t>搅拌罐</w:t>
            </w:r>
            <w:r>
              <w:rPr>
                <w:sz w:val="24"/>
                <w:szCs w:val="24"/>
              </w:rPr>
              <w:t>最多共计运行3批次，因此单日最大水洗用水量约为90m</w:t>
            </w:r>
            <w:r>
              <w:rPr>
                <w:sz w:val="24"/>
                <w:szCs w:val="24"/>
                <w:vertAlign w:val="superscript"/>
              </w:rPr>
              <w:t>3</w:t>
            </w:r>
            <w:r>
              <w:rPr>
                <w:sz w:val="24"/>
                <w:szCs w:val="24"/>
              </w:rPr>
              <w:t>/d</w:t>
            </w:r>
            <w:r>
              <w:rPr>
                <w:rFonts w:hint="eastAsia"/>
                <w:sz w:val="24"/>
                <w:szCs w:val="24"/>
                <w:lang w:eastAsia="zh-CN"/>
              </w:rPr>
              <w:t>，</w:t>
            </w:r>
            <w:r>
              <w:rPr>
                <w:rFonts w:hint="eastAsia"/>
                <w:sz w:val="24"/>
                <w:szCs w:val="24"/>
                <w:lang w:val="en-US" w:eastAsia="zh-CN"/>
              </w:rPr>
              <w:t>采用密闭搅拌罐的方式进行清洗，损耗量较小按5%计算，则损耗量为4.5</w:t>
            </w:r>
            <w:r>
              <w:rPr>
                <w:sz w:val="24"/>
                <w:szCs w:val="24"/>
              </w:rPr>
              <w:t>m</w:t>
            </w:r>
            <w:r>
              <w:rPr>
                <w:sz w:val="24"/>
                <w:szCs w:val="24"/>
                <w:vertAlign w:val="superscript"/>
              </w:rPr>
              <w:t>3</w:t>
            </w:r>
            <w:r>
              <w:rPr>
                <w:sz w:val="24"/>
                <w:szCs w:val="24"/>
              </w:rPr>
              <w:t>/d</w:t>
            </w:r>
            <w:r>
              <w:rPr>
                <w:rFonts w:hint="eastAsia"/>
                <w:sz w:val="24"/>
                <w:szCs w:val="24"/>
                <w:lang w:eastAsia="zh-CN"/>
              </w:rPr>
              <w:t>，</w:t>
            </w:r>
          </w:p>
          <w:p w14:paraId="404C14E7">
            <w:pPr>
              <w:pStyle w:val="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0000FF"/>
                <w:spacing w:val="4"/>
                <w:sz w:val="24"/>
                <w:szCs w:val="24"/>
                <w:highlight w:val="none"/>
                <w:u w:val="single"/>
                <w:lang w:val="en-US" w:eastAsia="zh-CN"/>
              </w:rPr>
            </w:pPr>
            <w:r>
              <w:rPr>
                <w:rFonts w:hint="eastAsia"/>
                <w:sz w:val="24"/>
                <w:szCs w:val="24"/>
                <w:lang w:val="en-US" w:eastAsia="zh-CN"/>
              </w:rPr>
              <w:t>烘干前物产含水量为30%，因此产品带走7.2</w:t>
            </w:r>
            <w:r>
              <w:rPr>
                <w:sz w:val="24"/>
                <w:szCs w:val="24"/>
              </w:rPr>
              <w:t>m</w:t>
            </w:r>
            <w:r>
              <w:rPr>
                <w:sz w:val="24"/>
                <w:szCs w:val="24"/>
                <w:vertAlign w:val="superscript"/>
              </w:rPr>
              <w:t>3</w:t>
            </w:r>
            <w:r>
              <w:rPr>
                <w:sz w:val="24"/>
                <w:szCs w:val="24"/>
              </w:rPr>
              <w:t>/d</w:t>
            </w:r>
            <w:r>
              <w:rPr>
                <w:rFonts w:hint="eastAsia"/>
                <w:sz w:val="24"/>
                <w:szCs w:val="24"/>
                <w:lang w:eastAsia="zh-CN"/>
              </w:rPr>
              <w:t>，</w:t>
            </w:r>
            <w:r>
              <w:rPr>
                <w:rFonts w:hint="eastAsia" w:ascii="宋体" w:hAnsi="宋体" w:eastAsia="宋体" w:cs="宋体"/>
                <w:color w:val="000000" w:themeColor="text1"/>
                <w:spacing w:val="7"/>
                <w:sz w:val="24"/>
                <w:szCs w:val="24"/>
                <w14:textFill>
                  <w14:solidFill>
                    <w14:schemeClr w14:val="tx1"/>
                  </w14:solidFill>
                </w14:textFill>
              </w:rPr>
              <w:t>水洗后脱水工序产生的废水、碱液喷淋装置废水经独立管道排入污水处理</w:t>
            </w:r>
            <w:r>
              <w:rPr>
                <w:rFonts w:hint="eastAsia" w:ascii="宋体" w:hAnsi="宋体" w:eastAsia="宋体" w:cs="宋体"/>
                <w:color w:val="000000" w:themeColor="text1"/>
                <w:spacing w:val="7"/>
                <w:sz w:val="24"/>
                <w:szCs w:val="24"/>
                <w:lang w:val="en-US" w:eastAsia="zh-CN"/>
                <w14:textFill>
                  <w14:solidFill>
                    <w14:schemeClr w14:val="tx1"/>
                  </w14:solidFill>
                </w14:textFill>
              </w:rPr>
              <w:t>系统</w:t>
            </w:r>
            <w:r>
              <w:rPr>
                <w:rFonts w:hint="eastAsia" w:ascii="宋体" w:hAnsi="宋体" w:eastAsia="宋体" w:cs="宋体"/>
                <w:color w:val="000000" w:themeColor="text1"/>
                <w:spacing w:val="7"/>
                <w:sz w:val="24"/>
                <w:szCs w:val="24"/>
                <w14:textFill>
                  <w14:solidFill>
                    <w14:schemeClr w14:val="tx1"/>
                  </w14:solidFill>
                </w14:textFill>
              </w:rPr>
              <w:t>，经“</w:t>
            </w:r>
            <w:r>
              <w:rPr>
                <w:rFonts w:hint="eastAsia" w:ascii="宋体" w:hAnsi="宋体" w:eastAsia="宋体" w:cs="宋体"/>
                <w:color w:val="000000" w:themeColor="text1"/>
                <w:spacing w:val="-72"/>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中和+沉淀</w:t>
            </w:r>
            <w:r>
              <w:rPr>
                <w:rFonts w:hint="eastAsia" w:ascii="宋体" w:hAnsi="宋体" w:eastAsia="宋体" w:cs="宋体"/>
                <w:color w:val="000000" w:themeColor="text1"/>
                <w:spacing w:val="-70"/>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”处理后的上清液排入</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回水罐</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cs="宋体"/>
                <w:color w:val="000000" w:themeColor="text1"/>
                <w:spacing w:val="4"/>
                <w:sz w:val="24"/>
                <w:szCs w:val="24"/>
                <w:highlight w:val="none"/>
                <w:lang w:val="en-US" w:eastAsia="zh-CN"/>
                <w14:textFill>
                  <w14:solidFill>
                    <w14:schemeClr w14:val="tx1"/>
                  </w14:solidFill>
                </w14:textFill>
              </w:rPr>
              <w:t>水洗压滤</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污</w:t>
            </w:r>
            <w:r>
              <w:rPr>
                <w:rFonts w:hint="eastAsia" w:ascii="宋体" w:hAnsi="宋体" w:eastAsia="宋体" w:cs="宋体"/>
                <w:color w:val="000000" w:themeColor="text1"/>
                <w:spacing w:val="4"/>
                <w:sz w:val="24"/>
                <w:szCs w:val="24"/>
                <w:highlight w:val="none"/>
                <w14:textFill>
                  <w14:solidFill>
                    <w14:schemeClr w14:val="tx1"/>
                  </w14:solidFill>
                </w14:textFill>
              </w:rPr>
              <w:t>水</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产生</w:t>
            </w:r>
            <w:r>
              <w:rPr>
                <w:rFonts w:hint="eastAsia" w:ascii="宋体" w:hAnsi="宋体" w:eastAsia="宋体" w:cs="宋体"/>
                <w:color w:val="000000" w:themeColor="text1"/>
                <w:spacing w:val="7"/>
                <w:sz w:val="24"/>
                <w:szCs w:val="24"/>
                <w14:textFill>
                  <w14:solidFill>
                    <w14:schemeClr w14:val="tx1"/>
                  </w14:solidFill>
                </w14:textFill>
              </w:rPr>
              <w:t>量为</w:t>
            </w:r>
            <w:r>
              <w:rPr>
                <w:rFonts w:hint="eastAsia" w:ascii="宋体" w:hAnsi="宋体" w:eastAsia="宋体" w:cs="宋体"/>
                <w:color w:val="000000" w:themeColor="text1"/>
                <w:spacing w:val="7"/>
                <w:sz w:val="24"/>
                <w:szCs w:val="24"/>
                <w:lang w:val="en-US" w:eastAsia="zh-CN"/>
                <w14:textFill>
                  <w14:solidFill>
                    <w14:schemeClr w14:val="tx1"/>
                  </w14:solidFill>
                </w14:textFill>
              </w:rPr>
              <w:t>78.3</w:t>
            </w:r>
            <w:r>
              <w:rPr>
                <w:rFonts w:hint="eastAsia" w:ascii="宋体" w:hAnsi="宋体" w:eastAsia="宋体" w:cs="宋体"/>
                <w:color w:val="000000" w:themeColor="text1"/>
                <w:spacing w:val="4"/>
                <w:sz w:val="24"/>
                <w:szCs w:val="24"/>
                <w:highlight w:val="none"/>
                <w14:textFill>
                  <w14:solidFill>
                    <w14:schemeClr w14:val="tx1"/>
                  </w14:solidFill>
                </w14:textFill>
              </w:rPr>
              <w:t>m</w:t>
            </w:r>
            <w:r>
              <w:rPr>
                <w:rFonts w:hint="eastAsia" w:ascii="宋体" w:hAnsi="宋体" w:eastAsia="宋体" w:cs="宋体"/>
                <w:color w:val="000000" w:themeColor="text1"/>
                <w:spacing w:val="7"/>
                <w:sz w:val="24"/>
                <w:szCs w:val="24"/>
                <w:highlight w:val="none"/>
                <w:vertAlign w:val="superscript"/>
                <w14:textFill>
                  <w14:solidFill>
                    <w14:schemeClr w14:val="tx1"/>
                  </w14:solidFill>
                </w14:textFill>
              </w:rPr>
              <w:t>3</w:t>
            </w:r>
            <w:r>
              <w:rPr>
                <w:rFonts w:hint="eastAsia" w:ascii="宋体" w:hAnsi="宋体" w:eastAsia="宋体" w:cs="宋体"/>
                <w:color w:val="000000" w:themeColor="text1"/>
                <w:spacing w:val="4"/>
                <w:sz w:val="24"/>
                <w:szCs w:val="24"/>
                <w:highlight w:val="none"/>
                <w14:textFill>
                  <w14:solidFill>
                    <w14:schemeClr w14:val="tx1"/>
                  </w14:solidFill>
                </w14:textFill>
              </w:rPr>
              <w:t>/d</w:t>
            </w:r>
            <w:r>
              <w:rPr>
                <w:rFonts w:hint="eastAsia" w:cs="宋体"/>
                <w:color w:val="0000FF"/>
                <w:spacing w:val="4"/>
                <w:sz w:val="24"/>
                <w:szCs w:val="24"/>
                <w:highlight w:val="none"/>
                <w:lang w:eastAsia="zh-CN"/>
              </w:rPr>
              <w:t>（</w:t>
            </w:r>
            <w:r>
              <w:rPr>
                <w:rFonts w:hint="eastAsia" w:cs="宋体"/>
                <w:color w:val="0000FF"/>
                <w:spacing w:val="4"/>
                <w:sz w:val="24"/>
                <w:szCs w:val="24"/>
                <w:highlight w:val="none"/>
                <w:u w:val="single"/>
                <w:lang w:val="en-US" w:eastAsia="zh-CN"/>
              </w:rPr>
              <w:t>即用水量90</w:t>
            </w:r>
            <w:r>
              <w:rPr>
                <w:rFonts w:hint="eastAsia" w:ascii="宋体" w:hAnsi="宋体" w:eastAsia="宋体" w:cs="宋体"/>
                <w:color w:val="0000FF"/>
                <w:spacing w:val="4"/>
                <w:sz w:val="24"/>
                <w:szCs w:val="24"/>
                <w:highlight w:val="none"/>
                <w:u w:val="single"/>
              </w:rPr>
              <w:t>m</w:t>
            </w:r>
            <w:r>
              <w:rPr>
                <w:rFonts w:hint="eastAsia" w:ascii="宋体" w:hAnsi="宋体" w:eastAsia="宋体" w:cs="宋体"/>
                <w:color w:val="0000FF"/>
                <w:spacing w:val="7"/>
                <w:sz w:val="24"/>
                <w:szCs w:val="24"/>
                <w:highlight w:val="none"/>
                <w:u w:val="single"/>
                <w:vertAlign w:val="superscript"/>
              </w:rPr>
              <w:t>3</w:t>
            </w:r>
            <w:r>
              <w:rPr>
                <w:rFonts w:hint="eastAsia" w:ascii="宋体" w:hAnsi="宋体" w:eastAsia="宋体" w:cs="宋体"/>
                <w:color w:val="0000FF"/>
                <w:spacing w:val="4"/>
                <w:sz w:val="24"/>
                <w:szCs w:val="24"/>
                <w:highlight w:val="none"/>
                <w:u w:val="single"/>
              </w:rPr>
              <w:t>/d</w:t>
            </w:r>
            <w:r>
              <w:rPr>
                <w:rFonts w:hint="eastAsia" w:cs="宋体"/>
                <w:color w:val="0000FF"/>
                <w:spacing w:val="4"/>
                <w:sz w:val="24"/>
                <w:szCs w:val="24"/>
                <w:highlight w:val="none"/>
                <w:u w:val="single"/>
                <w:lang w:val="en-US" w:eastAsia="zh-CN"/>
              </w:rPr>
              <w:t>-损耗量</w:t>
            </w:r>
            <w:r>
              <w:rPr>
                <w:rFonts w:hint="eastAsia"/>
                <w:color w:val="0000FF"/>
                <w:sz w:val="24"/>
                <w:szCs w:val="24"/>
                <w:u w:val="single"/>
                <w:lang w:val="en-US" w:eastAsia="zh-CN"/>
              </w:rPr>
              <w:t>4.5</w:t>
            </w:r>
            <w:r>
              <w:rPr>
                <w:color w:val="0000FF"/>
                <w:sz w:val="24"/>
                <w:szCs w:val="24"/>
                <w:u w:val="single"/>
              </w:rPr>
              <w:t>m</w:t>
            </w:r>
            <w:r>
              <w:rPr>
                <w:color w:val="0000FF"/>
                <w:sz w:val="24"/>
                <w:szCs w:val="24"/>
                <w:u w:val="single"/>
                <w:vertAlign w:val="superscript"/>
              </w:rPr>
              <w:t>3</w:t>
            </w:r>
            <w:r>
              <w:rPr>
                <w:color w:val="0000FF"/>
                <w:sz w:val="24"/>
                <w:szCs w:val="24"/>
                <w:u w:val="single"/>
              </w:rPr>
              <w:t>/d</w:t>
            </w:r>
            <w:r>
              <w:rPr>
                <w:rFonts w:hint="eastAsia"/>
                <w:color w:val="0000FF"/>
                <w:sz w:val="24"/>
                <w:szCs w:val="24"/>
                <w:u w:val="single"/>
                <w:lang w:val="en-US" w:eastAsia="zh-CN"/>
              </w:rPr>
              <w:t>-7.2</w:t>
            </w:r>
            <w:r>
              <w:rPr>
                <w:color w:val="0000FF"/>
                <w:sz w:val="24"/>
                <w:szCs w:val="24"/>
                <w:u w:val="single"/>
              </w:rPr>
              <w:t>m</w:t>
            </w:r>
            <w:r>
              <w:rPr>
                <w:color w:val="0000FF"/>
                <w:sz w:val="24"/>
                <w:szCs w:val="24"/>
                <w:u w:val="single"/>
                <w:vertAlign w:val="superscript"/>
              </w:rPr>
              <w:t>3</w:t>
            </w:r>
            <w:r>
              <w:rPr>
                <w:color w:val="0000FF"/>
                <w:sz w:val="24"/>
                <w:szCs w:val="24"/>
                <w:u w:val="single"/>
              </w:rPr>
              <w:t>/d</w:t>
            </w:r>
            <w:r>
              <w:rPr>
                <w:rFonts w:hint="eastAsia"/>
                <w:color w:val="0000FF"/>
                <w:sz w:val="24"/>
                <w:szCs w:val="24"/>
                <w:u w:val="single"/>
                <w:lang w:eastAsia="zh-CN"/>
              </w:rPr>
              <w:t>）</w:t>
            </w:r>
            <w:r>
              <w:rPr>
                <w:rFonts w:hint="eastAsia" w:ascii="宋体" w:hAnsi="宋体" w:eastAsia="宋体" w:cs="宋体"/>
                <w:color w:val="0000FF"/>
                <w:spacing w:val="15"/>
                <w:sz w:val="24"/>
                <w:szCs w:val="24"/>
                <w:highlight w:val="none"/>
                <w:u w:val="single"/>
              </w:rPr>
              <w:t>，</w:t>
            </w:r>
            <w:r>
              <w:rPr>
                <w:rFonts w:hint="eastAsia" w:cs="宋体"/>
                <w:color w:val="0000FF"/>
                <w:spacing w:val="4"/>
                <w:sz w:val="24"/>
                <w:szCs w:val="24"/>
                <w:highlight w:val="none"/>
                <w:u w:val="single"/>
                <w:lang w:val="en-US" w:eastAsia="zh-CN"/>
              </w:rPr>
              <w:t>与同行业类比，污水排放量按0.5</w:t>
            </w:r>
            <w:r>
              <w:rPr>
                <w:rFonts w:hint="eastAsia" w:ascii="宋体" w:hAnsi="宋体" w:eastAsia="宋体" w:cs="宋体"/>
                <w:color w:val="0000FF"/>
                <w:spacing w:val="5"/>
                <w:sz w:val="24"/>
                <w:szCs w:val="24"/>
                <w:highlight w:val="none"/>
                <w:u w:val="single"/>
              </w:rPr>
              <w:t>m</w:t>
            </w:r>
            <w:r>
              <w:rPr>
                <w:rFonts w:hint="eastAsia" w:ascii="宋体" w:hAnsi="宋体" w:eastAsia="宋体" w:cs="宋体"/>
                <w:color w:val="0000FF"/>
                <w:spacing w:val="7"/>
                <w:sz w:val="24"/>
                <w:szCs w:val="24"/>
                <w:highlight w:val="none"/>
                <w:u w:val="single"/>
                <w:vertAlign w:val="superscript"/>
              </w:rPr>
              <w:t>3</w:t>
            </w:r>
            <w:r>
              <w:rPr>
                <w:rFonts w:hint="eastAsia" w:ascii="宋体" w:hAnsi="宋体" w:eastAsia="宋体" w:cs="宋体"/>
                <w:color w:val="0000FF"/>
                <w:spacing w:val="4"/>
                <w:sz w:val="24"/>
                <w:szCs w:val="24"/>
                <w:highlight w:val="none"/>
                <w:u w:val="single"/>
              </w:rPr>
              <w:t>/</w:t>
            </w:r>
            <w:r>
              <w:rPr>
                <w:rFonts w:hint="eastAsia" w:cs="宋体"/>
                <w:color w:val="0000FF"/>
                <w:spacing w:val="4"/>
                <w:sz w:val="24"/>
                <w:szCs w:val="24"/>
                <w:highlight w:val="none"/>
                <w:u w:val="single"/>
                <w:lang w:eastAsia="zh-CN"/>
              </w:rPr>
              <w:t>原料</w:t>
            </w:r>
            <w:r>
              <w:rPr>
                <w:rFonts w:ascii="Arial" w:hAnsi="Arial" w:eastAsia="宋体" w:cs="Arial"/>
                <w:i w:val="0"/>
                <w:iCs w:val="0"/>
                <w:caps w:val="0"/>
                <w:color w:val="0000FF"/>
                <w:spacing w:val="0"/>
                <w:sz w:val="13"/>
                <w:szCs w:val="13"/>
                <w:u w:val="single"/>
                <w:shd w:val="clear" w:fill="FFFFFF"/>
              </w:rPr>
              <w:t>●</w:t>
            </w:r>
            <w:r>
              <w:rPr>
                <w:rFonts w:hint="eastAsia" w:cs="宋体"/>
                <w:color w:val="0000FF"/>
                <w:spacing w:val="4"/>
                <w:sz w:val="24"/>
                <w:szCs w:val="24"/>
                <w:highlight w:val="none"/>
                <w:u w:val="single"/>
                <w:vertAlign w:val="baseline"/>
                <w:lang w:val="en-US" w:eastAsia="zh-CN"/>
              </w:rPr>
              <w:t>t,</w:t>
            </w:r>
            <w:r>
              <w:rPr>
                <w:rFonts w:hint="eastAsia" w:cs="宋体"/>
                <w:color w:val="0000FF"/>
                <w:spacing w:val="6"/>
                <w:sz w:val="24"/>
                <w:szCs w:val="24"/>
                <w:u w:val="single"/>
                <w:lang w:val="en-US" w:eastAsia="zh-CN"/>
              </w:rPr>
              <w:t>污水排放量为</w:t>
            </w:r>
            <w:r>
              <w:rPr>
                <w:rFonts w:hint="eastAsia" w:cs="宋体"/>
                <w:color w:val="0000FF"/>
                <w:spacing w:val="-41"/>
                <w:sz w:val="24"/>
                <w:szCs w:val="24"/>
                <w:highlight w:val="none"/>
                <w:u w:val="single"/>
                <w:lang w:val="en-US" w:eastAsia="zh-CN"/>
              </w:rPr>
              <w:t>7</w:t>
            </w:r>
            <w:r>
              <w:rPr>
                <w:rFonts w:hint="eastAsia" w:ascii="宋体" w:hAnsi="宋体" w:eastAsia="宋体" w:cs="宋体"/>
                <w:color w:val="0000FF"/>
                <w:spacing w:val="5"/>
                <w:sz w:val="24"/>
                <w:szCs w:val="24"/>
                <w:highlight w:val="none"/>
                <w:u w:val="single"/>
                <w:lang w:val="en-US" w:eastAsia="zh-CN"/>
              </w:rPr>
              <w:t>.</w:t>
            </w:r>
            <w:r>
              <w:rPr>
                <w:rFonts w:hint="eastAsia" w:cs="宋体"/>
                <w:color w:val="0000FF"/>
                <w:spacing w:val="5"/>
                <w:sz w:val="24"/>
                <w:szCs w:val="24"/>
                <w:highlight w:val="none"/>
                <w:u w:val="single"/>
                <w:lang w:val="en-US" w:eastAsia="zh-CN"/>
              </w:rPr>
              <w:t>5</w:t>
            </w:r>
            <w:r>
              <w:rPr>
                <w:rFonts w:hint="eastAsia" w:ascii="宋体" w:hAnsi="宋体" w:eastAsia="宋体" w:cs="宋体"/>
                <w:color w:val="0000FF"/>
                <w:spacing w:val="5"/>
                <w:sz w:val="24"/>
                <w:szCs w:val="24"/>
                <w:highlight w:val="none"/>
                <w:u w:val="single"/>
              </w:rPr>
              <w:t>m</w:t>
            </w:r>
            <w:r>
              <w:rPr>
                <w:rFonts w:hint="eastAsia" w:ascii="宋体" w:hAnsi="宋体" w:eastAsia="宋体" w:cs="宋体"/>
                <w:color w:val="0000FF"/>
                <w:spacing w:val="7"/>
                <w:sz w:val="24"/>
                <w:szCs w:val="24"/>
                <w:highlight w:val="none"/>
                <w:u w:val="single"/>
                <w:vertAlign w:val="superscript"/>
              </w:rPr>
              <w:t>3</w:t>
            </w:r>
            <w:r>
              <w:rPr>
                <w:rFonts w:hint="eastAsia" w:ascii="宋体" w:hAnsi="宋体" w:eastAsia="宋体" w:cs="宋体"/>
                <w:color w:val="0000FF"/>
                <w:spacing w:val="4"/>
                <w:sz w:val="24"/>
                <w:szCs w:val="24"/>
                <w:highlight w:val="none"/>
                <w:u w:val="single"/>
              </w:rPr>
              <w:t>/d</w:t>
            </w:r>
            <w:r>
              <w:rPr>
                <w:rFonts w:hint="eastAsia" w:cs="宋体"/>
                <w:color w:val="0000FF"/>
                <w:spacing w:val="4"/>
                <w:sz w:val="24"/>
                <w:szCs w:val="24"/>
                <w:highlight w:val="none"/>
                <w:u w:val="single"/>
                <w:lang w:eastAsia="zh-CN"/>
              </w:rPr>
              <w:t>（</w:t>
            </w:r>
            <w:r>
              <w:rPr>
                <w:rFonts w:hint="eastAsia" w:cs="宋体"/>
                <w:color w:val="0000FF"/>
                <w:spacing w:val="4"/>
                <w:sz w:val="24"/>
                <w:szCs w:val="24"/>
                <w:highlight w:val="none"/>
                <w:u w:val="single"/>
                <w:lang w:val="en-US" w:eastAsia="zh-CN"/>
              </w:rPr>
              <w:t>2250</w:t>
            </w:r>
            <w:r>
              <w:rPr>
                <w:rFonts w:hint="eastAsia" w:ascii="宋体" w:hAnsi="宋体" w:eastAsia="宋体" w:cs="宋体"/>
                <w:color w:val="0000FF"/>
                <w:spacing w:val="5"/>
                <w:sz w:val="24"/>
                <w:szCs w:val="24"/>
                <w:highlight w:val="none"/>
                <w:u w:val="single"/>
              </w:rPr>
              <w:t>m</w:t>
            </w:r>
            <w:r>
              <w:rPr>
                <w:rFonts w:hint="eastAsia" w:ascii="宋体" w:hAnsi="宋体" w:eastAsia="宋体" w:cs="宋体"/>
                <w:color w:val="0000FF"/>
                <w:spacing w:val="7"/>
                <w:sz w:val="24"/>
                <w:szCs w:val="24"/>
                <w:highlight w:val="none"/>
                <w:u w:val="single"/>
                <w:vertAlign w:val="superscript"/>
              </w:rPr>
              <w:t>3</w:t>
            </w:r>
            <w:r>
              <w:rPr>
                <w:rFonts w:hint="eastAsia" w:ascii="宋体" w:hAnsi="宋体" w:eastAsia="宋体" w:cs="宋体"/>
                <w:color w:val="0000FF"/>
                <w:spacing w:val="4"/>
                <w:sz w:val="24"/>
                <w:szCs w:val="24"/>
                <w:highlight w:val="none"/>
                <w:u w:val="single"/>
              </w:rPr>
              <w:t>/</w:t>
            </w:r>
            <w:r>
              <w:rPr>
                <w:rFonts w:hint="eastAsia" w:cs="宋体"/>
                <w:color w:val="0000FF"/>
                <w:spacing w:val="4"/>
                <w:sz w:val="24"/>
                <w:szCs w:val="24"/>
                <w:highlight w:val="none"/>
                <w:u w:val="single"/>
                <w:lang w:val="en-US" w:eastAsia="zh-CN"/>
              </w:rPr>
              <w:t>a)，</w:t>
            </w:r>
            <w:r>
              <w:rPr>
                <w:rFonts w:hint="eastAsia" w:ascii="宋体" w:hAnsi="宋体" w:eastAsia="宋体" w:cs="宋体"/>
                <w:color w:val="0000FF"/>
                <w:spacing w:val="5"/>
                <w:sz w:val="24"/>
                <w:szCs w:val="24"/>
                <w:highlight w:val="none"/>
                <w:u w:val="single"/>
              </w:rPr>
              <w:t>回用水量为</w:t>
            </w:r>
            <w:r>
              <w:rPr>
                <w:rFonts w:hint="eastAsia" w:cs="宋体"/>
                <w:color w:val="0000FF"/>
                <w:spacing w:val="-41"/>
                <w:sz w:val="24"/>
                <w:szCs w:val="24"/>
                <w:highlight w:val="none"/>
                <w:u w:val="single"/>
                <w:lang w:val="en-US" w:eastAsia="zh-CN"/>
              </w:rPr>
              <w:t>70</w:t>
            </w:r>
            <w:r>
              <w:rPr>
                <w:rFonts w:hint="eastAsia" w:ascii="宋体" w:hAnsi="宋体" w:eastAsia="宋体" w:cs="宋体"/>
                <w:color w:val="0000FF"/>
                <w:spacing w:val="5"/>
                <w:sz w:val="24"/>
                <w:szCs w:val="24"/>
                <w:highlight w:val="none"/>
                <w:u w:val="single"/>
                <w:lang w:val="en-US" w:eastAsia="zh-CN"/>
              </w:rPr>
              <w:t>.8</w:t>
            </w:r>
            <w:r>
              <w:rPr>
                <w:rFonts w:hint="eastAsia" w:ascii="宋体" w:hAnsi="宋体" w:eastAsia="宋体" w:cs="宋体"/>
                <w:color w:val="0000FF"/>
                <w:spacing w:val="5"/>
                <w:sz w:val="24"/>
                <w:szCs w:val="24"/>
                <w:highlight w:val="none"/>
                <w:u w:val="single"/>
              </w:rPr>
              <w:t>m</w:t>
            </w:r>
            <w:r>
              <w:rPr>
                <w:rFonts w:hint="eastAsia" w:ascii="宋体" w:hAnsi="宋体" w:eastAsia="宋体" w:cs="宋体"/>
                <w:color w:val="0000FF"/>
                <w:spacing w:val="7"/>
                <w:sz w:val="24"/>
                <w:szCs w:val="24"/>
                <w:highlight w:val="none"/>
                <w:u w:val="single"/>
                <w:vertAlign w:val="superscript"/>
              </w:rPr>
              <w:t>3</w:t>
            </w:r>
            <w:r>
              <w:rPr>
                <w:rFonts w:hint="eastAsia" w:ascii="宋体" w:hAnsi="宋体" w:eastAsia="宋体" w:cs="宋体"/>
                <w:color w:val="0000FF"/>
                <w:spacing w:val="4"/>
                <w:sz w:val="24"/>
                <w:szCs w:val="24"/>
                <w:highlight w:val="none"/>
                <w:u w:val="single"/>
              </w:rPr>
              <w:t>/d</w:t>
            </w:r>
            <w:r>
              <w:rPr>
                <w:rFonts w:hint="eastAsia" w:ascii="宋体" w:hAnsi="宋体" w:eastAsia="宋体" w:cs="宋体"/>
                <w:color w:val="0000FF"/>
                <w:spacing w:val="-24"/>
                <w:sz w:val="24"/>
                <w:szCs w:val="24"/>
                <w:highlight w:val="none"/>
                <w:u w:val="single"/>
              </w:rPr>
              <w:t xml:space="preserve"> </w:t>
            </w:r>
            <w:r>
              <w:rPr>
                <w:rFonts w:hint="eastAsia" w:ascii="宋体" w:hAnsi="宋体" w:eastAsia="宋体" w:cs="宋体"/>
                <w:color w:val="0000FF"/>
                <w:spacing w:val="4"/>
                <w:sz w:val="24"/>
                <w:szCs w:val="24"/>
                <w:highlight w:val="none"/>
                <w:u w:val="single"/>
              </w:rPr>
              <w:t>，</w:t>
            </w:r>
            <w:r>
              <w:rPr>
                <w:rFonts w:hint="eastAsia" w:cs="宋体"/>
                <w:color w:val="C00000"/>
                <w:spacing w:val="6"/>
                <w:sz w:val="24"/>
                <w:szCs w:val="24"/>
                <w:u w:val="single"/>
                <w:lang w:val="en-US" w:eastAsia="zh-CN"/>
              </w:rPr>
              <w:t>则</w:t>
            </w:r>
            <w:r>
              <w:rPr>
                <w:rFonts w:hint="eastAsia" w:ascii="宋体" w:hAnsi="宋体" w:eastAsia="宋体" w:cs="宋体"/>
                <w:color w:val="C00000"/>
                <w:spacing w:val="6"/>
                <w:sz w:val="24"/>
                <w:szCs w:val="24"/>
                <w:u w:val="single"/>
              </w:rPr>
              <w:t>工艺水循环利用率为</w:t>
            </w:r>
            <w:r>
              <w:rPr>
                <w:rFonts w:hint="eastAsia" w:ascii="宋体" w:hAnsi="宋体" w:eastAsia="宋体" w:cs="宋体"/>
                <w:color w:val="C00000"/>
                <w:spacing w:val="-30"/>
                <w:sz w:val="24"/>
                <w:szCs w:val="24"/>
                <w:u w:val="single"/>
              </w:rPr>
              <w:t xml:space="preserve"> </w:t>
            </w:r>
            <w:r>
              <w:rPr>
                <w:rFonts w:hint="eastAsia" w:cs="宋体"/>
                <w:color w:val="C00000"/>
                <w:spacing w:val="6"/>
                <w:sz w:val="24"/>
                <w:szCs w:val="24"/>
                <w:u w:val="single"/>
                <w:lang w:val="en-US" w:eastAsia="zh-CN"/>
              </w:rPr>
              <w:t>90</w:t>
            </w:r>
            <w:r>
              <w:rPr>
                <w:rFonts w:hint="eastAsia" w:ascii="宋体" w:hAnsi="宋体" w:eastAsia="宋体" w:cs="宋体"/>
                <w:color w:val="C00000"/>
                <w:spacing w:val="6"/>
                <w:sz w:val="24"/>
                <w:szCs w:val="24"/>
                <w:u w:val="single"/>
              </w:rPr>
              <w:t>%</w:t>
            </w:r>
            <w:r>
              <w:rPr>
                <w:rFonts w:hint="eastAsia" w:cs="宋体"/>
                <w:color w:val="C00000"/>
                <w:spacing w:val="6"/>
                <w:sz w:val="24"/>
                <w:szCs w:val="24"/>
                <w:u w:val="single"/>
                <w:lang w:eastAsia="zh-CN"/>
              </w:rPr>
              <w:t>（</w:t>
            </w:r>
            <w:r>
              <w:rPr>
                <w:rFonts w:hint="eastAsia" w:cs="宋体"/>
                <w:color w:val="C00000"/>
                <w:spacing w:val="-41"/>
                <w:sz w:val="24"/>
                <w:szCs w:val="24"/>
                <w:highlight w:val="none"/>
                <w:u w:val="single"/>
                <w:lang w:val="en-US" w:eastAsia="zh-CN"/>
              </w:rPr>
              <w:t>70</w:t>
            </w:r>
            <w:r>
              <w:rPr>
                <w:rFonts w:hint="eastAsia" w:ascii="宋体" w:hAnsi="宋体" w:eastAsia="宋体" w:cs="宋体"/>
                <w:color w:val="C00000"/>
                <w:spacing w:val="5"/>
                <w:sz w:val="24"/>
                <w:szCs w:val="24"/>
                <w:highlight w:val="none"/>
                <w:u w:val="single"/>
                <w:lang w:val="en-US" w:eastAsia="zh-CN"/>
              </w:rPr>
              <w:t>.8</w:t>
            </w:r>
            <w:r>
              <w:rPr>
                <w:rFonts w:hint="eastAsia" w:cs="宋体"/>
                <w:color w:val="C00000"/>
                <w:spacing w:val="5"/>
                <w:sz w:val="24"/>
                <w:szCs w:val="24"/>
                <w:highlight w:val="none"/>
                <w:u w:val="single"/>
                <w:lang w:val="en-US" w:eastAsia="zh-CN"/>
              </w:rPr>
              <w:t>/</w:t>
            </w:r>
            <w:r>
              <w:rPr>
                <w:rFonts w:hint="eastAsia" w:ascii="宋体" w:hAnsi="宋体" w:eastAsia="宋体" w:cs="宋体"/>
                <w:color w:val="C00000"/>
                <w:spacing w:val="7"/>
                <w:sz w:val="24"/>
                <w:szCs w:val="24"/>
                <w:u w:val="single"/>
                <w:lang w:val="en-US" w:eastAsia="zh-CN"/>
              </w:rPr>
              <w:t>78.3</w:t>
            </w:r>
            <w:r>
              <w:rPr>
                <w:rFonts w:hint="eastAsia" w:cs="宋体"/>
                <w:color w:val="C00000"/>
                <w:spacing w:val="7"/>
                <w:sz w:val="24"/>
                <w:szCs w:val="24"/>
                <w:u w:val="single"/>
                <w:lang w:val="en-US" w:eastAsia="zh-CN"/>
              </w:rPr>
              <w:t>=90%)</w:t>
            </w:r>
            <w:r>
              <w:rPr>
                <w:rFonts w:hint="eastAsia" w:ascii="宋体" w:hAnsi="宋体" w:eastAsia="宋体" w:cs="宋体"/>
                <w:color w:val="0000FF"/>
                <w:spacing w:val="6"/>
                <w:sz w:val="24"/>
                <w:szCs w:val="24"/>
                <w:u w:val="single"/>
              </w:rPr>
              <w:t>。</w:t>
            </w:r>
            <w:r>
              <w:rPr>
                <w:rFonts w:hint="eastAsia" w:cs="宋体"/>
                <w:color w:val="0000FF"/>
                <w:spacing w:val="4"/>
                <w:sz w:val="24"/>
                <w:szCs w:val="24"/>
                <w:highlight w:val="none"/>
                <w:u w:val="single"/>
                <w:lang w:val="en-US" w:eastAsia="zh-CN"/>
              </w:rPr>
              <w:t>剩余污水</w:t>
            </w:r>
            <w:r>
              <w:rPr>
                <w:rFonts w:hint="eastAsia" w:ascii="宋体" w:hAnsi="宋体" w:eastAsia="宋体" w:cs="宋体"/>
                <w:color w:val="0000FF"/>
                <w:spacing w:val="9"/>
                <w:sz w:val="24"/>
                <w:szCs w:val="24"/>
                <w:u w:val="single"/>
              </w:rPr>
              <w:t>排入园区污水处理厂。</w:t>
            </w:r>
            <w:r>
              <w:rPr>
                <w:rFonts w:hint="eastAsia" w:cs="宋体"/>
                <w:color w:val="0000FF"/>
                <w:spacing w:val="4"/>
                <w:sz w:val="24"/>
                <w:szCs w:val="24"/>
                <w:highlight w:val="none"/>
                <w:u w:val="single"/>
                <w:lang w:val="en-US" w:eastAsia="zh-CN"/>
              </w:rPr>
              <w:t>按企业提供，</w:t>
            </w:r>
          </w:p>
          <w:p w14:paraId="4BC83661">
            <w:pPr>
              <w:pStyle w:val="52"/>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eastAsia="宋体" w:cs="宋体"/>
                <w:color w:val="C00000"/>
                <w:spacing w:val="4"/>
                <w:sz w:val="24"/>
                <w:szCs w:val="24"/>
                <w:highlight w:val="none"/>
                <w:u w:val="single"/>
                <w:lang w:val="en-US" w:eastAsia="zh-CN"/>
              </w:rPr>
            </w:pPr>
            <w:r>
              <w:rPr>
                <w:rFonts w:hint="eastAsia" w:cs="宋体"/>
                <w:color w:val="C00000"/>
                <w:spacing w:val="4"/>
                <w:sz w:val="24"/>
                <w:szCs w:val="24"/>
                <w:highlight w:val="none"/>
                <w:u w:val="single"/>
                <w:lang w:val="en-US" w:eastAsia="zh-CN"/>
              </w:rPr>
              <w:t>间接冷却水用量为24</w:t>
            </w:r>
            <w:r>
              <w:rPr>
                <w:color w:val="C00000"/>
                <w:sz w:val="24"/>
                <w:szCs w:val="24"/>
                <w:u w:val="single"/>
              </w:rPr>
              <w:t>m</w:t>
            </w:r>
            <w:r>
              <w:rPr>
                <w:color w:val="C00000"/>
                <w:sz w:val="24"/>
                <w:szCs w:val="24"/>
                <w:u w:val="single"/>
                <w:vertAlign w:val="superscript"/>
              </w:rPr>
              <w:t>3</w:t>
            </w:r>
            <w:r>
              <w:rPr>
                <w:color w:val="C00000"/>
                <w:sz w:val="24"/>
                <w:szCs w:val="24"/>
                <w:u w:val="single"/>
              </w:rPr>
              <w:t>/d</w:t>
            </w:r>
            <w:r>
              <w:rPr>
                <w:rFonts w:hint="eastAsia"/>
                <w:color w:val="C00000"/>
                <w:sz w:val="24"/>
                <w:szCs w:val="24"/>
                <w:u w:val="single"/>
                <w:lang w:eastAsia="zh-CN"/>
              </w:rPr>
              <w:t>，</w:t>
            </w:r>
            <w:r>
              <w:rPr>
                <w:rFonts w:hint="eastAsia"/>
                <w:color w:val="C00000"/>
                <w:sz w:val="24"/>
                <w:szCs w:val="24"/>
                <w:u w:val="single"/>
                <w:lang w:val="en-US" w:eastAsia="zh-CN"/>
              </w:rPr>
              <w:t>其中损耗4.8</w:t>
            </w:r>
            <w:r>
              <w:rPr>
                <w:color w:val="C00000"/>
                <w:sz w:val="24"/>
                <w:szCs w:val="24"/>
                <w:u w:val="single"/>
              </w:rPr>
              <w:t>m</w:t>
            </w:r>
            <w:r>
              <w:rPr>
                <w:color w:val="C00000"/>
                <w:sz w:val="24"/>
                <w:szCs w:val="24"/>
                <w:u w:val="single"/>
                <w:vertAlign w:val="superscript"/>
              </w:rPr>
              <w:t>3</w:t>
            </w:r>
            <w:r>
              <w:rPr>
                <w:color w:val="C00000"/>
                <w:sz w:val="24"/>
                <w:szCs w:val="24"/>
                <w:u w:val="single"/>
              </w:rPr>
              <w:t>/d</w:t>
            </w:r>
            <w:r>
              <w:rPr>
                <w:rFonts w:hint="eastAsia"/>
                <w:color w:val="C00000"/>
                <w:sz w:val="24"/>
                <w:szCs w:val="24"/>
                <w:u w:val="single"/>
                <w:lang w:eastAsia="zh-CN"/>
              </w:rPr>
              <w:t>，</w:t>
            </w:r>
            <w:r>
              <w:rPr>
                <w:rFonts w:hint="eastAsia"/>
                <w:color w:val="C00000"/>
                <w:sz w:val="24"/>
                <w:szCs w:val="24"/>
                <w:u w:val="single"/>
                <w:lang w:val="en-US" w:eastAsia="zh-CN"/>
              </w:rPr>
              <w:t>产生19.2</w:t>
            </w:r>
            <w:r>
              <w:rPr>
                <w:color w:val="C00000"/>
                <w:sz w:val="24"/>
                <w:szCs w:val="24"/>
                <w:u w:val="single"/>
              </w:rPr>
              <w:t>m</w:t>
            </w:r>
            <w:r>
              <w:rPr>
                <w:color w:val="C00000"/>
                <w:sz w:val="24"/>
                <w:szCs w:val="24"/>
                <w:u w:val="single"/>
                <w:vertAlign w:val="superscript"/>
              </w:rPr>
              <w:t>3</w:t>
            </w:r>
            <w:r>
              <w:rPr>
                <w:color w:val="C00000"/>
                <w:sz w:val="24"/>
                <w:szCs w:val="24"/>
                <w:u w:val="single"/>
              </w:rPr>
              <w:t>/d</w:t>
            </w:r>
            <w:r>
              <w:rPr>
                <w:rFonts w:hint="eastAsia"/>
                <w:color w:val="C00000"/>
                <w:sz w:val="24"/>
                <w:szCs w:val="24"/>
                <w:u w:val="single"/>
                <w:lang w:val="en-US" w:eastAsia="zh-CN"/>
              </w:rPr>
              <w:t>用于水洗工艺。</w:t>
            </w:r>
          </w:p>
          <w:p w14:paraId="46AF2BEF">
            <w:pPr>
              <w:pStyle w:val="52"/>
              <w:keepNext w:val="0"/>
              <w:keepLines w:val="0"/>
              <w:pageBreakBefore w:val="0"/>
              <w:widowControl w:val="0"/>
              <w:kinsoku/>
              <w:wordWrap/>
              <w:overflowPunct/>
              <w:topLinePunct w:val="0"/>
              <w:autoSpaceDE/>
              <w:autoSpaceDN/>
              <w:bidi w:val="0"/>
              <w:adjustRightInd/>
              <w:snapToGrid/>
              <w:spacing w:line="360" w:lineRule="auto"/>
              <w:ind w:left="106" w:right="135" w:firstLine="479"/>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②生活污水：职工生活污水量按用水量的</w:t>
            </w:r>
            <w:r>
              <w:rPr>
                <w:rFonts w:hint="eastAsia" w:ascii="宋体" w:hAnsi="宋体" w:eastAsia="宋体" w:cs="宋体"/>
                <w:color w:val="000000" w:themeColor="text1"/>
                <w:spacing w:val="-32"/>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8</w:t>
            </w:r>
            <w:r>
              <w:rPr>
                <w:rFonts w:hint="eastAsia" w:ascii="宋体" w:hAnsi="宋体" w:eastAsia="宋体" w:cs="宋体"/>
                <w:color w:val="000000" w:themeColor="text1"/>
                <w:spacing w:val="7"/>
                <w:sz w:val="24"/>
                <w:szCs w:val="24"/>
                <w:lang w:val="en-US" w:eastAsia="zh-CN"/>
                <w14:textFill>
                  <w14:solidFill>
                    <w14:schemeClr w14:val="tx1"/>
                  </w14:solidFill>
                </w14:textFill>
              </w:rPr>
              <w:t>5</w:t>
            </w:r>
            <w:r>
              <w:rPr>
                <w:rFonts w:hint="eastAsia" w:ascii="宋体" w:hAnsi="宋体" w:eastAsia="宋体" w:cs="宋体"/>
                <w:color w:val="000000" w:themeColor="text1"/>
                <w:spacing w:val="7"/>
                <w:sz w:val="24"/>
                <w:szCs w:val="24"/>
                <w14:textFill>
                  <w14:solidFill>
                    <w14:schemeClr w14:val="tx1"/>
                  </w14:solidFill>
                </w14:textFill>
              </w:rPr>
              <w:t>%计，排水</w:t>
            </w:r>
            <w:r>
              <w:rPr>
                <w:rFonts w:hint="eastAsia" w:ascii="宋体" w:hAnsi="宋体" w:eastAsia="宋体" w:cs="宋体"/>
                <w:color w:val="000000" w:themeColor="text1"/>
                <w:spacing w:val="6"/>
                <w:sz w:val="24"/>
                <w:szCs w:val="24"/>
                <w14:textFill>
                  <w14:solidFill>
                    <w14:schemeClr w14:val="tx1"/>
                  </w14:solidFill>
                </w14:textFill>
              </w:rPr>
              <w:t>量为</w:t>
            </w:r>
            <w:r>
              <w:rPr>
                <w:rFonts w:hint="eastAsia" w:ascii="宋体" w:hAnsi="宋体" w:eastAsia="宋体" w:cs="宋体"/>
                <w:color w:val="000000" w:themeColor="text1"/>
                <w:spacing w:val="6"/>
                <w:sz w:val="24"/>
                <w:szCs w:val="24"/>
                <w:lang w:val="en-US" w:eastAsia="zh-CN"/>
                <w14:textFill>
                  <w14:solidFill>
                    <w14:schemeClr w14:val="tx1"/>
                  </w14:solidFill>
                </w14:textFill>
              </w:rPr>
              <w:t>1.955</w:t>
            </w:r>
            <w:r>
              <w:rPr>
                <w:rFonts w:hint="eastAsia" w:ascii="宋体" w:hAnsi="宋体" w:eastAsia="宋体" w:cs="宋体"/>
                <w:color w:val="000000" w:themeColor="text1"/>
                <w:spacing w:val="6"/>
                <w:sz w:val="24"/>
                <w:szCs w:val="24"/>
                <w14:textFill>
                  <w14:solidFill>
                    <w14:schemeClr w14:val="tx1"/>
                  </w14:solidFill>
                </w14:textFill>
              </w:rPr>
              <w:t>m</w:t>
            </w:r>
            <w:r>
              <w:rPr>
                <w:rFonts w:hint="eastAsia" w:ascii="宋体" w:hAnsi="宋体" w:eastAsia="宋体" w:cs="宋体"/>
                <w:color w:val="000000" w:themeColor="text1"/>
                <w:spacing w:val="7"/>
                <w:sz w:val="24"/>
                <w:szCs w:val="24"/>
                <w:vertAlign w:val="superscript"/>
                <w14:textFill>
                  <w14:solidFill>
                    <w14:schemeClr w14:val="tx1"/>
                  </w14:solidFill>
                </w14:textFill>
              </w:rPr>
              <w:t>3</w:t>
            </w:r>
            <w:r>
              <w:rPr>
                <w:rFonts w:hint="eastAsia" w:ascii="宋体" w:hAnsi="宋体" w:eastAsia="宋体" w:cs="宋体"/>
                <w:color w:val="000000" w:themeColor="text1"/>
                <w:spacing w:val="7"/>
                <w:sz w:val="24"/>
                <w:szCs w:val="24"/>
                <w14:textFill>
                  <w14:solidFill>
                    <w14:schemeClr w14:val="tx1"/>
                  </w14:solidFill>
                </w14:textFill>
              </w:rPr>
              <w:t>/d（</w:t>
            </w:r>
            <w:r>
              <w:rPr>
                <w:rFonts w:hint="eastAsia" w:ascii="宋体" w:hAnsi="宋体" w:eastAsia="宋体" w:cs="宋体"/>
                <w:color w:val="000000" w:themeColor="text1"/>
                <w:spacing w:val="7"/>
                <w:sz w:val="24"/>
                <w:szCs w:val="24"/>
                <w:lang w:val="en-US" w:eastAsia="zh-CN"/>
                <w14:textFill>
                  <w14:solidFill>
                    <w14:schemeClr w14:val="tx1"/>
                  </w14:solidFill>
                </w14:textFill>
              </w:rPr>
              <w:t>586.5</w:t>
            </w:r>
            <w:r>
              <w:rPr>
                <w:rFonts w:hint="eastAsia" w:ascii="宋体" w:hAnsi="宋体" w:eastAsia="宋体" w:cs="宋体"/>
                <w:color w:val="000000" w:themeColor="text1"/>
                <w:spacing w:val="7"/>
                <w:sz w:val="24"/>
                <w:szCs w:val="24"/>
                <w14:textFill>
                  <w14:solidFill>
                    <w14:schemeClr w14:val="tx1"/>
                  </w14:solidFill>
                </w14:textFill>
              </w:rPr>
              <w:t>m</w:t>
            </w:r>
            <w:r>
              <w:rPr>
                <w:rFonts w:hint="eastAsia" w:ascii="宋体" w:hAnsi="宋体" w:eastAsia="宋体" w:cs="宋体"/>
                <w:color w:val="000000" w:themeColor="text1"/>
                <w:spacing w:val="7"/>
                <w:sz w:val="24"/>
                <w:szCs w:val="24"/>
                <w:vertAlign w:val="superscript"/>
                <w14:textFill>
                  <w14:solidFill>
                    <w14:schemeClr w14:val="tx1"/>
                  </w14:solidFill>
                </w14:textFill>
              </w:rPr>
              <w:t>3</w:t>
            </w:r>
            <w:r>
              <w:rPr>
                <w:rFonts w:hint="eastAsia" w:ascii="宋体" w:hAnsi="宋体" w:eastAsia="宋体" w:cs="宋体"/>
                <w:color w:val="000000" w:themeColor="text1"/>
                <w:spacing w:val="7"/>
                <w:sz w:val="24"/>
                <w:szCs w:val="24"/>
                <w14:textFill>
                  <w14:solidFill>
                    <w14:schemeClr w14:val="tx1"/>
                  </w14:solidFill>
                </w14:textFill>
              </w:rPr>
              <w:t>/a</w:t>
            </w:r>
            <w:r>
              <w:rPr>
                <w:rFonts w:hint="eastAsia" w:ascii="宋体" w:hAnsi="宋体" w:eastAsia="宋体" w:cs="宋体"/>
                <w:color w:val="000000" w:themeColor="text1"/>
                <w:spacing w:val="15"/>
                <w:sz w:val="24"/>
                <w:szCs w:val="24"/>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排入园区污水处理厂。</w:t>
            </w:r>
          </w:p>
          <w:p w14:paraId="53A839CC">
            <w:pPr>
              <w:pStyle w:val="52"/>
              <w:keepNext w:val="0"/>
              <w:keepLines w:val="0"/>
              <w:pageBreakBefore w:val="0"/>
              <w:widowControl w:val="0"/>
              <w:kinsoku/>
              <w:wordWrap/>
              <w:overflowPunct/>
              <w:topLinePunct w:val="0"/>
              <w:autoSpaceDE/>
              <w:autoSpaceDN/>
              <w:bidi w:val="0"/>
              <w:adjustRightInd/>
              <w:snapToGrid/>
              <w:spacing w:line="360" w:lineRule="auto"/>
              <w:ind w:left="527"/>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w:t>
            </w:r>
            <w:r>
              <w:rPr>
                <w:rFonts w:hint="eastAsia" w:cs="宋体"/>
                <w:color w:val="000000" w:themeColor="text1"/>
                <w:spacing w:val="6"/>
                <w:sz w:val="24"/>
                <w:szCs w:val="24"/>
                <w:lang w:val="en-US" w:eastAsia="zh-CN"/>
                <w14:textFill>
                  <w14:solidFill>
                    <w14:schemeClr w14:val="tx1"/>
                  </w14:solidFill>
                </w14:textFill>
              </w:rPr>
              <w:t>给</w:t>
            </w:r>
            <w:r>
              <w:rPr>
                <w:rFonts w:hint="eastAsia" w:ascii="宋体" w:hAnsi="宋体" w:eastAsia="宋体" w:cs="宋体"/>
                <w:color w:val="000000" w:themeColor="text1"/>
                <w:spacing w:val="6"/>
                <w:sz w:val="24"/>
                <w:szCs w:val="24"/>
                <w14:textFill>
                  <w14:solidFill>
                    <w14:schemeClr w14:val="tx1"/>
                  </w14:solidFill>
                </w14:textFill>
              </w:rPr>
              <w:t>排水情况见下表、水平衡图见下图</w:t>
            </w:r>
            <w:r>
              <w:rPr>
                <w:rFonts w:hint="eastAsia" w:ascii="宋体" w:hAnsi="宋体" w:eastAsia="宋体" w:cs="宋体"/>
                <w:color w:val="000000" w:themeColor="text1"/>
                <w:spacing w:val="-43"/>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2-2。</w:t>
            </w:r>
          </w:p>
          <w:p w14:paraId="10C0EBF5">
            <w:pPr>
              <w:pStyle w:val="52"/>
              <w:keepNext w:val="0"/>
              <w:keepLines w:val="0"/>
              <w:pageBreakBefore w:val="0"/>
              <w:widowControl w:val="0"/>
              <w:kinsoku/>
              <w:wordWrap/>
              <w:overflowPunct/>
              <w:topLinePunct w:val="0"/>
              <w:autoSpaceDE/>
              <w:autoSpaceDN/>
              <w:bidi w:val="0"/>
              <w:adjustRightInd/>
              <w:snapToGrid/>
              <w:spacing w:line="360" w:lineRule="auto"/>
              <w:ind w:left="527"/>
              <w:textAlignment w:val="auto"/>
              <w:rPr>
                <w:rFonts w:hint="eastAsia" w:ascii="宋体" w:hAnsi="宋体" w:eastAsia="宋体" w:cs="宋体"/>
                <w:color w:val="000000" w:themeColor="text1"/>
                <w:spacing w:val="6"/>
                <w:sz w:val="24"/>
                <w:szCs w:val="24"/>
                <w14:textFill>
                  <w14:solidFill>
                    <w14:schemeClr w14:val="tx1"/>
                  </w14:solidFill>
                </w14:textFill>
              </w:rPr>
            </w:pPr>
          </w:p>
          <w:p w14:paraId="7154EBF8">
            <w:pPr>
              <w:pStyle w:val="52"/>
              <w:keepNext w:val="0"/>
              <w:keepLines w:val="0"/>
              <w:pageBreakBefore w:val="0"/>
              <w:widowControl w:val="0"/>
              <w:kinsoku/>
              <w:wordWrap/>
              <w:overflowPunct/>
              <w:topLinePunct w:val="0"/>
              <w:autoSpaceDE/>
              <w:autoSpaceDN/>
              <w:bidi w:val="0"/>
              <w:adjustRightInd/>
              <w:snapToGrid/>
              <w:spacing w:line="360" w:lineRule="auto"/>
              <w:ind w:left="527"/>
              <w:textAlignment w:val="auto"/>
              <w:rPr>
                <w:rFonts w:hint="eastAsia" w:ascii="宋体" w:hAnsi="宋体" w:eastAsia="宋体" w:cs="宋体"/>
                <w:color w:val="000000" w:themeColor="text1"/>
                <w:spacing w:val="6"/>
                <w:sz w:val="24"/>
                <w:szCs w:val="24"/>
                <w14:textFill>
                  <w14:solidFill>
                    <w14:schemeClr w14:val="tx1"/>
                  </w14:solidFill>
                </w14:textFill>
              </w:rPr>
            </w:pPr>
          </w:p>
          <w:p w14:paraId="501CC6E5">
            <w:pPr>
              <w:pStyle w:val="52"/>
              <w:keepNext w:val="0"/>
              <w:keepLines w:val="0"/>
              <w:pageBreakBefore w:val="0"/>
              <w:widowControl w:val="0"/>
              <w:kinsoku/>
              <w:wordWrap/>
              <w:overflowPunct/>
              <w:topLinePunct w:val="0"/>
              <w:autoSpaceDE/>
              <w:autoSpaceDN/>
              <w:bidi w:val="0"/>
              <w:adjustRightInd/>
              <w:snapToGrid/>
              <w:spacing w:line="360" w:lineRule="auto"/>
              <w:ind w:left="527"/>
              <w:textAlignment w:val="auto"/>
              <w:rPr>
                <w:rFonts w:hint="eastAsia" w:ascii="宋体" w:hAnsi="宋体" w:eastAsia="宋体" w:cs="宋体"/>
                <w:color w:val="000000" w:themeColor="text1"/>
                <w:spacing w:val="6"/>
                <w:sz w:val="24"/>
                <w:szCs w:val="24"/>
                <w14:textFill>
                  <w14:solidFill>
                    <w14:schemeClr w14:val="tx1"/>
                  </w14:solidFill>
                </w14:textFill>
              </w:rPr>
            </w:pPr>
          </w:p>
          <w:p w14:paraId="5168705B">
            <w:pPr>
              <w:pStyle w:val="52"/>
              <w:keepNext w:val="0"/>
              <w:keepLines w:val="0"/>
              <w:pageBreakBefore w:val="0"/>
              <w:widowControl w:val="0"/>
              <w:kinsoku/>
              <w:wordWrap/>
              <w:overflowPunct/>
              <w:topLinePunct w:val="0"/>
              <w:autoSpaceDE/>
              <w:autoSpaceDN/>
              <w:bidi w:val="0"/>
              <w:adjustRightInd/>
              <w:snapToGrid/>
              <w:spacing w:line="360" w:lineRule="auto"/>
              <w:ind w:left="527"/>
              <w:textAlignment w:val="auto"/>
              <w:rPr>
                <w:rFonts w:hint="eastAsia" w:ascii="宋体" w:hAnsi="宋体" w:eastAsia="宋体" w:cs="宋体"/>
                <w:color w:val="000000" w:themeColor="text1"/>
                <w:spacing w:val="6"/>
                <w:sz w:val="24"/>
                <w:szCs w:val="24"/>
                <w14:textFill>
                  <w14:solidFill>
                    <w14:schemeClr w14:val="tx1"/>
                  </w14:solidFill>
                </w14:textFill>
              </w:rPr>
            </w:pPr>
          </w:p>
          <w:p w14:paraId="3A50BF33">
            <w:pPr>
              <w:pStyle w:val="52"/>
              <w:keepNext w:val="0"/>
              <w:keepLines w:val="0"/>
              <w:pageBreakBefore w:val="0"/>
              <w:widowControl w:val="0"/>
              <w:kinsoku/>
              <w:wordWrap/>
              <w:overflowPunct/>
              <w:topLinePunct w:val="0"/>
              <w:autoSpaceDE/>
              <w:autoSpaceDN/>
              <w:bidi w:val="0"/>
              <w:adjustRightInd/>
              <w:snapToGrid/>
              <w:spacing w:line="360" w:lineRule="auto"/>
              <w:ind w:left="527"/>
              <w:textAlignment w:val="auto"/>
              <w:rPr>
                <w:rFonts w:hint="eastAsia" w:ascii="宋体" w:hAnsi="宋体" w:eastAsia="宋体" w:cs="宋体"/>
                <w:color w:val="000000" w:themeColor="text1"/>
                <w:spacing w:val="6"/>
                <w:sz w:val="24"/>
                <w:szCs w:val="24"/>
                <w14:textFill>
                  <w14:solidFill>
                    <w14:schemeClr w14:val="tx1"/>
                  </w14:solidFill>
                </w14:textFill>
              </w:rPr>
            </w:pPr>
          </w:p>
          <w:p w14:paraId="33646B9A">
            <w:pPr>
              <w:pStyle w:val="52"/>
              <w:keepNext w:val="0"/>
              <w:keepLines w:val="0"/>
              <w:pageBreakBefore w:val="0"/>
              <w:widowControl w:val="0"/>
              <w:kinsoku/>
              <w:wordWrap/>
              <w:overflowPunct/>
              <w:topLinePunct w:val="0"/>
              <w:autoSpaceDE/>
              <w:autoSpaceDN/>
              <w:bidi w:val="0"/>
              <w:adjustRightInd/>
              <w:snapToGrid/>
              <w:spacing w:line="360" w:lineRule="auto"/>
              <w:ind w:left="527"/>
              <w:textAlignment w:val="auto"/>
              <w:rPr>
                <w:rFonts w:hint="eastAsia" w:ascii="宋体" w:hAnsi="宋体" w:eastAsia="宋体" w:cs="宋体"/>
                <w:color w:val="000000" w:themeColor="text1"/>
                <w:spacing w:val="6"/>
                <w:sz w:val="24"/>
                <w:szCs w:val="24"/>
                <w14:textFill>
                  <w14:solidFill>
                    <w14:schemeClr w14:val="tx1"/>
                  </w14:solidFill>
                </w14:textFill>
              </w:rPr>
            </w:pPr>
          </w:p>
          <w:p w14:paraId="362EB7E8">
            <w:pPr>
              <w:pStyle w:val="52"/>
              <w:keepNext w:val="0"/>
              <w:keepLines w:val="0"/>
              <w:pageBreakBefore w:val="0"/>
              <w:widowControl w:val="0"/>
              <w:kinsoku/>
              <w:wordWrap/>
              <w:overflowPunct/>
              <w:topLinePunct w:val="0"/>
              <w:autoSpaceDE/>
              <w:autoSpaceDN/>
              <w:bidi w:val="0"/>
              <w:adjustRightInd/>
              <w:snapToGrid/>
              <w:spacing w:line="360" w:lineRule="auto"/>
              <w:ind w:left="527"/>
              <w:textAlignment w:val="auto"/>
              <w:rPr>
                <w:rFonts w:hint="eastAsia" w:ascii="宋体" w:hAnsi="宋体" w:eastAsia="宋体" w:cs="宋体"/>
                <w:color w:val="000000" w:themeColor="text1"/>
                <w:spacing w:val="6"/>
                <w:sz w:val="24"/>
                <w:szCs w:val="24"/>
                <w14:textFill>
                  <w14:solidFill>
                    <w14:schemeClr w14:val="tx1"/>
                  </w14:solidFill>
                </w14:textFill>
              </w:rPr>
            </w:pPr>
          </w:p>
          <w:p w14:paraId="359E48FF">
            <w:pPr>
              <w:pStyle w:val="5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14:paraId="7A81EECF">
            <w:pPr>
              <w:spacing w:line="4370" w:lineRule="exact"/>
              <w:rPr>
                <w:color w:val="000000" w:themeColor="text1"/>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3916680</wp:posOffset>
                      </wp:positionH>
                      <wp:positionV relativeFrom="paragraph">
                        <wp:posOffset>1400175</wp:posOffset>
                      </wp:positionV>
                      <wp:extent cx="357505" cy="1905"/>
                      <wp:effectExtent l="0" t="47625" r="10795" b="52070"/>
                      <wp:wrapNone/>
                      <wp:docPr id="40" name="直线 45"/>
                      <wp:cNvGraphicFramePr/>
                      <a:graphic xmlns:a="http://schemas.openxmlformats.org/drawingml/2006/main">
                        <a:graphicData uri="http://schemas.microsoft.com/office/word/2010/wordprocessingShape">
                          <wps:wsp>
                            <wps:cNvCnPr/>
                            <wps:spPr>
                              <a:xfrm>
                                <a:off x="0" y="0"/>
                                <a:ext cx="357505" cy="190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5" o:spid="_x0000_s1026" o:spt="20" style="position:absolute;left:0pt;margin-left:308.4pt;margin-top:110.25pt;height:0.15pt;width:28.15pt;z-index:251699200;mso-width-relative:page;mso-height-relative:page;" filled="f" stroked="t" coordsize="21600,21600" o:gfxdata="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IIa62gAAAAsBAAAPAAAAAAAAAAEAIAAAACIAAABkcnMvZG93bnJldi54bWxQSwECFAAU&#10;AAAACACHTuJAfAfgv+8BAADgAwAADgAAAAAAAAABACAAAAApAQAAZHJzL2Uyb0RvYy54bWxQSwUG&#10;AAAAAAYABgBZAQAAigU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4839335</wp:posOffset>
                      </wp:positionH>
                      <wp:positionV relativeFrom="paragraph">
                        <wp:posOffset>556260</wp:posOffset>
                      </wp:positionV>
                      <wp:extent cx="19050" cy="2734945"/>
                      <wp:effectExtent l="30480" t="0" r="52070" b="8255"/>
                      <wp:wrapNone/>
                      <wp:docPr id="64" name="直线 44"/>
                      <wp:cNvGraphicFramePr/>
                      <a:graphic xmlns:a="http://schemas.openxmlformats.org/drawingml/2006/main">
                        <a:graphicData uri="http://schemas.microsoft.com/office/word/2010/wordprocessingShape">
                          <wps:wsp>
                            <wps:cNvCnPr/>
                            <wps:spPr>
                              <a:xfrm>
                                <a:off x="0" y="0"/>
                                <a:ext cx="19050" cy="27349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4" o:spid="_x0000_s1026" o:spt="20" style="position:absolute;left:0pt;margin-left:381.05pt;margin-top:43.8pt;height:215.35pt;width:1.5pt;z-index:251715584;mso-width-relative:page;mso-height-relative:page;" filled="f" stroked="t" coordsize="21600,21600" o:gfxdata="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NqRF9sAAAAKAQAADwAAAAAAAAABACAAAAAiAAAAZHJzL2Rvd25yZXYueG1sUEsB&#10;AhQAFAAAAAgAh07iQPq/7pfyAQAA4gMAAA4AAAAAAAAAAQAgAAAAKgEAAGRycy9lMm9Eb2MueG1s&#10;UEsFBgAAAAAGAAYAWQEAAI4FA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4255135</wp:posOffset>
                      </wp:positionH>
                      <wp:positionV relativeFrom="paragraph">
                        <wp:posOffset>1402080</wp:posOffset>
                      </wp:positionV>
                      <wp:extent cx="14605" cy="1940560"/>
                      <wp:effectExtent l="34925" t="0" r="52070" b="2540"/>
                      <wp:wrapNone/>
                      <wp:docPr id="39" name="直线 44"/>
                      <wp:cNvGraphicFramePr/>
                      <a:graphic xmlns:a="http://schemas.openxmlformats.org/drawingml/2006/main">
                        <a:graphicData uri="http://schemas.microsoft.com/office/word/2010/wordprocessingShape">
                          <wps:wsp>
                            <wps:cNvCnPr/>
                            <wps:spPr>
                              <a:xfrm>
                                <a:off x="0" y="0"/>
                                <a:ext cx="14605" cy="194056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4" o:spid="_x0000_s1026" o:spt="20" style="position:absolute;left:0pt;margin-left:335.05pt;margin-top:110.4pt;height:152.8pt;width:1.15pt;z-index:251698176;mso-width-relative:page;mso-height-relative:page;" filled="f" stroked="t" coordsize="21600,21600" o:gfxdata="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s3H72wAAAAsBAAAPAAAAAAAAAAEAIAAAACIAAABkcnMvZG93bnJldi54bWxQ&#10;SwECFAAUAAAACACHTuJAIg3m4vQBAADiAwAADgAAAAAAAAABACAAAAAqAQAAZHJzL2Uyb0RvYy54&#10;bWxQSwUGAAAAAAYABgBZAQAAkAU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2039620</wp:posOffset>
                      </wp:positionH>
                      <wp:positionV relativeFrom="paragraph">
                        <wp:posOffset>67310</wp:posOffset>
                      </wp:positionV>
                      <wp:extent cx="991235" cy="324485"/>
                      <wp:effectExtent l="0" t="0" r="0" b="0"/>
                      <wp:wrapNone/>
                      <wp:docPr id="10" name="矩形 13"/>
                      <wp:cNvGraphicFramePr/>
                      <a:graphic xmlns:a="http://schemas.openxmlformats.org/drawingml/2006/main">
                        <a:graphicData uri="http://schemas.microsoft.com/office/word/2010/wordprocessingShape">
                          <wps:wsp>
                            <wps:cNvSpPr/>
                            <wps:spPr>
                              <a:xfrm>
                                <a:off x="0" y="0"/>
                                <a:ext cx="991235" cy="324485"/>
                              </a:xfrm>
                              <a:prstGeom prst="rect">
                                <a:avLst/>
                              </a:prstGeom>
                              <a:noFill/>
                              <a:ln>
                                <a:noFill/>
                              </a:ln>
                            </wps:spPr>
                            <wps:txbx>
                              <w:txbxContent>
                                <w:p w14:paraId="2EE142B4">
                                  <w:pPr>
                                    <w:rPr>
                                      <w:rFonts w:hint="default" w:eastAsia="宋体"/>
                                      <w:lang w:val="en-US" w:eastAsia="zh-CN"/>
                                    </w:rPr>
                                  </w:pPr>
                                  <w:r>
                                    <w:rPr>
                                      <w:rFonts w:hint="eastAsia"/>
                                      <w:lang w:val="en-US" w:eastAsia="zh-CN"/>
                                    </w:rPr>
                                    <w:t>消耗0.345</w:t>
                                  </w:r>
                                </w:p>
                              </w:txbxContent>
                            </wps:txbx>
                            <wps:bodyPr vert="horz" wrap="square" anchor="t" anchorCtr="0" upright="1"/>
                          </wps:wsp>
                        </a:graphicData>
                      </a:graphic>
                    </wp:anchor>
                  </w:drawing>
                </mc:Choice>
                <mc:Fallback>
                  <w:pict>
                    <v:rect id="矩形 13" o:spid="_x0000_s1026" o:spt="1" style="position:absolute;left:0pt;margin-left:160.6pt;margin-top:5.3pt;height:25.55pt;width:78.05pt;z-index:251668480;mso-width-relative:page;mso-height-relative:page;" filled="f" stroked="f" coordsize="21600,21600" o:gfxdata="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P5n6r2QAAAAkBAAAPAAAAAAAAAAEAIAAAACIAAABkcnMvZG93bnJl&#10;di54bWxQSwECFAAUAAAACACHTuJAjfWMzcMBAAB1AwAADgAAAAAAAAABACAAAAAoAQAAZHJzL2Uy&#10;b0RvYy54bWxQSwUGAAAAAAYABgBZAQAAXQUAAAAA&#10;">
                      <v:fill on="f" focussize="0,0"/>
                      <v:stroke on="f"/>
                      <v:imagedata o:title=""/>
                      <o:lock v:ext="edit" aspectratio="f"/>
                      <v:textbox>
                        <w:txbxContent>
                          <w:p w14:paraId="2EE142B4">
                            <w:pPr>
                              <w:rPr>
                                <w:rFonts w:hint="default" w:eastAsia="宋体"/>
                                <w:lang w:val="en-US" w:eastAsia="zh-CN"/>
                              </w:rPr>
                            </w:pPr>
                            <w:r>
                              <w:rPr>
                                <w:rFonts w:hint="eastAsia"/>
                                <w:lang w:val="en-US" w:eastAsia="zh-CN"/>
                              </w:rPr>
                              <w:t>消耗0.345</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3027680</wp:posOffset>
                      </wp:positionH>
                      <wp:positionV relativeFrom="paragraph">
                        <wp:posOffset>561975</wp:posOffset>
                      </wp:positionV>
                      <wp:extent cx="1818005" cy="635"/>
                      <wp:effectExtent l="0" t="48260" r="10795" b="52705"/>
                      <wp:wrapNone/>
                      <wp:docPr id="55" name="直线 62"/>
                      <wp:cNvGraphicFramePr/>
                      <a:graphic xmlns:a="http://schemas.openxmlformats.org/drawingml/2006/main">
                        <a:graphicData uri="http://schemas.microsoft.com/office/word/2010/wordprocessingShape">
                          <wps:wsp>
                            <wps:cNvCnPr/>
                            <wps:spPr>
                              <a:xfrm>
                                <a:off x="0" y="0"/>
                                <a:ext cx="181800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62" o:spid="_x0000_s1026" o:spt="20" style="position:absolute;left:0pt;margin-left:238.4pt;margin-top:44.25pt;height:0.05pt;width:143.15pt;z-index:251712512;mso-width-relative:page;mso-height-relative:page;" filled="f" stroked="t" coordsize="21600,21600" o:gfxdata="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c/Hu7aAAAACQEAAA8AAAAAAAAAAQAgAAAAIgAAAGRycy9kb3ducmV2LnhtbFBLAQIUABQA&#10;AAAIAIdO4kBjwnwl7gEAAOADAAAOAAAAAAAAAAEAIAAAACkBAABkcnMvZTJvRG9jLnhtbFBLBQYA&#10;AAAABgAGAFkBAACJBQ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81280</wp:posOffset>
                      </wp:positionH>
                      <wp:positionV relativeFrom="paragraph">
                        <wp:posOffset>834390</wp:posOffset>
                      </wp:positionV>
                      <wp:extent cx="991235" cy="324485"/>
                      <wp:effectExtent l="0" t="0" r="0" b="0"/>
                      <wp:wrapNone/>
                      <wp:docPr id="54" name="矩形 61"/>
                      <wp:cNvGraphicFramePr/>
                      <a:graphic xmlns:a="http://schemas.openxmlformats.org/drawingml/2006/main">
                        <a:graphicData uri="http://schemas.microsoft.com/office/word/2010/wordprocessingShape">
                          <wps:wsp>
                            <wps:cNvSpPr/>
                            <wps:spPr>
                              <a:xfrm>
                                <a:off x="0" y="0"/>
                                <a:ext cx="991235" cy="324485"/>
                              </a:xfrm>
                              <a:prstGeom prst="rect">
                                <a:avLst/>
                              </a:prstGeom>
                              <a:noFill/>
                              <a:ln>
                                <a:noFill/>
                              </a:ln>
                            </wps:spPr>
                            <wps:txbx>
                              <w:txbxContent>
                                <w:p w14:paraId="0C9E95AA">
                                  <w:pPr>
                                    <w:rPr>
                                      <w:rFonts w:hint="default" w:eastAsia="宋体"/>
                                      <w:color w:val="0000FF"/>
                                      <w:u w:val="single"/>
                                      <w:lang w:val="en-US" w:eastAsia="zh-CN"/>
                                    </w:rPr>
                                  </w:pPr>
                                  <w:r>
                                    <w:rPr>
                                      <w:rFonts w:hint="eastAsia"/>
                                      <w:color w:val="0000FF"/>
                                      <w:u w:val="single"/>
                                      <w:lang w:val="en-US" w:eastAsia="zh-CN"/>
                                    </w:rPr>
                                    <w:t>29.9</w:t>
                                  </w:r>
                                </w:p>
                              </w:txbxContent>
                            </wps:txbx>
                            <wps:bodyPr wrap="square" upright="1"/>
                          </wps:wsp>
                        </a:graphicData>
                      </a:graphic>
                    </wp:anchor>
                  </w:drawing>
                </mc:Choice>
                <mc:Fallback>
                  <w:pict>
                    <v:rect id="矩形 61" o:spid="_x0000_s1026" o:spt="1" style="position:absolute;left:0pt;margin-left:6.4pt;margin-top:65.7pt;height:25.55pt;width:78.05pt;z-index:251711488;mso-width-relative:page;mso-height-relative:page;" filled="f" stroked="f" coordsize="21600,21600" o:gfxdata="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zPC&#10;4toAAAAKAQAADwAAAAAAAAABACAAAAAiAAAAZHJzL2Rvd25yZXYueG1sUEsBAhQAFAAAAAgAh07i&#10;QCz3N5+uAQAAUAMAAA4AAAAAAAAAAQAgAAAAKQEAAGRycy9lMm9Eb2MueG1sUEsFBgAAAAAGAAYA&#10;WQEAAEkFAAAAAA==&#10;">
                      <v:fill on="f" focussize="0,0"/>
                      <v:stroke on="f"/>
                      <v:imagedata o:title=""/>
                      <o:lock v:ext="edit" aspectratio="f"/>
                      <v:textbox>
                        <w:txbxContent>
                          <w:p w14:paraId="0C9E95AA">
                            <w:pPr>
                              <w:rPr>
                                <w:rFonts w:hint="default" w:eastAsia="宋体"/>
                                <w:color w:val="0000FF"/>
                                <w:u w:val="single"/>
                                <w:lang w:val="en-US" w:eastAsia="zh-CN"/>
                              </w:rPr>
                            </w:pPr>
                            <w:r>
                              <w:rPr>
                                <w:rFonts w:hint="eastAsia"/>
                                <w:color w:val="0000FF"/>
                                <w:u w:val="single"/>
                                <w:lang w:val="en-US" w:eastAsia="zh-CN"/>
                              </w:rPr>
                              <w:t>29.9</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262255</wp:posOffset>
                      </wp:positionH>
                      <wp:positionV relativeFrom="paragraph">
                        <wp:posOffset>1097280</wp:posOffset>
                      </wp:positionV>
                      <wp:extent cx="691515" cy="5715"/>
                      <wp:effectExtent l="0" t="4445" r="6985" b="8890"/>
                      <wp:wrapNone/>
                      <wp:docPr id="50" name="直线 57"/>
                      <wp:cNvGraphicFramePr/>
                      <a:graphic xmlns:a="http://schemas.openxmlformats.org/drawingml/2006/main">
                        <a:graphicData uri="http://schemas.microsoft.com/office/word/2010/wordprocessingShape">
                          <wps:wsp>
                            <wps:cNvCnPr/>
                            <wps:spPr>
                              <a:xfrm flipV="1">
                                <a:off x="0" y="0"/>
                                <a:ext cx="691515"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 o:spid="_x0000_s1026" o:spt="20" style="position:absolute;left:0pt;flip:y;margin-left:20.65pt;margin-top:86.4pt;height:0.45pt;width:54.45pt;z-index:251708416;mso-width-relative:page;mso-height-relative:page;" filled="f" stroked="t" coordsize="21600,21600" o:gfxdata="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c+Zx1gAAAAoBAAAPAAAAAAAAAAEAIAAAACIAAABkcnMvZG93bnJldi54bWxQSwECFAAUAAAA&#10;CACHTuJAGzeD5fABAADpAwAADgAAAAAAAAABACAAAAAlAQAAZHJzL2Uyb0RvYy54bWxQSwUGAAAA&#10;AAYABgBZAQAAhwUAAAAA&#10;">
                      <v:fill on="f" focussize="0,0"/>
                      <v:stroke color="#000000" joinstyle="round"/>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686435</wp:posOffset>
                      </wp:positionH>
                      <wp:positionV relativeFrom="paragraph">
                        <wp:posOffset>513715</wp:posOffset>
                      </wp:positionV>
                      <wp:extent cx="19685" cy="1549400"/>
                      <wp:effectExtent l="4445" t="0" r="13970" b="0"/>
                      <wp:wrapNone/>
                      <wp:docPr id="53" name="直线 60"/>
                      <wp:cNvGraphicFramePr/>
                      <a:graphic xmlns:a="http://schemas.openxmlformats.org/drawingml/2006/main">
                        <a:graphicData uri="http://schemas.microsoft.com/office/word/2010/wordprocessingShape">
                          <wps:wsp>
                            <wps:cNvCnPr/>
                            <wps:spPr>
                              <a:xfrm flipH="1">
                                <a:off x="0" y="0"/>
                                <a:ext cx="19685" cy="15494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flip:x;margin-left:54.05pt;margin-top:40.45pt;height:122pt;width:1.55pt;z-index:251710464;mso-width-relative:page;mso-height-relative:page;" filled="f" stroked="t" coordsize="21600,21600" o:gfxdata="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aox21wAAAAoBAAAPAAAAAAAAAAEAIAAAACIAAABkcnMvZG93bnJldi54bWxQSwEC&#10;FAAUAAAACACHTuJAd/Y+mfUBAADrAwAADgAAAAAAAAABACAAAAAmAQAAZHJzL2Uyb0RvYy54bWxQ&#10;SwUGAAAAAAYABgBZAQAAjQUAAAAA&#10;">
                      <v:fill on="f" focussize="0,0"/>
                      <v:stroke color="#000000" joinstyle="round"/>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699135</wp:posOffset>
                      </wp:positionH>
                      <wp:positionV relativeFrom="paragraph">
                        <wp:posOffset>2037080</wp:posOffset>
                      </wp:positionV>
                      <wp:extent cx="330835" cy="6985"/>
                      <wp:effectExtent l="0" t="4445" r="12065" b="7620"/>
                      <wp:wrapNone/>
                      <wp:docPr id="51" name="直线 58"/>
                      <wp:cNvGraphicFramePr/>
                      <a:graphic xmlns:a="http://schemas.openxmlformats.org/drawingml/2006/main">
                        <a:graphicData uri="http://schemas.microsoft.com/office/word/2010/wordprocessingShape">
                          <wps:wsp>
                            <wps:cNvCnPr/>
                            <wps:spPr>
                              <a:xfrm flipV="1">
                                <a:off x="0" y="0"/>
                                <a:ext cx="330835"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flip:y;margin-left:55.05pt;margin-top:160.4pt;height:0.55pt;width:26.05pt;z-index:251709440;mso-width-relative:page;mso-height-relative:page;" filled="f" stroked="t" coordsize="21600,21600" o:gfxdata="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WnWE9YAAAALAQAADwAAAAAAAAABACAAAAAiAAAAZHJzL2Rvd25yZXYueG1sUEsBAhQAFAAA&#10;AAgAh07iQLEjAtjxAQAA6QMAAA4AAAAAAAAAAQAgAAAAJQEAAGRycy9lMm9Eb2MueG1sUEsFBgAA&#10;AAAGAAYAWQEAAIgFAAAAAA==&#10;">
                      <v:fill on="f" focussize="0,0"/>
                      <v:stroke color="#000000" joinstyle="round"/>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687070</wp:posOffset>
                      </wp:positionH>
                      <wp:positionV relativeFrom="paragraph">
                        <wp:posOffset>523875</wp:posOffset>
                      </wp:positionV>
                      <wp:extent cx="311150" cy="635"/>
                      <wp:effectExtent l="0" t="0" r="0" b="0"/>
                      <wp:wrapNone/>
                      <wp:docPr id="49" name="直线 56"/>
                      <wp:cNvGraphicFramePr/>
                      <a:graphic xmlns:a="http://schemas.openxmlformats.org/drawingml/2006/main">
                        <a:graphicData uri="http://schemas.microsoft.com/office/word/2010/wordprocessingShape">
                          <wps:wsp>
                            <wps:cNvCnPr/>
                            <wps:spPr>
                              <a:xfrm>
                                <a:off x="0" y="0"/>
                                <a:ext cx="3111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54.1pt;margin-top:41.25pt;height:0.05pt;width:24.5pt;z-index:251707392;mso-width-relative:page;mso-height-relative:page;" filled="f" stroked="t" coordsize="21600,21600" o:gfxdata="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sLyAjV&#10;AAAACQEAAA8AAAAAAAAAAQAgAAAAIgAAAGRycy9kb3ducmV2LnhtbFBLAQIUABQAAAAIAIdO4kAB&#10;5pe76gEAAN4DAAAOAAAAAAAAAAEAIAAAACQBAABkcnMvZTJvRG9jLnhtbFBLBQYAAAAABgAGAFkB&#10;AACABQAAAAA=&#10;">
                      <v:fill on="f" focussize="0,0"/>
                      <v:stroke color="#000000" joinstyle="round"/>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2938780</wp:posOffset>
                      </wp:positionH>
                      <wp:positionV relativeFrom="paragraph">
                        <wp:posOffset>2745740</wp:posOffset>
                      </wp:positionV>
                      <wp:extent cx="1188085" cy="229235"/>
                      <wp:effectExtent l="0" t="0" r="0" b="0"/>
                      <wp:wrapNone/>
                      <wp:docPr id="42" name="矩形 48"/>
                      <wp:cNvGraphicFramePr/>
                      <a:graphic xmlns:a="http://schemas.openxmlformats.org/drawingml/2006/main">
                        <a:graphicData uri="http://schemas.microsoft.com/office/word/2010/wordprocessingShape">
                          <wps:wsp>
                            <wps:cNvSpPr/>
                            <wps:spPr>
                              <a:xfrm>
                                <a:off x="0" y="0"/>
                                <a:ext cx="1188085" cy="229235"/>
                              </a:xfrm>
                              <a:prstGeom prst="rect">
                                <a:avLst/>
                              </a:prstGeom>
                              <a:noFill/>
                              <a:ln>
                                <a:noFill/>
                              </a:ln>
                            </wps:spPr>
                            <wps:txbx>
                              <w:txbxContent>
                                <w:p w14:paraId="7D0E6F4F">
                                  <w:pPr>
                                    <w:rPr>
                                      <w:rFonts w:hint="default" w:eastAsia="宋体"/>
                                      <w:lang w:val="en-US" w:eastAsia="zh-CN"/>
                                    </w:rPr>
                                  </w:pPr>
                                  <w:r>
                                    <w:rPr>
                                      <w:rFonts w:hint="eastAsia"/>
                                      <w:lang w:val="en-US" w:eastAsia="zh-CN"/>
                                    </w:rPr>
                                    <w:t>排放78.3</w:t>
                                  </w:r>
                                </w:p>
                              </w:txbxContent>
                            </wps:txbx>
                            <wps:bodyPr vert="horz" wrap="square" anchor="t" anchorCtr="0" upright="1"/>
                          </wps:wsp>
                        </a:graphicData>
                      </a:graphic>
                    </wp:anchor>
                  </w:drawing>
                </mc:Choice>
                <mc:Fallback>
                  <w:pict>
                    <v:rect id="矩形 48" o:spid="_x0000_s1026" o:spt="1" style="position:absolute;left:0pt;margin-left:231.4pt;margin-top:216.2pt;height:18.05pt;width:93.55pt;z-index:251701248;mso-width-relative:page;mso-height-relative:page;" filled="f" stroked="f" coordsize="21600,21600" o:gfxdata="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2WZSzbAAAACwEAAA8AAAAAAAAAAQAgAAAAIgAAAGRycy9kb3du&#10;cmV2LnhtbFBLAQIUABQAAAAIAIdO4kClw3KRwwEAAHYDAAAOAAAAAAAAAAEAIAAAACoBAABkcnMv&#10;ZTJvRG9jLnhtbFBLBQYAAAAABgAGAFkBAABfBQAAAAA=&#10;">
                      <v:fill on="f" focussize="0,0"/>
                      <v:stroke on="f"/>
                      <v:imagedata o:title=""/>
                      <o:lock v:ext="edit" aspectratio="f"/>
                      <v:textbox>
                        <w:txbxContent>
                          <w:p w14:paraId="7D0E6F4F">
                            <w:pPr>
                              <w:rPr>
                                <w:rFonts w:hint="default" w:eastAsia="宋体"/>
                                <w:lang w:val="en-US" w:eastAsia="zh-CN"/>
                              </w:rPr>
                            </w:pPr>
                            <w:r>
                              <w:rPr>
                                <w:rFonts w:hint="eastAsia"/>
                                <w:lang w:val="en-US" w:eastAsia="zh-CN"/>
                              </w:rPr>
                              <w:t>排放78.3</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2945130</wp:posOffset>
                      </wp:positionH>
                      <wp:positionV relativeFrom="paragraph">
                        <wp:posOffset>2447290</wp:posOffset>
                      </wp:positionV>
                      <wp:extent cx="1188085" cy="229235"/>
                      <wp:effectExtent l="0" t="0" r="0" b="0"/>
                      <wp:wrapNone/>
                      <wp:docPr id="33" name="矩形 36"/>
                      <wp:cNvGraphicFramePr/>
                      <a:graphic xmlns:a="http://schemas.openxmlformats.org/drawingml/2006/main">
                        <a:graphicData uri="http://schemas.microsoft.com/office/word/2010/wordprocessingShape">
                          <wps:wsp>
                            <wps:cNvSpPr/>
                            <wps:spPr>
                              <a:xfrm>
                                <a:off x="0" y="0"/>
                                <a:ext cx="1188085" cy="229235"/>
                              </a:xfrm>
                              <a:prstGeom prst="rect">
                                <a:avLst/>
                              </a:prstGeom>
                              <a:noFill/>
                              <a:ln>
                                <a:noFill/>
                              </a:ln>
                            </wps:spPr>
                            <wps:txbx>
                              <w:txbxContent>
                                <w:p w14:paraId="782FE2E8">
                                  <w:pPr>
                                    <w:rPr>
                                      <w:rFonts w:hint="default" w:eastAsia="宋体"/>
                                      <w:lang w:val="en-US" w:eastAsia="zh-CN"/>
                                    </w:rPr>
                                  </w:pPr>
                                  <w:r>
                                    <w:rPr>
                                      <w:rFonts w:hint="eastAsia"/>
                                      <w:lang w:val="en-US" w:eastAsia="zh-CN"/>
                                    </w:rPr>
                                    <w:t>产品带走7.2</w:t>
                                  </w:r>
                                </w:p>
                              </w:txbxContent>
                            </wps:txbx>
                            <wps:bodyPr vert="horz" wrap="square" anchor="t" anchorCtr="0" upright="1"/>
                          </wps:wsp>
                        </a:graphicData>
                      </a:graphic>
                    </wp:anchor>
                  </w:drawing>
                </mc:Choice>
                <mc:Fallback>
                  <w:pict>
                    <v:rect id="矩形 36" o:spid="_x0000_s1026" o:spt="1" style="position:absolute;left:0pt;margin-left:231.9pt;margin-top:192.7pt;height:18.05pt;width:93.55pt;z-index:251692032;mso-width-relative:page;mso-height-relative:page;" filled="f" stroked="f" coordsize="21600,21600" o:gfxdata="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zsd43AAAAAsBAAAPAAAAAAAAAAEAIAAAACIAAABkcnMvZG93&#10;bnJldi54bWxQSwECFAAUAAAACACHTuJAHPDWJMMBAAB2AwAADgAAAAAAAAABACAAAAArAQAAZHJz&#10;L2Uyb0RvYy54bWxQSwUGAAAAAAYABgBZAQAAYAUAAAAA&#10;">
                      <v:fill on="f" focussize="0,0"/>
                      <v:stroke on="f"/>
                      <v:imagedata o:title=""/>
                      <o:lock v:ext="edit" aspectratio="f"/>
                      <v:textbox>
                        <w:txbxContent>
                          <w:p w14:paraId="782FE2E8">
                            <w:pPr>
                              <w:rPr>
                                <w:rFonts w:hint="default" w:eastAsia="宋体"/>
                                <w:lang w:val="en-US" w:eastAsia="zh-CN"/>
                              </w:rPr>
                            </w:pPr>
                            <w:r>
                              <w:rPr>
                                <w:rFonts w:hint="eastAsia"/>
                                <w:lang w:val="en-US" w:eastAsia="zh-CN"/>
                              </w:rPr>
                              <w:t>产品带走7.2</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2633980</wp:posOffset>
                      </wp:positionH>
                      <wp:positionV relativeFrom="paragraph">
                        <wp:posOffset>2599690</wp:posOffset>
                      </wp:positionV>
                      <wp:extent cx="400050" cy="635"/>
                      <wp:effectExtent l="0" t="48895" r="6350" b="52070"/>
                      <wp:wrapNone/>
                      <wp:docPr id="30" name="直线 33"/>
                      <wp:cNvGraphicFramePr/>
                      <a:graphic xmlns:a="http://schemas.openxmlformats.org/drawingml/2006/main">
                        <a:graphicData uri="http://schemas.microsoft.com/office/word/2010/wordprocessingShape">
                          <wps:wsp>
                            <wps:cNvCnPr/>
                            <wps:spPr>
                              <a:xfrm flipV="1">
                                <a:off x="0" y="0"/>
                                <a:ext cx="4000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3" o:spid="_x0000_s1026" o:spt="20" style="position:absolute;left:0pt;flip:y;margin-left:207.4pt;margin-top:204.7pt;height:0.05pt;width:31.5pt;z-index:251688960;mso-width-relative:page;mso-height-relative:page;" filled="f" stroked="t" coordsize="21600,21600" o:gfxdata="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Rvf+DYAAAACwEAAA8AAAAAAAAAAQAgAAAAIgAAAGRycy9kb3ducmV2LnhtbFBL&#10;AQIUABQAAAAIAIdO4kA6ciz99gEAAOkDAAAOAAAAAAAAAAEAIAAAACcBAABkcnMvZTJvRG9jLnht&#10;bFBLBQYAAAAABgAGAFkBAACPBQ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2132330</wp:posOffset>
                      </wp:positionH>
                      <wp:positionV relativeFrom="paragraph">
                        <wp:posOffset>1596390</wp:posOffset>
                      </wp:positionV>
                      <wp:extent cx="991235" cy="324485"/>
                      <wp:effectExtent l="0" t="0" r="0" b="0"/>
                      <wp:wrapNone/>
                      <wp:docPr id="28" name="矩形 31"/>
                      <wp:cNvGraphicFramePr/>
                      <a:graphic xmlns:a="http://schemas.openxmlformats.org/drawingml/2006/main">
                        <a:graphicData uri="http://schemas.microsoft.com/office/word/2010/wordprocessingShape">
                          <wps:wsp>
                            <wps:cNvSpPr/>
                            <wps:spPr>
                              <a:xfrm>
                                <a:off x="0" y="0"/>
                                <a:ext cx="991235" cy="324485"/>
                              </a:xfrm>
                              <a:prstGeom prst="rect">
                                <a:avLst/>
                              </a:prstGeom>
                              <a:noFill/>
                              <a:ln>
                                <a:noFill/>
                              </a:ln>
                            </wps:spPr>
                            <wps:txbx>
                              <w:txbxContent>
                                <w:p w14:paraId="0325B79F">
                                  <w:pPr>
                                    <w:rPr>
                                      <w:rFonts w:hint="default" w:eastAsia="宋体"/>
                                      <w:lang w:val="en-US" w:eastAsia="zh-CN"/>
                                    </w:rPr>
                                  </w:pPr>
                                  <w:r>
                                    <w:rPr>
                                      <w:rFonts w:hint="eastAsia"/>
                                      <w:lang w:val="en-US" w:eastAsia="zh-CN"/>
                                    </w:rPr>
                                    <w:t>消耗4.8</w:t>
                                  </w:r>
                                </w:p>
                              </w:txbxContent>
                            </wps:txbx>
                            <wps:bodyPr wrap="square" upright="1"/>
                          </wps:wsp>
                        </a:graphicData>
                      </a:graphic>
                    </wp:anchor>
                  </w:drawing>
                </mc:Choice>
                <mc:Fallback>
                  <w:pict>
                    <v:rect id="矩形 31" o:spid="_x0000_s1026" o:spt="1" style="position:absolute;left:0pt;margin-left:167.9pt;margin-top:125.7pt;height:25.55pt;width:78.05pt;z-index:251686912;mso-width-relative:page;mso-height-relative:page;" filled="f" stroked="f" coordsize="21600,21600" o:gfxdata="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x&#10;nsbe3AAAAAsBAAAPAAAAAAAAAAEAIAAAACIAAABkcnMvZG93bnJldi54bWxQSwECFAAUAAAACACH&#10;TuJA0PrLWa4BAABQAwAADgAAAAAAAAABACAAAAArAQAAZHJzL2Uyb0RvYy54bWxQSwUGAAAAAAYA&#10;BgBZAQAASwUAAAAA&#10;">
                      <v:fill on="f" focussize="0,0"/>
                      <v:stroke on="f"/>
                      <v:imagedata o:title=""/>
                      <o:lock v:ext="edit" aspectratio="f"/>
                      <v:textbox>
                        <w:txbxContent>
                          <w:p w14:paraId="0325B79F">
                            <w:pPr>
                              <w:rPr>
                                <w:rFonts w:hint="default" w:eastAsia="宋体"/>
                                <w:lang w:val="en-US" w:eastAsia="zh-CN"/>
                              </w:rPr>
                            </w:pPr>
                            <w:r>
                              <w:rPr>
                                <w:rFonts w:hint="eastAsia"/>
                                <w:lang w:val="en-US" w:eastAsia="zh-CN"/>
                              </w:rPr>
                              <w:t>消耗4.8</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2640330</wp:posOffset>
                      </wp:positionH>
                      <wp:positionV relativeFrom="paragraph">
                        <wp:posOffset>2345690</wp:posOffset>
                      </wp:positionV>
                      <wp:extent cx="165100" cy="107950"/>
                      <wp:effectExtent l="2540" t="0" r="10160" b="6350"/>
                      <wp:wrapNone/>
                      <wp:docPr id="32" name="直线 35"/>
                      <wp:cNvGraphicFramePr/>
                      <a:graphic xmlns:a="http://schemas.openxmlformats.org/drawingml/2006/main">
                        <a:graphicData uri="http://schemas.microsoft.com/office/word/2010/wordprocessingShape">
                          <wps:wsp>
                            <wps:cNvCnPr/>
                            <wps:spPr>
                              <a:xfrm flipV="1">
                                <a:off x="0" y="0"/>
                                <a:ext cx="165100" cy="10795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35" o:spid="_x0000_s1026" o:spt="20" style="position:absolute;left:0pt;flip:y;margin-left:207.9pt;margin-top:184.7pt;height:8.5pt;width:13pt;z-index:251691008;mso-width-relative:page;mso-height-relative:page;" filled="f" stroked="t" coordsize="21600,21600" o:gfxdata="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9fikPXAAAACwEAAA8AAAAAAAAAAQAgAAAAIgAAAGRycy9kb3ducmV2&#10;LnhtbFBLAQIUABQAAAAIAIdO4kBne4Hn/QEAAOsDAAAOAAAAAAAAAAEAIAAAACYBAABkcnMvZTJv&#10;RG9jLnhtbFBLBQYAAAAABgAGAFkBAACVBQAAAAA=&#10;">
                      <v:fill on="f" focussize="0,0"/>
                      <v:stroke color="#000000" joinstyle="round" dashstyle="dash"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2754630</wp:posOffset>
                      </wp:positionH>
                      <wp:positionV relativeFrom="paragraph">
                        <wp:posOffset>2199640</wp:posOffset>
                      </wp:positionV>
                      <wp:extent cx="991235" cy="324485"/>
                      <wp:effectExtent l="0" t="0" r="0" b="0"/>
                      <wp:wrapNone/>
                      <wp:docPr id="31" name="矩形 34"/>
                      <wp:cNvGraphicFramePr/>
                      <a:graphic xmlns:a="http://schemas.openxmlformats.org/drawingml/2006/main">
                        <a:graphicData uri="http://schemas.microsoft.com/office/word/2010/wordprocessingShape">
                          <wps:wsp>
                            <wps:cNvSpPr/>
                            <wps:spPr>
                              <a:xfrm>
                                <a:off x="0" y="0"/>
                                <a:ext cx="991235" cy="324485"/>
                              </a:xfrm>
                              <a:prstGeom prst="rect">
                                <a:avLst/>
                              </a:prstGeom>
                              <a:noFill/>
                              <a:ln>
                                <a:noFill/>
                              </a:ln>
                            </wps:spPr>
                            <wps:txbx>
                              <w:txbxContent>
                                <w:p w14:paraId="3348CFD7">
                                  <w:pPr>
                                    <w:rPr>
                                      <w:rFonts w:hint="default" w:eastAsia="宋体"/>
                                      <w:lang w:val="en-US" w:eastAsia="zh-CN"/>
                                    </w:rPr>
                                  </w:pPr>
                                  <w:r>
                                    <w:rPr>
                                      <w:rFonts w:hint="eastAsia"/>
                                      <w:lang w:val="en-US" w:eastAsia="zh-CN"/>
                                    </w:rPr>
                                    <w:t>消耗4.5</w:t>
                                  </w:r>
                                </w:p>
                              </w:txbxContent>
                            </wps:txbx>
                            <wps:bodyPr wrap="square" upright="1"/>
                          </wps:wsp>
                        </a:graphicData>
                      </a:graphic>
                    </wp:anchor>
                  </w:drawing>
                </mc:Choice>
                <mc:Fallback>
                  <w:pict>
                    <v:rect id="矩形 34" o:spid="_x0000_s1026" o:spt="1" style="position:absolute;left:0pt;margin-left:216.9pt;margin-top:173.2pt;height:25.55pt;width:78.05pt;z-index:251689984;mso-width-relative:page;mso-height-relative:page;" filled="f" stroked="f" coordsize="21600,21600" o:gfxdata="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uSp5LdAAAACwEAAA8AAAAAAAAAAQAgAAAAIgAAAGRycy9kb3ducmV2LnhtbFBLAQIUABQAAAAI&#10;AIdO4kBttZotrwEAAFADAAAOAAAAAAAAAAEAIAAAACwBAABkcnMvZTJvRG9jLnhtbFBLBQYAAAAA&#10;BgAGAFkBAABNBQAAAAA=&#10;">
                      <v:fill on="f" focussize="0,0"/>
                      <v:stroke on="f"/>
                      <v:imagedata o:title=""/>
                      <o:lock v:ext="edit" aspectratio="f"/>
                      <v:textbox>
                        <w:txbxContent>
                          <w:p w14:paraId="3348CFD7">
                            <w:pPr>
                              <w:rPr>
                                <w:rFonts w:hint="default" w:eastAsia="宋体"/>
                                <w:lang w:val="en-US" w:eastAsia="zh-CN"/>
                              </w:rPr>
                            </w:pPr>
                            <w:r>
                              <w:rPr>
                                <w:rFonts w:hint="eastAsia"/>
                                <w:lang w:val="en-US" w:eastAsia="zh-CN"/>
                              </w:rPr>
                              <w:t>消耗4.5</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2157730</wp:posOffset>
                      </wp:positionH>
                      <wp:positionV relativeFrom="paragraph">
                        <wp:posOffset>2091690</wp:posOffset>
                      </wp:positionV>
                      <wp:extent cx="991235" cy="324485"/>
                      <wp:effectExtent l="0" t="0" r="0" b="0"/>
                      <wp:wrapNone/>
                      <wp:docPr id="29" name="矩形 32"/>
                      <wp:cNvGraphicFramePr/>
                      <a:graphic xmlns:a="http://schemas.openxmlformats.org/drawingml/2006/main">
                        <a:graphicData uri="http://schemas.microsoft.com/office/word/2010/wordprocessingShape">
                          <wps:wsp>
                            <wps:cNvSpPr/>
                            <wps:spPr>
                              <a:xfrm>
                                <a:off x="0" y="0"/>
                                <a:ext cx="991235" cy="324485"/>
                              </a:xfrm>
                              <a:prstGeom prst="rect">
                                <a:avLst/>
                              </a:prstGeom>
                              <a:noFill/>
                              <a:ln>
                                <a:noFill/>
                              </a:ln>
                            </wps:spPr>
                            <wps:txbx>
                              <w:txbxContent>
                                <w:p w14:paraId="3EF51430">
                                  <w:pPr>
                                    <w:rPr>
                                      <w:rFonts w:hint="default" w:eastAsia="宋体"/>
                                      <w:lang w:val="en-US" w:eastAsia="zh-CN"/>
                                    </w:rPr>
                                  </w:pPr>
                                  <w:r>
                                    <w:rPr>
                                      <w:rFonts w:hint="eastAsia"/>
                                      <w:lang w:val="en-US" w:eastAsia="zh-CN"/>
                                    </w:rPr>
                                    <w:t>回用19.2</w:t>
                                  </w:r>
                                </w:p>
                              </w:txbxContent>
                            </wps:txbx>
                            <wps:bodyPr wrap="square" upright="1"/>
                          </wps:wsp>
                        </a:graphicData>
                      </a:graphic>
                    </wp:anchor>
                  </w:drawing>
                </mc:Choice>
                <mc:Fallback>
                  <w:pict>
                    <v:rect id="矩形 32" o:spid="_x0000_s1026" o:spt="1" style="position:absolute;left:0pt;margin-left:169.9pt;margin-top:164.7pt;height:25.55pt;width:78.05pt;z-index:251687936;mso-width-relative:page;mso-height-relative:page;" filled="f" stroked="f" coordsize="21600,21600" o:gfxdata="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qPAz9wAAAALAQAADwAAAAAAAAABACAAAAAiAAAAZHJzL2Rvd25yZXYueG1sUEsBAhQAFAAAAAgA&#10;h07iQISAxfqvAQAAUAMAAA4AAAAAAAAAAQAgAAAAKwEAAGRycy9lMm9Eb2MueG1sUEsFBgAAAAAG&#10;AAYAWQEAAEwFAAAAAA==&#10;">
                      <v:fill on="f" focussize="0,0"/>
                      <v:stroke on="f"/>
                      <v:imagedata o:title=""/>
                      <o:lock v:ext="edit" aspectratio="f"/>
                      <v:textbox>
                        <w:txbxContent>
                          <w:p w14:paraId="3EF51430">
                            <w:pPr>
                              <w:rPr>
                                <w:rFonts w:hint="default" w:eastAsia="宋体"/>
                                <w:lang w:val="en-US" w:eastAsia="zh-CN"/>
                              </w:rPr>
                            </w:pPr>
                            <w:r>
                              <w:rPr>
                                <w:rFonts w:hint="eastAsia"/>
                                <w:lang w:val="en-US" w:eastAsia="zh-CN"/>
                              </w:rPr>
                              <w:t>回用19.2</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2049780</wp:posOffset>
                      </wp:positionH>
                      <wp:positionV relativeFrom="paragraph">
                        <wp:posOffset>1755140</wp:posOffset>
                      </wp:positionV>
                      <wp:extent cx="165100" cy="107950"/>
                      <wp:effectExtent l="2540" t="0" r="10160" b="6350"/>
                      <wp:wrapNone/>
                      <wp:docPr id="22" name="直线 25"/>
                      <wp:cNvGraphicFramePr/>
                      <a:graphic xmlns:a="http://schemas.openxmlformats.org/drawingml/2006/main">
                        <a:graphicData uri="http://schemas.microsoft.com/office/word/2010/wordprocessingShape">
                          <wps:wsp>
                            <wps:cNvCnPr/>
                            <wps:spPr>
                              <a:xfrm flipV="1">
                                <a:off x="0" y="0"/>
                                <a:ext cx="165100" cy="10795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25" o:spid="_x0000_s1026" o:spt="20" style="position:absolute;left:0pt;flip:y;margin-left:161.4pt;margin-top:138.2pt;height:8.5pt;width:13pt;z-index:251680768;mso-width-relative:page;mso-height-relative:page;" filled="f" stroked="t" coordsize="21600,21600" o:gfxdata="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rLM3NgAAAALAQAADwAAAAAAAAABACAAAAAiAAAAZHJzL2Rvd25yZXYu&#10;eG1sUEsBAhQAFAAAAAgAh07iQFYVNrL7AQAA6wMAAA4AAAAAAAAAAQAgAAAAJwEAAGRycy9lMm9E&#10;b2MueG1sUEsFBgAAAAAGAAYAWQEAAJQFAAAAAA==&#10;">
                      <v:fill on="f" focussize="0,0"/>
                      <v:stroke color="#000000" joinstyle="round" dashstyle="dash"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1567180</wp:posOffset>
                      </wp:positionH>
                      <wp:positionV relativeFrom="paragraph">
                        <wp:posOffset>2421890</wp:posOffset>
                      </wp:positionV>
                      <wp:extent cx="1048385" cy="705485"/>
                      <wp:effectExtent l="4445" t="4445" r="13970" b="13970"/>
                      <wp:wrapNone/>
                      <wp:docPr id="27" name="矩形 30"/>
                      <wp:cNvGraphicFramePr/>
                      <a:graphic xmlns:a="http://schemas.openxmlformats.org/drawingml/2006/main">
                        <a:graphicData uri="http://schemas.microsoft.com/office/word/2010/wordprocessingShape">
                          <wps:wsp>
                            <wps:cNvSpPr/>
                            <wps:spPr>
                              <a:xfrm>
                                <a:off x="0" y="0"/>
                                <a:ext cx="1048385" cy="705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41268C">
                                  <w:pPr>
                                    <w:rPr>
                                      <w:rFonts w:hint="eastAsia"/>
                                      <w:lang w:val="en-US" w:eastAsia="zh-CN"/>
                                    </w:rPr>
                                  </w:pPr>
                                </w:p>
                                <w:p w14:paraId="420EF48F">
                                  <w:pPr>
                                    <w:rPr>
                                      <w:rFonts w:hint="default" w:eastAsia="宋体"/>
                                      <w:lang w:val="en-US" w:eastAsia="zh-CN"/>
                                    </w:rPr>
                                  </w:pPr>
                                  <w:r>
                                    <w:rPr>
                                      <w:rFonts w:hint="eastAsia"/>
                                      <w:lang w:val="en-US" w:eastAsia="zh-CN"/>
                                    </w:rPr>
                                    <w:t>水洗、压滤90</w:t>
                                  </w:r>
                                </w:p>
                              </w:txbxContent>
                            </wps:txbx>
                            <wps:bodyPr vert="horz" wrap="square" anchor="t" anchorCtr="0" upright="1"/>
                          </wps:wsp>
                        </a:graphicData>
                      </a:graphic>
                    </wp:anchor>
                  </w:drawing>
                </mc:Choice>
                <mc:Fallback>
                  <w:pict>
                    <v:rect id="矩形 30" o:spid="_x0000_s1026" o:spt="1" style="position:absolute;left:0pt;margin-left:123.4pt;margin-top:190.7pt;height:55.55pt;width:82.55pt;z-index:251685888;mso-width-relative:page;mso-height-relative:page;" fillcolor="#FFFFFF" filled="t" stroked="t" coordsize="21600,21600" o:gfxdata="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t41&#10;yNoAAAALAQAADwAAAAAAAAABACAAAAAiAAAAZHJzL2Rvd25yZXYueG1sUEsBAhQAFAAAAAgAh07i&#10;QEZrbikgAgAAXgQAAA4AAAAAAAAAAQAgAAAAKQEAAGRycy9lMm9Eb2MueG1sUEsFBgAAAAAGAAYA&#10;WQEAALsFAAAAAA==&#10;">
                      <v:fill on="t" focussize="0,0"/>
                      <v:stroke color="#000000" joinstyle="miter"/>
                      <v:imagedata o:title=""/>
                      <o:lock v:ext="edit" aspectratio="f"/>
                      <v:textbox>
                        <w:txbxContent>
                          <w:p w14:paraId="1041268C">
                            <w:pPr>
                              <w:rPr>
                                <w:rFonts w:hint="eastAsia"/>
                                <w:lang w:val="en-US" w:eastAsia="zh-CN"/>
                              </w:rPr>
                            </w:pPr>
                          </w:p>
                          <w:p w14:paraId="420EF48F">
                            <w:pPr>
                              <w:rPr>
                                <w:rFonts w:hint="default" w:eastAsia="宋体"/>
                                <w:lang w:val="en-US" w:eastAsia="zh-CN"/>
                              </w:rPr>
                            </w:pPr>
                            <w:r>
                              <w:rPr>
                                <w:rFonts w:hint="eastAsia"/>
                                <w:lang w:val="en-US" w:eastAsia="zh-CN"/>
                              </w:rPr>
                              <w:t>水洗、压滤90</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2049780</wp:posOffset>
                      </wp:positionH>
                      <wp:positionV relativeFrom="paragraph">
                        <wp:posOffset>2040890</wp:posOffset>
                      </wp:positionV>
                      <wp:extent cx="400050" cy="635"/>
                      <wp:effectExtent l="0" t="48895" r="6350" b="52070"/>
                      <wp:wrapNone/>
                      <wp:docPr id="26" name="直线 29"/>
                      <wp:cNvGraphicFramePr/>
                      <a:graphic xmlns:a="http://schemas.openxmlformats.org/drawingml/2006/main">
                        <a:graphicData uri="http://schemas.microsoft.com/office/word/2010/wordprocessingShape">
                          <wps:wsp>
                            <wps:cNvCnPr/>
                            <wps:spPr>
                              <a:xfrm flipV="1">
                                <a:off x="0" y="0"/>
                                <a:ext cx="4000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9" o:spid="_x0000_s1026" o:spt="20" style="position:absolute;left:0pt;flip:y;margin-left:161.4pt;margin-top:160.7pt;height:0.05pt;width:31.5pt;z-index:251684864;mso-width-relative:page;mso-height-relative:page;" filled="f" stroked="t" coordsize="21600,21600" o:gfxdata="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7OxL/YAAAACwEAAA8AAAAAAAAAAQAgAAAAIgAAAGRycy9kb3ducmV2LnhtbFBL&#10;AQIUABQAAAAIAIdO4kC9KBeE9gEAAOkDAAAOAAAAAAAAAAEAIAAAACcBAABkcnMvZTJvRG9jLnht&#10;bFBLBQYAAAAABgAGAFkBAACPBQ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2379980</wp:posOffset>
                      </wp:positionH>
                      <wp:positionV relativeFrom="paragraph">
                        <wp:posOffset>2035175</wp:posOffset>
                      </wp:positionV>
                      <wp:extent cx="12700" cy="367030"/>
                      <wp:effectExtent l="46355" t="0" r="42545" b="1270"/>
                      <wp:wrapNone/>
                      <wp:docPr id="25" name="直线 28"/>
                      <wp:cNvGraphicFramePr/>
                      <a:graphic xmlns:a="http://schemas.openxmlformats.org/drawingml/2006/main">
                        <a:graphicData uri="http://schemas.microsoft.com/office/word/2010/wordprocessingShape">
                          <wps:wsp>
                            <wps:cNvCnPr/>
                            <wps:spPr>
                              <a:xfrm flipH="1">
                                <a:off x="0" y="0"/>
                                <a:ext cx="12700" cy="3670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8" o:spid="_x0000_s1026" o:spt="20" style="position:absolute;left:0pt;flip:x;margin-left:187.4pt;margin-top:160.25pt;height:28.9pt;width:1pt;z-index:251683840;mso-width-relative:page;mso-height-relative:page;" filled="f" stroked="t" coordsize="21600,21600" o:gfxdata="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f7shXZAAAACwEAAA8AAAAAAAAAAQAgAAAAIgAAAGRycy9kb3ducmV2&#10;LnhtbFBLAQIUABQAAAAIAIdO4kCGqnZj+wEAAOsDAAAOAAAAAAAAAAEAIAAAACgBAABkcnMvZTJv&#10;RG9jLnhtbFBLBQYAAAAABgAGAFkBAACVBQ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1040130</wp:posOffset>
                      </wp:positionH>
                      <wp:positionV relativeFrom="paragraph">
                        <wp:posOffset>1850390</wp:posOffset>
                      </wp:positionV>
                      <wp:extent cx="1042670" cy="324485"/>
                      <wp:effectExtent l="4445" t="4445" r="6985" b="13970"/>
                      <wp:wrapNone/>
                      <wp:docPr id="24" name="矩形 27"/>
                      <wp:cNvGraphicFramePr/>
                      <a:graphic xmlns:a="http://schemas.openxmlformats.org/drawingml/2006/main">
                        <a:graphicData uri="http://schemas.microsoft.com/office/word/2010/wordprocessingShape">
                          <wps:wsp>
                            <wps:cNvSpPr/>
                            <wps:spPr>
                              <a:xfrm>
                                <a:off x="0" y="0"/>
                                <a:ext cx="1042670" cy="324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45EB75">
                                  <w:pPr>
                                    <w:rPr>
                                      <w:rFonts w:hint="default" w:eastAsia="宋体"/>
                                      <w:lang w:val="en-US" w:eastAsia="zh-CN"/>
                                    </w:rPr>
                                  </w:pPr>
                                  <w:r>
                                    <w:rPr>
                                      <w:rFonts w:hint="eastAsia"/>
                                      <w:lang w:val="en-US" w:eastAsia="zh-CN"/>
                                    </w:rPr>
                                    <w:t>间接冷却水24</w:t>
                                  </w:r>
                                </w:p>
                              </w:txbxContent>
                            </wps:txbx>
                            <wps:bodyPr vert="horz" wrap="square" anchor="t" anchorCtr="0" upright="1"/>
                          </wps:wsp>
                        </a:graphicData>
                      </a:graphic>
                    </wp:anchor>
                  </w:drawing>
                </mc:Choice>
                <mc:Fallback>
                  <w:pict>
                    <v:rect id="矩形 27" o:spid="_x0000_s1026" o:spt="1" style="position:absolute;left:0pt;margin-left:81.9pt;margin-top:145.7pt;height:25.55pt;width:82.1pt;z-index:251682816;mso-width-relative:page;mso-height-relative:page;" fillcolor="#FFFFFF" filled="t" stroked="t" coordsize="21600,21600" o:gfxdata="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88x&#10;b9kAAAALAQAADwAAAAAAAAABACAAAAAiAAAAZHJzL2Rvd25yZXYueG1sUEsBAhQAFAAAAAgAh07i&#10;QD1UlwQhAgAAXgQAAA4AAAAAAAAAAQAgAAAAKAEAAGRycy9lMm9Eb2MueG1sUEsFBgAAAAAGAAYA&#10;WQEAALsFAAAAAA==&#10;">
                      <v:fill on="t" focussize="0,0"/>
                      <v:stroke color="#000000" joinstyle="miter"/>
                      <v:imagedata o:title=""/>
                      <o:lock v:ext="edit" aspectratio="f"/>
                      <v:textbox>
                        <w:txbxContent>
                          <w:p w14:paraId="1D45EB75">
                            <w:pPr>
                              <w:rPr>
                                <w:rFonts w:hint="default" w:eastAsia="宋体"/>
                                <w:lang w:val="en-US" w:eastAsia="zh-CN"/>
                              </w:rPr>
                            </w:pPr>
                            <w:r>
                              <w:rPr>
                                <w:rFonts w:hint="eastAsia"/>
                                <w:lang w:val="en-US" w:eastAsia="zh-CN"/>
                              </w:rPr>
                              <w:t>间接冷却水24</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3053080</wp:posOffset>
                      </wp:positionH>
                      <wp:positionV relativeFrom="paragraph">
                        <wp:posOffset>1247140</wp:posOffset>
                      </wp:positionV>
                      <wp:extent cx="1555750" cy="324485"/>
                      <wp:effectExtent l="0" t="0" r="0" b="0"/>
                      <wp:wrapNone/>
                      <wp:docPr id="17" name="矩形 20"/>
                      <wp:cNvGraphicFramePr/>
                      <a:graphic xmlns:a="http://schemas.openxmlformats.org/drawingml/2006/main">
                        <a:graphicData uri="http://schemas.microsoft.com/office/word/2010/wordprocessingShape">
                          <wps:wsp>
                            <wps:cNvSpPr/>
                            <wps:spPr>
                              <a:xfrm>
                                <a:off x="0" y="0"/>
                                <a:ext cx="1555750" cy="324485"/>
                              </a:xfrm>
                              <a:prstGeom prst="rect">
                                <a:avLst/>
                              </a:prstGeom>
                              <a:noFill/>
                              <a:ln>
                                <a:noFill/>
                              </a:ln>
                            </wps:spPr>
                            <wps:txbx>
                              <w:txbxContent>
                                <w:p w14:paraId="15E63FEA">
                                  <w:pPr>
                                    <w:rPr>
                                      <w:rFonts w:hint="default" w:eastAsia="宋体"/>
                                      <w:lang w:val="en-US" w:eastAsia="zh-CN"/>
                                    </w:rPr>
                                  </w:pPr>
                                  <w:r>
                                    <w:rPr>
                                      <w:rFonts w:hint="eastAsia"/>
                                      <w:lang w:val="en-US" w:eastAsia="zh-CN"/>
                                    </w:rPr>
                                    <w:t>定期排放20.4</w:t>
                                  </w:r>
                                </w:p>
                              </w:txbxContent>
                            </wps:txbx>
                            <wps:bodyPr vert="horz" wrap="square" anchor="t" anchorCtr="0" upright="1"/>
                          </wps:wsp>
                        </a:graphicData>
                      </a:graphic>
                    </wp:anchor>
                  </w:drawing>
                </mc:Choice>
                <mc:Fallback>
                  <w:pict>
                    <v:rect id="矩形 20" o:spid="_x0000_s1026" o:spt="1" style="position:absolute;left:0pt;margin-left:240.4pt;margin-top:98.2pt;height:25.55pt;width:122.5pt;z-index:251675648;mso-width-relative:page;mso-height-relative:page;" filled="f" stroked="f" coordsize="21600,21600" o:gfxdata="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c1eXDcAAAACwEAAA8AAAAAAAAAAQAgAAAAIgAAAGRycy9kb3du&#10;cmV2LnhtbFBLAQIUABQAAAAIAIdO4kCgq8QFwgEAAHYDAAAOAAAAAAAAAAEAIAAAACsBAABkcnMv&#10;ZTJvRG9jLnhtbFBLBQYAAAAABgAGAFkBAABfBQAAAAA=&#10;">
                      <v:fill on="f" focussize="0,0"/>
                      <v:stroke on="f"/>
                      <v:imagedata o:title=""/>
                      <o:lock v:ext="edit" aspectratio="f"/>
                      <v:textbox>
                        <w:txbxContent>
                          <w:p w14:paraId="15E63FEA">
                            <w:pPr>
                              <w:rPr>
                                <w:rFonts w:hint="default" w:eastAsia="宋体"/>
                                <w:lang w:val="en-US" w:eastAsia="zh-CN"/>
                              </w:rPr>
                            </w:pPr>
                            <w:r>
                              <w:rPr>
                                <w:rFonts w:hint="eastAsia"/>
                                <w:lang w:val="en-US" w:eastAsia="zh-CN"/>
                              </w:rPr>
                              <w:t>定期排放20.4</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2672080</wp:posOffset>
                      </wp:positionH>
                      <wp:positionV relativeFrom="paragraph">
                        <wp:posOffset>1374140</wp:posOffset>
                      </wp:positionV>
                      <wp:extent cx="400050" cy="635"/>
                      <wp:effectExtent l="0" t="48895" r="6350" b="52070"/>
                      <wp:wrapNone/>
                      <wp:docPr id="23" name="直线 26"/>
                      <wp:cNvGraphicFramePr/>
                      <a:graphic xmlns:a="http://schemas.openxmlformats.org/drawingml/2006/main">
                        <a:graphicData uri="http://schemas.microsoft.com/office/word/2010/wordprocessingShape">
                          <wps:wsp>
                            <wps:cNvCnPr/>
                            <wps:spPr>
                              <a:xfrm flipV="1">
                                <a:off x="0" y="0"/>
                                <a:ext cx="4000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6" o:spid="_x0000_s1026" o:spt="20" style="position:absolute;left:0pt;flip:y;margin-left:210.4pt;margin-top:108.2pt;height:0.05pt;width:31.5pt;z-index:251681792;mso-width-relative:page;mso-height-relative:page;" filled="f" stroked="t" coordsize="21600,21600" o:gfxdata="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FgfynYAAAACwEAAA8AAAAAAAAAAQAgAAAAIgAAAGRycy9kb3ducmV2LnhtbFBL&#10;AQIUABQAAAAIAIdO4kAcjy5O9gEAAOkDAAAOAAAAAAAAAAEAIAAAACcBAABkcnMvZTJvRG9jLnht&#10;bFBLBQYAAAAABgAGAFkBAACPBQ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1979930</wp:posOffset>
                      </wp:positionH>
                      <wp:positionV relativeFrom="paragraph">
                        <wp:posOffset>1259840</wp:posOffset>
                      </wp:positionV>
                      <wp:extent cx="991235" cy="324485"/>
                      <wp:effectExtent l="0" t="0" r="0" b="0"/>
                      <wp:wrapNone/>
                      <wp:docPr id="21" name="矩形 24"/>
                      <wp:cNvGraphicFramePr/>
                      <a:graphic xmlns:a="http://schemas.openxmlformats.org/drawingml/2006/main">
                        <a:graphicData uri="http://schemas.microsoft.com/office/word/2010/wordprocessingShape">
                          <wps:wsp>
                            <wps:cNvSpPr/>
                            <wps:spPr>
                              <a:xfrm>
                                <a:off x="0" y="0"/>
                                <a:ext cx="991235" cy="324485"/>
                              </a:xfrm>
                              <a:prstGeom prst="rect">
                                <a:avLst/>
                              </a:prstGeom>
                              <a:noFill/>
                              <a:ln>
                                <a:noFill/>
                              </a:ln>
                            </wps:spPr>
                            <wps:txbx>
                              <w:txbxContent>
                                <w:p w14:paraId="729ECF45">
                                  <w:pPr>
                                    <w:rPr>
                                      <w:rFonts w:hint="default" w:eastAsia="宋体"/>
                                      <w:lang w:val="en-US" w:eastAsia="zh-CN"/>
                                    </w:rPr>
                                  </w:pPr>
                                  <w:r>
                                    <w:rPr>
                                      <w:rFonts w:hint="eastAsia"/>
                                      <w:lang w:val="en-US" w:eastAsia="zh-CN"/>
                                    </w:rPr>
                                    <w:t>循环20.4</w:t>
                                  </w:r>
                                </w:p>
                              </w:txbxContent>
                            </wps:txbx>
                            <wps:bodyPr wrap="square" upright="1"/>
                          </wps:wsp>
                        </a:graphicData>
                      </a:graphic>
                    </wp:anchor>
                  </w:drawing>
                </mc:Choice>
                <mc:Fallback>
                  <w:pict>
                    <v:rect id="矩形 24" o:spid="_x0000_s1026" o:spt="1" style="position:absolute;left:0pt;margin-left:155.9pt;margin-top:99.2pt;height:25.55pt;width:78.05pt;z-index:251679744;mso-width-relative:page;mso-height-relative:page;" filled="f" stroked="f" coordsize="21600,21600" o:gfxdata="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Th9GNwAAAALAQAADwAAAAAAAAABACAAAAAiAAAAZHJzL2Rvd25yZXYueG1sUEsBAhQAFAAAAAgA&#10;h07iQIUxNnCvAQAAUAMAAA4AAAAAAAAAAQAgAAAAKwEAAGRycy9lMm9Eb2MueG1sUEsFBgAAAAAG&#10;AAYAWQEAAEwFAAAAAA==&#10;">
                      <v:fill on="f" focussize="0,0"/>
                      <v:stroke on="f"/>
                      <v:imagedata o:title=""/>
                      <o:lock v:ext="edit" aspectratio="f"/>
                      <v:textbox>
                        <w:txbxContent>
                          <w:p w14:paraId="729ECF45">
                            <w:pPr>
                              <w:rPr>
                                <w:rFonts w:hint="default" w:eastAsia="宋体"/>
                                <w:lang w:val="en-US" w:eastAsia="zh-CN"/>
                              </w:rPr>
                            </w:pPr>
                            <w:r>
                              <w:rPr>
                                <w:rFonts w:hint="eastAsia"/>
                                <w:lang w:val="en-US" w:eastAsia="zh-CN"/>
                              </w:rPr>
                              <w:t>循环20.4</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1814195</wp:posOffset>
                      </wp:positionH>
                      <wp:positionV relativeFrom="paragraph">
                        <wp:posOffset>1285875</wp:posOffset>
                      </wp:positionV>
                      <wp:extent cx="13970" cy="291465"/>
                      <wp:effectExtent l="39370" t="0" r="48260" b="635"/>
                      <wp:wrapNone/>
                      <wp:docPr id="20" name="直线 23"/>
                      <wp:cNvGraphicFramePr/>
                      <a:graphic xmlns:a="http://schemas.openxmlformats.org/drawingml/2006/main">
                        <a:graphicData uri="http://schemas.microsoft.com/office/word/2010/wordprocessingShape">
                          <wps:wsp>
                            <wps:cNvCnPr/>
                            <wps:spPr>
                              <a:xfrm flipV="1">
                                <a:off x="0" y="0"/>
                                <a:ext cx="13970" cy="2914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3" o:spid="_x0000_s1026" o:spt="20" style="position:absolute;left:0pt;flip:y;margin-left:142.85pt;margin-top:101.25pt;height:22.95pt;width:1.1pt;z-index:251678720;mso-width-relative:page;mso-height-relative:page;" filled="f" stroked="t" coordsize="21600,21600" o:gfxdata="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9D5KzZAAAACwEAAA8AAAAAAAAAAQAgAAAAIgAAAGRycy9kb3ducmV2Lnht&#10;bFBLAQIUABQAAAAIAIdO4kCwyl69+AEAAOsDAAAOAAAAAAAAAAEAIAAAACgBAABkcnMvZTJvRG9j&#10;LnhtbFBLBQYAAAAABgAGAFkBAACSBQ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1809115</wp:posOffset>
                      </wp:positionH>
                      <wp:positionV relativeFrom="paragraph">
                        <wp:posOffset>1570990</wp:posOffset>
                      </wp:positionV>
                      <wp:extent cx="494030" cy="635"/>
                      <wp:effectExtent l="0" t="48895" r="1270" b="52070"/>
                      <wp:wrapNone/>
                      <wp:docPr id="19" name="直线 22"/>
                      <wp:cNvGraphicFramePr/>
                      <a:graphic xmlns:a="http://schemas.openxmlformats.org/drawingml/2006/main">
                        <a:graphicData uri="http://schemas.microsoft.com/office/word/2010/wordprocessingShape">
                          <wps:wsp>
                            <wps:cNvCnPr/>
                            <wps:spPr>
                              <a:xfrm flipH="1">
                                <a:off x="0" y="0"/>
                                <a:ext cx="49403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2" o:spid="_x0000_s1026" o:spt="20" style="position:absolute;left:0pt;flip:x;margin-left:142.45pt;margin-top:123.7pt;height:0.05pt;width:38.9pt;z-index:251677696;mso-width-relative:page;mso-height-relative:page;" filled="f" stroked="t" coordsize="21600,21600" o:gfxdata="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um+ydkAAAALAQAADwAAAAAAAAABACAAAAAiAAAAZHJzL2Rvd25yZXYueG1s&#10;UEsBAhQAFAAAAAgAh07iQNZzGiD3AQAA6QMAAA4AAAAAAAAAAQAgAAAAKAEAAGRycy9lMm9Eb2Mu&#10;eG1sUEsFBgAAAAAGAAYAWQEAAJEFA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2285365</wp:posOffset>
                      </wp:positionH>
                      <wp:positionV relativeFrom="paragraph">
                        <wp:posOffset>1139825</wp:posOffset>
                      </wp:positionV>
                      <wp:extent cx="12065" cy="431165"/>
                      <wp:effectExtent l="46990" t="0" r="42545" b="635"/>
                      <wp:wrapNone/>
                      <wp:docPr id="18" name="直线 21"/>
                      <wp:cNvGraphicFramePr/>
                      <a:graphic xmlns:a="http://schemas.openxmlformats.org/drawingml/2006/main">
                        <a:graphicData uri="http://schemas.microsoft.com/office/word/2010/wordprocessingShape">
                          <wps:wsp>
                            <wps:cNvCnPr/>
                            <wps:spPr>
                              <a:xfrm flipH="1">
                                <a:off x="0" y="0"/>
                                <a:ext cx="12065" cy="4311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1" o:spid="_x0000_s1026" o:spt="20" style="position:absolute;left:0pt;flip:x;margin-left:179.95pt;margin-top:89.75pt;height:33.95pt;width:0.95pt;z-index:251676672;mso-width-relative:page;mso-height-relative:page;" filled="f" stroked="t" coordsize="21600,21600" o:gfxdata="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Cf9oAAAALAQAADwAAAAAAAAABACAAAAAiAAAAZHJzL2Rvd25yZXYueG1s&#10;UEsBAhQAFAAAAAgAh07iQA7KOIz2AQAA6wMAAA4AAAAAAAAAAQAgAAAAKQEAAGRycy9lMm9Eb2Mu&#10;eG1sUEsFBgAAAAAGAAYAWQEAAJEFA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2125980</wp:posOffset>
                      </wp:positionH>
                      <wp:positionV relativeFrom="paragraph">
                        <wp:posOffset>1151890</wp:posOffset>
                      </wp:positionV>
                      <wp:extent cx="177800" cy="635"/>
                      <wp:effectExtent l="0" t="48895" r="0" b="52070"/>
                      <wp:wrapNone/>
                      <wp:docPr id="16" name="直线 19"/>
                      <wp:cNvGraphicFramePr/>
                      <a:graphic xmlns:a="http://schemas.openxmlformats.org/drawingml/2006/main">
                        <a:graphicData uri="http://schemas.microsoft.com/office/word/2010/wordprocessingShape">
                          <wps:wsp>
                            <wps:cNvCnPr/>
                            <wps:spPr>
                              <a:xfrm flipV="1">
                                <a:off x="0" y="0"/>
                                <a:ext cx="1778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9" o:spid="_x0000_s1026" o:spt="20" style="position:absolute;left:0pt;flip:y;margin-left:167.4pt;margin-top:90.7pt;height:0.05pt;width:14pt;z-index:251674624;mso-width-relative:page;mso-height-relative:page;" filled="f" stroked="t" coordsize="21600,21600" o:gfxdata="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zhF4PYAAAACwEAAA8AAAAAAAAAAQAgAAAAIgAAAGRycy9kb3ducmV2LnhtbFBL&#10;AQIUABQAAAAIAIdO4kDHfrnz9gEAAOkDAAAOAAAAAAAAAAEAIAAAACcBAABkcnMvZTJvRG9jLnht&#10;bFBLBQYAAAAABgAGAFkBAACPBQ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1725930</wp:posOffset>
                      </wp:positionH>
                      <wp:positionV relativeFrom="paragraph">
                        <wp:posOffset>770890</wp:posOffset>
                      </wp:positionV>
                      <wp:extent cx="273050" cy="247650"/>
                      <wp:effectExtent l="3175" t="0" r="3175" b="6350"/>
                      <wp:wrapNone/>
                      <wp:docPr id="15" name="直线 18"/>
                      <wp:cNvGraphicFramePr/>
                      <a:graphic xmlns:a="http://schemas.openxmlformats.org/drawingml/2006/main">
                        <a:graphicData uri="http://schemas.microsoft.com/office/word/2010/wordprocessingShape">
                          <wps:wsp>
                            <wps:cNvCnPr/>
                            <wps:spPr>
                              <a:xfrm flipV="1">
                                <a:off x="0" y="0"/>
                                <a:ext cx="273050" cy="24765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18" o:spid="_x0000_s1026" o:spt="20" style="position:absolute;left:0pt;flip:y;margin-left:135.9pt;margin-top:60.7pt;height:19.5pt;width:21.5pt;z-index:251673600;mso-width-relative:page;mso-height-relative:page;" filled="f" stroked="t" coordsize="21600,21600" o:gfxdata="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RbEXtcAAAALAQAADwAAAAAAAAABACAAAAAiAAAAZHJzL2Rvd25yZXYueG1s&#10;UEsBAhQAFAAAAAgAh07iQKj69PT5AQAA6wMAAA4AAAAAAAAAAQAgAAAAJgEAAGRycy9lMm9Eb2Mu&#10;eG1sUEsFBgAAAAAGAAYAWQEAAJEFAAAAAA==&#10;">
                      <v:fill on="f" focussize="0,0"/>
                      <v:stroke color="#000000" joinstyle="round" dashstyle="dash"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1897380</wp:posOffset>
                      </wp:positionH>
                      <wp:positionV relativeFrom="paragraph">
                        <wp:posOffset>650240</wp:posOffset>
                      </wp:positionV>
                      <wp:extent cx="991235" cy="324485"/>
                      <wp:effectExtent l="0" t="0" r="0" b="0"/>
                      <wp:wrapNone/>
                      <wp:docPr id="14" name="矩形 17"/>
                      <wp:cNvGraphicFramePr/>
                      <a:graphic xmlns:a="http://schemas.openxmlformats.org/drawingml/2006/main">
                        <a:graphicData uri="http://schemas.microsoft.com/office/word/2010/wordprocessingShape">
                          <wps:wsp>
                            <wps:cNvSpPr/>
                            <wps:spPr>
                              <a:xfrm>
                                <a:off x="0" y="0"/>
                                <a:ext cx="991235" cy="324485"/>
                              </a:xfrm>
                              <a:prstGeom prst="rect">
                                <a:avLst/>
                              </a:prstGeom>
                              <a:noFill/>
                              <a:ln>
                                <a:noFill/>
                              </a:ln>
                            </wps:spPr>
                            <wps:txbx>
                              <w:txbxContent>
                                <w:p w14:paraId="10AA0408">
                                  <w:pPr>
                                    <w:rPr>
                                      <w:rFonts w:hint="default" w:eastAsia="宋体"/>
                                      <w:lang w:val="en-US" w:eastAsia="zh-CN"/>
                                    </w:rPr>
                                  </w:pPr>
                                  <w:r>
                                    <w:rPr>
                                      <w:rFonts w:hint="eastAsia"/>
                                      <w:lang w:val="en-US" w:eastAsia="zh-CN"/>
                                    </w:rPr>
                                    <w:t>消耗3.6</w:t>
                                  </w:r>
                                </w:p>
                              </w:txbxContent>
                            </wps:txbx>
                            <wps:bodyPr wrap="square" upright="1"/>
                          </wps:wsp>
                        </a:graphicData>
                      </a:graphic>
                    </wp:anchor>
                  </w:drawing>
                </mc:Choice>
                <mc:Fallback>
                  <w:pict>
                    <v:rect id="矩形 17" o:spid="_x0000_s1026" o:spt="1" style="position:absolute;left:0pt;margin-left:149.4pt;margin-top:51.2pt;height:25.55pt;width:78.05pt;z-index:251672576;mso-width-relative:page;mso-height-relative:page;" filled="f" stroked="f" coordsize="21600,21600" o:gfxdata="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WwxQXcAAAACwEAAA8AAAAAAAAAAQAgAAAAIgAAAGRycy9kb3ducmV2LnhtbFBLAQIUABQAAAAI&#10;AIdO4kDfQHNesAEAAFADAAAOAAAAAAAAAAEAIAAAACsBAABkcnMvZTJvRG9jLnhtbFBLBQYAAAAA&#10;BgAGAFkBAABNBQAAAAA=&#10;">
                      <v:fill on="f" focussize="0,0"/>
                      <v:stroke on="f"/>
                      <v:imagedata o:title=""/>
                      <o:lock v:ext="edit" aspectratio="f"/>
                      <v:textbox>
                        <w:txbxContent>
                          <w:p w14:paraId="10AA0408">
                            <w:pPr>
                              <w:rPr>
                                <w:rFonts w:hint="default" w:eastAsia="宋体"/>
                                <w:lang w:val="en-US" w:eastAsia="zh-CN"/>
                              </w:rPr>
                            </w:pPr>
                            <w:r>
                              <w:rPr>
                                <w:rFonts w:hint="eastAsia"/>
                                <w:lang w:val="en-US" w:eastAsia="zh-CN"/>
                              </w:rPr>
                              <w:t>消耗3.6</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970280</wp:posOffset>
                      </wp:positionH>
                      <wp:positionV relativeFrom="paragraph">
                        <wp:posOffset>961390</wp:posOffset>
                      </wp:positionV>
                      <wp:extent cx="1131570" cy="324485"/>
                      <wp:effectExtent l="4445" t="4445" r="6985" b="13970"/>
                      <wp:wrapNone/>
                      <wp:docPr id="13" name="矩形 16"/>
                      <wp:cNvGraphicFramePr/>
                      <a:graphic xmlns:a="http://schemas.openxmlformats.org/drawingml/2006/main">
                        <a:graphicData uri="http://schemas.microsoft.com/office/word/2010/wordprocessingShape">
                          <wps:wsp>
                            <wps:cNvSpPr/>
                            <wps:spPr>
                              <a:xfrm>
                                <a:off x="0" y="0"/>
                                <a:ext cx="1131570" cy="324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0CCFC1">
                                  <w:pPr>
                                    <w:rPr>
                                      <w:rFonts w:hint="default" w:eastAsia="宋体"/>
                                      <w:lang w:val="en-US" w:eastAsia="zh-CN"/>
                                    </w:rPr>
                                  </w:pPr>
                                  <w:r>
                                    <w:rPr>
                                      <w:rFonts w:hint="eastAsia"/>
                                      <w:lang w:val="en-US" w:eastAsia="zh-CN"/>
                                    </w:rPr>
                                    <w:t>碱喷淋用水3.6</w:t>
                                  </w:r>
                                </w:p>
                              </w:txbxContent>
                            </wps:txbx>
                            <wps:bodyPr vert="horz" wrap="square" anchor="t" anchorCtr="0" upright="1"/>
                          </wps:wsp>
                        </a:graphicData>
                      </a:graphic>
                    </wp:anchor>
                  </w:drawing>
                </mc:Choice>
                <mc:Fallback>
                  <w:pict>
                    <v:rect id="矩形 16" o:spid="_x0000_s1026" o:spt="1" style="position:absolute;left:0pt;margin-left:76.4pt;margin-top:75.7pt;height:25.55pt;width:89.1pt;z-index:251671552;mso-width-relative:page;mso-height-relative:page;" fillcolor="#FFFFFF" filled="t" stroked="t" coordsize="21600,21600" o:gfxdata="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VocJm&#10;2AAAAAsBAAAPAAAAAAAAAAEAIAAAACIAAABkcnMvZG93bnJldi54bWxQSwECFAAUAAAACACHTuJA&#10;3Z/jwSECAABeBAAADgAAAAAAAAABACAAAAAnAQAAZHJzL2Uyb0RvYy54bWxQSwUGAAAAAAYABgBZ&#10;AQAAugUAAAAA&#10;">
                      <v:fill on="t" focussize="0,0"/>
                      <v:stroke color="#000000" joinstyle="miter"/>
                      <v:imagedata o:title=""/>
                      <o:lock v:ext="edit" aspectratio="f"/>
                      <v:textbox>
                        <w:txbxContent>
                          <w:p w14:paraId="110CCFC1">
                            <w:pPr>
                              <w:rPr>
                                <w:rFonts w:hint="default" w:eastAsia="宋体"/>
                                <w:lang w:val="en-US" w:eastAsia="zh-CN"/>
                              </w:rPr>
                            </w:pPr>
                            <w:r>
                              <w:rPr>
                                <w:rFonts w:hint="eastAsia"/>
                                <w:lang w:val="en-US" w:eastAsia="zh-CN"/>
                              </w:rPr>
                              <w:t>碱喷淋用水3.6</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2291080</wp:posOffset>
                      </wp:positionH>
                      <wp:positionV relativeFrom="paragraph">
                        <wp:posOffset>415290</wp:posOffset>
                      </wp:positionV>
                      <wp:extent cx="991235" cy="324485"/>
                      <wp:effectExtent l="0" t="0" r="0" b="0"/>
                      <wp:wrapNone/>
                      <wp:docPr id="12" name="矩形 15"/>
                      <wp:cNvGraphicFramePr/>
                      <a:graphic xmlns:a="http://schemas.openxmlformats.org/drawingml/2006/main">
                        <a:graphicData uri="http://schemas.microsoft.com/office/word/2010/wordprocessingShape">
                          <wps:wsp>
                            <wps:cNvSpPr/>
                            <wps:spPr>
                              <a:xfrm>
                                <a:off x="0" y="0"/>
                                <a:ext cx="991235" cy="324485"/>
                              </a:xfrm>
                              <a:prstGeom prst="rect">
                                <a:avLst/>
                              </a:prstGeom>
                              <a:noFill/>
                              <a:ln>
                                <a:noFill/>
                              </a:ln>
                            </wps:spPr>
                            <wps:txbx>
                              <w:txbxContent>
                                <w:p w14:paraId="6431BBCF">
                                  <w:pPr>
                                    <w:rPr>
                                      <w:rFonts w:hint="default" w:eastAsia="宋体"/>
                                      <w:lang w:val="en-US" w:eastAsia="zh-CN"/>
                                    </w:rPr>
                                  </w:pPr>
                                  <w:r>
                                    <w:rPr>
                                      <w:rFonts w:hint="eastAsia"/>
                                      <w:lang w:val="en-US" w:eastAsia="zh-CN"/>
                                    </w:rPr>
                                    <w:t>排放1.955</w:t>
                                  </w:r>
                                </w:p>
                              </w:txbxContent>
                            </wps:txbx>
                            <wps:bodyPr wrap="square" upright="1"/>
                          </wps:wsp>
                        </a:graphicData>
                      </a:graphic>
                    </wp:anchor>
                  </w:drawing>
                </mc:Choice>
                <mc:Fallback>
                  <w:pict>
                    <v:rect id="矩形 15" o:spid="_x0000_s1026" o:spt="1" style="position:absolute;left:0pt;margin-left:180.4pt;margin-top:32.7pt;height:25.55pt;width:78.05pt;z-index:251670528;mso-width-relative:page;mso-height-relative:page;" filled="f" stroked="f" coordsize="21600,21600" o:gfxdata="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u25nj&#10;2gAAAAoBAAAPAAAAAAAAAAEAIAAAACIAAABkcnMvZG93bnJldi54bWxQSwECFAAUAAAACACHTuJA&#10;XBWDZ60BAABQAwAADgAAAAAAAAABACAAAAApAQAAZHJzL2Uyb0RvYy54bWxQSwUGAAAAAAYABgBZ&#10;AQAASAUAAAAA&#10;">
                      <v:fill on="f" focussize="0,0"/>
                      <v:stroke on="f"/>
                      <v:imagedata o:title=""/>
                      <o:lock v:ext="edit" aspectratio="f"/>
                      <v:textbox>
                        <w:txbxContent>
                          <w:p w14:paraId="6431BBCF">
                            <w:pPr>
                              <w:rPr>
                                <w:rFonts w:hint="default" w:eastAsia="宋体"/>
                                <w:lang w:val="en-US" w:eastAsia="zh-CN"/>
                              </w:rPr>
                            </w:pPr>
                            <w:r>
                              <w:rPr>
                                <w:rFonts w:hint="eastAsia"/>
                                <w:lang w:val="en-US" w:eastAsia="zh-CN"/>
                              </w:rPr>
                              <w:t>排放1.955</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1979930</wp:posOffset>
                      </wp:positionH>
                      <wp:positionV relativeFrom="paragraph">
                        <wp:posOffset>574040</wp:posOffset>
                      </wp:positionV>
                      <wp:extent cx="400050" cy="635"/>
                      <wp:effectExtent l="0" t="48895" r="6350" b="52070"/>
                      <wp:wrapNone/>
                      <wp:docPr id="11" name="直线 14"/>
                      <wp:cNvGraphicFramePr/>
                      <a:graphic xmlns:a="http://schemas.openxmlformats.org/drawingml/2006/main">
                        <a:graphicData uri="http://schemas.microsoft.com/office/word/2010/wordprocessingShape">
                          <wps:wsp>
                            <wps:cNvCnPr/>
                            <wps:spPr>
                              <a:xfrm flipV="1">
                                <a:off x="0" y="0"/>
                                <a:ext cx="4000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4" o:spid="_x0000_s1026" o:spt="20" style="position:absolute;left:0pt;flip:y;margin-left:155.9pt;margin-top:45.2pt;height:0.05pt;width:31.5pt;z-index:251669504;mso-width-relative:page;mso-height-relative:page;" filled="f" stroked="t" coordsize="21600,21600" o:gfxdata="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1XpcNcAAAAJAQAADwAAAAAAAAABACAAAAAiAAAAZHJzL2Rvd25yZXYueG1sUEsB&#10;AhQAFAAAAAgAh07iQDj11r72AQAA6QMAAA4AAAAAAAAAAQAgAAAAJgEAAGRycy9lMm9Eb2MueG1s&#10;UEsFBgAAAAAGAAYAWQEAAI4FA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1808480</wp:posOffset>
                      </wp:positionH>
                      <wp:positionV relativeFrom="paragraph">
                        <wp:posOffset>135890</wp:posOffset>
                      </wp:positionV>
                      <wp:extent cx="273050" cy="247650"/>
                      <wp:effectExtent l="3175" t="0" r="3175" b="6350"/>
                      <wp:wrapNone/>
                      <wp:docPr id="9" name="直线 12"/>
                      <wp:cNvGraphicFramePr/>
                      <a:graphic xmlns:a="http://schemas.openxmlformats.org/drawingml/2006/main">
                        <a:graphicData uri="http://schemas.microsoft.com/office/word/2010/wordprocessingShape">
                          <wps:wsp>
                            <wps:cNvCnPr/>
                            <wps:spPr>
                              <a:xfrm flipV="1">
                                <a:off x="0" y="0"/>
                                <a:ext cx="273050" cy="24765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12" o:spid="_x0000_s1026" o:spt="20" style="position:absolute;left:0pt;flip:y;margin-left:142.4pt;margin-top:10.7pt;height:19.5pt;width:21.5pt;z-index:251667456;mso-width-relative:page;mso-height-relative:page;" filled="f" stroked="t" coordsize="21600,21600" o:gfxdata="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wnzG1wAAAAkBAAAPAAAAAAAAAAEAIAAAACIAAABkcnMvZG93bnJldi54bWxQ&#10;SwECFAAUAAAACACHTuJAM4GZZPgBAADqAwAADgAAAAAAAAABACAAAAAmAQAAZHJzL2Uyb0RvYy54&#10;bWxQSwUGAAAAAAYABgBZAQAAkAUAAAAA&#10;">
                      <v:fill on="f" focussize="0,0"/>
                      <v:stroke color="#000000" joinstyle="round" dashstyle="dash"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1008380</wp:posOffset>
                      </wp:positionH>
                      <wp:positionV relativeFrom="paragraph">
                        <wp:posOffset>402590</wp:posOffset>
                      </wp:positionV>
                      <wp:extent cx="991235" cy="324485"/>
                      <wp:effectExtent l="4445" t="4445" r="7620" b="13970"/>
                      <wp:wrapNone/>
                      <wp:docPr id="8" name="矩形 11"/>
                      <wp:cNvGraphicFramePr/>
                      <a:graphic xmlns:a="http://schemas.openxmlformats.org/drawingml/2006/main">
                        <a:graphicData uri="http://schemas.microsoft.com/office/word/2010/wordprocessingShape">
                          <wps:wsp>
                            <wps:cNvSpPr/>
                            <wps:spPr>
                              <a:xfrm>
                                <a:off x="0" y="0"/>
                                <a:ext cx="991235" cy="324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1FB928">
                                  <w:pPr>
                                    <w:rPr>
                                      <w:rFonts w:hint="default" w:eastAsia="宋体"/>
                                      <w:lang w:val="en-US" w:eastAsia="zh-CN"/>
                                    </w:rPr>
                                  </w:pPr>
                                  <w:r>
                                    <w:rPr>
                                      <w:rFonts w:hint="eastAsia"/>
                                      <w:lang w:val="en-US" w:eastAsia="zh-CN"/>
                                    </w:rPr>
                                    <w:t>生活用水2.3</w:t>
                                  </w:r>
                                </w:p>
                              </w:txbxContent>
                            </wps:txbx>
                            <wps:bodyPr vert="horz" wrap="square" anchor="t" anchorCtr="0" upright="1"/>
                          </wps:wsp>
                        </a:graphicData>
                      </a:graphic>
                    </wp:anchor>
                  </w:drawing>
                </mc:Choice>
                <mc:Fallback>
                  <w:pict>
                    <v:rect id="矩形 11" o:spid="_x0000_s1026" o:spt="1" style="position:absolute;left:0pt;margin-left:79.4pt;margin-top:31.7pt;height:25.55pt;width:78.05pt;z-index:251666432;mso-width-relative:page;mso-height-relative:page;" fillcolor="#FFFFFF" filled="t" stroked="t" coordsize="21600,21600" o:gfxdata="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rMt2AAA&#10;AAoBAAAPAAAAAAAAAAEAIAAAACIAAABkcnMvZG93bnJldi54bWxQSwECFAAUAAAACACHTuJA0FmT&#10;5R4CAABcBAAADgAAAAAAAAABACAAAAAnAQAAZHJzL2Uyb0RvYy54bWxQSwUGAAAAAAYABgBZAQAA&#10;twUAAAAA&#10;">
                      <v:fill on="t" focussize="0,0"/>
                      <v:stroke color="#000000" joinstyle="miter"/>
                      <v:imagedata o:title=""/>
                      <o:lock v:ext="edit" aspectratio="f"/>
                      <v:textbox>
                        <w:txbxContent>
                          <w:p w14:paraId="211FB928">
                            <w:pPr>
                              <w:rPr>
                                <w:rFonts w:hint="default" w:eastAsia="宋体"/>
                                <w:lang w:val="en-US" w:eastAsia="zh-CN"/>
                              </w:rPr>
                            </w:pPr>
                            <w:r>
                              <w:rPr>
                                <w:rFonts w:hint="eastAsia"/>
                                <w:lang w:val="en-US" w:eastAsia="zh-CN"/>
                              </w:rPr>
                              <w:t>生活用水2.3</w:t>
                            </w:r>
                          </w:p>
                        </w:txbxContent>
                      </v:textbox>
                    </v:rect>
                  </w:pict>
                </mc:Fallback>
              </mc:AlternateContent>
            </w:r>
          </w:p>
          <w:p w14:paraId="234FDE6F">
            <w:pPr>
              <w:pStyle w:val="52"/>
              <w:spacing w:before="32" w:line="228" w:lineRule="auto"/>
              <w:ind w:left="2642"/>
              <w:outlineLvl w:val="2"/>
              <w:rPr>
                <w:b/>
                <w:bCs/>
                <w:color w:val="000000" w:themeColor="text1"/>
                <w:spacing w:val="4"/>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3320415</wp:posOffset>
                      </wp:positionH>
                      <wp:positionV relativeFrom="paragraph">
                        <wp:posOffset>129540</wp:posOffset>
                      </wp:positionV>
                      <wp:extent cx="5715" cy="273050"/>
                      <wp:effectExtent l="47625" t="0" r="48260" b="6350"/>
                      <wp:wrapNone/>
                      <wp:docPr id="37" name="直线 40"/>
                      <wp:cNvGraphicFramePr/>
                      <a:graphic xmlns:a="http://schemas.openxmlformats.org/drawingml/2006/main">
                        <a:graphicData uri="http://schemas.microsoft.com/office/word/2010/wordprocessingShape">
                          <wps:wsp>
                            <wps:cNvCnPr/>
                            <wps:spPr>
                              <a:xfrm flipH="1">
                                <a:off x="0" y="0"/>
                                <a:ext cx="5715" cy="273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0" o:spid="_x0000_s1026" o:spt="20" style="position:absolute;left:0pt;flip:x;margin-left:261.45pt;margin-top:10.2pt;height:21.5pt;width:0.45pt;z-index:251696128;mso-width-relative:page;mso-height-relative:page;" filled="f" stroked="t" coordsize="21600,21600" o:gfxdata="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4wj7YAAAACQEAAA8AAAAAAAAAAQAgAAAAIgAAAGRycy9kb3ducmV2Lnht&#10;bFBLAQIUABQAAAAIAIdO4kBMlzaw+QEAAOoDAAAOAAAAAAAAAAEAIAAAACcBAABkcnMvZTJvRG9j&#10;LnhtbFBLBQYAAAAABgAGAFkBAACSBQ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2614930</wp:posOffset>
                      </wp:positionH>
                      <wp:positionV relativeFrom="paragraph">
                        <wp:posOffset>85090</wp:posOffset>
                      </wp:positionV>
                      <wp:extent cx="349250" cy="635"/>
                      <wp:effectExtent l="0" t="48895" r="6350" b="52070"/>
                      <wp:wrapNone/>
                      <wp:docPr id="38" name="直线 42"/>
                      <wp:cNvGraphicFramePr/>
                      <a:graphic xmlns:a="http://schemas.openxmlformats.org/drawingml/2006/main">
                        <a:graphicData uri="http://schemas.microsoft.com/office/word/2010/wordprocessingShape">
                          <wps:wsp>
                            <wps:cNvCnPr/>
                            <wps:spPr>
                              <a:xfrm flipV="1">
                                <a:off x="0" y="0"/>
                                <a:ext cx="3492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2" o:spid="_x0000_s1026" o:spt="20" style="position:absolute;left:0pt;flip:y;margin-left:205.9pt;margin-top:6.7pt;height:0.05pt;width:27.5pt;z-index:251697152;mso-width-relative:page;mso-height-relative:page;" filled="f" stroked="t" coordsize="21600,21600" o:gfxdata="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WjiB9YAAAAJAQAADwAAAAAAAAABACAAAAAiAAAAZHJzL2Rvd25yZXYueG1sUEsB&#10;AhQAFAAAAAgAh07iQA72YQf3AQAA6QMAAA4AAAAAAAAAAQAgAAAAJQEAAGRycy9lMm9Eb2MueG1s&#10;UEsFBgAAAAAGAAYAWQEAAI4FAAAAAA==&#10;">
                      <v:fill on="f" focussize="0,0"/>
                      <v:stroke color="#000000" joinstyle="round" endarrow="open"/>
                      <v:imagedata o:title=""/>
                      <o:lock v:ext="edit" aspectratio="f"/>
                    </v:line>
                  </w:pict>
                </mc:Fallback>
              </mc:AlternateContent>
            </w:r>
          </w:p>
          <w:p w14:paraId="16E765D1">
            <w:pPr>
              <w:pStyle w:val="52"/>
              <w:spacing w:before="32" w:line="228" w:lineRule="auto"/>
              <w:ind w:left="2642"/>
              <w:outlineLvl w:val="2"/>
              <w:rPr>
                <w:b/>
                <w:bCs/>
                <w:color w:val="000000" w:themeColor="text1"/>
                <w:spacing w:val="4"/>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2195195</wp:posOffset>
                      </wp:positionH>
                      <wp:positionV relativeFrom="paragraph">
                        <wp:posOffset>156845</wp:posOffset>
                      </wp:positionV>
                      <wp:extent cx="13970" cy="196215"/>
                      <wp:effectExtent l="41275" t="0" r="46355" b="6985"/>
                      <wp:wrapNone/>
                      <wp:docPr id="35" name="直线 38"/>
                      <wp:cNvGraphicFramePr/>
                      <a:graphic xmlns:a="http://schemas.openxmlformats.org/drawingml/2006/main">
                        <a:graphicData uri="http://schemas.microsoft.com/office/word/2010/wordprocessingShape">
                          <wps:wsp>
                            <wps:cNvCnPr/>
                            <wps:spPr>
                              <a:xfrm flipV="1">
                                <a:off x="0" y="0"/>
                                <a:ext cx="13970" cy="19621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8" o:spid="_x0000_s1026" o:spt="20" style="position:absolute;left:0pt;flip:y;margin-left:172.85pt;margin-top:12.35pt;height:15.45pt;width:1.1pt;z-index:251694080;mso-width-relative:page;mso-height-relative:page;" filled="f" stroked="t" coordsize="21600,21600" o:gfxdata="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muMS2gAAAAkBAAAPAAAAAAAAAAEAIAAAACIAAABkcnMvZG93bnJldi54&#10;bWxQSwECFAAUAAAACACHTuJAqip84vgBAADrAwAADgAAAAAAAAABACAAAAApAQAAZHJzL2Uyb0Rv&#10;Yy54bWxQSwUGAAAAAAYABgBZAQAAkwUAAAAA&#10;">
                      <v:fill on="f" focussize="0,0"/>
                      <v:stroke color="#000000" joinstyle="round" endarrow="open"/>
                      <v:imagedata o:title=""/>
                      <o:lock v:ext="edit" aspectratio="f"/>
                    </v:line>
                  </w:pict>
                </mc:Fallback>
              </mc:AlternateContent>
            </w:r>
          </w:p>
          <w:p w14:paraId="4808FE77">
            <w:pPr>
              <w:pStyle w:val="52"/>
              <w:spacing w:before="32" w:line="228" w:lineRule="auto"/>
              <w:ind w:left="2642"/>
              <w:outlineLvl w:val="2"/>
              <w:rPr>
                <w:b/>
                <w:bCs/>
                <w:color w:val="000000" w:themeColor="text1"/>
                <w:spacing w:val="4"/>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3790315</wp:posOffset>
                      </wp:positionH>
                      <wp:positionV relativeFrom="paragraph">
                        <wp:posOffset>24130</wp:posOffset>
                      </wp:positionV>
                      <wp:extent cx="400050" cy="241300"/>
                      <wp:effectExtent l="0" t="0" r="0" b="0"/>
                      <wp:wrapNone/>
                      <wp:docPr id="65" name="矩形 55"/>
                      <wp:cNvGraphicFramePr/>
                      <a:graphic xmlns:a="http://schemas.openxmlformats.org/drawingml/2006/main">
                        <a:graphicData uri="http://schemas.microsoft.com/office/word/2010/wordprocessingShape">
                          <wps:wsp>
                            <wps:cNvSpPr/>
                            <wps:spPr>
                              <a:xfrm>
                                <a:off x="0" y="0"/>
                                <a:ext cx="400050" cy="241300"/>
                              </a:xfrm>
                              <a:prstGeom prst="rect">
                                <a:avLst/>
                              </a:prstGeom>
                              <a:noFill/>
                              <a:ln>
                                <a:noFill/>
                              </a:ln>
                            </wps:spPr>
                            <wps:txbx>
                              <w:txbxContent>
                                <w:p w14:paraId="48EF7241">
                                  <w:pPr>
                                    <w:rPr>
                                      <w:rFonts w:hint="default" w:eastAsia="宋体"/>
                                      <w:lang w:val="en-US" w:eastAsia="zh-CN"/>
                                    </w:rPr>
                                  </w:pPr>
                                  <w:r>
                                    <w:rPr>
                                      <w:rFonts w:hint="eastAsia"/>
                                      <w:lang w:val="en-US" w:eastAsia="zh-CN"/>
                                    </w:rPr>
                                    <w:t>6.7</w:t>
                                  </w:r>
                                </w:p>
                              </w:txbxContent>
                            </wps:txbx>
                            <wps:bodyPr vert="horz" wrap="square" anchor="t" anchorCtr="0" upright="1"/>
                          </wps:wsp>
                        </a:graphicData>
                      </a:graphic>
                    </wp:anchor>
                  </w:drawing>
                </mc:Choice>
                <mc:Fallback>
                  <w:pict>
                    <v:rect id="矩形 55" o:spid="_x0000_s1026" o:spt="1" style="position:absolute;left:0pt;margin-left:298.45pt;margin-top:1.9pt;height:19pt;width:31.5pt;z-index:251716608;mso-width-relative:page;mso-height-relative:page;" filled="f" stroked="f" coordsize="21600,21600" o:gfxdata="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cWL+dkAAAAIAQAADwAAAAAAAAABACAAAAAiAAAAZHJzL2Rvd25yZXYu&#10;eG1sUEsBAhQAFAAAAAgAh07iQBIPCqXBAQAAdQMAAA4AAAAAAAAAAQAgAAAAKAEAAGRycy9lMm9E&#10;b2MueG1sUEsFBgAAAAAGAAYAWQEAAFsFAAAAAA==&#10;">
                      <v:fill on="f" focussize="0,0"/>
                      <v:stroke on="f"/>
                      <v:imagedata o:title=""/>
                      <o:lock v:ext="edit" aspectratio="f"/>
                      <v:textbox>
                        <w:txbxContent>
                          <w:p w14:paraId="48EF7241">
                            <w:pPr>
                              <w:rPr>
                                <w:rFonts w:hint="default" w:eastAsia="宋体"/>
                                <w:lang w:val="en-US" w:eastAsia="zh-CN"/>
                              </w:rPr>
                            </w:pPr>
                            <w:r>
                              <w:rPr>
                                <w:rFonts w:hint="eastAsia"/>
                                <w:lang w:val="en-US" w:eastAsia="zh-CN"/>
                              </w:rPr>
                              <w:t>6.7</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4659630</wp:posOffset>
                      </wp:positionH>
                      <wp:positionV relativeFrom="paragraph">
                        <wp:posOffset>74930</wp:posOffset>
                      </wp:positionV>
                      <wp:extent cx="972185" cy="533400"/>
                      <wp:effectExtent l="0" t="0" r="0" b="0"/>
                      <wp:wrapNone/>
                      <wp:docPr id="47" name="矩形 54"/>
                      <wp:cNvGraphicFramePr/>
                      <a:graphic xmlns:a="http://schemas.openxmlformats.org/drawingml/2006/main">
                        <a:graphicData uri="http://schemas.microsoft.com/office/word/2010/wordprocessingShape">
                          <wps:wsp>
                            <wps:cNvSpPr/>
                            <wps:spPr>
                              <a:xfrm>
                                <a:off x="0" y="0"/>
                                <a:ext cx="972185" cy="533400"/>
                              </a:xfrm>
                              <a:prstGeom prst="rect">
                                <a:avLst/>
                              </a:prstGeom>
                              <a:noFill/>
                              <a:ln>
                                <a:noFill/>
                              </a:ln>
                            </wps:spPr>
                            <wps:txbx>
                              <w:txbxContent>
                                <w:p w14:paraId="47EB248B">
                                  <w:pPr>
                                    <w:rPr>
                                      <w:rFonts w:hint="default" w:eastAsia="宋体"/>
                                      <w:sz w:val="21"/>
                                      <w:szCs w:val="21"/>
                                      <w:lang w:val="en-US" w:eastAsia="zh-CN"/>
                                    </w:rPr>
                                  </w:pPr>
                                  <w:r>
                                    <w:rPr>
                                      <w:rFonts w:hint="eastAsia" w:eastAsia="宋体"/>
                                      <w:sz w:val="21"/>
                                      <w:szCs w:val="21"/>
                                      <w:lang w:val="en-US" w:eastAsia="zh-CN"/>
                                    </w:rPr>
                                    <w:t>四平污水处理厂</w:t>
                                  </w:r>
                                  <w:r>
                                    <w:rPr>
                                      <w:rFonts w:hint="eastAsia"/>
                                      <w:sz w:val="21"/>
                                      <w:szCs w:val="21"/>
                                      <w:lang w:val="en-US" w:eastAsia="zh-CN"/>
                                    </w:rPr>
                                    <w:t>29.055</w:t>
                                  </w:r>
                                </w:p>
                              </w:txbxContent>
                            </wps:txbx>
                            <wps:bodyPr vert="horz" wrap="square" anchor="t" anchorCtr="0" upright="1"/>
                          </wps:wsp>
                        </a:graphicData>
                      </a:graphic>
                    </wp:anchor>
                  </w:drawing>
                </mc:Choice>
                <mc:Fallback>
                  <w:pict>
                    <v:rect id="矩形 54" o:spid="_x0000_s1026" o:spt="1" style="position:absolute;left:0pt;margin-left:366.9pt;margin-top:5.9pt;height:42pt;width:76.55pt;z-index:251705344;mso-width-relative:page;mso-height-relative:page;" filled="f" stroked="f" coordsize="21600,21600" o:gfxdata="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lWIG9oAAAAJAQAADwAAAAAAAAABACAAAAAiAAAAZHJzL2Rvd25y&#10;ZXYueG1sUEsBAhQAFAAAAAgAh07iQCC/WKbDAQAAdQMAAA4AAAAAAAAAAQAgAAAAKQEAAGRycy9l&#10;Mm9Eb2MueG1sUEsFBgAAAAAGAAYAWQEAAF4FAAAAAA==&#10;">
                      <v:fill on="f" focussize="0,0"/>
                      <v:stroke on="f"/>
                      <v:imagedata o:title=""/>
                      <o:lock v:ext="edit" aspectratio="f"/>
                      <v:textbox>
                        <w:txbxContent>
                          <w:p w14:paraId="47EB248B">
                            <w:pPr>
                              <w:rPr>
                                <w:rFonts w:hint="default" w:eastAsia="宋体"/>
                                <w:sz w:val="21"/>
                                <w:szCs w:val="21"/>
                                <w:lang w:val="en-US" w:eastAsia="zh-CN"/>
                              </w:rPr>
                            </w:pPr>
                            <w:r>
                              <w:rPr>
                                <w:rFonts w:hint="eastAsia" w:eastAsia="宋体"/>
                                <w:sz w:val="21"/>
                                <w:szCs w:val="21"/>
                                <w:lang w:val="en-US" w:eastAsia="zh-CN"/>
                              </w:rPr>
                              <w:t>四平污水处理厂</w:t>
                            </w:r>
                            <w:r>
                              <w:rPr>
                                <w:rFonts w:hint="eastAsia"/>
                                <w:sz w:val="21"/>
                                <w:szCs w:val="21"/>
                                <w:lang w:val="en-US" w:eastAsia="zh-CN"/>
                              </w:rPr>
                              <w:t>29.055</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4246880</wp:posOffset>
                      </wp:positionH>
                      <wp:positionV relativeFrom="paragraph">
                        <wp:posOffset>5080</wp:posOffset>
                      </wp:positionV>
                      <wp:extent cx="685800" cy="229235"/>
                      <wp:effectExtent l="0" t="0" r="0" b="0"/>
                      <wp:wrapNone/>
                      <wp:docPr id="48" name="矩形 55"/>
                      <wp:cNvGraphicFramePr/>
                      <a:graphic xmlns:a="http://schemas.openxmlformats.org/drawingml/2006/main">
                        <a:graphicData uri="http://schemas.microsoft.com/office/word/2010/wordprocessingShape">
                          <wps:wsp>
                            <wps:cNvSpPr/>
                            <wps:spPr>
                              <a:xfrm>
                                <a:off x="0" y="0"/>
                                <a:ext cx="685800" cy="229235"/>
                              </a:xfrm>
                              <a:prstGeom prst="rect">
                                <a:avLst/>
                              </a:prstGeom>
                              <a:noFill/>
                              <a:ln>
                                <a:noFill/>
                              </a:ln>
                            </wps:spPr>
                            <wps:txbx>
                              <w:txbxContent>
                                <w:p w14:paraId="50157BF0">
                                  <w:pPr>
                                    <w:rPr>
                                      <w:rFonts w:hint="default" w:eastAsia="宋体"/>
                                      <w:lang w:val="en-US" w:eastAsia="zh-CN"/>
                                    </w:rPr>
                                  </w:pPr>
                                  <w:r>
                                    <w:rPr>
                                      <w:rFonts w:hint="eastAsia"/>
                                      <w:lang w:val="en-US" w:eastAsia="zh-CN"/>
                                    </w:rPr>
                                    <w:t>27.1</w:t>
                                  </w:r>
                                </w:p>
                              </w:txbxContent>
                            </wps:txbx>
                            <wps:bodyPr vert="horz" wrap="square" anchor="t" anchorCtr="0" upright="1"/>
                          </wps:wsp>
                        </a:graphicData>
                      </a:graphic>
                    </wp:anchor>
                  </w:drawing>
                </mc:Choice>
                <mc:Fallback>
                  <w:pict>
                    <v:rect id="矩形 55" o:spid="_x0000_s1026" o:spt="1" style="position:absolute;left:0pt;margin-left:334.4pt;margin-top:0.4pt;height:18.05pt;width:54pt;z-index:251706368;mso-width-relative:page;mso-height-relative:page;" filled="f" stroked="f" coordsize="21600,21600" o:gfxdata="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lfxrXXAAAABwEAAA8AAAAAAAAAAQAgAAAAIgAAAGRycy9kb3ducmV2Lnht&#10;bFBLAQIUABQAAAAIAIdO4kDSFuhLwQEAAHUDAAAOAAAAAAAAAAEAIAAAACYBAABkcnMvZTJvRG9j&#10;LnhtbFBLBQYAAAAABgAGAFkBAABZBQAAAAA=&#10;">
                      <v:fill on="f" focussize="0,0"/>
                      <v:stroke on="f"/>
                      <v:imagedata o:title=""/>
                      <o:lock v:ext="edit" aspectratio="f"/>
                      <v:textbox>
                        <w:txbxContent>
                          <w:p w14:paraId="50157BF0">
                            <w:pPr>
                              <w:rPr>
                                <w:rFonts w:hint="default" w:eastAsia="宋体"/>
                                <w:lang w:val="en-US" w:eastAsia="zh-CN"/>
                              </w:rPr>
                            </w:pPr>
                            <w:r>
                              <w:rPr>
                                <w:rFonts w:hint="eastAsia"/>
                                <w:lang w:val="en-US" w:eastAsia="zh-CN"/>
                              </w:rPr>
                              <w:t>27.1</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2951480</wp:posOffset>
                      </wp:positionH>
                      <wp:positionV relativeFrom="paragraph">
                        <wp:posOffset>55880</wp:posOffset>
                      </wp:positionV>
                      <wp:extent cx="922020" cy="324485"/>
                      <wp:effectExtent l="4445" t="4445" r="13335" b="13970"/>
                      <wp:wrapNone/>
                      <wp:docPr id="43" name="矩形 50"/>
                      <wp:cNvGraphicFramePr/>
                      <a:graphic xmlns:a="http://schemas.openxmlformats.org/drawingml/2006/main">
                        <a:graphicData uri="http://schemas.microsoft.com/office/word/2010/wordprocessingShape">
                          <wps:wsp>
                            <wps:cNvSpPr/>
                            <wps:spPr>
                              <a:xfrm>
                                <a:off x="0" y="0"/>
                                <a:ext cx="922020" cy="324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52C19">
                                  <w:pPr>
                                    <w:rPr>
                                      <w:rFonts w:hint="default" w:eastAsia="宋体"/>
                                      <w:lang w:val="en-US" w:eastAsia="zh-CN"/>
                                    </w:rPr>
                                  </w:pPr>
                                  <w:r>
                                    <w:rPr>
                                      <w:rFonts w:hint="eastAsia"/>
                                      <w:lang w:val="en-US" w:eastAsia="zh-CN"/>
                                    </w:rPr>
                                    <w:t>污水处理</w:t>
                                  </w:r>
                                </w:p>
                              </w:txbxContent>
                            </wps:txbx>
                            <wps:bodyPr vert="horz" wrap="square" anchor="t" anchorCtr="0" upright="1"/>
                          </wps:wsp>
                        </a:graphicData>
                      </a:graphic>
                    </wp:anchor>
                  </w:drawing>
                </mc:Choice>
                <mc:Fallback>
                  <w:pict>
                    <v:rect id="矩形 50" o:spid="_x0000_s1026" o:spt="1" style="position:absolute;left:0pt;margin-left:232.4pt;margin-top:4.4pt;height:25.55pt;width:72.6pt;z-index:251702272;mso-width-relative:page;mso-height-relative:page;" fillcolor="#FFFFFF" filled="t" stroked="t" coordsize="21600,21600" o:gfxdata="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Z0L+1wAA&#10;AAgBAAAPAAAAAAAAAAEAIAAAACIAAABkcnMvZG93bnJldi54bWxQSwECFAAUAAAACACHTuJAIQMQ&#10;ZB8CAABdBAAADgAAAAAAAAABACAAAAAmAQAAZHJzL2Uyb0RvYy54bWxQSwUGAAAAAAYABgBZAQAA&#10;twUAAAAA&#10;">
                      <v:fill on="t" focussize="0,0"/>
                      <v:stroke color="#000000" joinstyle="miter"/>
                      <v:imagedata o:title=""/>
                      <o:lock v:ext="edit" aspectratio="f"/>
                      <v:textbox>
                        <w:txbxContent>
                          <w:p w14:paraId="6FB52C19">
                            <w:pPr>
                              <w:rPr>
                                <w:rFonts w:hint="default" w:eastAsia="宋体"/>
                                <w:lang w:val="en-US" w:eastAsia="zh-CN"/>
                              </w:rPr>
                            </w:pPr>
                            <w:r>
                              <w:rPr>
                                <w:rFonts w:hint="eastAsia"/>
                                <w:lang w:val="en-US" w:eastAsia="zh-CN"/>
                              </w:rPr>
                              <w:t>污水处理</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2132330</wp:posOffset>
                      </wp:positionH>
                      <wp:positionV relativeFrom="paragraph">
                        <wp:posOffset>74930</wp:posOffset>
                      </wp:positionV>
                      <wp:extent cx="991235" cy="324485"/>
                      <wp:effectExtent l="0" t="0" r="0" b="0"/>
                      <wp:wrapNone/>
                      <wp:docPr id="34" name="矩形 37"/>
                      <wp:cNvGraphicFramePr/>
                      <a:graphic xmlns:a="http://schemas.openxmlformats.org/drawingml/2006/main">
                        <a:graphicData uri="http://schemas.microsoft.com/office/word/2010/wordprocessingShape">
                          <wps:wsp>
                            <wps:cNvSpPr/>
                            <wps:spPr>
                              <a:xfrm>
                                <a:off x="0" y="0"/>
                                <a:ext cx="991235" cy="324485"/>
                              </a:xfrm>
                              <a:prstGeom prst="rect">
                                <a:avLst/>
                              </a:prstGeom>
                              <a:noFill/>
                              <a:ln>
                                <a:noFill/>
                              </a:ln>
                            </wps:spPr>
                            <wps:txbx>
                              <w:txbxContent>
                                <w:p w14:paraId="37FF972B">
                                  <w:pPr>
                                    <w:rPr>
                                      <w:rFonts w:hint="default" w:eastAsia="宋体"/>
                                      <w:lang w:val="en-US" w:eastAsia="zh-CN"/>
                                    </w:rPr>
                                  </w:pPr>
                                  <w:r>
                                    <w:rPr>
                                      <w:rFonts w:hint="eastAsia"/>
                                      <w:lang w:val="en-US" w:eastAsia="zh-CN"/>
                                    </w:rPr>
                                    <w:t>循环70.8</w:t>
                                  </w:r>
                                </w:p>
                              </w:txbxContent>
                            </wps:txbx>
                            <wps:bodyPr wrap="square" upright="1"/>
                          </wps:wsp>
                        </a:graphicData>
                      </a:graphic>
                    </wp:anchor>
                  </w:drawing>
                </mc:Choice>
                <mc:Fallback>
                  <w:pict>
                    <v:rect id="矩形 37" o:spid="_x0000_s1026" o:spt="1" style="position:absolute;left:0pt;margin-left:167.9pt;margin-top:5.9pt;height:25.55pt;width:78.05pt;z-index:251693056;mso-width-relative:page;mso-height-relative:page;" filled="f" stroked="f" coordsize="21600,21600" o:gfxdata="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pLD&#10;ztoAAAAJAQAADwAAAAAAAAABACAAAAAiAAAAZHJzL2Rvd25yZXYueG1sUEsBAhQAFAAAAAgAh07i&#10;QA9JKuWuAQAAUAMAAA4AAAAAAAAAAQAgAAAAKQEAAGRycy9lMm9Eb2MueG1sUEsFBgAAAAAGAAYA&#10;WQEAAEkFAAAAAA==&#10;">
                      <v:fill on="f" focussize="0,0"/>
                      <v:stroke on="f"/>
                      <v:imagedata o:title=""/>
                      <o:lock v:ext="edit" aspectratio="f"/>
                      <v:textbox>
                        <w:txbxContent>
                          <w:p w14:paraId="37FF972B">
                            <w:pPr>
                              <w:rPr>
                                <w:rFonts w:hint="default" w:eastAsia="宋体"/>
                                <w:lang w:val="en-US" w:eastAsia="zh-CN"/>
                              </w:rPr>
                            </w:pPr>
                            <w:r>
                              <w:rPr>
                                <w:rFonts w:hint="eastAsia"/>
                                <w:lang w:val="en-US" w:eastAsia="zh-CN"/>
                              </w:rPr>
                              <w:t>循环70.8</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2196465</wp:posOffset>
                      </wp:positionH>
                      <wp:positionV relativeFrom="paragraph">
                        <wp:posOffset>158115</wp:posOffset>
                      </wp:positionV>
                      <wp:extent cx="725805" cy="6350"/>
                      <wp:effectExtent l="0" t="43815" r="10795" b="51435"/>
                      <wp:wrapNone/>
                      <wp:docPr id="36" name="直线 39"/>
                      <wp:cNvGraphicFramePr/>
                      <a:graphic xmlns:a="http://schemas.openxmlformats.org/drawingml/2006/main">
                        <a:graphicData uri="http://schemas.microsoft.com/office/word/2010/wordprocessingShape">
                          <wps:wsp>
                            <wps:cNvCnPr/>
                            <wps:spPr>
                              <a:xfrm flipH="1">
                                <a:off x="0" y="0"/>
                                <a:ext cx="725805" cy="63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9" o:spid="_x0000_s1026" o:spt="20" style="position:absolute;left:0pt;flip:x;margin-left:172.95pt;margin-top:12.45pt;height:0.5pt;width:57.15pt;z-index:251695104;mso-width-relative:page;mso-height-relative:page;" filled="f" stroked="t" coordsize="21600,21600" o:gfxdata="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4sJ8dgAAAAJAQAADwAAAAAAAAABACAAAAAiAAAAZHJzL2Rvd25yZXYu&#10;eG1sUEsBAhQAFAAAAAgAh07iQF5FT2T7AQAA6gMAAA4AAAAAAAAAAQAgAAAAJwEAAGRycy9lMm9E&#10;b2MueG1sUEsFBgAAAAAGAAYAWQEAAJQFAAAAAA==&#10;">
                      <v:fill on="f" focussize="0,0"/>
                      <v:stroke color="#000000" joinstyle="round" endarrow="open"/>
                      <v:imagedata o:title=""/>
                      <o:lock v:ext="edit" aspectratio="f"/>
                    </v:line>
                  </w:pict>
                </mc:Fallback>
              </mc:AlternateContent>
            </w:r>
          </w:p>
          <w:p w14:paraId="5C34EA45">
            <w:pPr>
              <w:pStyle w:val="52"/>
              <w:spacing w:before="32" w:line="228" w:lineRule="auto"/>
              <w:ind w:left="2642"/>
              <w:outlineLvl w:val="2"/>
              <w:rPr>
                <w:b/>
                <w:bCs/>
                <w:color w:val="000000" w:themeColor="text1"/>
                <w:spacing w:val="4"/>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3726180</wp:posOffset>
                      </wp:positionH>
                      <wp:positionV relativeFrom="paragraph">
                        <wp:posOffset>31115</wp:posOffset>
                      </wp:positionV>
                      <wp:extent cx="1000760" cy="635"/>
                      <wp:effectExtent l="0" t="48895" r="2540" b="52070"/>
                      <wp:wrapNone/>
                      <wp:docPr id="41" name="直线 46"/>
                      <wp:cNvGraphicFramePr/>
                      <a:graphic xmlns:a="http://schemas.openxmlformats.org/drawingml/2006/main">
                        <a:graphicData uri="http://schemas.microsoft.com/office/word/2010/wordprocessingShape">
                          <wps:wsp>
                            <wps:cNvCnPr/>
                            <wps:spPr>
                              <a:xfrm flipV="1">
                                <a:off x="0" y="0"/>
                                <a:ext cx="100076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6" o:spid="_x0000_s1026" o:spt="20" style="position:absolute;left:0pt;flip:y;margin-left:293.4pt;margin-top:2.45pt;height:0.05pt;width:78.8pt;z-index:251700224;mso-width-relative:page;mso-height-relative:page;" filled="f" stroked="t" coordsize="21600,21600" o:gfxdata="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G/Wz1QAAAAcBAAAPAAAAAAAAAAEAIAAAACIAAABkcnMvZG93bnJldi54bWxQSwEC&#10;FAAUAAAACACHTuJALVxFBPcBAADqAwAADgAAAAAAAAABACAAAAAkAQAAZHJzL2Uyb0RvYy54bWxQ&#10;SwUGAAAAAAYABgBZAQAAjQUAAAAA&#10;">
                      <v:fill on="f" focussize="0,0"/>
                      <v:stroke color="#000000" joinstyle="round" endarrow="open"/>
                      <v:imagedata o:title=""/>
                      <o:lock v:ext="edit" aspectratio="f"/>
                    </v:line>
                  </w:pict>
                </mc:Fallback>
              </mc:AlternateContent>
            </w:r>
          </w:p>
          <w:p w14:paraId="5AB60A03">
            <w:pPr>
              <w:pStyle w:val="52"/>
              <w:spacing w:before="32" w:line="228" w:lineRule="auto"/>
              <w:ind w:left="2642"/>
              <w:outlineLvl w:val="2"/>
              <w:rPr>
                <w:rFonts w:ascii="Arial"/>
                <w:color w:val="000000" w:themeColor="text1"/>
                <w:sz w:val="24"/>
                <w:szCs w:val="24"/>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3738880</wp:posOffset>
                      </wp:positionH>
                      <wp:positionV relativeFrom="paragraph">
                        <wp:posOffset>30480</wp:posOffset>
                      </wp:positionV>
                      <wp:extent cx="1905" cy="210820"/>
                      <wp:effectExtent l="48260" t="0" r="51435" b="5080"/>
                      <wp:wrapNone/>
                      <wp:docPr id="3" name="直线 40"/>
                      <wp:cNvGraphicFramePr/>
                      <a:graphic xmlns:a="http://schemas.openxmlformats.org/drawingml/2006/main">
                        <a:graphicData uri="http://schemas.microsoft.com/office/word/2010/wordprocessingShape">
                          <wps:wsp>
                            <wps:cNvCnPr/>
                            <wps:spPr>
                              <a:xfrm flipV="1">
                                <a:off x="0" y="0"/>
                                <a:ext cx="1905" cy="2108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0" o:spid="_x0000_s1026" o:spt="20" style="position:absolute;left:0pt;flip:y;margin-left:294.4pt;margin-top:2.4pt;height:16.6pt;width:0.15pt;z-index:251713536;mso-width-relative:page;mso-height-relative:page;" filled="f" stroked="t" coordsize="21600,21600" o:gfxdata="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12xMPXAAAACAEAAA8AAAAAAAAAAQAgAAAAIgAAAGRycy9kb3ducmV2LnhtbFBL&#10;AQIUABQAAAAIAIdO4kBw3S+w9wEAAOkDAAAOAAAAAAAAAAEAIAAAACYBAABkcnMvZTJvRG9jLnht&#10;bFBLBQYAAAAABgAGAFkBAACPBQAAAAA=&#10;">
                      <v:fill on="f" focussize="0,0"/>
                      <v:stroke color="#000000" joinstyle="round" endarrow="open"/>
                      <v:imagedata o:title=""/>
                      <o:lock v:ext="edit" aspectratio="f"/>
                    </v:line>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3187065</wp:posOffset>
                      </wp:positionH>
                      <wp:positionV relativeFrom="paragraph">
                        <wp:posOffset>38735</wp:posOffset>
                      </wp:positionV>
                      <wp:extent cx="5715" cy="273050"/>
                      <wp:effectExtent l="47625" t="0" r="48260" b="6350"/>
                      <wp:wrapNone/>
                      <wp:docPr id="44" name="直线 51"/>
                      <wp:cNvGraphicFramePr/>
                      <a:graphic xmlns:a="http://schemas.openxmlformats.org/drawingml/2006/main">
                        <a:graphicData uri="http://schemas.microsoft.com/office/word/2010/wordprocessingShape">
                          <wps:wsp>
                            <wps:cNvCnPr/>
                            <wps:spPr>
                              <a:xfrm flipH="1">
                                <a:off x="0" y="0"/>
                                <a:ext cx="5715" cy="273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1" o:spid="_x0000_s1026" o:spt="20" style="position:absolute;left:0pt;flip:x;margin-left:250.95pt;margin-top:3.05pt;height:21.5pt;width:0.45pt;z-index:251703296;mso-width-relative:page;mso-height-relative:page;" filled="f" stroked="t" coordsize="21600,21600" o:gfxdata="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u6nR1wAAAAgBAAAPAAAAAAAAAAEAIAAAACIAAABkcnMvZG93bnJldi54&#10;bWxQSwECFAAUAAAACACHTuJAu3noUPsBAADqAwAADgAAAAAAAAABACAAAAAmAQAAZHJzL2Uyb0Rv&#10;Yy54bWxQSwUGAAAAAAYABgBZAQAAkwUAAAAA&#10;">
                      <v:fill on="f" focussize="0,0"/>
                      <v:stroke color="#000000" joinstyle="round" endarrow="open"/>
                      <v:imagedata o:title=""/>
                      <o:lock v:ext="edit" aspectratio="f"/>
                    </v:line>
                  </w:pict>
                </mc:Fallback>
              </mc:AlternateContent>
            </w:r>
          </w:p>
          <w:p w14:paraId="5245E127">
            <w:pPr>
              <w:pStyle w:val="5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5"/>
                <w:sz w:val="24"/>
                <w:szCs w:val="24"/>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3542030</wp:posOffset>
                      </wp:positionH>
                      <wp:positionV relativeFrom="paragraph">
                        <wp:posOffset>73660</wp:posOffset>
                      </wp:positionV>
                      <wp:extent cx="1499235" cy="229235"/>
                      <wp:effectExtent l="0" t="0" r="0" b="0"/>
                      <wp:wrapNone/>
                      <wp:docPr id="52" name="矩形 48"/>
                      <wp:cNvGraphicFramePr/>
                      <a:graphic xmlns:a="http://schemas.openxmlformats.org/drawingml/2006/main">
                        <a:graphicData uri="http://schemas.microsoft.com/office/word/2010/wordprocessingShape">
                          <wps:wsp>
                            <wps:cNvSpPr/>
                            <wps:spPr>
                              <a:xfrm>
                                <a:off x="0" y="0"/>
                                <a:ext cx="1499235" cy="229235"/>
                              </a:xfrm>
                              <a:prstGeom prst="rect">
                                <a:avLst/>
                              </a:prstGeom>
                              <a:noFill/>
                              <a:ln>
                                <a:noFill/>
                              </a:ln>
                            </wps:spPr>
                            <wps:txbx>
                              <w:txbxContent>
                                <w:p w14:paraId="7D8BC108">
                                  <w:pPr>
                                    <w:rPr>
                                      <w:rFonts w:hint="default" w:eastAsia="宋体"/>
                                      <w:lang w:val="en-US" w:eastAsia="zh-CN"/>
                                    </w:rPr>
                                  </w:pPr>
                                  <w:r>
                                    <w:rPr>
                                      <w:rFonts w:hint="eastAsia"/>
                                      <w:lang w:val="en-US" w:eastAsia="zh-CN"/>
                                    </w:rPr>
                                    <w:t>中和反应生成水1.2</w:t>
                                  </w:r>
                                </w:p>
                              </w:txbxContent>
                            </wps:txbx>
                            <wps:bodyPr vert="horz" wrap="square" anchor="t" anchorCtr="0" upright="1"/>
                          </wps:wsp>
                        </a:graphicData>
                      </a:graphic>
                    </wp:anchor>
                  </w:drawing>
                </mc:Choice>
                <mc:Fallback>
                  <w:pict>
                    <v:rect id="矩形 48" o:spid="_x0000_s1026" o:spt="1" style="position:absolute;left:0pt;margin-left:278.9pt;margin-top:5.8pt;height:18.05pt;width:118.05pt;z-index:251714560;mso-width-relative:page;mso-height-relative:page;" filled="f" stroked="f" coordsize="21600,21600" o:gfxdata="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kgNoAAAAJAQAADwAAAAAAAAABACAAAAAiAAAAZHJzL2Rvd25yZXYu&#10;eG1sUEsBAhQAFAAAAAgAh07iQJh3BkLAAQAAdgMAAA4AAAAAAAAAAQAgAAAAKQEAAGRycy9lMm9E&#10;b2MueG1sUEsFBgAAAAAGAAYAWQEAAFsFAAAAAA==&#10;">
                      <v:fill on="f" focussize="0,0"/>
                      <v:stroke on="f"/>
                      <v:imagedata o:title=""/>
                      <o:lock v:ext="edit" aspectratio="f"/>
                      <v:textbox>
                        <w:txbxContent>
                          <w:p w14:paraId="7D8BC108">
                            <w:pPr>
                              <w:rPr>
                                <w:rFonts w:hint="default" w:eastAsia="宋体"/>
                                <w:lang w:val="en-US" w:eastAsia="zh-CN"/>
                              </w:rPr>
                            </w:pPr>
                            <w:r>
                              <w:rPr>
                                <w:rFonts w:hint="eastAsia"/>
                                <w:lang w:val="en-US" w:eastAsia="zh-CN"/>
                              </w:rPr>
                              <w:t>中和反应生成水1.2</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2672080</wp:posOffset>
                      </wp:positionH>
                      <wp:positionV relativeFrom="paragraph">
                        <wp:posOffset>43180</wp:posOffset>
                      </wp:positionV>
                      <wp:extent cx="1295400" cy="229235"/>
                      <wp:effectExtent l="0" t="0" r="0" b="0"/>
                      <wp:wrapNone/>
                      <wp:docPr id="46" name="矩形 53"/>
                      <wp:cNvGraphicFramePr/>
                      <a:graphic xmlns:a="http://schemas.openxmlformats.org/drawingml/2006/main">
                        <a:graphicData uri="http://schemas.microsoft.com/office/word/2010/wordprocessingShape">
                          <wps:wsp>
                            <wps:cNvSpPr/>
                            <wps:spPr>
                              <a:xfrm>
                                <a:off x="0" y="0"/>
                                <a:ext cx="1295400" cy="229235"/>
                              </a:xfrm>
                              <a:prstGeom prst="rect">
                                <a:avLst/>
                              </a:prstGeom>
                              <a:noFill/>
                              <a:ln>
                                <a:noFill/>
                              </a:ln>
                            </wps:spPr>
                            <wps:txbx>
                              <w:txbxContent>
                                <w:p w14:paraId="50895345">
                                  <w:pPr>
                                    <w:rPr>
                                      <w:rFonts w:hint="default" w:eastAsia="宋体"/>
                                      <w:lang w:val="en-US" w:eastAsia="zh-CN"/>
                                    </w:rPr>
                                  </w:pPr>
                                  <w:r>
                                    <w:rPr>
                                      <w:rFonts w:hint="eastAsia"/>
                                      <w:lang w:val="en-US" w:eastAsia="zh-CN"/>
                                    </w:rPr>
                                    <w:t>沉淀物带走2</w:t>
                                  </w:r>
                                </w:p>
                              </w:txbxContent>
                            </wps:txbx>
                            <wps:bodyPr vert="horz" wrap="square" anchor="t" anchorCtr="0" upright="1"/>
                          </wps:wsp>
                        </a:graphicData>
                      </a:graphic>
                    </wp:anchor>
                  </w:drawing>
                </mc:Choice>
                <mc:Fallback>
                  <w:pict>
                    <v:rect id="矩形 53" o:spid="_x0000_s1026" o:spt="1" style="position:absolute;left:0pt;margin-left:210.4pt;margin-top:3.4pt;height:18.05pt;width:102pt;z-index:251704320;mso-width-relative:page;mso-height-relative:page;" filled="f" stroked="f" coordsize="21600,21600" o:gfxdata="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BpQx7XAAAACAEAAA8AAAAAAAAAAQAgAAAAIgAAAGRycy9kb3ducmV2&#10;LnhtbFBLAQIUABQAAAAIAIdO4kCUAd4LxAEAAHYDAAAOAAAAAAAAAAEAIAAAACYBAABkcnMvZTJv&#10;RG9jLnhtbFBLBQYAAAAABgAGAFkBAABcBQAAAAA=&#10;">
                      <v:fill on="f" focussize="0,0"/>
                      <v:stroke on="f"/>
                      <v:imagedata o:title=""/>
                      <o:lock v:ext="edit" aspectratio="f"/>
                      <v:textbox>
                        <w:txbxContent>
                          <w:p w14:paraId="50895345">
                            <w:pPr>
                              <w:rPr>
                                <w:rFonts w:hint="default" w:eastAsia="宋体"/>
                                <w:lang w:val="en-US" w:eastAsia="zh-CN"/>
                              </w:rPr>
                            </w:pPr>
                            <w:r>
                              <w:rPr>
                                <w:rFonts w:hint="eastAsia"/>
                                <w:lang w:val="en-US" w:eastAsia="zh-CN"/>
                              </w:rPr>
                              <w:t>沉淀物带走2</w:t>
                            </w:r>
                          </w:p>
                        </w:txbxContent>
                      </v:textbox>
                    </v:rect>
                  </w:pict>
                </mc:Fallback>
              </mc:AlternateContent>
            </w:r>
            <w:r>
              <w:rPr>
                <w:rFonts w:ascii="Times New Roman" w:hAnsi="Times New Roman" w:eastAsia="Times New Roman" w:cs="Times New Roman"/>
                <w:b/>
                <w:bCs/>
                <w:color w:val="000000" w:themeColor="text1"/>
                <w:spacing w:val="4"/>
                <w:sz w:val="24"/>
                <w:szCs w:val="24"/>
                <w14:textFill>
                  <w14:solidFill>
                    <w14:schemeClr w14:val="tx1"/>
                  </w14:solidFill>
                </w14:textFill>
              </w:rPr>
              <w:t xml:space="preserve">    </w:t>
            </w:r>
          </w:p>
          <w:p w14:paraId="15210C44">
            <w:pPr>
              <w:pStyle w:val="52"/>
              <w:keepNext w:val="0"/>
              <w:keepLines w:val="0"/>
              <w:pageBreakBefore w:val="0"/>
              <w:widowControl w:val="0"/>
              <w:kinsoku/>
              <w:wordWrap/>
              <w:overflowPunct/>
              <w:topLinePunct w:val="0"/>
              <w:autoSpaceDE/>
              <w:autoSpaceDN/>
              <w:bidi w:val="0"/>
              <w:adjustRightInd/>
              <w:snapToGrid/>
              <w:spacing w:line="360" w:lineRule="auto"/>
              <w:ind w:firstLine="2738" w:firstLineChars="1100"/>
              <w:textAlignment w:val="auto"/>
              <w:rPr>
                <w:rFonts w:hint="eastAsia" w:ascii="宋体" w:hAnsi="宋体" w:eastAsia="宋体" w:cs="宋体"/>
                <w:color w:val="0000FF"/>
                <w:spacing w:val="5"/>
                <w:sz w:val="24"/>
                <w:szCs w:val="24"/>
                <w:u w:val="single"/>
              </w:rPr>
            </w:pPr>
            <w:r>
              <w:rPr>
                <w:b/>
                <w:bCs/>
                <w:color w:val="0000FF"/>
                <w:spacing w:val="4"/>
                <w:sz w:val="24"/>
                <w:szCs w:val="24"/>
                <w:u w:val="single"/>
              </w:rPr>
              <w:t>图</w:t>
            </w:r>
            <w:r>
              <w:rPr>
                <w:color w:val="0000FF"/>
                <w:spacing w:val="-43"/>
                <w:sz w:val="24"/>
                <w:szCs w:val="24"/>
                <w:u w:val="single"/>
              </w:rPr>
              <w:t xml:space="preserve"> </w:t>
            </w:r>
            <w:r>
              <w:rPr>
                <w:rFonts w:ascii="Times New Roman" w:hAnsi="Times New Roman" w:eastAsia="Times New Roman" w:cs="Times New Roman"/>
                <w:b/>
                <w:bCs/>
                <w:color w:val="0000FF"/>
                <w:spacing w:val="4"/>
                <w:sz w:val="24"/>
                <w:szCs w:val="24"/>
                <w:u w:val="single"/>
              </w:rPr>
              <w:t xml:space="preserve">2-2 </w:t>
            </w:r>
            <w:r>
              <w:rPr>
                <w:b/>
                <w:bCs/>
                <w:color w:val="0000FF"/>
                <w:spacing w:val="4"/>
                <w:sz w:val="24"/>
                <w:szCs w:val="24"/>
                <w:u w:val="single"/>
              </w:rPr>
              <w:t>水平衡图</w:t>
            </w:r>
            <w:r>
              <w:rPr>
                <w:color w:val="0000FF"/>
                <w:spacing w:val="4"/>
                <w:sz w:val="24"/>
                <w:szCs w:val="24"/>
                <w:u w:val="single"/>
              </w:rPr>
              <w:t xml:space="preserve">  </w:t>
            </w:r>
            <w:r>
              <w:rPr>
                <w:b/>
                <w:bCs/>
                <w:color w:val="0000FF"/>
                <w:spacing w:val="4"/>
                <w:sz w:val="24"/>
                <w:szCs w:val="24"/>
                <w:u w:val="single"/>
              </w:rPr>
              <w:t>（单位：</w:t>
            </w:r>
            <w:r>
              <w:rPr>
                <w:rFonts w:ascii="Times New Roman" w:hAnsi="Times New Roman" w:eastAsia="Times New Roman" w:cs="Times New Roman"/>
                <w:b/>
                <w:bCs/>
                <w:color w:val="0000FF"/>
                <w:spacing w:val="4"/>
                <w:sz w:val="24"/>
                <w:szCs w:val="24"/>
                <w:u w:val="single"/>
              </w:rPr>
              <w:t>m</w:t>
            </w:r>
            <w:r>
              <w:rPr>
                <w:b/>
                <w:bCs/>
                <w:color w:val="0000FF"/>
                <w:spacing w:val="4"/>
                <w:sz w:val="24"/>
                <w:szCs w:val="24"/>
                <w:u w:val="single"/>
              </w:rPr>
              <w:t>³</w:t>
            </w:r>
            <w:r>
              <w:rPr>
                <w:rFonts w:ascii="Times New Roman" w:hAnsi="Times New Roman" w:eastAsia="Times New Roman" w:cs="Times New Roman"/>
                <w:b/>
                <w:bCs/>
                <w:color w:val="0000FF"/>
                <w:spacing w:val="3"/>
                <w:sz w:val="24"/>
                <w:szCs w:val="24"/>
                <w:u w:val="single"/>
              </w:rPr>
              <w:t>/d</w:t>
            </w:r>
            <w:r>
              <w:rPr>
                <w:b/>
                <w:bCs/>
                <w:color w:val="0000FF"/>
                <w:spacing w:val="3"/>
                <w:sz w:val="24"/>
                <w:szCs w:val="24"/>
                <w:u w:val="single"/>
              </w:rPr>
              <w:t>）</w:t>
            </w:r>
          </w:p>
          <w:p w14:paraId="180D32C2">
            <w:pPr>
              <w:pStyle w:val="52"/>
              <w:keepNext w:val="0"/>
              <w:keepLines w:val="0"/>
              <w:pageBreakBefore w:val="0"/>
              <w:widowControl w:val="0"/>
              <w:kinsoku/>
              <w:wordWrap/>
              <w:overflowPunct/>
              <w:topLinePunct w:val="0"/>
              <w:autoSpaceDE/>
              <w:autoSpaceDN/>
              <w:bidi w:val="0"/>
              <w:adjustRightInd/>
              <w:snapToGrid/>
              <w:spacing w:line="360" w:lineRule="auto"/>
              <w:ind w:left="53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（4）供热</w:t>
            </w:r>
          </w:p>
          <w:p w14:paraId="7D32FE8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516" w:firstLineChars="200"/>
              <w:textAlignment w:val="auto"/>
              <w:rPr>
                <w:rFonts w:hint="eastAsia" w:ascii="Times New Roman" w:hAnsi="Times New Roman" w:eastAsia="Times New Roman" w:cs="Times New Roman"/>
                <w:b/>
                <w:bCs/>
                <w:color w:val="000000" w:themeColor="text1"/>
                <w:spacing w:val="5"/>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本项目办公楼供暖</w:t>
            </w:r>
            <w:r>
              <w:rPr>
                <w:rFonts w:hint="eastAsia" w:ascii="宋体" w:hAnsi="宋体" w:eastAsia="宋体" w:cs="宋体"/>
                <w:color w:val="000000" w:themeColor="text1"/>
                <w:spacing w:val="9"/>
                <w:sz w:val="24"/>
                <w:szCs w:val="24"/>
                <w:lang w:val="en-US" w:eastAsia="zh-CN"/>
                <w14:textFill>
                  <w14:solidFill>
                    <w14:schemeClr w14:val="tx1"/>
                  </w14:solidFill>
                </w14:textFill>
              </w:rPr>
              <w:t>采用电加热</w:t>
            </w:r>
            <w:r>
              <w:rPr>
                <w:rFonts w:hint="eastAsia" w:ascii="宋体" w:hAnsi="宋体" w:eastAsia="宋体" w:cs="宋体"/>
                <w:color w:val="000000" w:themeColor="text1"/>
                <w:spacing w:val="9"/>
                <w:sz w:val="24"/>
                <w:szCs w:val="24"/>
                <w14:textFill>
                  <w14:solidFill>
                    <w14:schemeClr w14:val="tx1"/>
                  </w14:solidFill>
                </w14:textFill>
              </w:rPr>
              <w:t>；生产厂房内不设采暖。</w:t>
            </w:r>
          </w:p>
          <w:p w14:paraId="47158DC5">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宋体" w:hAnsi="宋体" w:eastAsia="宋体" w:cs="宋体"/>
                <w:b/>
                <w:bCs/>
                <w:color w:val="000000" w:themeColor="text1"/>
                <w:spacing w:val="8"/>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pacing w:val="2"/>
                <w:sz w:val="24"/>
                <w:szCs w:val="24"/>
                <w:lang w:val="en-US" w:eastAsia="zh-CN"/>
                <w14:textFill>
                  <w14:solidFill>
                    <w14:schemeClr w14:val="tx1"/>
                  </w14:solidFill>
                </w14:textFill>
              </w:rPr>
              <w:t>10</w:t>
            </w:r>
            <w:r>
              <w:rPr>
                <w:rFonts w:hint="eastAsia" w:ascii="宋体" w:hAnsi="宋体" w:eastAsia="宋体" w:cs="宋体"/>
                <w:b/>
                <w:bCs/>
                <w:color w:val="000000" w:themeColor="text1"/>
                <w:spacing w:val="2"/>
                <w:sz w:val="24"/>
                <w:szCs w:val="24"/>
                <w14:textFill>
                  <w14:solidFill>
                    <w14:schemeClr w14:val="tx1"/>
                  </w14:solidFill>
                </w14:textFill>
              </w:rPr>
              <w:t>、</w:t>
            </w:r>
            <w:r>
              <w:rPr>
                <w:rFonts w:hint="eastAsia" w:ascii="宋体" w:hAnsi="宋体" w:eastAsia="宋体" w:cs="宋体"/>
                <w:b/>
                <w:bCs/>
                <w:color w:val="000000" w:themeColor="text1"/>
                <w:spacing w:val="8"/>
                <w:kern w:val="2"/>
                <w:sz w:val="24"/>
                <w:szCs w:val="24"/>
                <w:lang w:val="en-US" w:eastAsia="zh-CN" w:bidi="ar-SA"/>
                <w14:textFill>
                  <w14:solidFill>
                    <w14:schemeClr w14:val="tx1"/>
                  </w14:solidFill>
                </w14:textFill>
              </w:rPr>
              <w:t>厂区平面布置</w:t>
            </w:r>
          </w:p>
          <w:p w14:paraId="15CDF574">
            <w:pPr>
              <w:pStyle w:val="8"/>
              <w:keepNext w:val="0"/>
              <w:keepLines w:val="0"/>
              <w:pageBreakBefore w:val="0"/>
              <w:kinsoku/>
              <w:wordWrap/>
              <w:overflowPunct/>
              <w:topLinePunct w:val="0"/>
              <w:autoSpaceDE/>
              <w:autoSpaceDN/>
              <w:bidi w:val="0"/>
              <w:spacing w:after="0" w:line="360" w:lineRule="auto"/>
              <w:ind w:left="0" w:leftChars="0" w:firstLine="512" w:firstLineChars="200"/>
              <w:textAlignment w:val="auto"/>
              <w:rPr>
                <w:rFonts w:hint="default" w:ascii="宋体" w:hAnsi="宋体" w:cs="宋体"/>
                <w:color w:val="000000" w:themeColor="text1"/>
                <w:spacing w:val="8"/>
                <w:kern w:val="2"/>
                <w:sz w:val="24"/>
                <w:szCs w:val="24"/>
                <w:highlight w:val="yellow"/>
                <w:lang w:val="en-US" w:eastAsia="zh-CN"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zh-CN" w:bidi="ar-SA"/>
                <w14:textFill>
                  <w14:solidFill>
                    <w14:schemeClr w14:val="tx1"/>
                  </w14:solidFill>
                </w14:textFill>
              </w:rPr>
              <w:t>本项目</w:t>
            </w:r>
            <w:r>
              <w:rPr>
                <w:rFonts w:hint="eastAsia" w:ascii="宋体" w:hAnsi="宋体" w:cs="宋体"/>
                <w:color w:val="000000" w:themeColor="text1"/>
                <w:spacing w:val="8"/>
                <w:kern w:val="2"/>
                <w:sz w:val="24"/>
                <w:szCs w:val="24"/>
                <w:lang w:val="en-US" w:eastAsia="zh-CN" w:bidi="ar-SA"/>
                <w14:textFill>
                  <w14:solidFill>
                    <w14:schemeClr w14:val="tx1"/>
                  </w14:solidFill>
                </w14:textFill>
              </w:rPr>
              <w:t>部分</w:t>
            </w:r>
            <w:r>
              <w:rPr>
                <w:rFonts w:hint="eastAsia" w:ascii="宋体" w:hAnsi="宋体" w:eastAsia="宋体" w:cs="宋体"/>
                <w:color w:val="000000" w:themeColor="text1"/>
                <w:spacing w:val="8"/>
                <w:kern w:val="2"/>
                <w:sz w:val="24"/>
                <w:szCs w:val="24"/>
                <w:lang w:val="en-US" w:eastAsia="zh-CN" w:bidi="ar-SA"/>
                <w14:textFill>
                  <w14:solidFill>
                    <w14:schemeClr w14:val="tx1"/>
                  </w14:solidFill>
                </w14:textFill>
              </w:rPr>
              <w:t>依托现有闲置厂区内房进行改建，原料</w:t>
            </w:r>
            <w:r>
              <w:rPr>
                <w:rFonts w:hint="eastAsia" w:ascii="宋体" w:hAnsi="宋体" w:cs="宋体"/>
                <w:color w:val="000000" w:themeColor="text1"/>
                <w:spacing w:val="8"/>
                <w:kern w:val="2"/>
                <w:sz w:val="24"/>
                <w:szCs w:val="24"/>
                <w:lang w:val="en-US" w:eastAsia="zh-CN" w:bidi="ar-SA"/>
                <w14:textFill>
                  <w14:solidFill>
                    <w14:schemeClr w14:val="tx1"/>
                  </w14:solidFill>
                </w14:textFill>
              </w:rPr>
              <w:t>区</w:t>
            </w:r>
            <w:r>
              <w:rPr>
                <w:rFonts w:hint="eastAsia" w:ascii="宋体" w:hAnsi="宋体" w:eastAsia="宋体" w:cs="宋体"/>
                <w:color w:val="000000" w:themeColor="text1"/>
                <w:spacing w:val="8"/>
                <w:kern w:val="2"/>
                <w:sz w:val="24"/>
                <w:szCs w:val="24"/>
                <w:lang w:val="en-US" w:eastAsia="zh-CN" w:bidi="ar-SA"/>
                <w14:textFill>
                  <w14:solidFill>
                    <w14:schemeClr w14:val="tx1"/>
                  </w14:solidFill>
                </w14:textFill>
              </w:rPr>
              <w:t>、生产、有机热载体炉、热导烘干炉、成品</w:t>
            </w:r>
            <w:r>
              <w:rPr>
                <w:rFonts w:hint="eastAsia" w:ascii="宋体" w:hAnsi="宋体" w:cs="宋体"/>
                <w:color w:val="000000" w:themeColor="text1"/>
                <w:spacing w:val="8"/>
                <w:kern w:val="2"/>
                <w:sz w:val="24"/>
                <w:szCs w:val="24"/>
                <w:lang w:val="en-US" w:eastAsia="zh-CN" w:bidi="ar-SA"/>
                <w14:textFill>
                  <w14:solidFill>
                    <w14:schemeClr w14:val="tx1"/>
                  </w14:solidFill>
                </w14:textFill>
              </w:rPr>
              <w:t>区</w:t>
            </w:r>
            <w:r>
              <w:rPr>
                <w:rFonts w:hint="eastAsia" w:ascii="宋体" w:hAnsi="宋体" w:eastAsia="宋体" w:cs="宋体"/>
                <w:color w:val="000000" w:themeColor="text1"/>
                <w:spacing w:val="8"/>
                <w:kern w:val="2"/>
                <w:sz w:val="24"/>
                <w:szCs w:val="24"/>
                <w:lang w:val="en-US" w:eastAsia="zh-CN" w:bidi="ar-SA"/>
                <w14:textFill>
                  <w14:solidFill>
                    <w14:schemeClr w14:val="tx1"/>
                  </w14:solidFill>
                </w14:textFill>
              </w:rPr>
              <w:t>均位于</w:t>
            </w:r>
            <w:r>
              <w:rPr>
                <w:rFonts w:hint="eastAsia" w:ascii="宋体" w:hAnsi="宋体" w:cs="宋体"/>
                <w:color w:val="000000" w:themeColor="text1"/>
                <w:spacing w:val="8"/>
                <w:kern w:val="2"/>
                <w:sz w:val="24"/>
                <w:szCs w:val="24"/>
                <w:lang w:val="en-US" w:eastAsia="zh-CN" w:bidi="ar-SA"/>
                <w14:textFill>
                  <w14:solidFill>
                    <w14:schemeClr w14:val="tx1"/>
                  </w14:solidFill>
                </w14:textFill>
              </w:rPr>
              <w:t>现有</w:t>
            </w:r>
            <w:r>
              <w:rPr>
                <w:rFonts w:hint="eastAsia" w:ascii="宋体" w:hAnsi="宋体" w:eastAsia="宋体" w:cs="宋体"/>
                <w:color w:val="000000" w:themeColor="text1"/>
                <w:spacing w:val="8"/>
                <w:kern w:val="2"/>
                <w:sz w:val="24"/>
                <w:szCs w:val="24"/>
                <w:lang w:val="en-US" w:eastAsia="zh-CN" w:bidi="ar-SA"/>
                <w14:textFill>
                  <w14:solidFill>
                    <w14:schemeClr w14:val="tx1"/>
                  </w14:solidFill>
                </w14:textFill>
              </w:rPr>
              <w:t>厂房内，且由西向东分布，有利于物料输送，平面布局合理。</w:t>
            </w:r>
            <w:r>
              <w:rPr>
                <w:rFonts w:hint="eastAsia" w:ascii="宋体" w:hAnsi="宋体" w:cs="宋体"/>
                <w:color w:val="000000" w:themeColor="text1"/>
                <w:spacing w:val="8"/>
                <w:kern w:val="2"/>
                <w:sz w:val="24"/>
                <w:szCs w:val="24"/>
                <w:highlight w:val="none"/>
                <w:lang w:val="en-US" w:eastAsia="zh-CN" w:bidi="ar-SA"/>
                <w14:textFill>
                  <w14:solidFill>
                    <w14:schemeClr w14:val="tx1"/>
                  </w14:solidFill>
                </w14:textFill>
              </w:rPr>
              <w:t>详见附图5及附图7</w:t>
            </w:r>
            <w:r>
              <w:rPr>
                <w:rFonts w:hint="eastAsia" w:ascii="宋体" w:hAnsi="宋体" w:eastAsia="宋体" w:cs="宋体"/>
                <w:color w:val="000000" w:themeColor="text1"/>
                <w:spacing w:val="8"/>
                <w:kern w:val="2"/>
                <w:sz w:val="24"/>
                <w:szCs w:val="24"/>
                <w:lang w:val="en-US" w:eastAsia="zh-CN" w:bidi="ar-SA"/>
                <w14:textFill>
                  <w14:solidFill>
                    <w14:schemeClr w14:val="tx1"/>
                  </w14:solidFill>
                </w14:textFill>
              </w:rPr>
              <w:t>。</w:t>
            </w:r>
          </w:p>
        </w:tc>
      </w:tr>
      <w:tr w14:paraId="08CA4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dxa"/>
            <w:noWrap w:val="0"/>
            <w:vAlign w:val="center"/>
          </w:tcPr>
          <w:p w14:paraId="24B6AC1C">
            <w:pPr>
              <w:pStyle w:val="18"/>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工艺流程和产排污环节</w:t>
            </w:r>
          </w:p>
        </w:tc>
        <w:tc>
          <w:tcPr>
            <w:tcW w:w="8695" w:type="dxa"/>
            <w:gridSpan w:val="2"/>
            <w:noWrap w:val="0"/>
            <w:vAlign w:val="top"/>
          </w:tcPr>
          <w:p w14:paraId="472DB7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（1）工艺原理</w:t>
            </w:r>
          </w:p>
          <w:p w14:paraId="7B2130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石墨晶体具有由碳元素组成的六角网平面层状结构。层平面上的碳原子以强有力的共价键结合，而层与层间以范德华力结合，结合非常弱，而且层间距离较大。因此，在适当的条件下，酸、碱金属、盐类等多种化学物质可插入石墨层间，并与碳原子结合形成新的化学相——石墨层间化合物。这种层间化合物在加热到适当温度时，可瞬间迅速分解，产生大量气体，使石墨沿轴方向膨胀成蠕虫状的新物质，即</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HYPERLINK "http://baike.baidu.com/view/91698.htm" \t "_blank"</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膨胀石墨</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。这种未膨胀的石墨层间化合物就是可膨胀石墨。</w:t>
            </w:r>
          </w:p>
          <w:p w14:paraId="1EFC87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可膨胀石墨的生产过程是将浓硫酸与双氧水混合，形成强氧化环境，与石墨层间游离的π键形成电极电位差，使得石墨层间被拉开，而硫酸混合液中的H2SO4以离子团形式进入层间，并以弱化合键的模式保留下来，形成石墨层间化合物。保留在石墨层间中的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SO</w:t>
            </w:r>
            <w:r>
              <w:rPr>
                <w:rFonts w:hint="eastAsia" w:ascii="宋体" w:hAnsi="宋体" w:eastAsia="宋体" w:cs="宋体"/>
                <w:color w:val="000000" w:themeColor="text1"/>
                <w:sz w:val="24"/>
                <w:szCs w:val="24"/>
                <w:vertAlign w:val="subscript"/>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离子团在受到高温时，瞬间分解，在从石墨层间逸出的同时，产生的大量热使得石墨从纵向拉开，形成蠕虫状，因其具备这样的特性因此被称为可膨胀石墨。</w:t>
            </w:r>
          </w:p>
          <w:p w14:paraId="0B0114A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硫酸石墨层间化合物的插层过程表示如下：</w:t>
            </w:r>
          </w:p>
          <w:p w14:paraId="173E1D7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SO</w:t>
            </w:r>
            <w:r>
              <w:rPr>
                <w:rFonts w:hint="eastAsia" w:ascii="宋体" w:hAnsi="宋体" w:eastAsia="宋体" w:cs="宋体"/>
                <w:color w:val="000000" w:themeColor="text1"/>
                <w:sz w:val="24"/>
                <w:szCs w:val="24"/>
                <w:vertAlign w:val="subscript"/>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SO</w:t>
            </w:r>
            <w:r>
              <w:rPr>
                <w:rFonts w:hint="eastAsia" w:ascii="宋体" w:hAnsi="宋体" w:eastAsia="宋体" w:cs="宋体"/>
                <w:color w:val="000000" w:themeColor="text1"/>
                <w:sz w:val="24"/>
                <w:szCs w:val="24"/>
                <w:vertAlign w:val="subscript"/>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·O +H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 </w:t>
            </w:r>
          </w:p>
          <w:p w14:paraId="698EE90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nC+nH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SO</w:t>
            </w:r>
            <w:r>
              <w:rPr>
                <w:rFonts w:hint="eastAsia" w:ascii="宋体" w:hAnsi="宋体" w:eastAsia="宋体" w:cs="宋体"/>
                <w:color w:val="000000" w:themeColor="text1"/>
                <w:sz w:val="24"/>
                <w:szCs w:val="24"/>
                <w:vertAlign w:val="subscript"/>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O→n[C-HSO</w:t>
            </w:r>
            <w:r>
              <w:rPr>
                <w:rFonts w:hint="eastAsia" w:ascii="宋体" w:hAnsi="宋体" w:eastAsia="宋体" w:cs="宋体"/>
                <w:color w:val="000000" w:themeColor="text1"/>
                <w:sz w:val="24"/>
                <w:szCs w:val="24"/>
                <w:vertAlign w:val="subscript"/>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]+n/2H</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O</w:t>
            </w:r>
          </w:p>
          <w:p w14:paraId="5E2A3F2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硫酸插入石墨层间的过程主要有三个步骤：氧化、插入，结构转变。</w:t>
            </w:r>
          </w:p>
          <w:p w14:paraId="126CDC5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氧化的作用在于氧化石墨层面上的碳原子，使层面上的碳原子带正电荷，由于静电斥力，使石墨层间距增大，以便于硫酸的进入；插入过程主要是一个扩散过程；硫酸进层间后，石墨的结构将发生改变，当结构转变完成后，插层过程也随之结束。</w:t>
            </w:r>
          </w:p>
          <w:p w14:paraId="649A39F3">
            <w:pPr>
              <w:pStyle w:val="6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themeColor="text1"/>
                <w:lang w:eastAsia="zh-CN"/>
                <w14:textFill>
                  <w14:solidFill>
                    <w14:schemeClr w14:val="tx1"/>
                  </w14:solidFill>
                </w14:textFill>
              </w:rPr>
            </w:pPr>
            <w:r>
              <w:rPr>
                <w:rFonts w:hint="eastAsia" w:ascii="宋体" w:hAnsi="宋体" w:eastAsia="宋体" w:cs="宋体"/>
                <w:snapToGrid w:val="0"/>
                <w:color w:val="000000" w:themeColor="text1"/>
                <w:lang w:eastAsia="zh-CN"/>
                <w14:textFill>
                  <w14:solidFill>
                    <w14:schemeClr w14:val="tx1"/>
                  </w14:solidFill>
                </w14:textFill>
              </w:rPr>
              <w:t>（2）生产工艺流程</w:t>
            </w:r>
          </w:p>
          <w:p w14:paraId="5EF39A38">
            <w:pPr>
              <w:pStyle w:val="6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000000" w:themeColor="text1"/>
                <w:lang w:eastAsia="zh-CN"/>
                <w14:textFill>
                  <w14:solidFill>
                    <w14:schemeClr w14:val="tx1"/>
                  </w14:solidFill>
                </w14:textFill>
              </w:rPr>
            </w:pPr>
            <w:r>
              <w:rPr>
                <w:rFonts w:hint="eastAsia" w:ascii="宋体" w:hAnsi="宋体" w:eastAsia="宋体" w:cs="宋体"/>
                <w:snapToGrid w:val="0"/>
                <w:color w:val="000000" w:themeColor="text1"/>
                <w:lang w:eastAsia="zh-CN"/>
                <w14:textFill>
                  <w14:solidFill>
                    <w14:schemeClr w14:val="tx1"/>
                  </w14:solidFill>
                </w14:textFill>
              </w:rPr>
              <w:t>①投料</w:t>
            </w:r>
          </w:p>
          <w:p w14:paraId="1AC820EE">
            <w:pPr>
              <w:pStyle w:val="63"/>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0000FF"/>
                <w:u w:val="single"/>
                <w:lang w:eastAsia="zh-CN"/>
              </w:rPr>
            </w:pPr>
            <w:r>
              <w:rPr>
                <w:rFonts w:hint="eastAsia" w:ascii="宋体" w:hAnsi="宋体" w:eastAsia="宋体" w:cs="宋体"/>
                <w:snapToGrid w:val="0"/>
                <w:color w:val="0000FF"/>
                <w:u w:val="single"/>
                <w:lang w:eastAsia="zh-CN"/>
              </w:rPr>
              <w:t>袋装石墨原料由汽车运至原料库存放，用叉车将袋装石墨原料运至生产车间使用。项目投料采用人工投料，将袋装石墨原料投入</w:t>
            </w:r>
            <w:r>
              <w:rPr>
                <w:rFonts w:hint="eastAsia" w:cs="宋体"/>
                <w:snapToGrid w:val="0"/>
                <w:color w:val="0000FF"/>
                <w:u w:val="single"/>
                <w:lang w:eastAsia="zh-CN"/>
              </w:rPr>
              <w:t>半密封的投料口</w:t>
            </w:r>
            <w:r>
              <w:rPr>
                <w:rFonts w:hint="eastAsia" w:ascii="宋体" w:hAnsi="宋体" w:eastAsia="宋体" w:cs="宋体"/>
                <w:snapToGrid w:val="0"/>
                <w:color w:val="0000FF"/>
                <w:u w:val="single"/>
                <w:lang w:eastAsia="zh-CN"/>
              </w:rPr>
              <w:t>。将98%的浓硫酸和</w:t>
            </w:r>
            <w:r>
              <w:rPr>
                <w:rFonts w:hint="eastAsia" w:ascii="宋体" w:hAnsi="宋体" w:eastAsia="宋体" w:cs="宋体"/>
                <w:snapToGrid w:val="0"/>
                <w:color w:val="0000FF"/>
                <w:u w:val="single"/>
                <w:lang w:val="en-US" w:eastAsia="zh-CN"/>
              </w:rPr>
              <w:t>60</w:t>
            </w:r>
            <w:r>
              <w:rPr>
                <w:rFonts w:hint="eastAsia" w:ascii="宋体" w:hAnsi="宋体" w:eastAsia="宋体" w:cs="宋体"/>
                <w:snapToGrid w:val="0"/>
                <w:color w:val="0000FF"/>
                <w:u w:val="single"/>
                <w:lang w:eastAsia="zh-CN"/>
              </w:rPr>
              <w:t>%的双氧水经计量后通过密闭管道由专用泵从储罐打入釜内，</w:t>
            </w:r>
            <w:r>
              <w:rPr>
                <w:rFonts w:hint="eastAsia" w:ascii="宋体" w:hAnsi="宋体" w:eastAsia="宋体" w:cs="宋体"/>
                <w:color w:val="0000FF"/>
                <w:szCs w:val="24"/>
                <w:u w:val="single"/>
                <w:lang w:eastAsia="zh-CN"/>
              </w:rPr>
              <w:t>开启搅拌，</w:t>
            </w:r>
            <w:r>
              <w:rPr>
                <w:rFonts w:hint="eastAsia" w:ascii="宋体" w:hAnsi="宋体" w:eastAsia="宋体" w:cs="宋体"/>
                <w:color w:val="0000FF"/>
                <w:u w:val="single"/>
                <w:lang w:eastAsia="zh-CN"/>
              </w:rPr>
              <w:t>将三种原料在釜中混合均匀。</w:t>
            </w:r>
          </w:p>
          <w:p w14:paraId="54CE8006">
            <w:pPr>
              <w:pStyle w:val="63"/>
              <w:spacing w:line="46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在</w:t>
            </w:r>
            <w:r>
              <w:rPr>
                <w:rFonts w:hint="eastAsia" w:ascii="Times New Roman" w:hAnsi="Times New Roman"/>
                <w:snapToGrid w:val="0"/>
                <w:color w:val="000000" w:themeColor="text1"/>
                <w:lang w:eastAsia="zh-CN"/>
                <w14:textFill>
                  <w14:solidFill>
                    <w14:schemeClr w14:val="tx1"/>
                  </w14:solidFill>
                </w14:textFill>
              </w:rPr>
              <w:t>叉车</w:t>
            </w:r>
            <w:r>
              <w:rPr>
                <w:rFonts w:hint="eastAsia"/>
                <w:color w:val="000000" w:themeColor="text1"/>
                <w:lang w:eastAsia="zh-CN"/>
                <w14:textFill>
                  <w14:solidFill>
                    <w14:schemeClr w14:val="tx1"/>
                  </w14:solidFill>
                </w14:textFill>
              </w:rPr>
              <w:t>输送石墨原料至落料口的过程中会产生一定量的粉尘，</w:t>
            </w:r>
            <w:r>
              <w:rPr>
                <w:rFonts w:hint="eastAsia"/>
                <w:color w:val="000000" w:themeColor="text1"/>
                <w:lang w:val="en-US" w:eastAsia="zh-CN"/>
                <w14:textFill>
                  <w14:solidFill>
                    <w14:schemeClr w14:val="tx1"/>
                  </w14:solidFill>
                </w14:textFill>
              </w:rPr>
              <w:t>由于插层釜采用</w:t>
            </w:r>
            <w:r>
              <w:rPr>
                <w:rFonts w:hint="eastAsia"/>
                <w:color w:val="000000" w:themeColor="text1"/>
                <w:highlight w:val="none"/>
                <w:lang w:val="en-US" w:eastAsia="zh-CN"/>
                <w14:textFill>
                  <w14:solidFill>
                    <w14:schemeClr w14:val="tx1"/>
                  </w14:solidFill>
                </w14:textFill>
              </w:rPr>
              <w:t>半封闭，</w:t>
            </w:r>
            <w:r>
              <w:rPr>
                <w:rFonts w:hint="eastAsia"/>
                <w:color w:val="000000" w:themeColor="text1"/>
                <w:lang w:eastAsia="zh-CN"/>
                <w14:textFill>
                  <w14:solidFill>
                    <w14:schemeClr w14:val="tx1"/>
                  </w14:solidFill>
                </w14:textFill>
              </w:rPr>
              <w:t>在原料入口处设置集气罩将粉尘、硫酸雾一起收集进入配套的酸雾净化塔处理，粉尘为石墨原料颗粒，最后在酸雾净化沉淀池沉集，收</w:t>
            </w:r>
            <w:r>
              <w:rPr>
                <w:rFonts w:hint="eastAsia"/>
                <w:color w:val="000000" w:themeColor="text1"/>
                <w:highlight w:val="none"/>
                <w:lang w:eastAsia="zh-CN"/>
                <w14:textFill>
                  <w14:solidFill>
                    <w14:schemeClr w14:val="tx1"/>
                  </w14:solidFill>
                </w14:textFill>
              </w:rPr>
              <w:t>集后可作为</w:t>
            </w:r>
            <w:r>
              <w:rPr>
                <w:rFonts w:hint="eastAsia"/>
                <w:color w:val="000000" w:themeColor="text1"/>
                <w:highlight w:val="none"/>
                <w:lang w:val="en-US" w:eastAsia="zh-CN"/>
                <w14:textFill>
                  <w14:solidFill>
                    <w14:schemeClr w14:val="tx1"/>
                  </w14:solidFill>
                </w14:textFill>
              </w:rPr>
              <w:t>建筑材料</w:t>
            </w:r>
            <w:r>
              <w:rPr>
                <w:rFonts w:hint="eastAsia"/>
                <w:color w:val="000000" w:themeColor="text1"/>
                <w:highlight w:val="none"/>
                <w:lang w:eastAsia="zh-CN"/>
                <w14:textFill>
                  <w14:solidFill>
                    <w14:schemeClr w14:val="tx1"/>
                  </w14:solidFill>
                </w14:textFill>
              </w:rPr>
              <w:t>。</w:t>
            </w:r>
          </w:p>
          <w:p w14:paraId="5C5C68C4">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rFonts w:hint="eastAsia" w:ascii="Times New Roman" w:hAnsi="Times New Roman"/>
                <w:snapToGrid w:val="0"/>
                <w:color w:val="000000" w:themeColor="text1"/>
                <w:lang w:eastAsia="zh-CN"/>
                <w14:textFill>
                  <w14:solidFill>
                    <w14:schemeClr w14:val="tx1"/>
                  </w14:solidFill>
                </w14:textFill>
              </w:rPr>
              <w:t>浓硫酸可吸收釜中的水分，以确保插层的顺利进行，浓硫酸吸水的同时放出大量的热量，通过釜夹层中的循环冷却水保持釜内温度稳定在</w:t>
            </w:r>
            <w:r>
              <w:rPr>
                <w:rFonts w:ascii="Times New Roman" w:hAnsi="Times New Roman"/>
                <w:snapToGrid w:val="0"/>
                <w:color w:val="000000" w:themeColor="text1"/>
                <w:lang w:eastAsia="zh-CN"/>
                <w14:textFill>
                  <w14:solidFill>
                    <w14:schemeClr w14:val="tx1"/>
                  </w14:solidFill>
                </w14:textFill>
              </w:rPr>
              <w:t>30</w:t>
            </w:r>
            <w:r>
              <w:rPr>
                <w:rFonts w:hint="eastAsia" w:ascii="Times New Roman" w:hAnsi="Times New Roman"/>
                <w:snapToGrid w:val="0"/>
                <w:color w:val="000000" w:themeColor="text1"/>
                <w:lang w:eastAsia="zh-CN"/>
                <w14:textFill>
                  <w14:solidFill>
                    <w14:schemeClr w14:val="tx1"/>
                  </w14:solidFill>
                </w14:textFill>
              </w:rPr>
              <w:t>℃，</w:t>
            </w:r>
            <w:r>
              <w:rPr>
                <w:rFonts w:hint="eastAsia" w:ascii="Times New Roman" w:hAnsi="Times New Roman"/>
                <w:snapToGrid w:val="0"/>
                <w:color w:val="0000FF"/>
                <w:u w:val="single"/>
                <w:lang w:eastAsia="zh-CN"/>
              </w:rPr>
              <w:t>搅拌约</w:t>
            </w:r>
            <w:r>
              <w:rPr>
                <w:rFonts w:hint="eastAsia" w:ascii="Times New Roman" w:hAnsi="Times New Roman"/>
                <w:snapToGrid w:val="0"/>
                <w:color w:val="0000FF"/>
                <w:u w:val="single"/>
                <w:lang w:val="en-US" w:eastAsia="zh-CN"/>
              </w:rPr>
              <w:t>0.5</w:t>
            </w:r>
            <w:r>
              <w:rPr>
                <w:rFonts w:hint="eastAsia" w:ascii="Times New Roman" w:hAnsi="Times New Roman"/>
                <w:snapToGrid w:val="0"/>
                <w:color w:val="0000FF"/>
                <w:u w:val="single"/>
                <w:lang w:eastAsia="zh-CN"/>
              </w:rPr>
              <w:t>小时，使各种原料充分接触，反应40-60分钟后结束反应。</w:t>
            </w:r>
          </w:p>
          <w:p w14:paraId="3B5E48BA">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此工序污染物为有组织排放粉尘、酸雾；无组织排放粉尘、酸雾，以及废气处理过程产生的沉淀物。</w:t>
            </w:r>
          </w:p>
          <w:p w14:paraId="40B585FF">
            <w:pPr>
              <w:pStyle w:val="63"/>
              <w:spacing w:line="460" w:lineRule="exact"/>
              <w:rPr>
                <w:rFonts w:ascii="Times New Roman" w:hAnsi="Times New Roman"/>
                <w:snapToGrid w:val="0"/>
                <w:color w:val="000000" w:themeColor="text1"/>
                <w:lang w:eastAsia="zh-CN"/>
                <w14:textFill>
                  <w14:solidFill>
                    <w14:schemeClr w14:val="tx1"/>
                  </w14:solidFill>
                </w14:textFill>
              </w:rPr>
            </w:pPr>
            <w:r>
              <w:rPr>
                <w:rFonts w:hint="eastAsia" w:ascii="Times New Roman" w:hAnsi="Times New Roman"/>
                <w:snapToGrid w:val="0"/>
                <w:color w:val="000000" w:themeColor="text1"/>
                <w:lang w:eastAsia="zh-CN"/>
                <w14:textFill>
                  <w14:solidFill>
                    <w14:schemeClr w14:val="tx1"/>
                  </w14:solidFill>
                </w14:textFill>
              </w:rPr>
              <w:t>②</w:t>
            </w:r>
            <w:r>
              <w:rPr>
                <w:rFonts w:ascii="Times New Roman" w:hAnsi="Times New Roman"/>
                <w:snapToGrid w:val="0"/>
                <w:color w:val="000000" w:themeColor="text1"/>
                <w:lang w:eastAsia="zh-CN"/>
                <w14:textFill>
                  <w14:solidFill>
                    <w14:schemeClr w14:val="tx1"/>
                  </w14:solidFill>
                </w14:textFill>
              </w:rPr>
              <w:t>脱酸</w:t>
            </w:r>
          </w:p>
          <w:p w14:paraId="15536C4A">
            <w:pPr>
              <w:pStyle w:val="63"/>
              <w:spacing w:line="460" w:lineRule="exact"/>
              <w:rPr>
                <w:rFonts w:ascii="Times New Roman" w:hAnsi="Times New Roman"/>
                <w:color w:val="000000" w:themeColor="text1"/>
                <w:lang w:eastAsia="zh-CN"/>
                <w14:textFill>
                  <w14:solidFill>
                    <w14:schemeClr w14:val="tx1"/>
                  </w14:solidFill>
                </w14:textFill>
              </w:rPr>
            </w:pPr>
            <w:r>
              <w:rPr>
                <w:rFonts w:hint="eastAsia" w:ascii="Times New Roman" w:hAnsi="Times New Roman"/>
                <w:snapToGrid w:val="0"/>
                <w:color w:val="000000" w:themeColor="text1"/>
                <w:lang w:eastAsia="zh-CN"/>
                <w14:textFill>
                  <w14:solidFill>
                    <w14:schemeClr w14:val="tx1"/>
                  </w14:solidFill>
                </w14:textFill>
              </w:rPr>
              <w:t>插层后形成</w:t>
            </w:r>
            <w:r>
              <w:rPr>
                <w:rFonts w:ascii="Times New Roman" w:hAnsi="Times New Roman"/>
                <w:snapToGrid w:val="0"/>
                <w:color w:val="000000" w:themeColor="text1"/>
                <w:lang w:eastAsia="zh-CN"/>
                <w14:textFill>
                  <w14:solidFill>
                    <w14:schemeClr w14:val="tx1"/>
                  </w14:solidFill>
                </w14:textFill>
              </w:rPr>
              <w:t>的石墨产品通过空压机</w:t>
            </w:r>
            <w:r>
              <w:rPr>
                <w:rFonts w:ascii="Times New Roman" w:hAnsi="Times New Roman"/>
                <w:color w:val="000000" w:themeColor="text1"/>
                <w:lang w:eastAsia="zh-CN"/>
                <w14:textFill>
                  <w14:solidFill>
                    <w14:schemeClr w14:val="tx1"/>
                  </w14:solidFill>
                </w14:textFill>
              </w:rPr>
              <w:t>产生的压缩空气由管道输送至脱酸压滤机内，经过液压脱酸压滤机脱除后的酸液经</w:t>
            </w:r>
            <w:r>
              <w:rPr>
                <w:rFonts w:ascii="Times New Roman" w:hAnsi="Times New Roman"/>
                <w:color w:val="000000" w:themeColor="text1"/>
                <w:highlight w:val="none"/>
                <w:lang w:eastAsia="zh-CN"/>
                <w14:textFill>
                  <w14:solidFill>
                    <w14:schemeClr w14:val="tx1"/>
                  </w14:solidFill>
                </w14:textFill>
              </w:rPr>
              <w:t>管道送入</w:t>
            </w:r>
            <w:r>
              <w:rPr>
                <w:rFonts w:hint="eastAsia" w:ascii="Times New Roman" w:hAnsi="Times New Roman"/>
                <w:color w:val="000000" w:themeColor="text1"/>
                <w:lang w:val="en-US" w:eastAsia="zh-CN"/>
                <w14:textFill>
                  <w14:solidFill>
                    <w14:schemeClr w14:val="tx1"/>
                  </w14:solidFill>
                </w14:textFill>
              </w:rPr>
              <w:t>沉淀罐，与氢氧化钙沉淀</w:t>
            </w:r>
            <w:r>
              <w:rPr>
                <w:rFonts w:ascii="Times New Roman" w:hAnsi="Times New Roman"/>
                <w:color w:val="000000" w:themeColor="text1"/>
                <w:lang w:eastAsia="zh-CN"/>
                <w14:textFill>
                  <w14:solidFill>
                    <w14:schemeClr w14:val="tx1"/>
                  </w14:solidFill>
                </w14:textFill>
              </w:rPr>
              <w:t>。</w:t>
            </w:r>
          </w:p>
          <w:p w14:paraId="4DACEB25">
            <w:pPr>
              <w:pStyle w:val="63"/>
              <w:spacing w:line="460" w:lineRule="exact"/>
              <w:rPr>
                <w:rFonts w:ascii="Times New Roman" w:hAnsi="Times New Roman"/>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此工序有组织排放酸雾，无组织排放酸雾，以及硫酸钙沉淀物（压滤脱水后送到一般固废暂存，定期出售。</w:t>
            </w:r>
          </w:p>
          <w:p w14:paraId="508171D2">
            <w:pPr>
              <w:pStyle w:val="63"/>
              <w:spacing w:line="460" w:lineRule="exact"/>
              <w:rPr>
                <w:rFonts w:ascii="Times New Roman" w:hAnsi="Times New Roman"/>
                <w:snapToGrid w:val="0"/>
                <w:color w:val="000000" w:themeColor="text1"/>
                <w:lang w:eastAsia="zh-CN"/>
                <w14:textFill>
                  <w14:solidFill>
                    <w14:schemeClr w14:val="tx1"/>
                  </w14:solidFill>
                </w14:textFill>
              </w:rPr>
            </w:pPr>
            <w:r>
              <w:rPr>
                <w:rFonts w:hint="eastAsia" w:ascii="Times New Roman" w:hAnsi="Times New Roman"/>
                <w:snapToGrid w:val="0"/>
                <w:color w:val="000000" w:themeColor="text1"/>
                <w:lang w:eastAsia="zh-CN"/>
                <w14:textFill>
                  <w14:solidFill>
                    <w14:schemeClr w14:val="tx1"/>
                  </w14:solidFill>
                </w14:textFill>
              </w:rPr>
              <w:t>③</w:t>
            </w:r>
            <w:r>
              <w:rPr>
                <w:rFonts w:ascii="Times New Roman" w:hAnsi="Times New Roman"/>
                <w:snapToGrid w:val="0"/>
                <w:color w:val="000000" w:themeColor="text1"/>
                <w:lang w:eastAsia="zh-CN"/>
                <w14:textFill>
                  <w14:solidFill>
                    <w14:schemeClr w14:val="tx1"/>
                  </w14:solidFill>
                </w14:textFill>
              </w:rPr>
              <w:t>清洗</w:t>
            </w:r>
          </w:p>
          <w:p w14:paraId="2F351AC5">
            <w:pPr>
              <w:pStyle w:val="63"/>
              <w:spacing w:line="460" w:lineRule="exact"/>
              <w:rPr>
                <w:rFonts w:hint="eastAsia" w:ascii="Times New Roman" w:hAnsi="Times New Roman"/>
                <w:snapToGrid w:val="0"/>
                <w:color w:val="000000" w:themeColor="text1"/>
                <w:highlight w:val="yellow"/>
                <w:lang w:eastAsia="zh-CN"/>
                <w14:textFill>
                  <w14:solidFill>
                    <w14:schemeClr w14:val="tx1"/>
                  </w14:solidFill>
                </w14:textFill>
              </w:rPr>
            </w:pPr>
            <w:r>
              <w:rPr>
                <w:rFonts w:ascii="Times New Roman" w:hAnsi="Times New Roman"/>
                <w:snapToGrid w:val="0"/>
                <w:color w:val="000000" w:themeColor="text1"/>
                <w:lang w:eastAsia="zh-CN"/>
                <w14:textFill>
                  <w14:solidFill>
                    <w14:schemeClr w14:val="tx1"/>
                  </w14:solidFill>
                </w14:textFill>
              </w:rPr>
              <w:t>进行脱酸处理后的石墨产品由专用泵经管道输送至</w:t>
            </w:r>
            <w:r>
              <w:rPr>
                <w:rFonts w:hint="eastAsia" w:ascii="Times New Roman" w:hAnsi="Times New Roman"/>
                <w:snapToGrid w:val="0"/>
                <w:color w:val="000000" w:themeColor="text1"/>
                <w:lang w:val="en-US" w:eastAsia="zh-CN"/>
                <w14:textFill>
                  <w14:solidFill>
                    <w14:schemeClr w14:val="tx1"/>
                  </w14:solidFill>
                </w14:textFill>
              </w:rPr>
              <w:t>搅拌罐</w:t>
            </w:r>
            <w:r>
              <w:rPr>
                <w:rFonts w:hint="eastAsia" w:ascii="Times New Roman" w:hAnsi="Times New Roman"/>
                <w:snapToGrid w:val="0"/>
                <w:color w:val="000000" w:themeColor="text1"/>
                <w:lang w:eastAsia="zh-CN"/>
                <w14:textFill>
                  <w14:solidFill>
                    <w14:schemeClr w14:val="tx1"/>
                  </w14:solidFill>
                </w14:textFill>
              </w:rPr>
              <w:t>内，加入清水对原料反应过程中残留在石墨产品内的浓硫酸进行清洗，</w:t>
            </w:r>
            <w:r>
              <w:rPr>
                <w:rFonts w:ascii="Times New Roman" w:hAnsi="Times New Roman"/>
                <w:snapToGrid w:val="0"/>
                <w:color w:val="000000" w:themeColor="text1"/>
                <w:lang w:eastAsia="zh-CN"/>
                <w14:textFill>
                  <w14:solidFill>
                    <w14:schemeClr w14:val="tx1"/>
                  </w14:solidFill>
                </w14:textFill>
              </w:rPr>
              <w:t>清洗时间约为</w:t>
            </w:r>
            <w:r>
              <w:rPr>
                <w:rFonts w:hint="eastAsia" w:ascii="Times New Roman" w:hAnsi="Times New Roman"/>
                <w:snapToGrid w:val="0"/>
                <w:color w:val="000000" w:themeColor="text1"/>
                <w:lang w:eastAsia="zh-CN"/>
                <w14:textFill>
                  <w14:solidFill>
                    <w14:schemeClr w14:val="tx1"/>
                  </w14:solidFill>
                </w14:textFill>
              </w:rPr>
              <w:t>半</w:t>
            </w:r>
            <w:r>
              <w:rPr>
                <w:rFonts w:ascii="Times New Roman" w:hAnsi="Times New Roman"/>
                <w:snapToGrid w:val="0"/>
                <w:color w:val="000000" w:themeColor="text1"/>
                <w:lang w:eastAsia="zh-CN"/>
                <w14:textFill>
                  <w14:solidFill>
                    <w14:schemeClr w14:val="tx1"/>
                  </w14:solidFill>
                </w14:textFill>
              </w:rPr>
              <w:t>小时。清洗工</w:t>
            </w:r>
            <w:r>
              <w:rPr>
                <w:rFonts w:ascii="Times New Roman" w:hAnsi="Times New Roman"/>
                <w:snapToGrid w:val="0"/>
                <w:color w:val="000000" w:themeColor="text1"/>
                <w:highlight w:val="none"/>
                <w:lang w:eastAsia="zh-CN"/>
                <w14:textFill>
                  <w14:solidFill>
                    <w14:schemeClr w14:val="tx1"/>
                  </w14:solidFill>
                </w14:textFill>
              </w:rPr>
              <w:t>段产生的酸性废水其酸液浓度为</w:t>
            </w:r>
            <w:r>
              <w:rPr>
                <w:rFonts w:hint="eastAsia" w:ascii="Times New Roman" w:hAnsi="Times New Roman"/>
                <w:snapToGrid w:val="0"/>
                <w:color w:val="000000" w:themeColor="text1"/>
                <w:highlight w:val="none"/>
                <w:lang w:val="en-US" w:eastAsia="zh-CN"/>
                <w14:textFill>
                  <w14:solidFill>
                    <w14:schemeClr w14:val="tx1"/>
                  </w14:solidFill>
                </w14:textFill>
              </w:rPr>
              <w:t>1</w:t>
            </w:r>
            <w:r>
              <w:rPr>
                <w:rFonts w:hint="eastAsia" w:ascii="Times New Roman" w:hAnsi="Times New Roman"/>
                <w:snapToGrid w:val="0"/>
                <w:color w:val="000000" w:themeColor="text1"/>
                <w:highlight w:val="none"/>
                <w:lang w:eastAsia="zh-CN"/>
                <w14:textFill>
                  <w14:solidFill>
                    <w14:schemeClr w14:val="tx1"/>
                  </w14:solidFill>
                </w14:textFill>
              </w:rPr>
              <w:t>0</w:t>
            </w:r>
            <w:r>
              <w:rPr>
                <w:rFonts w:ascii="Times New Roman" w:hAnsi="Times New Roman"/>
                <w:snapToGrid w:val="0"/>
                <w:color w:val="000000" w:themeColor="text1"/>
                <w:highlight w:val="none"/>
                <w:lang w:eastAsia="zh-CN"/>
                <w14:textFill>
                  <w14:solidFill>
                    <w14:schemeClr w14:val="tx1"/>
                  </w14:solidFill>
                </w14:textFill>
              </w:rPr>
              <w:t>%左右，统一收集至</w:t>
            </w:r>
            <w:r>
              <w:rPr>
                <w:rFonts w:hint="eastAsia" w:ascii="Times New Roman" w:hAnsi="Times New Roman"/>
                <w:snapToGrid w:val="0"/>
                <w:color w:val="000000" w:themeColor="text1"/>
                <w:highlight w:val="none"/>
                <w:lang w:eastAsia="zh-CN"/>
                <w14:textFill>
                  <w14:solidFill>
                    <w14:schemeClr w14:val="tx1"/>
                  </w14:solidFill>
                </w14:textFill>
              </w:rPr>
              <w:t>车间</w:t>
            </w:r>
            <w:r>
              <w:rPr>
                <w:rFonts w:ascii="Times New Roman" w:hAnsi="Times New Roman"/>
                <w:snapToGrid w:val="0"/>
                <w:color w:val="000000" w:themeColor="text1"/>
                <w:highlight w:val="none"/>
                <w:lang w:eastAsia="zh-CN"/>
                <w14:textFill>
                  <w14:solidFill>
                    <w14:schemeClr w14:val="tx1"/>
                  </w14:solidFill>
                </w14:textFill>
              </w:rPr>
              <w:t>内</w:t>
            </w:r>
            <w:r>
              <w:rPr>
                <w:rFonts w:hint="eastAsia" w:ascii="Times New Roman" w:hAnsi="Times New Roman"/>
                <w:snapToGrid w:val="0"/>
                <w:color w:val="000000" w:themeColor="text1"/>
                <w:highlight w:val="none"/>
                <w:lang w:val="en-US" w:eastAsia="zh-CN"/>
                <w14:textFill>
                  <w14:solidFill>
                    <w14:schemeClr w14:val="tx1"/>
                  </w14:solidFill>
                </w14:textFill>
              </w:rPr>
              <w:t>污水罐</w:t>
            </w:r>
            <w:r>
              <w:rPr>
                <w:rFonts w:ascii="Times New Roman" w:hAnsi="Times New Roman"/>
                <w:snapToGrid w:val="0"/>
                <w:color w:val="000000" w:themeColor="text1"/>
                <w:highlight w:val="none"/>
                <w:lang w:eastAsia="zh-CN"/>
                <w14:textFill>
                  <w14:solidFill>
                    <w14:schemeClr w14:val="tx1"/>
                  </w14:solidFill>
                </w14:textFill>
              </w:rPr>
              <w:t>，</w:t>
            </w:r>
            <w:r>
              <w:rPr>
                <w:rFonts w:hint="eastAsia" w:ascii="Times New Roman" w:hAnsi="Times New Roman"/>
                <w:snapToGrid w:val="0"/>
                <w:color w:val="000000" w:themeColor="text1"/>
                <w:highlight w:val="none"/>
                <w:lang w:val="en-US" w:eastAsia="zh-CN"/>
                <w14:textFill>
                  <w14:solidFill>
                    <w14:schemeClr w14:val="tx1"/>
                  </w14:solidFill>
                </w14:textFill>
              </w:rPr>
              <w:t>上清液回用于生产，</w:t>
            </w:r>
            <w:r>
              <w:rPr>
                <w:rFonts w:hint="eastAsia" w:ascii="Times New Roman" w:hAnsi="Times New Roman"/>
                <w:snapToGrid w:val="0"/>
                <w:color w:val="000000" w:themeColor="text1"/>
                <w:highlight w:val="none"/>
                <w:lang w:eastAsia="zh-CN"/>
                <w14:textFill>
                  <w14:solidFill>
                    <w14:schemeClr w14:val="tx1"/>
                  </w14:solidFill>
                </w14:textFill>
              </w:rPr>
              <w:t>通过泵将废水打入</w:t>
            </w:r>
            <w:r>
              <w:rPr>
                <w:rFonts w:ascii="Times New Roman" w:hAnsi="Times New Roman"/>
                <w:snapToGrid w:val="0"/>
                <w:color w:val="000000" w:themeColor="text1"/>
                <w:highlight w:val="none"/>
                <w:lang w:eastAsia="zh-CN"/>
                <w14:textFill>
                  <w14:solidFill>
                    <w14:schemeClr w14:val="tx1"/>
                  </w14:solidFill>
                </w14:textFill>
              </w:rPr>
              <w:t>1台压滤机对废水中的浮渣和沉渣进行压滤收集</w:t>
            </w:r>
            <w:r>
              <w:rPr>
                <w:rFonts w:hint="eastAsia" w:ascii="Times New Roman" w:hAnsi="Times New Roman"/>
                <w:snapToGrid w:val="0"/>
                <w:color w:val="000000" w:themeColor="text1"/>
                <w:highlight w:val="none"/>
                <w:lang w:eastAsia="zh-CN"/>
                <w14:textFill>
                  <w14:solidFill>
                    <w14:schemeClr w14:val="tx1"/>
                  </w14:solidFill>
                </w14:textFill>
              </w:rPr>
              <w:t>，收集的浮渣和沉渣为石墨产品，送至烘干工序</w:t>
            </w:r>
            <w:r>
              <w:rPr>
                <w:rFonts w:ascii="Times New Roman" w:hAnsi="Times New Roman"/>
                <w:snapToGrid w:val="0"/>
                <w:color w:val="000000" w:themeColor="text1"/>
                <w:highlight w:val="none"/>
                <w:lang w:eastAsia="zh-CN"/>
                <w14:textFill>
                  <w14:solidFill>
                    <w14:schemeClr w14:val="tx1"/>
                  </w14:solidFill>
                </w14:textFill>
              </w:rPr>
              <w:t>。</w:t>
            </w:r>
            <w:r>
              <w:rPr>
                <w:rFonts w:hint="eastAsia" w:ascii="Times New Roman" w:hAnsi="Times New Roman"/>
                <w:snapToGrid w:val="0"/>
                <w:color w:val="000000" w:themeColor="text1"/>
                <w:highlight w:val="none"/>
                <w:lang w:eastAsia="zh-CN"/>
                <w14:textFill>
                  <w14:solidFill>
                    <w14:schemeClr w14:val="tx1"/>
                  </w14:solidFill>
                </w14:textFill>
              </w:rPr>
              <w:t>酸性</w:t>
            </w:r>
            <w:r>
              <w:rPr>
                <w:rFonts w:ascii="Times New Roman" w:hAnsi="Times New Roman"/>
                <w:snapToGrid w:val="0"/>
                <w:color w:val="000000" w:themeColor="text1"/>
                <w:highlight w:val="none"/>
                <w:lang w:eastAsia="zh-CN"/>
                <w14:textFill>
                  <w14:solidFill>
                    <w14:schemeClr w14:val="tx1"/>
                  </w14:solidFill>
                </w14:textFill>
              </w:rPr>
              <w:t>废水排入</w:t>
            </w:r>
            <w:r>
              <w:rPr>
                <w:rFonts w:hint="eastAsia" w:ascii="Times New Roman" w:hAnsi="Times New Roman"/>
                <w:snapToGrid w:val="0"/>
                <w:color w:val="000000" w:themeColor="text1"/>
                <w:highlight w:val="none"/>
                <w:lang w:val="en-US" w:eastAsia="zh-CN"/>
                <w14:textFill>
                  <w14:solidFill>
                    <w14:schemeClr w14:val="tx1"/>
                  </w14:solidFill>
                </w14:textFill>
              </w:rPr>
              <w:t>3</w:t>
            </w:r>
            <w:r>
              <w:rPr>
                <w:rFonts w:hint="eastAsia" w:ascii="Times New Roman" w:hAnsi="Times New Roman"/>
                <w:snapToGrid w:val="0"/>
                <w:color w:val="000000" w:themeColor="text1"/>
                <w:highlight w:val="none"/>
                <w:lang w:eastAsia="zh-CN"/>
                <w14:textFill>
                  <w14:solidFill>
                    <w14:schemeClr w14:val="tx1"/>
                  </w14:solidFill>
                </w14:textFill>
              </w:rPr>
              <w:t>座30 m</w:t>
            </w:r>
            <w:r>
              <w:rPr>
                <w:rFonts w:hint="eastAsia" w:ascii="Times New Roman" w:hAnsi="Times New Roman"/>
                <w:snapToGrid w:val="0"/>
                <w:color w:val="000000" w:themeColor="text1"/>
                <w:highlight w:val="none"/>
                <w:vertAlign w:val="superscript"/>
                <w:lang w:eastAsia="zh-CN"/>
                <w14:textFill>
                  <w14:solidFill>
                    <w14:schemeClr w14:val="tx1"/>
                  </w14:solidFill>
                </w14:textFill>
              </w:rPr>
              <w:t>3</w:t>
            </w:r>
            <w:r>
              <w:rPr>
                <w:rFonts w:hint="eastAsia" w:ascii="Times New Roman" w:hAnsi="Times New Roman"/>
                <w:snapToGrid w:val="0"/>
                <w:color w:val="000000" w:themeColor="text1"/>
                <w:highlight w:val="none"/>
                <w:lang w:val="en-US" w:eastAsia="zh-CN"/>
                <w14:textFill>
                  <w14:solidFill>
                    <w14:schemeClr w14:val="tx1"/>
                  </w14:solidFill>
                </w14:textFill>
              </w:rPr>
              <w:t>污水罐</w:t>
            </w:r>
            <w:r>
              <w:rPr>
                <w:rFonts w:hint="eastAsia" w:ascii="Times New Roman" w:hAnsi="Times New Roman"/>
                <w:snapToGrid w:val="0"/>
                <w:color w:val="000000" w:themeColor="text1"/>
                <w:highlight w:val="none"/>
                <w:lang w:eastAsia="zh-CN"/>
                <w14:textFill>
                  <w14:solidFill>
                    <w14:schemeClr w14:val="tx1"/>
                  </w14:solidFill>
                </w14:textFill>
              </w:rPr>
              <w:t>进行中和沉淀，中和剂为氧化钙，</w:t>
            </w:r>
            <w:r>
              <w:rPr>
                <w:rFonts w:ascii="Times New Roman" w:hAnsi="Times New Roman"/>
                <w:snapToGrid w:val="0"/>
                <w:color w:val="000000" w:themeColor="text1"/>
                <w:highlight w:val="none"/>
                <w:lang w:eastAsia="zh-CN"/>
                <w14:textFill>
                  <w14:solidFill>
                    <w14:schemeClr w14:val="tx1"/>
                  </w14:solidFill>
                </w14:textFill>
              </w:rPr>
              <w:t>中和后清水进入</w:t>
            </w:r>
            <w:r>
              <w:rPr>
                <w:rFonts w:hint="eastAsia" w:ascii="Times New Roman" w:hAnsi="Times New Roman"/>
                <w:snapToGrid w:val="0"/>
                <w:color w:val="000000" w:themeColor="text1"/>
                <w:highlight w:val="none"/>
                <w:lang w:eastAsia="zh-CN"/>
                <w14:textFill>
                  <w14:solidFill>
                    <w14:schemeClr w14:val="tx1"/>
                  </w14:solidFill>
                </w14:textFill>
              </w:rPr>
              <w:t>30 m</w:t>
            </w:r>
            <w:r>
              <w:rPr>
                <w:rFonts w:hint="eastAsia" w:ascii="Times New Roman" w:hAnsi="Times New Roman"/>
                <w:snapToGrid w:val="0"/>
                <w:color w:val="000000" w:themeColor="text1"/>
                <w:highlight w:val="none"/>
                <w:vertAlign w:val="superscript"/>
                <w:lang w:eastAsia="zh-CN"/>
                <w14:textFill>
                  <w14:solidFill>
                    <w14:schemeClr w14:val="tx1"/>
                  </w14:solidFill>
                </w14:textFill>
              </w:rPr>
              <w:t>3</w:t>
            </w:r>
            <w:r>
              <w:rPr>
                <w:rFonts w:hint="eastAsia" w:ascii="Times New Roman" w:hAnsi="Times New Roman"/>
                <w:snapToGrid w:val="0"/>
                <w:color w:val="000000" w:themeColor="text1"/>
                <w:highlight w:val="none"/>
                <w:lang w:eastAsia="zh-CN"/>
                <w14:textFill>
                  <w14:solidFill>
                    <w14:schemeClr w14:val="tx1"/>
                  </w14:solidFill>
                </w14:textFill>
              </w:rPr>
              <w:t>清水收集池，清水</w:t>
            </w:r>
            <w:r>
              <w:rPr>
                <w:rFonts w:hint="eastAsia" w:ascii="Times New Roman" w:hAnsi="Times New Roman"/>
                <w:snapToGrid w:val="0"/>
                <w:color w:val="000000" w:themeColor="text1"/>
                <w:highlight w:val="none"/>
                <w:lang w:val="en-US" w:eastAsia="zh-CN"/>
                <w14:textFill>
                  <w14:solidFill>
                    <w14:schemeClr w14:val="tx1"/>
                  </w14:solidFill>
                </w14:textFill>
              </w:rPr>
              <w:t>罐</w:t>
            </w:r>
            <w:r>
              <w:rPr>
                <w:rFonts w:ascii="Times New Roman" w:hAnsi="Times New Roman"/>
                <w:snapToGrid w:val="0"/>
                <w:color w:val="000000" w:themeColor="text1"/>
                <w:highlight w:val="none"/>
                <w:lang w:eastAsia="zh-CN"/>
                <w14:textFill>
                  <w14:solidFill>
                    <w14:schemeClr w14:val="tx1"/>
                  </w14:solidFill>
                </w14:textFill>
              </w:rPr>
              <w:t>中废水一部分返回工艺</w:t>
            </w:r>
            <w:r>
              <w:rPr>
                <w:rFonts w:hint="eastAsia" w:ascii="Times New Roman" w:hAnsi="Times New Roman"/>
                <w:snapToGrid w:val="0"/>
                <w:color w:val="000000" w:themeColor="text1"/>
                <w:highlight w:val="none"/>
                <w:lang w:eastAsia="zh-CN"/>
                <w14:textFill>
                  <w14:solidFill>
                    <w14:schemeClr w14:val="tx1"/>
                  </w14:solidFill>
                </w14:textFill>
              </w:rPr>
              <w:t>用作插层</w:t>
            </w:r>
            <w:r>
              <w:rPr>
                <w:rFonts w:ascii="Times New Roman" w:hAnsi="Times New Roman"/>
                <w:snapToGrid w:val="0"/>
                <w:color w:val="000000" w:themeColor="text1"/>
                <w:highlight w:val="none"/>
                <w:lang w:eastAsia="zh-CN"/>
                <w14:textFill>
                  <w14:solidFill>
                    <w14:schemeClr w14:val="tx1"/>
                  </w14:solidFill>
                </w14:textFill>
              </w:rPr>
              <w:t>釜</w:t>
            </w:r>
            <w:r>
              <w:rPr>
                <w:rFonts w:hint="eastAsia" w:ascii="Times New Roman" w:hAnsi="Times New Roman"/>
                <w:snapToGrid w:val="0"/>
                <w:color w:val="000000" w:themeColor="text1"/>
                <w:highlight w:val="none"/>
                <w:lang w:eastAsia="zh-CN"/>
                <w14:textFill>
                  <w14:solidFill>
                    <w14:schemeClr w14:val="tx1"/>
                  </w14:solidFill>
                </w14:textFill>
              </w:rPr>
              <w:t>的</w:t>
            </w:r>
            <w:r>
              <w:rPr>
                <w:rFonts w:ascii="Times New Roman" w:hAnsi="Times New Roman"/>
                <w:snapToGrid w:val="0"/>
                <w:color w:val="000000" w:themeColor="text1"/>
                <w:highlight w:val="none"/>
                <w:lang w:eastAsia="zh-CN"/>
                <w14:textFill>
                  <w14:solidFill>
                    <w14:schemeClr w14:val="tx1"/>
                  </w14:solidFill>
                </w14:textFill>
              </w:rPr>
              <w:t>冷却</w:t>
            </w:r>
            <w:r>
              <w:rPr>
                <w:rFonts w:hint="eastAsia" w:ascii="Times New Roman" w:hAnsi="Times New Roman"/>
                <w:snapToGrid w:val="0"/>
                <w:color w:val="000000" w:themeColor="text1"/>
                <w:highlight w:val="none"/>
                <w:lang w:eastAsia="zh-CN"/>
                <w14:textFill>
                  <w14:solidFill>
                    <w14:schemeClr w14:val="tx1"/>
                  </w14:solidFill>
                </w14:textFill>
              </w:rPr>
              <w:t>、</w:t>
            </w:r>
            <w:r>
              <w:rPr>
                <w:rFonts w:ascii="Times New Roman" w:hAnsi="Times New Roman"/>
                <w:snapToGrid w:val="0"/>
                <w:color w:val="000000" w:themeColor="text1"/>
                <w:highlight w:val="none"/>
                <w:lang w:eastAsia="zh-CN"/>
                <w14:textFill>
                  <w14:solidFill>
                    <w14:schemeClr w14:val="tx1"/>
                  </w14:solidFill>
                </w14:textFill>
              </w:rPr>
              <w:t>产品清洗</w:t>
            </w:r>
            <w:r>
              <w:rPr>
                <w:rFonts w:hint="eastAsia" w:ascii="Times New Roman" w:hAnsi="Times New Roman"/>
                <w:snapToGrid w:val="0"/>
                <w:color w:val="000000" w:themeColor="text1"/>
                <w:highlight w:val="none"/>
                <w:lang w:eastAsia="zh-CN"/>
                <w14:textFill>
                  <w14:solidFill>
                    <w14:schemeClr w14:val="tx1"/>
                  </w14:solidFill>
                </w14:textFill>
              </w:rPr>
              <w:t>，</w:t>
            </w:r>
            <w:r>
              <w:rPr>
                <w:rFonts w:ascii="Times New Roman" w:hAnsi="Times New Roman"/>
                <w:snapToGrid w:val="0"/>
                <w:color w:val="000000" w:themeColor="text1"/>
                <w:highlight w:val="none"/>
                <w:lang w:eastAsia="zh-CN"/>
                <w14:textFill>
                  <w14:solidFill>
                    <w14:schemeClr w14:val="tx1"/>
                  </w14:solidFill>
                </w14:textFill>
              </w:rPr>
              <w:t>一部分达标排入</w:t>
            </w:r>
            <w:r>
              <w:rPr>
                <w:rFonts w:hint="eastAsia" w:ascii="Times New Roman" w:hAnsi="Times New Roman"/>
                <w:snapToGrid w:val="0"/>
                <w:color w:val="000000" w:themeColor="text1"/>
                <w:highlight w:val="none"/>
                <w:lang w:val="en-US" w:eastAsia="zh-CN"/>
                <w14:textFill>
                  <w14:solidFill>
                    <w14:schemeClr w14:val="tx1"/>
                  </w14:solidFill>
                </w14:textFill>
              </w:rPr>
              <w:t>下水管网，经四平市污水处理厂处理后排入条子河</w:t>
            </w:r>
            <w:r>
              <w:rPr>
                <w:rFonts w:hint="eastAsia" w:ascii="Times New Roman" w:hAnsi="Times New Roman"/>
                <w:snapToGrid w:val="0"/>
                <w:color w:val="000000" w:themeColor="text1"/>
                <w:highlight w:val="none"/>
                <w:lang w:eastAsia="zh-CN"/>
                <w14:textFill>
                  <w14:solidFill>
                    <w14:schemeClr w14:val="tx1"/>
                  </w14:solidFill>
                </w14:textFill>
              </w:rPr>
              <w:t>。</w:t>
            </w:r>
          </w:p>
          <w:p w14:paraId="5AA223BA">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rFonts w:hint="eastAsia" w:ascii="Times New Roman" w:hAnsi="Times New Roman"/>
                <w:snapToGrid w:val="0"/>
                <w:color w:val="000000" w:themeColor="text1"/>
                <w:lang w:eastAsia="zh-CN"/>
                <w14:textFill>
                  <w14:solidFill>
                    <w14:schemeClr w14:val="tx1"/>
                  </w14:solidFill>
                </w14:textFill>
              </w:rPr>
              <w:t>清洗过程中由于大量清水的注入使得</w:t>
            </w:r>
            <w:r>
              <w:rPr>
                <w:rFonts w:ascii="Times New Roman" w:hAnsi="Times New Roman"/>
                <w:snapToGrid w:val="0"/>
                <w:color w:val="000000" w:themeColor="text1"/>
                <w:lang w:eastAsia="zh-CN"/>
                <w14:textFill>
                  <w14:solidFill>
                    <w14:schemeClr w14:val="tx1"/>
                  </w14:solidFill>
                </w14:textFill>
              </w:rPr>
              <w:t>石墨产品</w:t>
            </w:r>
            <w:r>
              <w:rPr>
                <w:rFonts w:hint="eastAsia" w:ascii="Times New Roman" w:hAnsi="Times New Roman"/>
                <w:snapToGrid w:val="0"/>
                <w:color w:val="000000" w:themeColor="text1"/>
                <w:lang w:eastAsia="zh-CN"/>
                <w14:textFill>
                  <w14:solidFill>
                    <w14:schemeClr w14:val="tx1"/>
                  </w14:solidFill>
                </w14:textFill>
              </w:rPr>
              <w:t>中附带的浓硫酸被稀释，硫酸有很大的稀释热，会造成强烈的局部高温而使水汽化，部分硫酸会随水分的蒸发而进入空气中，因此，清洗工段会产生少量硫酸雾</w:t>
            </w:r>
            <w:r>
              <w:rPr>
                <w:rFonts w:hint="eastAsia" w:ascii="Times New Roman" w:hAnsi="Times New Roman"/>
                <w:snapToGrid w:val="0"/>
                <w:color w:val="000000" w:themeColor="text1"/>
                <w:lang w:val="en-US" w:eastAsia="zh-CN"/>
                <w14:textFill>
                  <w14:solidFill>
                    <w14:schemeClr w14:val="tx1"/>
                  </w14:solidFill>
                </w14:textFill>
              </w:rPr>
              <w:t>无组织排放</w:t>
            </w:r>
            <w:r>
              <w:rPr>
                <w:rFonts w:hint="eastAsia" w:ascii="Times New Roman" w:hAnsi="Times New Roman"/>
                <w:snapToGrid w:val="0"/>
                <w:color w:val="000000" w:themeColor="text1"/>
                <w:lang w:eastAsia="zh-CN"/>
                <w14:textFill>
                  <w14:solidFill>
                    <w14:schemeClr w14:val="tx1"/>
                  </w14:solidFill>
                </w14:textFill>
              </w:rPr>
              <w:t>。</w:t>
            </w:r>
          </w:p>
          <w:p w14:paraId="2675B01D">
            <w:pPr>
              <w:pStyle w:val="63"/>
              <w:spacing w:line="460" w:lineRule="exact"/>
              <w:rPr>
                <w:rFonts w:ascii="Times New Roman" w:hAnsi="Times New Roman"/>
                <w:snapToGrid w:val="0"/>
                <w:color w:val="000000" w:themeColor="text1"/>
                <w:lang w:eastAsia="zh-CN"/>
                <w14:textFill>
                  <w14:solidFill>
                    <w14:schemeClr w14:val="tx1"/>
                  </w14:solidFill>
                </w14:textFill>
              </w:rPr>
            </w:pPr>
            <w:r>
              <w:rPr>
                <w:rFonts w:hint="eastAsia" w:cs="宋体"/>
                <w:snapToGrid w:val="0"/>
                <w:color w:val="000000" w:themeColor="text1"/>
                <w:lang w:eastAsia="zh-CN"/>
                <w14:textFill>
                  <w14:solidFill>
                    <w14:schemeClr w14:val="tx1"/>
                  </w14:solidFill>
                </w14:textFill>
              </w:rPr>
              <w:t>⑤</w:t>
            </w:r>
            <w:r>
              <w:rPr>
                <w:rFonts w:ascii="Times New Roman" w:hAnsi="Times New Roman"/>
                <w:snapToGrid w:val="0"/>
                <w:color w:val="000000" w:themeColor="text1"/>
                <w:lang w:eastAsia="zh-CN"/>
                <w14:textFill>
                  <w14:solidFill>
                    <w14:schemeClr w14:val="tx1"/>
                  </w14:solidFill>
                </w14:textFill>
              </w:rPr>
              <w:t>压滤</w:t>
            </w:r>
          </w:p>
          <w:p w14:paraId="588215BE">
            <w:pPr>
              <w:pStyle w:val="63"/>
              <w:spacing w:line="460" w:lineRule="exact"/>
              <w:rPr>
                <w:rFonts w:ascii="Times New Roman" w:hAnsi="Times New Roman"/>
                <w:snapToGrid w:val="0"/>
                <w:color w:val="000000" w:themeColor="text1"/>
                <w:highlight w:val="yellow"/>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经过清洗的石墨产品由密闭管道输送至压滤机内，进行脱水处理，在压滤过程中通过pH试纸测定</w:t>
            </w:r>
            <w:r>
              <w:rPr>
                <w:rFonts w:ascii="Times New Roman" w:hAnsi="Times New Roman"/>
                <w:snapToGrid w:val="0"/>
                <w:color w:val="000000" w:themeColor="text1"/>
                <w:lang w:eastAsia="zh-CN"/>
                <w14:textFill>
                  <w14:solidFill>
                    <w14:schemeClr w14:val="tx1"/>
                  </w14:solidFill>
                </w14:textFill>
              </w:rPr>
              <w:t>石墨酸碱度是否符合要求，对于不符合要求的产品可通过密闭管道返回清洗罐内再次清洗。进入压滤机的石墨产品为糊状物，经过脱水作业后，石墨产品的含水率下降至20~30%。</w:t>
            </w:r>
            <w:r>
              <w:rPr>
                <w:rFonts w:hint="eastAsia" w:ascii="Times New Roman" w:hAnsi="Times New Roman"/>
                <w:snapToGrid w:val="0"/>
                <w:color w:val="000000" w:themeColor="text1"/>
                <w:highlight w:val="none"/>
                <w:lang w:eastAsia="zh-CN"/>
                <w14:textFill>
                  <w14:solidFill>
                    <w14:schemeClr w14:val="tx1"/>
                  </w14:solidFill>
                </w14:textFill>
              </w:rPr>
              <w:t>压滤产生的废水排入厂内</w:t>
            </w:r>
            <w:r>
              <w:rPr>
                <w:rFonts w:hint="eastAsia" w:ascii="Times New Roman" w:hAnsi="Times New Roman"/>
                <w:snapToGrid w:val="0"/>
                <w:color w:val="000000" w:themeColor="text1"/>
                <w:highlight w:val="none"/>
                <w:lang w:val="en-US" w:eastAsia="zh-CN"/>
                <w14:textFill>
                  <w14:solidFill>
                    <w14:schemeClr w14:val="tx1"/>
                  </w14:solidFill>
                </w14:textFill>
              </w:rPr>
              <w:t>污水罐</w:t>
            </w:r>
            <w:r>
              <w:rPr>
                <w:rFonts w:hint="eastAsia" w:ascii="Times New Roman" w:hAnsi="Times New Roman"/>
                <w:snapToGrid w:val="0"/>
                <w:color w:val="000000" w:themeColor="text1"/>
                <w:highlight w:val="none"/>
                <w:lang w:eastAsia="zh-CN"/>
                <w14:textFill>
                  <w14:solidFill>
                    <w14:schemeClr w14:val="tx1"/>
                  </w14:solidFill>
                </w14:textFill>
              </w:rPr>
              <w:t>。</w:t>
            </w:r>
          </w:p>
          <w:p w14:paraId="2D553353">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rFonts w:hint="eastAsia" w:ascii="Times New Roman" w:hAnsi="Times New Roman"/>
                <w:snapToGrid w:val="0"/>
                <w:color w:val="000000" w:themeColor="text1"/>
                <w:lang w:eastAsia="zh-CN"/>
                <w14:textFill>
                  <w14:solidFill>
                    <w14:schemeClr w14:val="tx1"/>
                  </w14:solidFill>
                </w14:textFill>
              </w:rPr>
              <w:t>⑥烘干</w:t>
            </w:r>
          </w:p>
          <w:p w14:paraId="3BEA9F71">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rFonts w:hint="eastAsia" w:ascii="Times New Roman" w:hAnsi="Times New Roman"/>
                <w:snapToGrid w:val="0"/>
                <w:color w:val="000000" w:themeColor="text1"/>
                <w:lang w:eastAsia="zh-CN"/>
                <w14:textFill>
                  <w14:solidFill>
                    <w14:schemeClr w14:val="tx1"/>
                  </w14:solidFill>
                </w14:textFill>
              </w:rPr>
              <w:t>脱水后的石墨产品送至由导热油加热的烘干锅内进行烘干作业，导热油由天然气加热炉加热，烘干锅温度控制在</w:t>
            </w:r>
            <w:r>
              <w:rPr>
                <w:rFonts w:ascii="Times New Roman" w:hAnsi="Times New Roman"/>
                <w:snapToGrid w:val="0"/>
                <w:color w:val="000000" w:themeColor="text1"/>
                <w:lang w:eastAsia="zh-CN"/>
                <w14:textFill>
                  <w14:solidFill>
                    <w14:schemeClr w14:val="tx1"/>
                  </w14:solidFill>
                </w14:textFill>
              </w:rPr>
              <w:t>70</w:t>
            </w:r>
            <w:r>
              <w:rPr>
                <w:rFonts w:hint="eastAsia" w:ascii="Times New Roman" w:hAnsi="Times New Roman"/>
                <w:snapToGrid w:val="0"/>
                <w:color w:val="000000" w:themeColor="text1"/>
                <w:lang w:eastAsia="zh-CN"/>
                <w14:textFill>
                  <w14:solidFill>
                    <w14:schemeClr w14:val="tx1"/>
                  </w14:solidFill>
                </w14:textFill>
              </w:rPr>
              <w:t>℃，最终将石墨产品的含水率控制在</w:t>
            </w:r>
            <w:r>
              <w:rPr>
                <w:rFonts w:ascii="Times New Roman" w:hAnsi="Times New Roman"/>
                <w:snapToGrid w:val="0"/>
                <w:color w:val="000000" w:themeColor="text1"/>
                <w:lang w:eastAsia="zh-CN"/>
                <w14:textFill>
                  <w14:solidFill>
                    <w14:schemeClr w14:val="tx1"/>
                  </w14:solidFill>
                </w14:textFill>
              </w:rPr>
              <w:t>1%</w:t>
            </w:r>
            <w:r>
              <w:rPr>
                <w:rFonts w:hint="eastAsia" w:ascii="Times New Roman" w:hAnsi="Times New Roman"/>
                <w:snapToGrid w:val="0"/>
                <w:color w:val="000000" w:themeColor="text1"/>
                <w:lang w:eastAsia="zh-CN"/>
                <w14:textFill>
                  <w14:solidFill>
                    <w14:schemeClr w14:val="tx1"/>
                  </w14:solidFill>
                </w14:textFill>
              </w:rPr>
              <w:t>之内</w:t>
            </w:r>
            <w:r>
              <w:rPr>
                <w:rFonts w:ascii="Times New Roman" w:hAnsi="Times New Roman"/>
                <w:snapToGrid w:val="0"/>
                <w:color w:val="000000" w:themeColor="text1"/>
                <w:lang w:eastAsia="zh-CN"/>
                <w14:textFill>
                  <w14:solidFill>
                    <w14:schemeClr w14:val="tx1"/>
                  </w14:solidFill>
                </w14:textFill>
              </w:rPr>
              <w:t>。</w:t>
            </w:r>
          </w:p>
          <w:p w14:paraId="01CE6917">
            <w:pPr>
              <w:pStyle w:val="62"/>
              <w:numPr>
                <w:ilvl w:val="0"/>
                <w:numId w:val="0"/>
              </w:numPr>
              <w:spacing w:beforeLines="0" w:afterLines="0" w:line="460" w:lineRule="exact"/>
              <w:ind w:firstLine="480" w:firstLineChars="200"/>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⑦筛分包装</w:t>
            </w:r>
          </w:p>
          <w:p w14:paraId="5C56174B">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烘干后的可膨胀石墨产品装入吨包袋，然后由叉车送至振动筛分机内进行筛分，筛分过程主要是去除产品中不符合规格的石墨产品。经过筛分处理的可膨胀石墨即为成品，收</w:t>
            </w:r>
            <w:r>
              <w:rPr>
                <w:rFonts w:hint="eastAsia" w:ascii="Times New Roman" w:hAnsi="Times New Roman"/>
                <w:snapToGrid w:val="0"/>
                <w:color w:val="000000" w:themeColor="text1"/>
                <w:lang w:eastAsia="zh-CN"/>
                <w14:textFill>
                  <w14:solidFill>
                    <w14:schemeClr w14:val="tx1"/>
                  </w14:solidFill>
                </w14:textFill>
              </w:rPr>
              <w:t>集至包装袋内输送至成品库暂存待售。</w:t>
            </w:r>
            <w:r>
              <w:rPr>
                <w:rFonts w:ascii="Times New Roman" w:hAnsi="Times New Roman"/>
                <w:snapToGrid w:val="0"/>
                <w:color w:val="000000" w:themeColor="text1"/>
                <w:lang w:eastAsia="zh-CN"/>
                <w14:textFill>
                  <w14:solidFill>
                    <w14:schemeClr w14:val="tx1"/>
                  </w14:solidFill>
                </w14:textFill>
              </w:rPr>
              <w:t>筛分过程中</w:t>
            </w:r>
            <w:r>
              <w:rPr>
                <w:rFonts w:hint="eastAsia" w:ascii="Times New Roman" w:hAnsi="Times New Roman"/>
                <w:snapToGrid w:val="0"/>
                <w:color w:val="000000" w:themeColor="text1"/>
                <w:lang w:eastAsia="zh-CN"/>
                <w14:textFill>
                  <w14:solidFill>
                    <w14:schemeClr w14:val="tx1"/>
                  </w14:solidFill>
                </w14:textFill>
              </w:rPr>
              <w:t>产生</w:t>
            </w:r>
            <w:r>
              <w:rPr>
                <w:rFonts w:ascii="Times New Roman" w:hAnsi="Times New Roman"/>
                <w:snapToGrid w:val="0"/>
                <w:color w:val="000000" w:themeColor="text1"/>
                <w:lang w:eastAsia="zh-CN"/>
                <w14:textFill>
                  <w14:solidFill>
                    <w14:schemeClr w14:val="tx1"/>
                  </w14:solidFill>
                </w14:textFill>
              </w:rPr>
              <w:t>的</w:t>
            </w:r>
            <w:r>
              <w:rPr>
                <w:rFonts w:hint="eastAsia" w:ascii="Times New Roman" w:hAnsi="Times New Roman"/>
                <w:snapToGrid w:val="0"/>
                <w:color w:val="000000" w:themeColor="text1"/>
                <w:lang w:eastAsia="zh-CN"/>
                <w14:textFill>
                  <w14:solidFill>
                    <w14:schemeClr w14:val="tx1"/>
                  </w14:solidFill>
                </w14:textFill>
              </w:rPr>
              <w:t>含</w:t>
            </w:r>
            <w:r>
              <w:rPr>
                <w:rFonts w:ascii="Times New Roman" w:hAnsi="Times New Roman"/>
                <w:snapToGrid w:val="0"/>
                <w:color w:val="000000" w:themeColor="text1"/>
                <w:lang w:eastAsia="zh-CN"/>
                <w14:textFill>
                  <w14:solidFill>
                    <w14:schemeClr w14:val="tx1"/>
                  </w14:solidFill>
                </w14:textFill>
              </w:rPr>
              <w:t>尘</w:t>
            </w:r>
            <w:r>
              <w:rPr>
                <w:rFonts w:hint="eastAsia" w:ascii="Times New Roman" w:hAnsi="Times New Roman"/>
                <w:snapToGrid w:val="0"/>
                <w:color w:val="000000" w:themeColor="text1"/>
                <w:lang w:eastAsia="zh-CN"/>
                <w14:textFill>
                  <w14:solidFill>
                    <w14:schemeClr w14:val="tx1"/>
                  </w14:solidFill>
                </w14:textFill>
              </w:rPr>
              <w:t>废气设集气罩引入配套的一套布袋除尘器处理后由15m专用排气筒排放，收集的粉尘为可膨胀石墨产品。</w:t>
            </w:r>
          </w:p>
          <w:p w14:paraId="1884C30B">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17632" behindDoc="0" locked="0" layoutInCell="1" allowOverlap="1">
                      <wp:simplePos x="0" y="0"/>
                      <wp:positionH relativeFrom="column">
                        <wp:posOffset>1049020</wp:posOffset>
                      </wp:positionH>
                      <wp:positionV relativeFrom="paragraph">
                        <wp:posOffset>10795</wp:posOffset>
                      </wp:positionV>
                      <wp:extent cx="807085" cy="273050"/>
                      <wp:effectExtent l="4445" t="5080" r="13970" b="13970"/>
                      <wp:wrapNone/>
                      <wp:docPr id="78" name="矩形 78"/>
                      <wp:cNvGraphicFramePr/>
                      <a:graphic xmlns:a="http://schemas.openxmlformats.org/drawingml/2006/main">
                        <a:graphicData uri="http://schemas.microsoft.com/office/word/2010/wordprocessingShape">
                          <wps:wsp>
                            <wps:cNvSpPr/>
                            <wps:spPr>
                              <a:xfrm>
                                <a:off x="2252980" y="5794375"/>
                                <a:ext cx="80708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036373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硫酸罐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6pt;margin-top:0.85pt;height:21.5pt;width:63.55pt;z-index:251717632;v-text-anchor:middle;mso-width-relative:page;mso-height-relative:page;" filled="f" stroked="t" coordsize="21600,21600" o:gfxdata="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xdyiNcAAAAIAQAADwAAAAAAAAABACAAAAAiAAAAZHJzL2Rvd25y&#10;ZXYueG1sUEsBAhQAFAAAAAgAh07iQBDaYVRxAgAAywQAAA4AAAAAAAAAAQAgAAAAJgEAAGRycy9l&#10;Mm9Eb2MueG1sUEsFBgAAAAAGAAYAWQEAAAkGAAAAAA==&#10;">
                      <v:fill on="f" focussize="0,0"/>
                      <v:stroke weight="0.25pt" color="#000000 [3213]" joinstyle="round"/>
                      <v:imagedata o:title=""/>
                      <o:lock v:ext="edit" aspectratio="f"/>
                      <v:textbox>
                        <w:txbxContent>
                          <w:p w14:paraId="6036373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硫酸罐</w:t>
                            </w:r>
                          </w:p>
                        </w:txbxContent>
                      </v:textbox>
                    </v:rect>
                  </w:pict>
                </mc:Fallback>
              </mc:AlternateContent>
            </w:r>
            <w:r>
              <w:rPr>
                <w:sz w:val="24"/>
              </w:rPr>
              <mc:AlternateContent>
                <mc:Choice Requires="wps">
                  <w:drawing>
                    <wp:anchor distT="0" distB="0" distL="114300" distR="114300" simplePos="0" relativeHeight="251736064" behindDoc="0" locked="0" layoutInCell="1" allowOverlap="1">
                      <wp:simplePos x="0" y="0"/>
                      <wp:positionH relativeFrom="column">
                        <wp:posOffset>2230120</wp:posOffset>
                      </wp:positionH>
                      <wp:positionV relativeFrom="paragraph">
                        <wp:posOffset>46990</wp:posOffset>
                      </wp:positionV>
                      <wp:extent cx="1144905" cy="273050"/>
                      <wp:effectExtent l="0" t="0" r="0" b="0"/>
                      <wp:wrapNone/>
                      <wp:docPr id="99" name="矩形 99"/>
                      <wp:cNvGraphicFramePr/>
                      <a:graphic xmlns:a="http://schemas.openxmlformats.org/drawingml/2006/main">
                        <a:graphicData uri="http://schemas.microsoft.com/office/word/2010/wordprocessingShape">
                          <wps:wsp>
                            <wps:cNvSpPr/>
                            <wps:spPr>
                              <a:xfrm>
                                <a:off x="0" y="0"/>
                                <a:ext cx="1144905" cy="273050"/>
                              </a:xfrm>
                              <a:prstGeom prst="rect">
                                <a:avLst/>
                              </a:prstGeom>
                              <a:noFill/>
                              <a:ln w="3175">
                                <a:noFill/>
                                <a:prstDash val="sysDash"/>
                              </a:ln>
                            </wps:spPr>
                            <wps:style>
                              <a:lnRef idx="2">
                                <a:schemeClr val="accent1">
                                  <a:lumMod val="75000"/>
                                </a:schemeClr>
                              </a:lnRef>
                              <a:fillRef idx="1">
                                <a:schemeClr val="accent1"/>
                              </a:fillRef>
                              <a:effectRef idx="0">
                                <a:srgbClr val="FFFFFF"/>
                              </a:effectRef>
                              <a:fontRef idx="minor">
                                <a:schemeClr val="lt1"/>
                              </a:fontRef>
                            </wps:style>
                            <wps:txbx>
                              <w:txbxContent>
                                <w:p w14:paraId="34321051">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酸雾（无组织）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6pt;margin-top:3.7pt;height:21.5pt;width:90.15pt;z-index:251736064;v-text-anchor:middle;mso-width-relative:page;mso-height-relative:page;" filled="f" stroked="f" coordsize="21600,21600" o:gfxdata="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LZ9y/XAAAACAEA&#10;AA8AAAAAAAAAAQAgAAAAIgAAAGRycy9kb3ducmV2LnhtbFBLAQIUABQAAAAIAIdO4kDpRWi/VAIA&#10;AJkEAAAOAAAAAAAAAAEAIAAAACYBAABkcnMvZTJvRG9jLnhtbFBLBQYAAAAABgAGAFkBAADsBQAA&#10;AAA=&#10;">
                      <v:fill on="f" focussize="0,0"/>
                      <v:stroke on="f" weight="0.25pt" dashstyle="3 1"/>
                      <v:imagedata o:title=""/>
                      <o:lock v:ext="edit" aspectratio="f"/>
                      <v:textbox>
                        <w:txbxContent>
                          <w:p w14:paraId="34321051">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酸雾（无组织）</w:t>
                            </w:r>
                          </w:p>
                        </w:txbxContent>
                      </v:textbox>
                    </v:rect>
                  </w:pict>
                </mc:Fallback>
              </mc:AlternateContent>
            </w:r>
            <w:r>
              <w:rPr>
                <w:sz w:val="24"/>
              </w:rPr>
              <mc:AlternateContent>
                <mc:Choice Requires="wps">
                  <w:drawing>
                    <wp:anchor distT="0" distB="0" distL="114300" distR="114300" simplePos="0" relativeHeight="251735040" behindDoc="0" locked="0" layoutInCell="1" allowOverlap="1">
                      <wp:simplePos x="0" y="0"/>
                      <wp:positionH relativeFrom="column">
                        <wp:posOffset>1868170</wp:posOffset>
                      </wp:positionH>
                      <wp:positionV relativeFrom="paragraph">
                        <wp:posOffset>170815</wp:posOffset>
                      </wp:positionV>
                      <wp:extent cx="368300" cy="3175"/>
                      <wp:effectExtent l="0" t="46990" r="0" b="51435"/>
                      <wp:wrapNone/>
                      <wp:docPr id="98" name="直接箭头连接符 98"/>
                      <wp:cNvGraphicFramePr/>
                      <a:graphic xmlns:a="http://schemas.openxmlformats.org/drawingml/2006/main">
                        <a:graphicData uri="http://schemas.microsoft.com/office/word/2010/wordprocessingShape">
                          <wps:wsp>
                            <wps:cNvCnPr/>
                            <wps:spPr>
                              <a:xfrm>
                                <a:off x="0" y="0"/>
                                <a:ext cx="368300" cy="317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47.1pt;margin-top:13.45pt;height:0.25pt;width:29pt;z-index:251735040;mso-width-relative:page;mso-height-relative:page;" filled="f" stroked="t" coordsize="21600,21600" o:gfxdata="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dV93bYAAAACQEAAA8AAAAAAAAAAQAgAAAAIgAAAGRy&#10;cy9kb3ducmV2LnhtbFBLAQIUABQAAAAIAIdO4kBt9cERBQIAANwDAAAOAAAAAAAAAAEAIAAAACcB&#10;AABkcnMvZTJvRG9jLnhtbFBLBQYAAAAABgAGAFkBAACeBQAAAAA=&#10;">
                      <v:fill on="f" focussize="0,0"/>
                      <v:stroke color="#000000 [3213]" joinstyle="round" dashstyle="dash" endarrow="open"/>
                      <v:imagedata o:title=""/>
                      <o:lock v:ext="edit" aspectratio="f"/>
                    </v:shape>
                  </w:pict>
                </mc:Fallback>
              </mc:AlternateContent>
            </w:r>
          </w:p>
          <w:p w14:paraId="436416CC">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19680" behindDoc="0" locked="0" layoutInCell="1" allowOverlap="1">
                      <wp:simplePos x="0" y="0"/>
                      <wp:positionH relativeFrom="column">
                        <wp:posOffset>979170</wp:posOffset>
                      </wp:positionH>
                      <wp:positionV relativeFrom="paragraph">
                        <wp:posOffset>218440</wp:posOffset>
                      </wp:positionV>
                      <wp:extent cx="1035050" cy="273050"/>
                      <wp:effectExtent l="4445" t="5080" r="14605" b="13970"/>
                      <wp:wrapNone/>
                      <wp:docPr id="80" name="矩形 80"/>
                      <wp:cNvGraphicFramePr/>
                      <a:graphic xmlns:a="http://schemas.openxmlformats.org/drawingml/2006/main">
                        <a:graphicData uri="http://schemas.microsoft.com/office/word/2010/wordprocessingShape">
                          <wps:wsp>
                            <wps:cNvSpPr/>
                            <wps:spPr>
                              <a:xfrm>
                                <a:off x="0" y="0"/>
                                <a:ext cx="1035050"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02E1FE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浓硫酸（98%）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1pt;margin-top:17.2pt;height:21.5pt;width:81.5pt;z-index:251719680;v-text-anchor:middle;mso-width-relative:page;mso-height-relative:page;" filled="f" stroked="t" coordsize="21600,21600" o:gfxdata="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R1jyn1wAAAAkBAAAPAAAAAAAAAAEAIAAAACIAAABkcnMvZG93bnJldi54bWxQSwECFAAUAAAA&#10;CACHTuJAjXKFfWECAADABAAADgAAAAAAAAABACAAAAAmAQAAZHJzL2Uyb0RvYy54bWxQSwUGAAAA&#10;AAYABgBZAQAA+QUAAAAA&#10;">
                      <v:fill on="f" focussize="0,0"/>
                      <v:stroke weight="0.25pt" color="#000000 [3213]" joinstyle="round"/>
                      <v:imagedata o:title=""/>
                      <o:lock v:ext="edit" aspectratio="f"/>
                      <v:textbox>
                        <w:txbxContent>
                          <w:p w14:paraId="202E1FE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浓硫酸（98%）</w:t>
                            </w:r>
                          </w:p>
                        </w:txbxContent>
                      </v:textbox>
                    </v:rect>
                  </w:pict>
                </mc:Fallback>
              </mc:AlternateContent>
            </w:r>
            <w:r>
              <w:rPr>
                <w:sz w:val="24"/>
              </w:rPr>
              <mc:AlternateContent>
                <mc:Choice Requires="wps">
                  <w:drawing>
                    <wp:anchor distT="0" distB="0" distL="114300" distR="114300" simplePos="0" relativeHeight="251718656" behindDoc="0" locked="0" layoutInCell="1" allowOverlap="1">
                      <wp:simplePos x="0" y="0"/>
                      <wp:positionH relativeFrom="column">
                        <wp:posOffset>1452880</wp:posOffset>
                      </wp:positionH>
                      <wp:positionV relativeFrom="paragraph">
                        <wp:posOffset>8890</wp:posOffset>
                      </wp:positionV>
                      <wp:extent cx="2540" cy="196850"/>
                      <wp:effectExtent l="47625" t="0" r="51435" b="6350"/>
                      <wp:wrapNone/>
                      <wp:docPr id="79" name="直接箭头连接符 79"/>
                      <wp:cNvGraphicFramePr/>
                      <a:graphic xmlns:a="http://schemas.openxmlformats.org/drawingml/2006/main">
                        <a:graphicData uri="http://schemas.microsoft.com/office/word/2010/wordprocessingShape">
                          <wps:wsp>
                            <wps:cNvCnPr/>
                            <wps:spPr>
                              <a:xfrm>
                                <a:off x="2656840" y="6067425"/>
                                <a:ext cx="2540" cy="19685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4.4pt;margin-top:0.7pt;height:15.5pt;width:0.2pt;z-index:251718656;mso-width-relative:page;mso-height-relative:page;" filled="f" stroked="t" coordsize="21600,21600" o:gfxdata="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U1GgnXAAAACAEAAA8AAAAAAAAAAQAgAAAAIgAA&#10;AGRycy9kb3ducmV2LnhtbFBLAQIUABQAAAAIAIdO4kCeknLRCQIAANcDAAAOAAAAAAAAAAEAIAAA&#10;ACYBAABkcnMvZTJvRG9jLnhtbFBLBQYAAAAABgAGAFkBAAChBQAAAAA=&#10;">
                      <v:fill on="f" focussize="0,0"/>
                      <v:stroke weight="0.25pt" color="#000000 [3213]" joinstyle="round" endarrow="open"/>
                      <v:imagedata o:title=""/>
                      <o:lock v:ext="edit" aspectratio="f"/>
                    </v:shape>
                  </w:pict>
                </mc:Fallback>
              </mc:AlternateContent>
            </w:r>
          </w:p>
          <w:p w14:paraId="557B5B9A">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20704" behindDoc="0" locked="0" layoutInCell="1" allowOverlap="1">
                      <wp:simplePos x="0" y="0"/>
                      <wp:positionH relativeFrom="column">
                        <wp:posOffset>1427480</wp:posOffset>
                      </wp:positionH>
                      <wp:positionV relativeFrom="paragraph">
                        <wp:posOffset>205740</wp:posOffset>
                      </wp:positionV>
                      <wp:extent cx="2540" cy="196850"/>
                      <wp:effectExtent l="47625" t="0" r="51435" b="6350"/>
                      <wp:wrapNone/>
                      <wp:docPr id="81" name="直接箭头连接符 81"/>
                      <wp:cNvGraphicFramePr/>
                      <a:graphic xmlns:a="http://schemas.openxmlformats.org/drawingml/2006/main">
                        <a:graphicData uri="http://schemas.microsoft.com/office/word/2010/wordprocessingShape">
                          <wps:wsp>
                            <wps:cNvCnPr/>
                            <wps:spPr>
                              <a:xfrm>
                                <a:off x="0" y="0"/>
                                <a:ext cx="2540" cy="19685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2.4pt;margin-top:16.2pt;height:15.5pt;width:0.2pt;z-index:251720704;mso-width-relative:page;mso-height-relative:page;" filled="f" stroked="t" coordsize="21600,21600" o:gfxdata="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wAPUbZAAAACQEAAA8AAAAAAAAAAQAgAAAAIgAAAGRycy9kb3ducmV2&#10;LnhtbFBLAQIUABQAAAAIAIdO4kClpmXO+wEAAMsDAAAOAAAAAAAAAAEAIAAAACgBAABkcnMvZTJv&#10;RG9jLnhtbFBLBQYAAAAABgAGAFkBAACVBQAAAAA=&#10;">
                      <v:fill on="f" focussize="0,0"/>
                      <v:stroke weight="0.25pt" color="#000000 [3213]" joinstyle="round" endarrow="open"/>
                      <v:imagedata o:title=""/>
                      <o:lock v:ext="edit" aspectratio="f"/>
                    </v:shape>
                  </w:pict>
                </mc:Fallback>
              </mc:AlternateContent>
            </w:r>
          </w:p>
          <w:p w14:paraId="2D87BFB8">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27872" behindDoc="0" locked="0" layoutInCell="1" allowOverlap="1">
                      <wp:simplePos x="0" y="0"/>
                      <wp:positionH relativeFrom="column">
                        <wp:posOffset>3034030</wp:posOffset>
                      </wp:positionH>
                      <wp:positionV relativeFrom="paragraph">
                        <wp:posOffset>162560</wp:posOffset>
                      </wp:positionV>
                      <wp:extent cx="1149985" cy="273050"/>
                      <wp:effectExtent l="0" t="0" r="0" b="0"/>
                      <wp:wrapNone/>
                      <wp:docPr id="88" name="矩形 88"/>
                      <wp:cNvGraphicFramePr/>
                      <a:graphic xmlns:a="http://schemas.openxmlformats.org/drawingml/2006/main">
                        <a:graphicData uri="http://schemas.microsoft.com/office/word/2010/wordprocessingShape">
                          <wps:wsp>
                            <wps:cNvSpPr/>
                            <wps:spPr>
                              <a:xfrm>
                                <a:off x="0" y="0"/>
                                <a:ext cx="1149985"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6E5584A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磷片石墨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9pt;margin-top:12.8pt;height:21.5pt;width:90.55pt;z-index:251727872;v-text-anchor:middle;mso-width-relative:page;mso-height-relative:page;" filled="f" stroked="f" coordsize="21600,21600" o:gfxdata="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RshM9kAAAAJ&#10;AQAADwAAAAAAAAABACAAAAAiAAAAZHJzL2Rvd25yZXYueG1sUEsBAhQAFAAAAAgAh07iQDubSlNU&#10;AgAAlwQAAA4AAAAAAAAAAQAgAAAAKAEAAGRycy9lMm9Eb2MueG1sUEsFBgAAAAAGAAYAWQEAAO4F&#10;AAAAAA==&#10;">
                      <v:fill on="f" focussize="0,0"/>
                      <v:stroke on="f" weight="0.25pt"/>
                      <v:imagedata o:title=""/>
                      <o:lock v:ext="edit" aspectratio="f"/>
                      <v:textbox>
                        <w:txbxContent>
                          <w:p w14:paraId="6E5584A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磷片石墨 </w:t>
                            </w:r>
                          </w:p>
                        </w:txbxContent>
                      </v:textbox>
                    </v:rect>
                  </w:pict>
                </mc:Fallback>
              </mc:AlternateContent>
            </w:r>
            <w:r>
              <w:rPr>
                <w:sz w:val="24"/>
              </w:rPr>
              <mc:AlternateContent>
                <mc:Choice Requires="wps">
                  <w:drawing>
                    <wp:anchor distT="0" distB="0" distL="114300" distR="114300" simplePos="0" relativeHeight="251726848" behindDoc="0" locked="0" layoutInCell="1" allowOverlap="1">
                      <wp:simplePos x="0" y="0"/>
                      <wp:positionH relativeFrom="column">
                        <wp:posOffset>2069465</wp:posOffset>
                      </wp:positionH>
                      <wp:positionV relativeFrom="paragraph">
                        <wp:posOffset>141605</wp:posOffset>
                      </wp:positionV>
                      <wp:extent cx="1149985" cy="273050"/>
                      <wp:effectExtent l="0" t="0" r="0" b="0"/>
                      <wp:wrapNone/>
                      <wp:docPr id="87" name="矩形 87"/>
                      <wp:cNvGraphicFramePr/>
                      <a:graphic xmlns:a="http://schemas.openxmlformats.org/drawingml/2006/main">
                        <a:graphicData uri="http://schemas.microsoft.com/office/word/2010/wordprocessingShape">
                          <wps:wsp>
                            <wps:cNvSpPr/>
                            <wps:spPr>
                              <a:xfrm>
                                <a:off x="0" y="0"/>
                                <a:ext cx="1149985"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2416CF1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双氧水（60%）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2.95pt;margin-top:11.15pt;height:21.5pt;width:90.55pt;z-index:251726848;v-text-anchor:middle;mso-width-relative:page;mso-height-relative:page;" filled="f" stroked="f" coordsize="21600,21600" o:gfxdata="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Z939gAAAAJ&#10;AQAADwAAAAAAAAABACAAAAAiAAAAZHJzL2Rvd25yZXYueG1sUEsBAhQAFAAAAAgAh07iQA/FdLxV&#10;AgAAlwQAAA4AAAAAAAAAAQAgAAAAJwEAAGRycy9lMm9Eb2MueG1sUEsFBgAAAAAGAAYAWQEAAO4F&#10;AAAAAA==&#10;">
                      <v:fill on="f" focussize="0,0"/>
                      <v:stroke on="f" weight="0.25pt"/>
                      <v:imagedata o:title=""/>
                      <o:lock v:ext="edit" aspectratio="f"/>
                      <v:textbox>
                        <w:txbxContent>
                          <w:p w14:paraId="2416CF1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双氧水（60%） </w:t>
                            </w:r>
                          </w:p>
                        </w:txbxContent>
                      </v:textbox>
                    </v:rect>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1074420</wp:posOffset>
                      </wp:positionH>
                      <wp:positionV relativeFrom="paragraph">
                        <wp:posOffset>123190</wp:posOffset>
                      </wp:positionV>
                      <wp:extent cx="807085" cy="273050"/>
                      <wp:effectExtent l="4445" t="5080" r="13970" b="13970"/>
                      <wp:wrapNone/>
                      <wp:docPr id="82" name="矩形 82"/>
                      <wp:cNvGraphicFramePr/>
                      <a:graphic xmlns:a="http://schemas.openxmlformats.org/drawingml/2006/main">
                        <a:graphicData uri="http://schemas.microsoft.com/office/word/2010/wordprocessingShape">
                          <wps:wsp>
                            <wps:cNvSpPr/>
                            <wps:spPr>
                              <a:xfrm>
                                <a:off x="0" y="0"/>
                                <a:ext cx="80708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5D5117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计量罐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6pt;margin-top:9.7pt;height:21.5pt;width:63.55pt;z-index:251721728;v-text-anchor:middle;mso-width-relative:page;mso-height-relative:page;" filled="f" stroked="t" coordsize="21600,21600" o:gfxdata="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AqbcDXAAAACQEAAA8AAAAAAAAAAQAgAAAAIgAAAGRycy9kb3ducmV2LnhtbFBLAQIUABQA&#10;AAAIAIdO4kDRHVB2YwIAAL8EAAAOAAAAAAAAAAEAIAAAACYBAABkcnMvZTJvRG9jLnhtbFBLBQYA&#10;AAAABgAGAFkBAAD7BQAAAAA=&#10;">
                      <v:fill on="f" focussize="0,0"/>
                      <v:stroke weight="0.25pt" color="#000000 [3213]" joinstyle="round"/>
                      <v:imagedata o:title=""/>
                      <o:lock v:ext="edit" aspectratio="f"/>
                      <v:textbox>
                        <w:txbxContent>
                          <w:p w14:paraId="45D5117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计量罐 </w:t>
                            </w:r>
                          </w:p>
                        </w:txbxContent>
                      </v:textbox>
                    </v:rect>
                  </w:pict>
                </mc:Fallback>
              </mc:AlternateContent>
            </w:r>
          </w:p>
          <w:p w14:paraId="3D6B8E7A">
            <w:pPr>
              <w:pStyle w:val="63"/>
              <w:spacing w:line="460" w:lineRule="exact"/>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31968" behindDoc="0" locked="0" layoutInCell="1" allowOverlap="1">
                      <wp:simplePos x="0" y="0"/>
                      <wp:positionH relativeFrom="column">
                        <wp:posOffset>2479040</wp:posOffset>
                      </wp:positionH>
                      <wp:positionV relativeFrom="paragraph">
                        <wp:posOffset>229870</wp:posOffset>
                      </wp:positionV>
                      <wp:extent cx="1905" cy="379730"/>
                      <wp:effectExtent l="47625" t="0" r="52070" b="1270"/>
                      <wp:wrapNone/>
                      <wp:docPr id="96" name="直接箭头连接符 96"/>
                      <wp:cNvGraphicFramePr/>
                      <a:graphic xmlns:a="http://schemas.openxmlformats.org/drawingml/2006/main">
                        <a:graphicData uri="http://schemas.microsoft.com/office/word/2010/wordprocessingShape">
                          <wps:wsp>
                            <wps:cNvCnPr/>
                            <wps:spPr>
                              <a:xfrm>
                                <a:off x="0" y="0"/>
                                <a:ext cx="1905" cy="37973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5.2pt;margin-top:18.1pt;height:29.9pt;width:0.15pt;z-index:251731968;mso-width-relative:page;mso-height-relative:page;" filled="f" stroked="t" coordsize="21600,21600" o:gfxdata="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z+UMNgAAAAJAQAADwAAAAAAAAABACAAAAAiAAAAZHJzL2Rvd25yZXYu&#10;eG1sUEsBAhQAFAAAAAgAh07iQAzA66D7AQAAywMAAA4AAAAAAAAAAQAgAAAAJwEAAGRycy9lMm9E&#10;b2MueG1sUEsFBgAAAAAGAAYAWQEAAJQFAAAAAA==&#10;">
                      <v:fill on="f" focussize="0,0"/>
                      <v:stroke weight="0.25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25824" behindDoc="0" locked="0" layoutInCell="1" allowOverlap="1">
                      <wp:simplePos x="0" y="0"/>
                      <wp:positionH relativeFrom="column">
                        <wp:posOffset>3529330</wp:posOffset>
                      </wp:positionH>
                      <wp:positionV relativeFrom="paragraph">
                        <wp:posOffset>104140</wp:posOffset>
                      </wp:positionV>
                      <wp:extent cx="2540" cy="196850"/>
                      <wp:effectExtent l="47625" t="0" r="51435" b="6350"/>
                      <wp:wrapNone/>
                      <wp:docPr id="86" name="直接箭头连接符 86"/>
                      <wp:cNvGraphicFramePr/>
                      <a:graphic xmlns:a="http://schemas.openxmlformats.org/drawingml/2006/main">
                        <a:graphicData uri="http://schemas.microsoft.com/office/word/2010/wordprocessingShape">
                          <wps:wsp>
                            <wps:cNvCnPr/>
                            <wps:spPr>
                              <a:xfrm>
                                <a:off x="0" y="0"/>
                                <a:ext cx="2540" cy="19685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77.9pt;margin-top:8.2pt;height:15.5pt;width:0.2pt;z-index:251725824;mso-width-relative:page;mso-height-relative:page;" filled="f" stroked="t" coordsize="21600,21600" o:gfxdata="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48OMXYAAAACQEAAA8AAAAAAAAAAQAgAAAAIgAAAGRycy9kb3ducmV2&#10;LnhtbFBLAQIUABQAAAAIAIdO4kCYR4PB/AEAAMsDAAAOAAAAAAAAAAEAIAAAACcBAABkcnMvZTJv&#10;RG9jLnhtbFBLBQYAAAAABgAGAFkBAACVBQAAAAA=&#10;">
                      <v:fill on="f" focussize="0,0"/>
                      <v:stroke weight="0.25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24800" behindDoc="0" locked="0" layoutInCell="1" allowOverlap="1">
                      <wp:simplePos x="0" y="0"/>
                      <wp:positionH relativeFrom="column">
                        <wp:posOffset>2481580</wp:posOffset>
                      </wp:positionH>
                      <wp:positionV relativeFrom="paragraph">
                        <wp:posOffset>91440</wp:posOffset>
                      </wp:positionV>
                      <wp:extent cx="2540" cy="196850"/>
                      <wp:effectExtent l="47625" t="0" r="51435" b="6350"/>
                      <wp:wrapNone/>
                      <wp:docPr id="85" name="直接箭头连接符 85"/>
                      <wp:cNvGraphicFramePr/>
                      <a:graphic xmlns:a="http://schemas.openxmlformats.org/drawingml/2006/main">
                        <a:graphicData uri="http://schemas.microsoft.com/office/word/2010/wordprocessingShape">
                          <wps:wsp>
                            <wps:cNvCnPr/>
                            <wps:spPr>
                              <a:xfrm>
                                <a:off x="0" y="0"/>
                                <a:ext cx="2540" cy="19685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5.4pt;margin-top:7.2pt;height:15.5pt;width:0.2pt;z-index:251724800;mso-width-relative:page;mso-height-relative:page;" filled="f" stroked="t" coordsize="21600,21600" o:gfxdata="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npdIdgAAAAJAQAADwAAAAAAAAABACAAAAAiAAAAZHJzL2Rvd25yZXYu&#10;eG1sUEsBAhQAFAAAAAgAh07iQEImRoL7AQAAywMAAA4AAAAAAAAAAQAgAAAAJwEAAGRycy9lMm9E&#10;b2MueG1sUEsFBgAAAAAGAAYAWQEAAJQFAAAAAA==&#10;">
                      <v:fill on="f" focussize="0,0"/>
                      <v:stroke weight="0.25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23776" behindDoc="0" locked="0" layoutInCell="1" allowOverlap="1">
                      <wp:simplePos x="0" y="0"/>
                      <wp:positionH relativeFrom="column">
                        <wp:posOffset>1468120</wp:posOffset>
                      </wp:positionH>
                      <wp:positionV relativeFrom="paragraph">
                        <wp:posOffset>271780</wp:posOffset>
                      </wp:positionV>
                      <wp:extent cx="2057400" cy="12700"/>
                      <wp:effectExtent l="0" t="4445" r="0" b="8255"/>
                      <wp:wrapNone/>
                      <wp:docPr id="84" name="直接连接符 84"/>
                      <wp:cNvGraphicFramePr/>
                      <a:graphic xmlns:a="http://schemas.openxmlformats.org/drawingml/2006/main">
                        <a:graphicData uri="http://schemas.microsoft.com/office/word/2010/wordprocessingShape">
                          <wps:wsp>
                            <wps:cNvCnPr/>
                            <wps:spPr>
                              <a:xfrm flipV="1">
                                <a:off x="2665730" y="7212965"/>
                                <a:ext cx="2057400" cy="1270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5.6pt;margin-top:21.4pt;height:1pt;width:162pt;z-index:251723776;mso-width-relative:page;mso-height-relative:page;" filled="f" stroked="t" coordsize="21600,21600" o:gfxdata="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PGY4A1AAAAAkBAAAPAAAAAAAAAAEAIAAAACIAAABkcnMvZG93bnJldi54bWxQSwECFAAUAAAA&#10;CACHTuJAwWItoPIBAAC2AwAADgAAAAAAAAABACAAAAAjAQAAZHJzL2Uyb0RvYy54bWxQSwUGAAAA&#10;AAYABgBZAQAAhwUAAAAA&#10;">
                      <v:fill on="f" focussize="0,0"/>
                      <v:stroke weight="0.25pt" color="#000000 [3213]" joinstyle="round"/>
                      <v:imagedata o:title=""/>
                      <o:lock v:ext="edit" aspectratio="f"/>
                    </v:line>
                  </w:pict>
                </mc:Fallback>
              </mc:AlternateContent>
            </w:r>
            <w:r>
              <w:rPr>
                <w:sz w:val="24"/>
              </w:rPr>
              <mc:AlternateContent>
                <mc:Choice Requires="wps">
                  <w:drawing>
                    <wp:anchor distT="0" distB="0" distL="114300" distR="114300" simplePos="0" relativeHeight="251722752" behindDoc="0" locked="0" layoutInCell="1" allowOverlap="1">
                      <wp:simplePos x="0" y="0"/>
                      <wp:positionH relativeFrom="column">
                        <wp:posOffset>1459230</wp:posOffset>
                      </wp:positionH>
                      <wp:positionV relativeFrom="paragraph">
                        <wp:posOffset>91440</wp:posOffset>
                      </wp:positionV>
                      <wp:extent cx="2540" cy="196850"/>
                      <wp:effectExtent l="47625" t="0" r="51435" b="6350"/>
                      <wp:wrapNone/>
                      <wp:docPr id="83" name="直接箭头连接符 83"/>
                      <wp:cNvGraphicFramePr/>
                      <a:graphic xmlns:a="http://schemas.openxmlformats.org/drawingml/2006/main">
                        <a:graphicData uri="http://schemas.microsoft.com/office/word/2010/wordprocessingShape">
                          <wps:wsp>
                            <wps:cNvCnPr/>
                            <wps:spPr>
                              <a:xfrm>
                                <a:off x="0" y="0"/>
                                <a:ext cx="2540" cy="19685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4.9pt;margin-top:7.2pt;height:15.5pt;width:0.2pt;z-index:251722752;mso-width-relative:page;mso-height-relative:page;" filled="f" stroked="t" coordsize="21600,21600" o:gfxdata="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QdpmrYAAAACQEAAA8AAAAAAAAAAQAgAAAAIgAAAGRycy9kb3ducmV2&#10;LnhtbFBLAQIUABQAAAAIAIdO4kD25cwF/AEAAMsDAAAOAAAAAAAAAAEAIAAAACcBAABkcnMvZTJv&#10;RG9jLnhtbFBLBQYAAAAABgAGAFkBAACVBQAAAAA=&#10;">
                      <v:fill on="f" focussize="0,0"/>
                      <v:stroke weight="0.25pt" color="#000000 [3213]" joinstyle="round" endarrow="open"/>
                      <v:imagedata o:title=""/>
                      <o:lock v:ext="edit" aspectratio="f"/>
                    </v:shape>
                  </w:pict>
                </mc:Fallback>
              </mc:AlternateContent>
            </w:r>
          </w:p>
          <w:p w14:paraId="3990D85B">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97504" behindDoc="0" locked="0" layoutInCell="1" allowOverlap="1">
                      <wp:simplePos x="0" y="0"/>
                      <wp:positionH relativeFrom="column">
                        <wp:posOffset>2524760</wp:posOffset>
                      </wp:positionH>
                      <wp:positionV relativeFrom="paragraph">
                        <wp:posOffset>158750</wp:posOffset>
                      </wp:positionV>
                      <wp:extent cx="2365375" cy="7620"/>
                      <wp:effectExtent l="0" t="41910" r="9525" b="52070"/>
                      <wp:wrapNone/>
                      <wp:docPr id="152" name="直接箭头连接符 152"/>
                      <wp:cNvGraphicFramePr/>
                      <a:graphic xmlns:a="http://schemas.openxmlformats.org/drawingml/2006/main">
                        <a:graphicData uri="http://schemas.microsoft.com/office/word/2010/wordprocessingShape">
                          <wps:wsp>
                            <wps:cNvCnPr/>
                            <wps:spPr>
                              <a:xfrm flipH="1">
                                <a:off x="0" y="0"/>
                                <a:ext cx="2365375" cy="762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8.8pt;margin-top:12.5pt;height:0.6pt;width:186.25pt;z-index:251797504;mso-width-relative:page;mso-height-relative:page;" filled="f" stroked="t" coordsize="21600,21600" o:gfxdata="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CoDPXAAAACQEAAA8AAAAAAAAAAQAg&#10;AAAAIgAAAGRycy9kb3ducmV2LnhtbFBLAQIUABQAAAAIAIdO4kBZtMgPDwIAAOkDAAAOAAAAAAAA&#10;AAEAIAAAACYBAABkcnMvZTJvRG9jLnhtbFBLBQYAAAAABgAGAFkBAACnBQ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94432" behindDoc="0" locked="0" layoutInCell="1" allowOverlap="1">
                      <wp:simplePos x="0" y="0"/>
                      <wp:positionH relativeFrom="column">
                        <wp:posOffset>151765</wp:posOffset>
                      </wp:positionH>
                      <wp:positionV relativeFrom="paragraph">
                        <wp:posOffset>140970</wp:posOffset>
                      </wp:positionV>
                      <wp:extent cx="2317750" cy="17780"/>
                      <wp:effectExtent l="0" t="31750" r="6350" b="52070"/>
                      <wp:wrapNone/>
                      <wp:docPr id="149" name="直接箭头连接符 149"/>
                      <wp:cNvGraphicFramePr/>
                      <a:graphic xmlns:a="http://schemas.openxmlformats.org/drawingml/2006/main">
                        <a:graphicData uri="http://schemas.microsoft.com/office/word/2010/wordprocessingShape">
                          <wps:wsp>
                            <wps:cNvCnPr/>
                            <wps:spPr>
                              <a:xfrm>
                                <a:off x="0" y="0"/>
                                <a:ext cx="2317750" cy="1778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95pt;margin-top:11.1pt;height:1.4pt;width:182.5pt;z-index:251794432;mso-width-relative:page;mso-height-relative:page;" filled="f" stroked="t" coordsize="21600,21600" o:gfxdata="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oGAJ1gAAAAgBAAAPAAAAAAAAAAEAIAAAACIAAABk&#10;cnMvZG93bnJldi54bWxQSwECFAAUAAAACACHTuJAIJXGXQgCAADgAwAADgAAAAAAAAABACAAAAAl&#10;AQAAZHJzL2Uyb0RvYy54bWxQSwUGAAAAAAYABgBZAQAAnw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40160" behindDoc="0" locked="0" layoutInCell="1" allowOverlap="1">
                      <wp:simplePos x="0" y="0"/>
                      <wp:positionH relativeFrom="column">
                        <wp:posOffset>1270000</wp:posOffset>
                      </wp:positionH>
                      <wp:positionV relativeFrom="paragraph">
                        <wp:posOffset>193040</wp:posOffset>
                      </wp:positionV>
                      <wp:extent cx="768985" cy="561975"/>
                      <wp:effectExtent l="0" t="0" r="0" b="0"/>
                      <wp:wrapNone/>
                      <wp:docPr id="101" name="矩形 101"/>
                      <wp:cNvGraphicFramePr/>
                      <a:graphic xmlns:a="http://schemas.openxmlformats.org/drawingml/2006/main">
                        <a:graphicData uri="http://schemas.microsoft.com/office/word/2010/wordprocessingShape">
                          <wps:wsp>
                            <wps:cNvSpPr/>
                            <wps:spPr>
                              <a:xfrm>
                                <a:off x="0" y="0"/>
                                <a:ext cx="768985" cy="561975"/>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05279EB2">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酸雾</w:t>
                                  </w:r>
                                </w:p>
                                <w:p w14:paraId="342ACDBF">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粉尘</w:t>
                                  </w:r>
                                </w:p>
                                <w:p w14:paraId="012F9148">
                                  <w:pPr>
                                    <w:jc w:val="center"/>
                                    <w:rPr>
                                      <w:rFonts w:hint="default"/>
                                      <w:color w:val="000000" w:themeColor="text1"/>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0pt;margin-top:15.2pt;height:44.25pt;width:60.55pt;z-index:251740160;v-text-anchor:middle;mso-width-relative:page;mso-height-relative:page;" filled="f" stroked="f" coordsize="21600,21600" o:gfxdata="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KEoNvYAAAACgEA&#10;AA8AAAAAAAAAAQAgAAAAIgAAAGRycy9kb3ducmV2LnhtbFBLAQIUABQAAAAIAIdO4kD+SVweUwIA&#10;AJgEAAAOAAAAAAAAAAEAIAAAACcBAABkcnMvZTJvRG9jLnhtbFBLBQYAAAAABgAGAFkBAADsBQAA&#10;AAA=&#10;">
                      <v:fill on="f" focussize="0,0"/>
                      <v:stroke on="f" weight="0.25pt"/>
                      <v:imagedata o:title=""/>
                      <o:lock v:ext="edit" aspectratio="f"/>
                      <v:textbox>
                        <w:txbxContent>
                          <w:p w14:paraId="05279EB2">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酸雾</w:t>
                            </w:r>
                          </w:p>
                          <w:p w14:paraId="342ACDBF">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粉尘</w:t>
                            </w:r>
                          </w:p>
                          <w:p w14:paraId="012F9148">
                            <w:pPr>
                              <w:jc w:val="center"/>
                              <w:rPr>
                                <w:rFonts w:hint="default"/>
                                <w:color w:val="000000" w:themeColor="text1"/>
                                <w:lang w:val="en-US" w:eastAsia="zh-CN"/>
                                <w14:textFill>
                                  <w14:solidFill>
                                    <w14:schemeClr w14:val="tx1"/>
                                  </w14:solidFill>
                                </w14:textFill>
                              </w:rPr>
                            </w:pPr>
                          </w:p>
                        </w:txbxContent>
                      </v:textbox>
                    </v:rect>
                  </w:pict>
                </mc:Fallback>
              </mc:AlternateContent>
            </w:r>
          </w:p>
          <w:p w14:paraId="4A952EC4">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71904" behindDoc="0" locked="0" layoutInCell="1" allowOverlap="1">
                      <wp:simplePos x="0" y="0"/>
                      <wp:positionH relativeFrom="column">
                        <wp:posOffset>280670</wp:posOffset>
                      </wp:positionH>
                      <wp:positionV relativeFrom="paragraph">
                        <wp:posOffset>125095</wp:posOffset>
                      </wp:positionV>
                      <wp:extent cx="368300" cy="857885"/>
                      <wp:effectExtent l="5080" t="4445" r="7620" b="13970"/>
                      <wp:wrapNone/>
                      <wp:docPr id="68" name="矩形 68"/>
                      <wp:cNvGraphicFramePr/>
                      <a:graphic xmlns:a="http://schemas.openxmlformats.org/drawingml/2006/main">
                        <a:graphicData uri="http://schemas.microsoft.com/office/word/2010/wordprocessingShape">
                          <wps:wsp>
                            <wps:cNvSpPr/>
                            <wps:spPr>
                              <a:xfrm>
                                <a:off x="0" y="0"/>
                                <a:ext cx="368300" cy="857885"/>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88B28A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碱喷淋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1pt;margin-top:9.85pt;height:67.55pt;width:29pt;z-index:251771904;v-text-anchor:middle;mso-width-relative:page;mso-height-relative:page;" filled="f" stroked="t" coordsize="21600,21600" o:gfxdata="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KqH69cAAAAJAQAADwAAAAAAAAABACAAAAAiAAAAZHJzL2Rvd25yZXYueG1sUEsBAhQAFAAA&#10;AAgAh07iQO6YVo1iAgAAvwQAAA4AAAAAAAAAAQAgAAAAJgEAAGRycy9lMm9Eb2MueG1sUEsFBgAA&#10;AAAGAAYAWQEAAPoFAAAAAA==&#10;">
                      <v:fill on="f" focussize="0,0"/>
                      <v:stroke weight="0.25pt" color="#000000 [3213]" joinstyle="round"/>
                      <v:imagedata o:title=""/>
                      <o:lock v:ext="edit" aspectratio="f"/>
                      <v:textbox>
                        <w:txbxContent>
                          <w:p w14:paraId="388B28A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碱喷淋 </w:t>
                            </w:r>
                          </w:p>
                        </w:txbxContent>
                      </v:textbox>
                    </v:rect>
                  </w:pict>
                </mc:Fallback>
              </mc:AlternateContent>
            </w:r>
            <w:r>
              <w:rPr>
                <w:sz w:val="24"/>
              </w:rPr>
              <mc:AlternateContent>
                <mc:Choice Requires="wps">
                  <w:drawing>
                    <wp:anchor distT="0" distB="0" distL="114300" distR="114300" simplePos="0" relativeHeight="251769856" behindDoc="0" locked="0" layoutInCell="1" allowOverlap="1">
                      <wp:simplePos x="0" y="0"/>
                      <wp:positionH relativeFrom="column">
                        <wp:posOffset>908685</wp:posOffset>
                      </wp:positionH>
                      <wp:positionV relativeFrom="paragraph">
                        <wp:posOffset>104140</wp:posOffset>
                      </wp:positionV>
                      <wp:extent cx="368300" cy="857885"/>
                      <wp:effectExtent l="5080" t="4445" r="7620" b="13970"/>
                      <wp:wrapNone/>
                      <wp:docPr id="66" name="矩形 66"/>
                      <wp:cNvGraphicFramePr/>
                      <a:graphic xmlns:a="http://schemas.openxmlformats.org/drawingml/2006/main">
                        <a:graphicData uri="http://schemas.microsoft.com/office/word/2010/wordprocessingShape">
                          <wps:wsp>
                            <wps:cNvSpPr/>
                            <wps:spPr>
                              <a:xfrm>
                                <a:off x="0" y="0"/>
                                <a:ext cx="368300" cy="857885"/>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F1F74B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集气罩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55pt;margin-top:8.2pt;height:67.55pt;width:29pt;z-index:251769856;v-text-anchor:middle;mso-width-relative:page;mso-height-relative:page;" filled="f" stroked="t" coordsize="21600,21600" o:gfxdata="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m+I/9cAAAAKAQAADwAAAAAAAAABACAAAAAiAAAAZHJzL2Rvd25yZXYueG1sUEsBAhQAFAAA&#10;AAgAh07iQKaukvpiAgAAvwQAAA4AAAAAAAAAAQAgAAAAJgEAAGRycy9lMm9Eb2MueG1sUEsFBgAA&#10;AAAGAAYAWQEAAPoFAAAAAA==&#10;">
                      <v:fill on="f" focussize="0,0"/>
                      <v:stroke weight="0.25pt" color="#000000 [3213]" joinstyle="round"/>
                      <v:imagedata o:title=""/>
                      <o:lock v:ext="edit" aspectratio="f"/>
                      <v:textbox>
                        <w:txbxContent>
                          <w:p w14:paraId="6F1F74B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集气罩 </w:t>
                            </w:r>
                          </w:p>
                        </w:txbxContent>
                      </v:textbox>
                    </v:rect>
                  </w:pict>
                </mc:Fallback>
              </mc:AlternateContent>
            </w:r>
            <w:r>
              <w:rPr>
                <w:sz w:val="24"/>
              </w:rPr>
              <mc:AlternateContent>
                <mc:Choice Requires="wps">
                  <w:drawing>
                    <wp:anchor distT="0" distB="0" distL="114300" distR="114300" simplePos="0" relativeHeight="251767808" behindDoc="0" locked="0" layoutInCell="1" allowOverlap="1">
                      <wp:simplePos x="0" y="0"/>
                      <wp:positionH relativeFrom="column">
                        <wp:posOffset>1302385</wp:posOffset>
                      </wp:positionH>
                      <wp:positionV relativeFrom="paragraph">
                        <wp:posOffset>150495</wp:posOffset>
                      </wp:positionV>
                      <wp:extent cx="172720" cy="5715"/>
                      <wp:effectExtent l="0" t="46355" r="5080" b="49530"/>
                      <wp:wrapNone/>
                      <wp:docPr id="45" name="直接箭头连接符 45"/>
                      <wp:cNvGraphicFramePr/>
                      <a:graphic xmlns:a="http://schemas.openxmlformats.org/drawingml/2006/main">
                        <a:graphicData uri="http://schemas.microsoft.com/office/word/2010/wordprocessingShape">
                          <wps:wsp>
                            <wps:cNvCnPr/>
                            <wps:spPr>
                              <a:xfrm flipH="1" flipV="1">
                                <a:off x="0" y="0"/>
                                <a:ext cx="172720" cy="571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02.55pt;margin-top:11.85pt;height:0.45pt;width:13.6pt;z-index:251767808;mso-width-relative:page;mso-height-relative:page;" filled="f" stroked="t" coordsize="21600,21600" o:gfxdata="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rf4p1gAAAAkBAAAPAAAAAAAAAAEA&#10;IAAAACIAAABkcnMvZG93bnJldi54bWxQSwECFAAUAAAACACHTuJAMGBf5BECAADwAwAADgAAAAAA&#10;AAABACAAAAAlAQAAZHJzL2Uyb0RvYy54bWxQSwUGAAAAAAYABgBZAQAAqA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45280" behindDoc="0" locked="0" layoutInCell="1" allowOverlap="1">
                      <wp:simplePos x="0" y="0"/>
                      <wp:positionH relativeFrom="column">
                        <wp:posOffset>2443480</wp:posOffset>
                      </wp:positionH>
                      <wp:positionV relativeFrom="paragraph">
                        <wp:posOffset>287655</wp:posOffset>
                      </wp:positionV>
                      <wp:extent cx="1905" cy="379730"/>
                      <wp:effectExtent l="47625" t="0" r="52070" b="1270"/>
                      <wp:wrapNone/>
                      <wp:docPr id="112" name="直接箭头连接符 112"/>
                      <wp:cNvGraphicFramePr/>
                      <a:graphic xmlns:a="http://schemas.openxmlformats.org/drawingml/2006/main">
                        <a:graphicData uri="http://schemas.microsoft.com/office/word/2010/wordprocessingShape">
                          <wps:wsp>
                            <wps:cNvCnPr/>
                            <wps:spPr>
                              <a:xfrm>
                                <a:off x="0" y="0"/>
                                <a:ext cx="1905" cy="37973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2.4pt;margin-top:22.65pt;height:29.9pt;width:0.15pt;z-index:251745280;mso-width-relative:page;mso-height-relative:page;" filled="f" stroked="t" coordsize="21600,21600" o:gfxdata="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ZsfXXYAAAACgEAAA8AAAAAAAAAAQAgAAAAIgAAAGRycy9kb3ducmV2&#10;LnhtbFBLAQIUABQAAAAIAIdO4kCEjBgi/AEAAM0DAAAOAAAAAAAAAAEAIAAAACcBAABkcnMvZTJv&#10;RG9jLnhtbFBLBQYAAAAABgAGAFkBAACVBQAAAAA=&#10;">
                      <v:fill on="f" focussize="0,0"/>
                      <v:stroke weight="0.25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39136" behindDoc="0" locked="0" layoutInCell="1" allowOverlap="1">
                      <wp:simplePos x="0" y="0"/>
                      <wp:positionH relativeFrom="column">
                        <wp:posOffset>1732915</wp:posOffset>
                      </wp:positionH>
                      <wp:positionV relativeFrom="paragraph">
                        <wp:posOffset>152400</wp:posOffset>
                      </wp:positionV>
                      <wp:extent cx="348615" cy="3810"/>
                      <wp:effectExtent l="0" t="48260" r="6985" b="49530"/>
                      <wp:wrapNone/>
                      <wp:docPr id="100" name="直接箭头连接符 100"/>
                      <wp:cNvGraphicFramePr/>
                      <a:graphic xmlns:a="http://schemas.openxmlformats.org/drawingml/2006/main">
                        <a:graphicData uri="http://schemas.microsoft.com/office/word/2010/wordprocessingShape">
                          <wps:wsp>
                            <wps:cNvCnPr/>
                            <wps:spPr>
                              <a:xfrm flipH="1" flipV="1">
                                <a:off x="0" y="0"/>
                                <a:ext cx="348615" cy="381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36.45pt;margin-top:12pt;height:0.3pt;width:27.45pt;z-index:251739136;mso-width-relative:page;mso-height-relative:page;" filled="f" stroked="t" coordsize="21600,21600" o:gfxdata="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1Ka1gAAAAkBAAAPAAAAAAAAAAEA&#10;IAAAACIAAABkcnMvZG93bnJldi54bWxQSwECFAAUAAAACACHTuJAX+17PRECAADyAwAADgAAAAAA&#10;AAABACAAAAAlAQAAZHJzL2Uyb0RvYy54bWxQSwUGAAAAAAYABgBZAQAAqA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29920" behindDoc="0" locked="0" layoutInCell="1" allowOverlap="1">
                      <wp:simplePos x="0" y="0"/>
                      <wp:positionH relativeFrom="column">
                        <wp:posOffset>2057400</wp:posOffset>
                      </wp:positionH>
                      <wp:positionV relativeFrom="paragraph">
                        <wp:posOffset>13335</wp:posOffset>
                      </wp:positionV>
                      <wp:extent cx="807085" cy="273050"/>
                      <wp:effectExtent l="4445" t="5080" r="13970" b="13970"/>
                      <wp:wrapNone/>
                      <wp:docPr id="92" name="矩形 92"/>
                      <wp:cNvGraphicFramePr/>
                      <a:graphic xmlns:a="http://schemas.openxmlformats.org/drawingml/2006/main">
                        <a:graphicData uri="http://schemas.microsoft.com/office/word/2010/wordprocessingShape">
                          <wps:wsp>
                            <wps:cNvSpPr/>
                            <wps:spPr>
                              <a:xfrm>
                                <a:off x="0" y="0"/>
                                <a:ext cx="80708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6FA77A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插层釜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2pt;margin-top:1.05pt;height:21.5pt;width:63.55pt;z-index:251729920;v-text-anchor:middle;mso-width-relative:page;mso-height-relative:page;" filled="f" stroked="t" coordsize="21600,21600" o:gfxdata="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16CfTWAAAACAEAAA8AAAAAAAAAAQAgAAAAIgAAAGRycy9kb3ducmV2LnhtbFBLAQIUABQA&#10;AAAIAIdO4kD/x+5/ZAIAAL8EAAAOAAAAAAAAAAEAIAAAACUBAABkcnMvZTJvRG9jLnhtbFBLBQYA&#10;AAAABgAGAFkBAAD7BQAAAAA=&#10;">
                      <v:fill on="f" focussize="0,0"/>
                      <v:stroke weight="0.25pt" color="#000000 [3213]" joinstyle="round"/>
                      <v:imagedata o:title=""/>
                      <o:lock v:ext="edit" aspectratio="f"/>
                      <v:textbox>
                        <w:txbxContent>
                          <w:p w14:paraId="76FA77A3">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插层釜</w:t>
                            </w:r>
                          </w:p>
                        </w:txbxContent>
                      </v:textbox>
                    </v:rect>
                  </w:pict>
                </mc:Fallback>
              </mc:AlternateContent>
            </w:r>
          </w:p>
          <w:p w14:paraId="0B6B4BFD">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70880" behindDoc="0" locked="0" layoutInCell="1" allowOverlap="1">
                      <wp:simplePos x="0" y="0"/>
                      <wp:positionH relativeFrom="column">
                        <wp:posOffset>653415</wp:posOffset>
                      </wp:positionH>
                      <wp:positionV relativeFrom="paragraph">
                        <wp:posOffset>238760</wp:posOffset>
                      </wp:positionV>
                      <wp:extent cx="214630" cy="635"/>
                      <wp:effectExtent l="0" t="48895" r="1270" b="52070"/>
                      <wp:wrapNone/>
                      <wp:docPr id="67" name="直接箭头连接符 67"/>
                      <wp:cNvGraphicFramePr/>
                      <a:graphic xmlns:a="http://schemas.openxmlformats.org/drawingml/2006/main">
                        <a:graphicData uri="http://schemas.microsoft.com/office/word/2010/wordprocessingShape">
                          <wps:wsp>
                            <wps:cNvCnPr/>
                            <wps:spPr>
                              <a:xfrm flipH="1">
                                <a:off x="0" y="0"/>
                                <a:ext cx="214630" cy="63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51.45pt;margin-top:18.8pt;height:0.05pt;width:16.9pt;z-index:251770880;mso-width-relative:page;mso-height-relative:page;" filled="f" stroked="t" coordsize="21600,21600" o:gfxdata="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1yn99YAAAAJAQAADwAAAAAAAAABACAAAAAi&#10;AAAAZHJzL2Rvd25yZXYueG1sUEsBAhQAFAAAAAgAh07iQNIw9FIMAgAA5QMAAA4AAAAAAAAAAQAg&#10;AAAAJQEAAGRycy9lMm9Eb2MueG1sUEsFBgAAAAAGAAYAWQEAAKMFA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38112" behindDoc="0" locked="0" layoutInCell="1" allowOverlap="1">
                      <wp:simplePos x="0" y="0"/>
                      <wp:positionH relativeFrom="column">
                        <wp:posOffset>1343025</wp:posOffset>
                      </wp:positionH>
                      <wp:positionV relativeFrom="paragraph">
                        <wp:posOffset>277495</wp:posOffset>
                      </wp:positionV>
                      <wp:extent cx="599440" cy="462280"/>
                      <wp:effectExtent l="0" t="0" r="0" b="0"/>
                      <wp:wrapNone/>
                      <wp:docPr id="103" name="矩形 103"/>
                      <wp:cNvGraphicFramePr/>
                      <a:graphic xmlns:a="http://schemas.openxmlformats.org/drawingml/2006/main">
                        <a:graphicData uri="http://schemas.microsoft.com/office/word/2010/wordprocessingShape">
                          <wps:wsp>
                            <wps:cNvSpPr/>
                            <wps:spPr>
                              <a:xfrm>
                                <a:off x="0" y="0"/>
                                <a:ext cx="599440" cy="46228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5DA0DFE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酸雾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75pt;margin-top:21.85pt;height:36.4pt;width:47.2pt;z-index:251738112;v-text-anchor:middle;mso-width-relative:page;mso-height-relative:page;" filled="f" stroked="f" coordsize="21600,21600" o:gfxdata="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uLO3PZAAAACgEA&#10;AA8AAAAAAAAAAQAgAAAAIgAAAGRycy9kb3ducmV2LnhtbFBLAQIUABQAAAAIAIdO4kAn+7GOUgIA&#10;AJgEAAAOAAAAAAAAAAEAIAAAACgBAABkcnMvZTJvRG9jLnhtbFBLBQYAAAAABgAGAFkBAADsBQAA&#10;AAA=&#10;">
                      <v:fill on="f" focussize="0,0"/>
                      <v:stroke on="f" weight="0.25pt"/>
                      <v:imagedata o:title=""/>
                      <o:lock v:ext="edit" aspectratio="f"/>
                      <v:textbox>
                        <w:txbxContent>
                          <w:p w14:paraId="5DA0DFE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酸雾 </w:t>
                            </w:r>
                          </w:p>
                        </w:txbxContent>
                      </v:textbox>
                    </v:rect>
                  </w:pict>
                </mc:Fallback>
              </mc:AlternateContent>
            </w:r>
          </w:p>
          <w:p w14:paraId="03DEA393">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68832" behindDoc="0" locked="0" layoutInCell="1" allowOverlap="1">
                      <wp:simplePos x="0" y="0"/>
                      <wp:positionH relativeFrom="column">
                        <wp:posOffset>1316990</wp:posOffset>
                      </wp:positionH>
                      <wp:positionV relativeFrom="paragraph">
                        <wp:posOffset>214630</wp:posOffset>
                      </wp:positionV>
                      <wp:extent cx="214630" cy="635"/>
                      <wp:effectExtent l="0" t="48895" r="1270" b="52070"/>
                      <wp:wrapNone/>
                      <wp:docPr id="63" name="直接箭头连接符 63"/>
                      <wp:cNvGraphicFramePr/>
                      <a:graphic xmlns:a="http://schemas.openxmlformats.org/drawingml/2006/main">
                        <a:graphicData uri="http://schemas.microsoft.com/office/word/2010/wordprocessingShape">
                          <wps:wsp>
                            <wps:cNvCnPr/>
                            <wps:spPr>
                              <a:xfrm flipH="1">
                                <a:off x="0" y="0"/>
                                <a:ext cx="214630" cy="63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03.7pt;margin-top:16.9pt;height:0.05pt;width:16.9pt;z-index:251768832;mso-width-relative:page;mso-height-relative:page;" filled="f" stroked="t" coordsize="21600,21600" o:gfxdata="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ycabTXAAAACQEAAA8AAAAAAAAAAQAgAAAA&#10;IgAAAGRycy9kb3ducmV2LnhtbFBLAQIUABQAAAAIAIdO4kAFyTCdDAIAAOUDAAAOAAAAAAAAAAEA&#10;IAAAACYBAABkcnMvZTJvRG9jLnhtbFBLBQYAAAAABgAGAFkBAACkBQ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42208" behindDoc="0" locked="0" layoutInCell="1" allowOverlap="1">
                      <wp:simplePos x="0" y="0"/>
                      <wp:positionH relativeFrom="column">
                        <wp:posOffset>1746885</wp:posOffset>
                      </wp:positionH>
                      <wp:positionV relativeFrom="paragraph">
                        <wp:posOffset>231775</wp:posOffset>
                      </wp:positionV>
                      <wp:extent cx="307340" cy="11430"/>
                      <wp:effectExtent l="0" t="45720" r="10160" b="44450"/>
                      <wp:wrapNone/>
                      <wp:docPr id="113" name="直接箭头连接符 113"/>
                      <wp:cNvGraphicFramePr/>
                      <a:graphic xmlns:a="http://schemas.openxmlformats.org/drawingml/2006/main">
                        <a:graphicData uri="http://schemas.microsoft.com/office/word/2010/wordprocessingShape">
                          <wps:wsp>
                            <wps:cNvCnPr/>
                            <wps:spPr>
                              <a:xfrm flipH="1" flipV="1">
                                <a:off x="0" y="0"/>
                                <a:ext cx="307340" cy="1143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37.55pt;margin-top:18.25pt;height:0.9pt;width:24.2pt;z-index:251742208;mso-width-relative:page;mso-height-relative:page;" filled="f" stroked="t" coordsize="21600,21600" o:gfxdata="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rTpY/WAAAACQEAAA8AAAAAAAAA&#10;AQAgAAAAIgAAAGRycy9kb3ducmV2LnhtbFBLAQIUABQAAAAIAIdO4kDq5wtzEwIAAPMDAAAOAAAA&#10;AAAAAAEAIAAAACUBAABkcnMvZTJvRG9jLnhtbFBLBQYAAAAABgAGAFkBAACqBQ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38112" behindDoc="0" locked="0" layoutInCell="1" allowOverlap="1">
                      <wp:simplePos x="0" y="0"/>
                      <wp:positionH relativeFrom="column">
                        <wp:posOffset>3188970</wp:posOffset>
                      </wp:positionH>
                      <wp:positionV relativeFrom="paragraph">
                        <wp:posOffset>69850</wp:posOffset>
                      </wp:positionV>
                      <wp:extent cx="551180" cy="273050"/>
                      <wp:effectExtent l="0" t="0" r="0" b="0"/>
                      <wp:wrapNone/>
                      <wp:docPr id="105" name="矩形 105"/>
                      <wp:cNvGraphicFramePr/>
                      <a:graphic xmlns:a="http://schemas.openxmlformats.org/drawingml/2006/main">
                        <a:graphicData uri="http://schemas.microsoft.com/office/word/2010/wordprocessingShape">
                          <wps:wsp>
                            <wps:cNvSpPr/>
                            <wps:spPr>
                              <a:xfrm>
                                <a:off x="0" y="0"/>
                                <a:ext cx="551180"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34C34AA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废酸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1pt;margin-top:5.5pt;height:21.5pt;width:43.4pt;z-index:251738112;v-text-anchor:middle;mso-width-relative:page;mso-height-relative:page;" filled="f" stroked="f" coordsize="21600,21600" o:gfxdata="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onEjM1QAAAAkBAAAP&#10;AAAAAAAAAAEAIAAAACIAAABkcnMvZG93bnJldi54bWxQSwECFAAUAAAACACHTuJA+G9qY1QCAACY&#10;BAAADgAAAAAAAAABACAAAAAkAQAAZHJzL2Uyb0RvYy54bWxQSwUGAAAAAAYABgBZAQAA6gUAAAAA&#10;">
                      <v:fill on="f" focussize="0,0"/>
                      <v:stroke on="f" weight="0.25pt"/>
                      <v:imagedata o:title=""/>
                      <o:lock v:ext="edit" aspectratio="f"/>
                      <v:textbox>
                        <w:txbxContent>
                          <w:p w14:paraId="34C34AA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废酸 </w:t>
                            </w:r>
                          </w:p>
                        </w:txbxContent>
                      </v:textbox>
                    </v:rect>
                  </w:pict>
                </mc:Fallback>
              </mc:AlternateContent>
            </w:r>
            <w:r>
              <w:rPr>
                <w:sz w:val="24"/>
              </w:rPr>
              <mc:AlternateContent>
                <mc:Choice Requires="wps">
                  <w:drawing>
                    <wp:anchor distT="0" distB="0" distL="114300" distR="114300" simplePos="0" relativeHeight="251737088" behindDoc="0" locked="0" layoutInCell="1" allowOverlap="1">
                      <wp:simplePos x="0" y="0"/>
                      <wp:positionH relativeFrom="column">
                        <wp:posOffset>2850515</wp:posOffset>
                      </wp:positionH>
                      <wp:positionV relativeFrom="paragraph">
                        <wp:posOffset>213995</wp:posOffset>
                      </wp:positionV>
                      <wp:extent cx="368300" cy="3175"/>
                      <wp:effectExtent l="0" t="46990" r="0" b="51435"/>
                      <wp:wrapNone/>
                      <wp:docPr id="104" name="直接箭头连接符 104"/>
                      <wp:cNvGraphicFramePr/>
                      <a:graphic xmlns:a="http://schemas.openxmlformats.org/drawingml/2006/main">
                        <a:graphicData uri="http://schemas.microsoft.com/office/word/2010/wordprocessingShape">
                          <wps:wsp>
                            <wps:cNvCnPr/>
                            <wps:spPr>
                              <a:xfrm>
                                <a:off x="0" y="0"/>
                                <a:ext cx="368300" cy="317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4.45pt;margin-top:16.85pt;height:0.25pt;width:29pt;z-index:251737088;mso-width-relative:page;mso-height-relative:page;" filled="f" stroked="t" coordsize="21600,21600" o:gfxdata="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&#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ct/1wAAAAkBAAAPAAAAAAAAAAEAIAAAACIAAABk&#10;cnMvZG93bnJldi54bWxQSwECFAAUAAAACACHTuJAQ/1vnAcCAADeAwAADgAAAAAAAAABACAAAAAm&#10;AQAAZHJzL2Uyb0RvYy54bWxQSwUGAAAAAAYABgBZAQAAnw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28896" behindDoc="0" locked="0" layoutInCell="1" allowOverlap="1">
                      <wp:simplePos x="0" y="0"/>
                      <wp:positionH relativeFrom="column">
                        <wp:posOffset>2045970</wp:posOffset>
                      </wp:positionH>
                      <wp:positionV relativeFrom="paragraph">
                        <wp:posOffset>76200</wp:posOffset>
                      </wp:positionV>
                      <wp:extent cx="807085" cy="273050"/>
                      <wp:effectExtent l="4445" t="5080" r="13970" b="13970"/>
                      <wp:wrapNone/>
                      <wp:docPr id="90" name="矩形 90"/>
                      <wp:cNvGraphicFramePr/>
                      <a:graphic xmlns:a="http://schemas.openxmlformats.org/drawingml/2006/main">
                        <a:graphicData uri="http://schemas.microsoft.com/office/word/2010/wordprocessingShape">
                          <wps:wsp>
                            <wps:cNvSpPr/>
                            <wps:spPr>
                              <a:xfrm>
                                <a:off x="0" y="0"/>
                                <a:ext cx="80708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836910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脱酸*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1pt;margin-top:6pt;height:21.5pt;width:63.55pt;z-index:251728896;v-text-anchor:middle;mso-width-relative:page;mso-height-relative:page;" filled="f" stroked="t" coordsize="21600,21600" o:gfxdata="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rcRwtcAAAAJAQAADwAAAAAAAAABACAAAAAiAAAAZHJzL2Rvd25yZXYueG1sUEsBAhQAFAAA&#10;AAgAh07iQOfNwm5iAgAAvwQAAA4AAAAAAAAAAQAgAAAAJgEAAGRycy9lMm9Eb2MueG1sUEsFBgAA&#10;AAAGAAYAWQEAAPoFAAAAAA==&#10;">
                      <v:fill on="f" focussize="0,0"/>
                      <v:stroke weight="0.25pt" color="#000000 [3213]" joinstyle="round"/>
                      <v:imagedata o:title=""/>
                      <o:lock v:ext="edit" aspectratio="f"/>
                      <v:textbox>
                        <w:txbxContent>
                          <w:p w14:paraId="4836910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脱酸*</w:t>
                            </w:r>
                          </w:p>
                        </w:txbxContent>
                      </v:textbox>
                    </v:rect>
                  </w:pict>
                </mc:Fallback>
              </mc:AlternateContent>
            </w:r>
          </w:p>
          <w:p w14:paraId="7A3D994F">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74976" behindDoc="0" locked="0" layoutInCell="1" allowOverlap="1">
                      <wp:simplePos x="0" y="0"/>
                      <wp:positionH relativeFrom="column">
                        <wp:posOffset>650240</wp:posOffset>
                      </wp:positionH>
                      <wp:positionV relativeFrom="paragraph">
                        <wp:posOffset>109855</wp:posOffset>
                      </wp:positionV>
                      <wp:extent cx="1022985" cy="561975"/>
                      <wp:effectExtent l="0" t="0" r="0" b="0"/>
                      <wp:wrapNone/>
                      <wp:docPr id="77" name="矩形 77"/>
                      <wp:cNvGraphicFramePr/>
                      <a:graphic xmlns:a="http://schemas.openxmlformats.org/drawingml/2006/main">
                        <a:graphicData uri="http://schemas.microsoft.com/office/word/2010/wordprocessingShape">
                          <wps:wsp>
                            <wps:cNvSpPr/>
                            <wps:spPr>
                              <a:xfrm>
                                <a:off x="0" y="0"/>
                                <a:ext cx="1022985" cy="561975"/>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3B01ABCB">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无组织排放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2pt;margin-top:8.65pt;height:44.25pt;width:80.55pt;z-index:251774976;v-text-anchor:middle;mso-width-relative:page;mso-height-relative:page;" filled="f" stroked="f" coordsize="21600,21600" o:gfxdata="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0iYf/2AAAAAoB&#10;AAAPAAAAAAAAAAEAIAAAACIAAABkcnMvZG93bnJldi54bWxQSwECFAAUAAAACACHTuJAtA4KSFQC&#10;AACXBAAADgAAAAAAAAABACAAAAAnAQAAZHJzL2Uyb0RvYy54bWxQSwUGAAAAAAYABgBZAQAA7QUA&#10;AAAA&#10;">
                      <v:fill on="f" focussize="0,0"/>
                      <v:stroke on="f" weight="0.25pt"/>
                      <v:imagedata o:title=""/>
                      <o:lock v:ext="edit" aspectratio="f"/>
                      <v:textbox>
                        <w:txbxContent>
                          <w:p w14:paraId="3B01ABCB">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无组织排放</w:t>
                            </w:r>
                          </w:p>
                        </w:txbxContent>
                      </v:textbox>
                    </v:rect>
                  </w:pict>
                </mc:Fallback>
              </mc:AlternateContent>
            </w:r>
            <w:r>
              <w:rPr>
                <w:sz w:val="24"/>
              </w:rPr>
              <mc:AlternateContent>
                <mc:Choice Requires="wps">
                  <w:drawing>
                    <wp:anchor distT="0" distB="0" distL="114300" distR="114300" simplePos="0" relativeHeight="251792384" behindDoc="0" locked="0" layoutInCell="1" allowOverlap="1">
                      <wp:simplePos x="0" y="0"/>
                      <wp:positionH relativeFrom="column">
                        <wp:posOffset>436880</wp:posOffset>
                      </wp:positionH>
                      <wp:positionV relativeFrom="paragraph">
                        <wp:posOffset>109855</wp:posOffset>
                      </wp:positionV>
                      <wp:extent cx="0" cy="200025"/>
                      <wp:effectExtent l="48895" t="0" r="52705" b="3175"/>
                      <wp:wrapNone/>
                      <wp:docPr id="147" name="直接箭头连接符 147"/>
                      <wp:cNvGraphicFramePr/>
                      <a:graphic xmlns:a="http://schemas.openxmlformats.org/drawingml/2006/main">
                        <a:graphicData uri="http://schemas.microsoft.com/office/word/2010/wordprocessingShape">
                          <wps:wsp>
                            <wps:cNvCnPr/>
                            <wps:spPr>
                              <a:xfrm>
                                <a:off x="0" y="0"/>
                                <a:ext cx="0" cy="20002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4.4pt;margin-top:8.65pt;height:15.75pt;width:0pt;z-index:251792384;mso-width-relative:page;mso-height-relative:page;" filled="f" stroked="t" coordsize="21600,21600" o:gfxdata="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m3g2tIAAAAHAQAADwAAAAAAAAABACAAAAAiAAAAZHJzL2Rvd25yZXYu&#10;eG1sUEsBAhQAFAAAAAgAh07iQKpI9VwBAgAA2wMAAA4AAAAAAAAAAQAgAAAAIQEAAGRycy9lMm9E&#10;b2MueG1sUEsFBgAAAAAGAAYAWQEAAJQFA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72928" behindDoc="0" locked="0" layoutInCell="1" allowOverlap="1">
                      <wp:simplePos x="0" y="0"/>
                      <wp:positionH relativeFrom="column">
                        <wp:posOffset>-57785</wp:posOffset>
                      </wp:positionH>
                      <wp:positionV relativeFrom="paragraph">
                        <wp:posOffset>208915</wp:posOffset>
                      </wp:positionV>
                      <wp:extent cx="1022985" cy="434975"/>
                      <wp:effectExtent l="0" t="0" r="0" b="0"/>
                      <wp:wrapNone/>
                      <wp:docPr id="70" name="矩形 70"/>
                      <wp:cNvGraphicFramePr/>
                      <a:graphic xmlns:a="http://schemas.openxmlformats.org/drawingml/2006/main">
                        <a:graphicData uri="http://schemas.microsoft.com/office/word/2010/wordprocessingShape">
                          <wps:wsp>
                            <wps:cNvSpPr/>
                            <wps:spPr>
                              <a:xfrm>
                                <a:off x="0" y="0"/>
                                <a:ext cx="1022985" cy="434975"/>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76FDEDF3">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有组织排放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5pt;margin-top:16.45pt;height:34.25pt;width:80.55pt;z-index:251772928;v-text-anchor:middle;mso-width-relative:page;mso-height-relative:page;" filled="f" stroked="f" coordsize="21600,21600" o:gfxdata="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Si8OHYAAAACQEA&#10;AA8AAAAAAAAAAQAgAAAAIgAAAGRycy9kb3ducmV2LnhtbFBLAQIUABQAAAAIAIdO4kCx8BXZUwIA&#10;AJcEAAAOAAAAAAAAAAEAIAAAACcBAABkcnMvZTJvRG9jLnhtbFBLBQYAAAAABgAGAFkBAADsBQAA&#10;AAA=&#10;">
                      <v:fill on="f" focussize="0,0"/>
                      <v:stroke on="f" weight="0.25pt"/>
                      <v:imagedata o:title=""/>
                      <o:lock v:ext="edit" aspectratio="f"/>
                      <v:textbox>
                        <w:txbxContent>
                          <w:p w14:paraId="76FDEDF3">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有组织排放</w:t>
                            </w:r>
                          </w:p>
                        </w:txbxContent>
                      </v:textbox>
                    </v:rect>
                  </w:pict>
                </mc:Fallback>
              </mc:AlternateContent>
            </w:r>
            <w:r>
              <w:rPr>
                <w:sz w:val="24"/>
              </w:rPr>
              <mc:AlternateContent>
                <mc:Choice Requires="wps">
                  <w:drawing>
                    <wp:anchor distT="0" distB="0" distL="114300" distR="114300" simplePos="0" relativeHeight="251773952" behindDoc="0" locked="0" layoutInCell="1" allowOverlap="1">
                      <wp:simplePos x="0" y="0"/>
                      <wp:positionH relativeFrom="column">
                        <wp:posOffset>1119505</wp:posOffset>
                      </wp:positionH>
                      <wp:positionV relativeFrom="paragraph">
                        <wp:posOffset>86360</wp:posOffset>
                      </wp:positionV>
                      <wp:extent cx="0" cy="200025"/>
                      <wp:effectExtent l="48895" t="0" r="52705" b="3175"/>
                      <wp:wrapNone/>
                      <wp:docPr id="76" name="直接箭头连接符 76"/>
                      <wp:cNvGraphicFramePr/>
                      <a:graphic xmlns:a="http://schemas.openxmlformats.org/drawingml/2006/main">
                        <a:graphicData uri="http://schemas.microsoft.com/office/word/2010/wordprocessingShape">
                          <wps:wsp>
                            <wps:cNvCnPr/>
                            <wps:spPr>
                              <a:xfrm>
                                <a:off x="0" y="0"/>
                                <a:ext cx="0" cy="20002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8.15pt;margin-top:6.8pt;height:15.75pt;width:0pt;z-index:251773952;mso-width-relative:page;mso-height-relative:page;" filled="f" stroked="t" coordsize="21600,21600" o:gfxdata="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x/Us9YAAAAJAQAADwAAAAAAAAABACAAAAAiAAAAZHJzL2Rvd25y&#10;ZXYueG1sUEsBAhQAFAAAAAgAh07iQHihsLYAAgAA2QMAAA4AAAAAAAAAAQAgAAAAJQEAAGRycy9l&#10;Mm9Eb2MueG1sUEsFBgAAAAAGAAYAWQEAAJcFA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60640" behindDoc="0" locked="0" layoutInCell="1" allowOverlap="1">
                      <wp:simplePos x="0" y="0"/>
                      <wp:positionH relativeFrom="column">
                        <wp:posOffset>3696970</wp:posOffset>
                      </wp:positionH>
                      <wp:positionV relativeFrom="paragraph">
                        <wp:posOffset>5080</wp:posOffset>
                      </wp:positionV>
                      <wp:extent cx="385445" cy="350520"/>
                      <wp:effectExtent l="3175" t="3810" r="5080" b="1270"/>
                      <wp:wrapNone/>
                      <wp:docPr id="125" name="直接箭头连接符 125"/>
                      <wp:cNvGraphicFramePr/>
                      <a:graphic xmlns:a="http://schemas.openxmlformats.org/drawingml/2006/main">
                        <a:graphicData uri="http://schemas.microsoft.com/office/word/2010/wordprocessingShape">
                          <wps:wsp>
                            <wps:cNvCnPr/>
                            <wps:spPr>
                              <a:xfrm>
                                <a:off x="0" y="0"/>
                                <a:ext cx="385445" cy="35052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91.1pt;margin-top:0.4pt;height:27.6pt;width:30.35pt;z-index:251760640;mso-width-relative:page;mso-height-relative:page;" filled="f" stroked="t" coordsize="21600,21600" o:gfxdata="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WgHZdUAAAAHAQAADwAAAAAAAAABACAAAAAiAAAAZHJz&#10;L2Rvd25yZXYueG1sUEsBAhQAFAAAAAgAh07iQPKmuDQHAgAA4AMAAA4AAAAAAAAAAQAgAAAAJAEA&#10;AGRycy9lMm9Eb2MueG1sUEsFBgAAAAAGAAYAWQEAAJ0FA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44256" behindDoc="0" locked="0" layoutInCell="1" allowOverlap="1">
                      <wp:simplePos x="0" y="0"/>
                      <wp:positionH relativeFrom="column">
                        <wp:posOffset>2443480</wp:posOffset>
                      </wp:positionH>
                      <wp:positionV relativeFrom="paragraph">
                        <wp:posOffset>32385</wp:posOffset>
                      </wp:positionV>
                      <wp:extent cx="1905" cy="379730"/>
                      <wp:effectExtent l="47625" t="0" r="52070" b="1270"/>
                      <wp:wrapNone/>
                      <wp:docPr id="111" name="直接箭头连接符 111"/>
                      <wp:cNvGraphicFramePr/>
                      <a:graphic xmlns:a="http://schemas.openxmlformats.org/drawingml/2006/main">
                        <a:graphicData uri="http://schemas.microsoft.com/office/word/2010/wordprocessingShape">
                          <wps:wsp>
                            <wps:cNvCnPr/>
                            <wps:spPr>
                              <a:xfrm>
                                <a:off x="0" y="0"/>
                                <a:ext cx="1905" cy="37973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2.4pt;margin-top:2.55pt;height:29.9pt;width:0.15pt;z-index:251744256;mso-width-relative:page;mso-height-relative:page;" filled="f" stroked="t" coordsize="21600,21600" o:gfxdata="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nj/xdgAAAAIAQAADwAAAAAAAAABACAAAAAiAAAAZHJzL2Rvd25yZXYu&#10;eG1sUEsBAhQAFAAAAAgAh07iQK0GFA/7AQAAzQMAAA4AAAAAAAAAAQAgAAAAJwEAAGRycy9lMm9E&#10;b2MueG1sUEsFBgAAAAAGAAYAWQEAAJQFAAAAAA==&#10;">
                      <v:fill on="f" focussize="0,0"/>
                      <v:stroke weight="0.25pt" color="#000000 [3213]" joinstyle="round" endarrow="open"/>
                      <v:imagedata o:title=""/>
                      <o:lock v:ext="edit" aspectratio="f"/>
                    </v:shape>
                  </w:pict>
                </mc:Fallback>
              </mc:AlternateContent>
            </w:r>
          </w:p>
          <w:p w14:paraId="7C2A42EA">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43232" behindDoc="0" locked="0" layoutInCell="1" allowOverlap="1">
                      <wp:simplePos x="0" y="0"/>
                      <wp:positionH relativeFrom="column">
                        <wp:posOffset>763270</wp:posOffset>
                      </wp:positionH>
                      <wp:positionV relativeFrom="paragraph">
                        <wp:posOffset>177800</wp:posOffset>
                      </wp:positionV>
                      <wp:extent cx="1045210" cy="273050"/>
                      <wp:effectExtent l="0" t="0" r="0" b="0"/>
                      <wp:wrapNone/>
                      <wp:docPr id="114" name="矩形 114"/>
                      <wp:cNvGraphicFramePr/>
                      <a:graphic xmlns:a="http://schemas.openxmlformats.org/drawingml/2006/main">
                        <a:graphicData uri="http://schemas.microsoft.com/office/word/2010/wordprocessingShape">
                          <wps:wsp>
                            <wps:cNvSpPr/>
                            <wps:spPr>
                              <a:xfrm>
                                <a:off x="0" y="0"/>
                                <a:ext cx="1045210"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11D7710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酸雾（无组织）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1pt;margin-top:14pt;height:21.5pt;width:82.3pt;z-index:251743232;v-text-anchor:middle;mso-width-relative:page;mso-height-relative:page;" filled="f" stroked="f" coordsize="21600,21600" o:gfxdata="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SOOctYAAAAJAQAA&#10;DwAAAAAAAAABACAAAAAiAAAAZHJzL2Rvd25yZXYueG1sUEsBAhQAFAAAAAgAh07iQPdG0YxUAgAA&#10;mQQAAA4AAAAAAAAAAQAgAAAAJQEAAGRycy9lMm9Eb2MueG1sUEsFBgAAAAAGAAYAWQEAAOsFAAAA&#10;AA==&#10;">
                      <v:fill on="f" focussize="0,0"/>
                      <v:stroke on="f" weight="0.25pt"/>
                      <v:imagedata o:title=""/>
                      <o:lock v:ext="edit" aspectratio="f"/>
                      <v:textbox>
                        <w:txbxContent>
                          <w:p w14:paraId="11D7710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酸雾（无组织）</w:t>
                            </w:r>
                          </w:p>
                        </w:txbxContent>
                      </v:textbox>
                    </v:rect>
                  </w:pict>
                </mc:Fallback>
              </mc:AlternateContent>
            </w:r>
            <w:r>
              <w:rPr>
                <w:sz w:val="24"/>
              </w:rPr>
              <mc:AlternateContent>
                <mc:Choice Requires="wps">
                  <w:drawing>
                    <wp:anchor distT="0" distB="0" distL="114300" distR="114300" simplePos="0" relativeHeight="251730944" behindDoc="0" locked="0" layoutInCell="1" allowOverlap="1">
                      <wp:simplePos x="0" y="0"/>
                      <wp:positionH relativeFrom="column">
                        <wp:posOffset>2085340</wp:posOffset>
                      </wp:positionH>
                      <wp:positionV relativeFrom="paragraph">
                        <wp:posOffset>165100</wp:posOffset>
                      </wp:positionV>
                      <wp:extent cx="969645" cy="273050"/>
                      <wp:effectExtent l="4445" t="4445" r="16510" b="14605"/>
                      <wp:wrapNone/>
                      <wp:docPr id="95" name="矩形 95"/>
                      <wp:cNvGraphicFramePr/>
                      <a:graphic xmlns:a="http://schemas.openxmlformats.org/drawingml/2006/main">
                        <a:graphicData uri="http://schemas.microsoft.com/office/word/2010/wordprocessingShape">
                          <wps:wsp>
                            <wps:cNvSpPr/>
                            <wps:spPr>
                              <a:xfrm>
                                <a:off x="0" y="0"/>
                                <a:ext cx="96964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7ED7BD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搅拌、水洗*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4.2pt;margin-top:13pt;height:21.5pt;width:76.35pt;z-index:251730944;v-text-anchor:middle;mso-width-relative:page;mso-height-relative:page;" filled="f" stroked="t" coordsize="21600,21600" o:gfxdata="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Zscwc2AAAAAkBAAAPAAAAAAAAAAEAIAAAACIAAABkcnMvZG93bnJldi54bWxQSwECFAAU&#10;AAAACACHTuJAlTmJPmMCAAC/BAAADgAAAAAAAAABACAAAAAnAQAAZHJzL2Uyb0RvYy54bWxQSwUG&#10;AAAAAAYABgBZAQAA/AUAAAAA&#10;">
                      <v:fill on="f" focussize="0,0"/>
                      <v:stroke weight="0.25pt" color="#000000 [3213]" joinstyle="round"/>
                      <v:imagedata o:title=""/>
                      <o:lock v:ext="edit" aspectratio="f"/>
                      <v:textbox>
                        <w:txbxContent>
                          <w:p w14:paraId="47ED7BD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搅拌、水洗*</w:t>
                            </w:r>
                          </w:p>
                        </w:txbxContent>
                      </v:textbox>
                    </v:rect>
                  </w:pict>
                </mc:Fallback>
              </mc:AlternateContent>
            </w:r>
            <w:r>
              <w:rPr>
                <w:sz w:val="24"/>
              </w:rPr>
              <mc:AlternateContent>
                <mc:Choice Requires="wps">
                  <w:drawing>
                    <wp:anchor distT="0" distB="0" distL="114300" distR="114300" simplePos="0" relativeHeight="251764736" behindDoc="0" locked="0" layoutInCell="1" allowOverlap="1">
                      <wp:simplePos x="0" y="0"/>
                      <wp:positionH relativeFrom="column">
                        <wp:posOffset>2999105</wp:posOffset>
                      </wp:positionH>
                      <wp:positionV relativeFrom="paragraph">
                        <wp:posOffset>14605</wp:posOffset>
                      </wp:positionV>
                      <wp:extent cx="833120" cy="273050"/>
                      <wp:effectExtent l="0" t="0" r="0" b="0"/>
                      <wp:wrapNone/>
                      <wp:docPr id="130" name="矩形 130"/>
                      <wp:cNvGraphicFramePr/>
                      <a:graphic xmlns:a="http://schemas.openxmlformats.org/drawingml/2006/main">
                        <a:graphicData uri="http://schemas.microsoft.com/office/word/2010/wordprocessingShape">
                          <wps:wsp>
                            <wps:cNvSpPr/>
                            <wps:spPr>
                              <a:xfrm>
                                <a:off x="0" y="0"/>
                                <a:ext cx="833120"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1B5215C9">
                                  <w:pPr>
                                    <w:jc w:val="center"/>
                                    <w:rPr>
                                      <w:rFonts w:hint="default" w:eastAsia="宋体"/>
                                      <w:color w:val="000000" w:themeColor="text1"/>
                                      <w:lang w:val="en-US" w:eastAsia="zh-CN"/>
                                      <w14:textFill>
                                        <w14:solidFill>
                                          <w14:schemeClr w14:val="tx1"/>
                                        </w14:solidFill>
                                      </w14:textFill>
                                    </w:rPr>
                                  </w:pPr>
                                  <w:r>
                                    <w:rPr>
                                      <w:rFonts w:hint="eastAsia"/>
                                      <w:color w:val="000000" w:themeColor="text1"/>
                                      <w:sz w:val="15"/>
                                      <w:szCs w:val="15"/>
                                      <w:lang w:val="en-US" w:eastAsia="zh-CN"/>
                                      <w14:textFill>
                                        <w14:solidFill>
                                          <w14:schemeClr w14:val="tx1"/>
                                        </w14:solidFill>
                                      </w14:textFill>
                                    </w:rPr>
                                    <w:t>上</w:t>
                                  </w:r>
                                  <w:r>
                                    <w:rPr>
                                      <w:rFonts w:hint="eastAsia"/>
                                      <w:color w:val="000000" w:themeColor="text1"/>
                                      <w:sz w:val="18"/>
                                      <w:szCs w:val="18"/>
                                      <w:lang w:val="en-US" w:eastAsia="zh-CN"/>
                                      <w14:textFill>
                                        <w14:solidFill>
                                          <w14:schemeClr w14:val="tx1"/>
                                        </w14:solidFill>
                                      </w14:textFill>
                                    </w:rPr>
                                    <w:t>清液回用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6.15pt;margin-top:1.15pt;height:21.5pt;width:65.6pt;z-index:251764736;v-text-anchor:middle;mso-width-relative:page;mso-height-relative:page;" filled="f" stroked="f" coordsize="21600,21600" o:gfxdata="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3kCti1wAAAAgBAAAP&#10;AAAAAAAAAAEAIAAAACIAAABkcnMvZG93bnJldi54bWxQSwECFAAUAAAACACHTuJAG44gaVICAACY&#10;BAAADgAAAAAAAAABACAAAAAmAQAAZHJzL2Uyb0RvYy54bWxQSwUGAAAAAAYABgBZAQAA6gUAAAAA&#10;">
                      <v:fill on="f" focussize="0,0"/>
                      <v:stroke on="f" weight="0.25pt"/>
                      <v:imagedata o:title=""/>
                      <o:lock v:ext="edit" aspectratio="f"/>
                      <v:textbox>
                        <w:txbxContent>
                          <w:p w14:paraId="1B5215C9">
                            <w:pPr>
                              <w:jc w:val="center"/>
                              <w:rPr>
                                <w:rFonts w:hint="default" w:eastAsia="宋体"/>
                                <w:color w:val="000000" w:themeColor="text1"/>
                                <w:lang w:val="en-US" w:eastAsia="zh-CN"/>
                                <w14:textFill>
                                  <w14:solidFill>
                                    <w14:schemeClr w14:val="tx1"/>
                                  </w14:solidFill>
                                </w14:textFill>
                              </w:rPr>
                            </w:pPr>
                            <w:r>
                              <w:rPr>
                                <w:rFonts w:hint="eastAsia"/>
                                <w:color w:val="000000" w:themeColor="text1"/>
                                <w:sz w:val="15"/>
                                <w:szCs w:val="15"/>
                                <w:lang w:val="en-US" w:eastAsia="zh-CN"/>
                                <w14:textFill>
                                  <w14:solidFill>
                                    <w14:schemeClr w14:val="tx1"/>
                                  </w14:solidFill>
                                </w14:textFill>
                              </w:rPr>
                              <w:t>上</w:t>
                            </w:r>
                            <w:r>
                              <w:rPr>
                                <w:rFonts w:hint="eastAsia"/>
                                <w:color w:val="000000" w:themeColor="text1"/>
                                <w:sz w:val="18"/>
                                <w:szCs w:val="18"/>
                                <w:lang w:val="en-US" w:eastAsia="zh-CN"/>
                                <w14:textFill>
                                  <w14:solidFill>
                                    <w14:schemeClr w14:val="tx1"/>
                                  </w14:solidFill>
                                </w14:textFill>
                              </w:rPr>
                              <w:t>清液回用</w:t>
                            </w:r>
                          </w:p>
                        </w:txbxContent>
                      </v:textbox>
                    </v:rect>
                  </w:pict>
                </mc:Fallback>
              </mc:AlternateContent>
            </w:r>
            <w:r>
              <w:rPr>
                <w:sz w:val="24"/>
              </w:rPr>
              <mc:AlternateContent>
                <mc:Choice Requires="wps">
                  <w:drawing>
                    <wp:anchor distT="0" distB="0" distL="114300" distR="114300" simplePos="0" relativeHeight="251763712" behindDoc="0" locked="0" layoutInCell="1" allowOverlap="1">
                      <wp:simplePos x="0" y="0"/>
                      <wp:positionH relativeFrom="column">
                        <wp:posOffset>3116580</wp:posOffset>
                      </wp:positionH>
                      <wp:positionV relativeFrom="paragraph">
                        <wp:posOffset>269240</wp:posOffset>
                      </wp:positionV>
                      <wp:extent cx="698500" cy="6985"/>
                      <wp:effectExtent l="0" t="48260" r="0" b="46355"/>
                      <wp:wrapNone/>
                      <wp:docPr id="129" name="直接箭头连接符 129"/>
                      <wp:cNvGraphicFramePr/>
                      <a:graphic xmlns:a="http://schemas.openxmlformats.org/drawingml/2006/main">
                        <a:graphicData uri="http://schemas.microsoft.com/office/word/2010/wordprocessingShape">
                          <wps:wsp>
                            <wps:cNvCnPr/>
                            <wps:spPr>
                              <a:xfrm flipH="1" flipV="1">
                                <a:off x="0" y="0"/>
                                <a:ext cx="698500" cy="698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45.4pt;margin-top:21.2pt;height:0.55pt;width:55pt;z-index:251763712;mso-width-relative:page;mso-height-relative:page;" filled="f" stroked="t" coordsize="21600,21600" o:gfxdata="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QKor/WAAAACQEAAA8AAAAAAAAAAQAg&#10;AAAAIgAAAGRycy9kb3ducmV2LnhtbFBLAQIUABQAAAAIAIdO4kDk/32tEAIAAPIDAAAOAAAAAAAA&#10;AAEAIAAAACUBAABkcnMvZTJvRG9jLnhtbFBLBQYAAAAABgAGAFkBAACnBQ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62688" behindDoc="0" locked="0" layoutInCell="1" allowOverlap="1">
                      <wp:simplePos x="0" y="0"/>
                      <wp:positionH relativeFrom="column">
                        <wp:posOffset>3870325</wp:posOffset>
                      </wp:positionH>
                      <wp:positionV relativeFrom="paragraph">
                        <wp:posOffset>144145</wp:posOffset>
                      </wp:positionV>
                      <wp:extent cx="760730" cy="273050"/>
                      <wp:effectExtent l="4445" t="4445" r="9525" b="14605"/>
                      <wp:wrapNone/>
                      <wp:docPr id="128" name="矩形 128"/>
                      <wp:cNvGraphicFramePr/>
                      <a:graphic xmlns:a="http://schemas.openxmlformats.org/drawingml/2006/main">
                        <a:graphicData uri="http://schemas.microsoft.com/office/word/2010/wordprocessingShape">
                          <wps:wsp>
                            <wps:cNvSpPr/>
                            <wps:spPr>
                              <a:xfrm>
                                <a:off x="0" y="0"/>
                                <a:ext cx="760730"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9F96D8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中和沉淀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4.75pt;margin-top:11.35pt;height:21.5pt;width:59.9pt;z-index:251762688;v-text-anchor:middle;mso-width-relative:page;mso-height-relative:page;" filled="f" stroked="t" coordsize="21600,21600" o:gfxdata="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5IyrYAAAACQEAAA8AAAAAAAAAAQAgAAAAIgAAAGRycy9kb3ducmV2LnhtbFBLAQIUABQA&#10;AAAIAIdO4kAmbrgzYgIAAMEEAAAOAAAAAAAAAAEAIAAAACcBAABkcnMvZTJvRG9jLnhtbFBLBQYA&#10;AAAABgAGAFkBAAD7BQAAAAA=&#10;">
                      <v:fill on="f" focussize="0,0"/>
                      <v:stroke weight="0.25pt" color="#000000 [3213]" joinstyle="round"/>
                      <v:imagedata o:title=""/>
                      <o:lock v:ext="edit" aspectratio="f"/>
                      <v:textbox>
                        <w:txbxContent>
                          <w:p w14:paraId="29F96D8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中和沉淀</w:t>
                            </w:r>
                          </w:p>
                        </w:txbxContent>
                      </v:textbox>
                    </v:rect>
                  </w:pict>
                </mc:Fallback>
              </mc:AlternateContent>
            </w:r>
            <w:r>
              <w:rPr>
                <w:sz w:val="24"/>
              </w:rPr>
              <mc:AlternateContent>
                <mc:Choice Requires="wps">
                  <w:drawing>
                    <wp:anchor distT="0" distB="0" distL="114300" distR="114300" simplePos="0" relativeHeight="251737088" behindDoc="0" locked="0" layoutInCell="1" allowOverlap="1">
                      <wp:simplePos x="0" y="0"/>
                      <wp:positionH relativeFrom="column">
                        <wp:posOffset>1733550</wp:posOffset>
                      </wp:positionH>
                      <wp:positionV relativeFrom="paragraph">
                        <wp:posOffset>289560</wp:posOffset>
                      </wp:positionV>
                      <wp:extent cx="307340" cy="11430"/>
                      <wp:effectExtent l="0" t="45720" r="10160" b="44450"/>
                      <wp:wrapNone/>
                      <wp:docPr id="102" name="直接箭头连接符 102"/>
                      <wp:cNvGraphicFramePr/>
                      <a:graphic xmlns:a="http://schemas.openxmlformats.org/drawingml/2006/main">
                        <a:graphicData uri="http://schemas.microsoft.com/office/word/2010/wordprocessingShape">
                          <wps:wsp>
                            <wps:cNvCnPr/>
                            <wps:spPr>
                              <a:xfrm flipH="1" flipV="1">
                                <a:off x="0" y="0"/>
                                <a:ext cx="307340" cy="1143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36.5pt;margin-top:22.8pt;height:0.9pt;width:24.2pt;z-index:251737088;mso-width-relative:page;mso-height-relative:page;" filled="f" stroked="t" coordsize="21600,21600" o:gfxdata="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M2PA1wAAAAkBAAAPAAAAAAAA&#10;AAEAIAAAACIAAABkcnMvZG93bnJldi54bWxQSwECFAAUAAAACACHTuJAC5iJnhMCAADzAwAADgAA&#10;AAAAAAABACAAAAAmAQAAZHJzL2Uyb0RvYy54bWxQSwUGAAAAAAYABgBZAQAAqwUAAAAA&#10;">
                      <v:fill on="f" focussize="0,0"/>
                      <v:stroke color="#000000 [3213]" joinstyle="round" dashstyle="dash" endarrow="open"/>
                      <v:imagedata o:title=""/>
                      <o:lock v:ext="edit" aspectratio="f"/>
                    </v:shape>
                  </w:pict>
                </mc:Fallback>
              </mc:AlternateContent>
            </w:r>
          </w:p>
          <w:p w14:paraId="35BE49BC">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85216" behindDoc="0" locked="0" layoutInCell="1" allowOverlap="1">
                      <wp:simplePos x="0" y="0"/>
                      <wp:positionH relativeFrom="column">
                        <wp:posOffset>4199255</wp:posOffset>
                      </wp:positionH>
                      <wp:positionV relativeFrom="paragraph">
                        <wp:posOffset>167640</wp:posOffset>
                      </wp:positionV>
                      <wp:extent cx="127000" cy="285750"/>
                      <wp:effectExtent l="4445" t="1905" r="20955" b="4445"/>
                      <wp:wrapNone/>
                      <wp:docPr id="140" name="直接箭头连接符 140"/>
                      <wp:cNvGraphicFramePr/>
                      <a:graphic xmlns:a="http://schemas.openxmlformats.org/drawingml/2006/main">
                        <a:graphicData uri="http://schemas.microsoft.com/office/word/2010/wordprocessingShape">
                          <wps:wsp>
                            <wps:cNvCnPr/>
                            <wps:spPr>
                              <a:xfrm>
                                <a:off x="0" y="0"/>
                                <a:ext cx="127000" cy="28575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30.65pt;margin-top:13.2pt;height:22.5pt;width:10pt;z-index:251785216;mso-width-relative:page;mso-height-relative:page;" filled="f" stroked="t" coordsize="21600,21600" o:gfxdata="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&#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swYdcAAAAJAQAADwAAAAAAAAABACAAAAAiAAAA&#10;ZHJzL2Rvd25yZXYueG1sUEsBAhQAFAAAAAgAh07iQITTDDEIAgAA4AMAAA4AAAAAAAAAAQAgAAAA&#10;JgEAAGRycy9lMm9Eb2MueG1sUEsFBgAAAAAGAAYAWQEAAKAFA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52448" behindDoc="0" locked="0" layoutInCell="1" allowOverlap="1">
                      <wp:simplePos x="0" y="0"/>
                      <wp:positionH relativeFrom="column">
                        <wp:posOffset>2436495</wp:posOffset>
                      </wp:positionH>
                      <wp:positionV relativeFrom="paragraph">
                        <wp:posOffset>139700</wp:posOffset>
                      </wp:positionV>
                      <wp:extent cx="1905" cy="379730"/>
                      <wp:effectExtent l="47625" t="0" r="52070" b="1270"/>
                      <wp:wrapNone/>
                      <wp:docPr id="120" name="直接箭头连接符 120"/>
                      <wp:cNvGraphicFramePr/>
                      <a:graphic xmlns:a="http://schemas.openxmlformats.org/drawingml/2006/main">
                        <a:graphicData uri="http://schemas.microsoft.com/office/word/2010/wordprocessingShape">
                          <wps:wsp>
                            <wps:cNvCnPr/>
                            <wps:spPr>
                              <a:xfrm>
                                <a:off x="0" y="0"/>
                                <a:ext cx="1905" cy="37973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1.85pt;margin-top:11pt;height:29.9pt;width:0.15pt;z-index:251752448;mso-width-relative:page;mso-height-relative:page;" filled="f" stroked="t" coordsize="21600,21600" o:gfxdata="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8Wf3NgAAAAJAQAADwAAAAAAAAABACAAAAAiAAAAZHJzL2Rvd25yZXYu&#10;eG1sUEsBAhQAFAAAAAgAh07iQKzrj1b7AQAAzQMAAA4AAAAAAAAAAQAgAAAAJwEAAGRycy9lMm9E&#10;b2MueG1sUEsFBgAAAAAGAAYAWQEAAJQFAAAAAA==&#10;">
                      <v:fill on="f" focussize="0,0"/>
                      <v:stroke weight="0.25pt" color="#000000 [3213]" joinstyle="round" endarrow="open"/>
                      <v:imagedata o:title=""/>
                      <o:lock v:ext="edit" aspectratio="f"/>
                    </v:shape>
                  </w:pict>
                </mc:Fallback>
              </mc:AlternateContent>
            </w:r>
          </w:p>
          <w:p w14:paraId="182A6336">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86240" behindDoc="0" locked="0" layoutInCell="1" allowOverlap="1">
                      <wp:simplePos x="0" y="0"/>
                      <wp:positionH relativeFrom="column">
                        <wp:posOffset>4025265</wp:posOffset>
                      </wp:positionH>
                      <wp:positionV relativeFrom="paragraph">
                        <wp:posOffset>127000</wp:posOffset>
                      </wp:positionV>
                      <wp:extent cx="633095" cy="518160"/>
                      <wp:effectExtent l="0" t="0" r="0" b="0"/>
                      <wp:wrapNone/>
                      <wp:docPr id="141" name="矩形 141"/>
                      <wp:cNvGraphicFramePr/>
                      <a:graphic xmlns:a="http://schemas.openxmlformats.org/drawingml/2006/main">
                        <a:graphicData uri="http://schemas.microsoft.com/office/word/2010/wordprocessingShape">
                          <wps:wsp>
                            <wps:cNvSpPr/>
                            <wps:spPr>
                              <a:xfrm>
                                <a:off x="0" y="0"/>
                                <a:ext cx="633095" cy="51816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20AFFB69">
                                  <w:pPr>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沉淀物出售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6.95pt;margin-top:10pt;height:40.8pt;width:49.85pt;z-index:251786240;v-text-anchor:middle;mso-width-relative:page;mso-height-relative:page;" filled="f" stroked="f" coordsize="21600,21600" o:gfxdata="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lscaNcAAAAKAQAA&#10;DwAAAAAAAAABACAAAAAiAAAAZHJzL2Rvd25yZXYueG1sUEsBAhQAFAAAAAgAh07iQNv7AoJTAgAA&#10;mAQAAA4AAAAAAAAAAQAgAAAAJgEAAGRycy9lMm9Eb2MueG1sUEsFBgAAAAAGAAYAWQEAAOsFAAAA&#10;AA==&#10;">
                      <v:fill on="f" focussize="0,0"/>
                      <v:stroke on="f" weight="0.25pt"/>
                      <v:imagedata o:title=""/>
                      <o:lock v:ext="edit" aspectratio="f"/>
                      <v:textbox>
                        <w:txbxContent>
                          <w:p w14:paraId="20AFFB69">
                            <w:pPr>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沉淀物出售</w:t>
                            </w:r>
                          </w:p>
                        </w:txbxContent>
                      </v:textbox>
                    </v:rect>
                  </w:pict>
                </mc:Fallback>
              </mc:AlternateContent>
            </w:r>
            <w:r>
              <w:rPr>
                <w:sz w:val="24"/>
              </w:rPr>
              <mc:AlternateContent>
                <mc:Choice Requires="wps">
                  <w:drawing>
                    <wp:anchor distT="0" distB="0" distL="114300" distR="114300" simplePos="0" relativeHeight="251793408" behindDoc="0" locked="0" layoutInCell="1" allowOverlap="1">
                      <wp:simplePos x="0" y="0"/>
                      <wp:positionH relativeFrom="column">
                        <wp:posOffset>104140</wp:posOffset>
                      </wp:positionH>
                      <wp:positionV relativeFrom="paragraph">
                        <wp:posOffset>213360</wp:posOffset>
                      </wp:positionV>
                      <wp:extent cx="1058545" cy="19050"/>
                      <wp:effectExtent l="0" t="47625" r="8255" b="34925"/>
                      <wp:wrapNone/>
                      <wp:docPr id="148" name="直接箭头连接符 148"/>
                      <wp:cNvGraphicFramePr/>
                      <a:graphic xmlns:a="http://schemas.openxmlformats.org/drawingml/2006/main">
                        <a:graphicData uri="http://schemas.microsoft.com/office/word/2010/wordprocessingShape">
                          <wps:wsp>
                            <wps:cNvCnPr/>
                            <wps:spPr>
                              <a:xfrm flipH="1" flipV="1">
                                <a:off x="0" y="0"/>
                                <a:ext cx="1058545" cy="1905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8.2pt;margin-top:16.8pt;height:1.5pt;width:83.35pt;z-index:251793408;mso-width-relative:page;mso-height-relative:page;" filled="f" stroked="t" coordsize="21600,21600" o:gfxdata="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B+Aw1AAAAAgBAAAPAAAAAAAAAAEA&#10;IAAAACIAAABkcnMvZG93bnJldi54bWxQSwECFAAUAAAACACHTuJAutkjoRMCAAD0AwAADgAAAAAA&#10;AAABACAAAAAjAQAAZHJzL2Uyb0RvYy54bWxQSwUGAAAAAAYABgBZAQAAqA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90336" behindDoc="0" locked="0" layoutInCell="1" allowOverlap="1">
                      <wp:simplePos x="0" y="0"/>
                      <wp:positionH relativeFrom="column">
                        <wp:posOffset>1103630</wp:posOffset>
                      </wp:positionH>
                      <wp:positionV relativeFrom="paragraph">
                        <wp:posOffset>127000</wp:posOffset>
                      </wp:positionV>
                      <wp:extent cx="791845" cy="273050"/>
                      <wp:effectExtent l="0" t="0" r="0" b="0"/>
                      <wp:wrapNone/>
                      <wp:docPr id="145" name="矩形 145"/>
                      <wp:cNvGraphicFramePr/>
                      <a:graphic xmlns:a="http://schemas.openxmlformats.org/drawingml/2006/main">
                        <a:graphicData uri="http://schemas.microsoft.com/office/word/2010/wordprocessingShape">
                          <wps:wsp>
                            <wps:cNvSpPr/>
                            <wps:spPr>
                              <a:xfrm>
                                <a:off x="0" y="0"/>
                                <a:ext cx="791845"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3B2F5218">
                                  <w:pPr>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石墨沉渣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9pt;margin-top:10pt;height:21.5pt;width:62.35pt;z-index:251790336;v-text-anchor:middle;mso-width-relative:page;mso-height-relative:page;" filled="f" stroked="f" coordsize="21600,21600" o:gfxdata="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EgOeTYAAAACQEA&#10;AA8AAAAAAAAAAQAgAAAAIgAAAGRycy9kb3ducmV2LnhtbFBLAQIUABQAAAAIAIdO4kArf0XvUwIA&#10;AJgEAAAOAAAAAAAAAAEAIAAAACcBAABkcnMvZTJvRG9jLnhtbFBLBQYAAAAABgAGAFkBAADsBQAA&#10;AAA=&#10;">
                      <v:fill on="f" focussize="0,0"/>
                      <v:stroke on="f" weight="0.25pt"/>
                      <v:imagedata o:title=""/>
                      <o:lock v:ext="edit" aspectratio="f"/>
                      <v:textbox>
                        <w:txbxContent>
                          <w:p w14:paraId="3B2F5218">
                            <w:pPr>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石墨沉渣</w:t>
                            </w:r>
                          </w:p>
                        </w:txbxContent>
                      </v:textbox>
                    </v:rect>
                  </w:pict>
                </mc:Fallback>
              </mc:AlternateContent>
            </w:r>
            <w:r>
              <w:rPr>
                <w:sz w:val="24"/>
              </w:rPr>
              <mc:AlternateContent>
                <mc:Choice Requires="wps">
                  <w:drawing>
                    <wp:anchor distT="0" distB="0" distL="114300" distR="114300" simplePos="0" relativeHeight="251789312" behindDoc="0" locked="0" layoutInCell="1" allowOverlap="1">
                      <wp:simplePos x="0" y="0"/>
                      <wp:positionH relativeFrom="column">
                        <wp:posOffset>1826260</wp:posOffset>
                      </wp:positionH>
                      <wp:positionV relativeFrom="paragraph">
                        <wp:posOffset>291465</wp:posOffset>
                      </wp:positionV>
                      <wp:extent cx="185420" cy="20320"/>
                      <wp:effectExtent l="0" t="39370" r="5080" b="41910"/>
                      <wp:wrapNone/>
                      <wp:docPr id="144" name="直接箭头连接符 144"/>
                      <wp:cNvGraphicFramePr/>
                      <a:graphic xmlns:a="http://schemas.openxmlformats.org/drawingml/2006/main">
                        <a:graphicData uri="http://schemas.microsoft.com/office/word/2010/wordprocessingShape">
                          <wps:wsp>
                            <wps:cNvCnPr/>
                            <wps:spPr>
                              <a:xfrm flipH="1" flipV="1">
                                <a:off x="0" y="0"/>
                                <a:ext cx="185420" cy="2032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43.8pt;margin-top:22.95pt;height:1.6pt;width:14.6pt;z-index:251789312;mso-width-relative:page;mso-height-relative:page;" filled="f" stroked="t" coordsize="21600,21600" o:gfxdata="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5sWzrXAAAACQEAAA8AAAAAAAAA&#10;AQAgAAAAIgAAAGRycy9kb3ducmV2LnhtbFBLAQIUABQAAAAIAIdO4kANCjNBEgIAAPMDAAAOAAAA&#10;AAAAAAEAIAAAACYBAABkcnMvZTJvRG9jLnhtbFBLBQYAAAAABgAGAFkBAACqBQ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61664" behindDoc="0" locked="0" layoutInCell="1" allowOverlap="1">
                      <wp:simplePos x="0" y="0"/>
                      <wp:positionH relativeFrom="column">
                        <wp:posOffset>3642995</wp:posOffset>
                      </wp:positionH>
                      <wp:positionV relativeFrom="paragraph">
                        <wp:posOffset>-102235</wp:posOffset>
                      </wp:positionV>
                      <wp:extent cx="361950" cy="379730"/>
                      <wp:effectExtent l="3175" t="0" r="3175" b="13970"/>
                      <wp:wrapNone/>
                      <wp:docPr id="126" name="直接箭头连接符 126"/>
                      <wp:cNvGraphicFramePr/>
                      <a:graphic xmlns:a="http://schemas.openxmlformats.org/drawingml/2006/main">
                        <a:graphicData uri="http://schemas.microsoft.com/office/word/2010/wordprocessingShape">
                          <wps:wsp>
                            <wps:cNvCnPr/>
                            <wps:spPr>
                              <a:xfrm flipV="1">
                                <a:off x="0" y="0"/>
                                <a:ext cx="361950" cy="37973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86.85pt;margin-top:-8.05pt;height:29.9pt;width:28.5pt;z-index:251761664;mso-width-relative:page;mso-height-relative:page;" filled="f" stroked="t" coordsize="21600,21600" o:gfxdata="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8Ihh1wAAAAoBAAAPAAAAAAAAAAEA&#10;IAAAACIAAABkcnMvZG93bnJldi54bWxQSwECFAAUAAAACACHTuJAlZwwAhACAADqAwAADgAAAAAA&#10;AAABACAAAAAmAQAAZHJzL2Uyb0RvYy54bWxQSwUGAAAAAAYABgBZAQAAqA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34016" behindDoc="0" locked="0" layoutInCell="1" allowOverlap="1">
                      <wp:simplePos x="0" y="0"/>
                      <wp:positionH relativeFrom="column">
                        <wp:posOffset>2047875</wp:posOffset>
                      </wp:positionH>
                      <wp:positionV relativeFrom="paragraph">
                        <wp:posOffset>211455</wp:posOffset>
                      </wp:positionV>
                      <wp:extent cx="807085" cy="273050"/>
                      <wp:effectExtent l="4445" t="5080" r="13970" b="13970"/>
                      <wp:wrapNone/>
                      <wp:docPr id="97" name="矩形 97"/>
                      <wp:cNvGraphicFramePr/>
                      <a:graphic xmlns:a="http://schemas.openxmlformats.org/drawingml/2006/main">
                        <a:graphicData uri="http://schemas.microsoft.com/office/word/2010/wordprocessingShape">
                          <wps:wsp>
                            <wps:cNvSpPr/>
                            <wps:spPr>
                              <a:xfrm>
                                <a:off x="0" y="0"/>
                                <a:ext cx="80708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BED8EA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脱水*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25pt;margin-top:16.65pt;height:21.5pt;width:63.55pt;z-index:251734016;v-text-anchor:middle;mso-width-relative:page;mso-height-relative:page;" filled="f" stroked="t" coordsize="21600,21600" o:gfxdata="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I1T9fZAAAACQEAAA8AAAAAAAAAAQAgAAAAIgAAAGRycy9kb3ducmV2LnhtbFBLAQIU&#10;ABQAAAAIAIdO4kDD1iBVZAIAAL8EAAAOAAAAAAAAAAEAIAAAACgBAABkcnMvZTJvRG9jLnhtbFBL&#10;BQYAAAAABgAGAFkBAAD+BQAAAAA=&#10;">
                      <v:fill on="f" focussize="0,0"/>
                      <v:stroke weight="0.25pt" color="#000000 [3213]" joinstyle="round"/>
                      <v:imagedata o:title=""/>
                      <o:lock v:ext="edit" aspectratio="f"/>
                      <v:textbox>
                        <w:txbxContent>
                          <w:p w14:paraId="4BED8EA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脱水*</w:t>
                            </w:r>
                          </w:p>
                        </w:txbxContent>
                      </v:textbox>
                    </v:rect>
                  </w:pict>
                </mc:Fallback>
              </mc:AlternateContent>
            </w:r>
            <w:r>
              <w:rPr>
                <w:sz w:val="24"/>
              </w:rPr>
              <mc:AlternateContent>
                <mc:Choice Requires="wps">
                  <w:drawing>
                    <wp:anchor distT="0" distB="0" distL="114300" distR="114300" simplePos="0" relativeHeight="251732992" behindDoc="0" locked="0" layoutInCell="1" allowOverlap="1">
                      <wp:simplePos x="0" y="0"/>
                      <wp:positionH relativeFrom="column">
                        <wp:posOffset>3246755</wp:posOffset>
                      </wp:positionH>
                      <wp:positionV relativeFrom="paragraph">
                        <wp:posOffset>277495</wp:posOffset>
                      </wp:positionV>
                      <wp:extent cx="791845" cy="273050"/>
                      <wp:effectExtent l="0" t="0" r="0" b="0"/>
                      <wp:wrapNone/>
                      <wp:docPr id="108" name="矩形 108"/>
                      <wp:cNvGraphicFramePr/>
                      <a:graphic xmlns:a="http://schemas.openxmlformats.org/drawingml/2006/main">
                        <a:graphicData uri="http://schemas.microsoft.com/office/word/2010/wordprocessingShape">
                          <wps:wsp>
                            <wps:cNvSpPr/>
                            <wps:spPr>
                              <a:xfrm>
                                <a:off x="0" y="0"/>
                                <a:ext cx="791845"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0F19B39E">
                                  <w:pPr>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含酸废水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65pt;margin-top:21.85pt;height:21.5pt;width:62.35pt;z-index:251732992;v-text-anchor:middle;mso-width-relative:page;mso-height-relative:page;" filled="f" stroked="f" coordsize="21600,21600" o:gfxdata="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KqYmY2AAAAAkB&#10;AAAPAAAAAAAAAAEAIAAAACIAAABkcnMvZG93bnJldi54bWxQSwECFAAUAAAACACHTuJAUa3wEFQC&#10;AACYBAAADgAAAAAAAAABACAAAAAnAQAAZHJzL2Uyb0RvYy54bWxQSwUGAAAAAAYABgBZAQAA7QUA&#10;AAAA&#10;">
                      <v:fill on="f" focussize="0,0"/>
                      <v:stroke on="f" weight="0.25pt"/>
                      <v:imagedata o:title=""/>
                      <o:lock v:ext="edit" aspectratio="f"/>
                      <v:textbox>
                        <w:txbxContent>
                          <w:p w14:paraId="0F19B39E">
                            <w:pPr>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含酸废水</w:t>
                            </w:r>
                          </w:p>
                        </w:txbxContent>
                      </v:textbox>
                    </v:rect>
                  </w:pict>
                </mc:Fallback>
              </mc:AlternateContent>
            </w:r>
          </w:p>
          <w:p w14:paraId="3E6261B6">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96480" behindDoc="0" locked="0" layoutInCell="1" allowOverlap="1">
                      <wp:simplePos x="0" y="0"/>
                      <wp:positionH relativeFrom="column">
                        <wp:posOffset>4906010</wp:posOffset>
                      </wp:positionH>
                      <wp:positionV relativeFrom="paragraph">
                        <wp:posOffset>-2146300</wp:posOffset>
                      </wp:positionV>
                      <wp:extent cx="24130" cy="2876550"/>
                      <wp:effectExtent l="48260" t="0" r="29210" b="6350"/>
                      <wp:wrapNone/>
                      <wp:docPr id="151" name="直接箭头连接符 151"/>
                      <wp:cNvGraphicFramePr/>
                      <a:graphic xmlns:a="http://schemas.openxmlformats.org/drawingml/2006/main">
                        <a:graphicData uri="http://schemas.microsoft.com/office/word/2010/wordprocessingShape">
                          <wps:wsp>
                            <wps:cNvCnPr/>
                            <wps:spPr>
                              <a:xfrm flipH="1" flipV="1">
                                <a:off x="0" y="0"/>
                                <a:ext cx="24130" cy="287655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386.3pt;margin-top:-169pt;height:226.5pt;width:1.9pt;z-index:251796480;mso-width-relative:page;mso-height-relative:page;" filled="f" stroked="t" coordsize="21600,21600" o:gfxdata="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A7p2QAAAAwBAAAPAAAA&#10;AAAAAAEAIAAAACIAAABkcnMvZG93bnJldi54bWxQSwECFAAUAAAACACHTuJAKUidmhQCAAD0AwAA&#10;DgAAAAAAAAABACAAAAAoAQAAZHJzL2Uyb0RvYy54bWxQSwUGAAAAAAYABgBZAQAArg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81120" behindDoc="0" locked="0" layoutInCell="1" allowOverlap="1">
                      <wp:simplePos x="0" y="0"/>
                      <wp:positionH relativeFrom="column">
                        <wp:posOffset>76200</wp:posOffset>
                      </wp:positionH>
                      <wp:positionV relativeFrom="paragraph">
                        <wp:posOffset>274320</wp:posOffset>
                      </wp:positionV>
                      <wp:extent cx="1022985" cy="561975"/>
                      <wp:effectExtent l="0" t="0" r="0" b="0"/>
                      <wp:wrapNone/>
                      <wp:docPr id="136" name="矩形 136"/>
                      <wp:cNvGraphicFramePr/>
                      <a:graphic xmlns:a="http://schemas.openxmlformats.org/drawingml/2006/main">
                        <a:graphicData uri="http://schemas.microsoft.com/office/word/2010/wordprocessingShape">
                          <wps:wsp>
                            <wps:cNvSpPr/>
                            <wps:spPr>
                              <a:xfrm>
                                <a:off x="0" y="0"/>
                                <a:ext cx="1022985" cy="561975"/>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65EBF358">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有组织排放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pt;margin-top:21.6pt;height:44.25pt;width:80.55pt;z-index:251781120;v-text-anchor:middle;mso-width-relative:page;mso-height-relative:page;" filled="f" stroked="f" coordsize="21600,21600" o:gfxdata="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8nrLT1wAAAAkB&#10;AAAPAAAAAAAAAAEAIAAAACIAAABkcnMvZG93bnJldi54bWxQSwECFAAUAAAACACHTuJAVJxMg1UC&#10;AACZBAAADgAAAAAAAAABACAAAAAmAQAAZHJzL2Uyb0RvYy54bWxQSwUGAAAAAAYABgBZAQAA7QUA&#10;AAAA&#10;">
                      <v:fill on="f" focussize="0,0"/>
                      <v:stroke on="f" weight="0.25pt"/>
                      <v:imagedata o:title=""/>
                      <o:lock v:ext="edit" aspectratio="f"/>
                      <v:textbox>
                        <w:txbxContent>
                          <w:p w14:paraId="65EBF358">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有组织排放</w:t>
                            </w:r>
                          </w:p>
                        </w:txbxContent>
                      </v:textbox>
                    </v:rect>
                  </w:pict>
                </mc:Fallback>
              </mc:AlternateContent>
            </w:r>
            <w:r>
              <w:rPr>
                <w:sz w:val="24"/>
              </w:rPr>
              <mc:AlternateContent>
                <mc:Choice Requires="wps">
                  <w:drawing>
                    <wp:anchor distT="0" distB="0" distL="114300" distR="114300" simplePos="0" relativeHeight="251756544" behindDoc="0" locked="0" layoutInCell="1" allowOverlap="1">
                      <wp:simplePos x="0" y="0"/>
                      <wp:positionH relativeFrom="column">
                        <wp:posOffset>961390</wp:posOffset>
                      </wp:positionH>
                      <wp:positionV relativeFrom="paragraph">
                        <wp:posOffset>97790</wp:posOffset>
                      </wp:positionV>
                      <wp:extent cx="1206500" cy="273050"/>
                      <wp:effectExtent l="0" t="0" r="0" b="0"/>
                      <wp:wrapNone/>
                      <wp:docPr id="94" name="矩形 94"/>
                      <wp:cNvGraphicFramePr/>
                      <a:graphic xmlns:a="http://schemas.openxmlformats.org/drawingml/2006/main">
                        <a:graphicData uri="http://schemas.microsoft.com/office/word/2010/wordprocessingShape">
                          <wps:wsp>
                            <wps:cNvSpPr/>
                            <wps:spPr>
                              <a:xfrm>
                                <a:off x="0" y="0"/>
                                <a:ext cx="1206500"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51BF599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热源（天然气）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7pt;margin-top:7.7pt;height:21.5pt;width:95pt;z-index:251756544;v-text-anchor:middle;mso-width-relative:page;mso-height-relative:page;" filled="f" stroked="f" coordsize="21600,21600" o:gfxdata="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1+zta1QAAAAkBAAAP&#10;AAAAAAAAAAEAIAAAACIAAABkcnMvZG93bnJldi54bWxQSwECFAAUAAAACACHTuJAXSbGQVQCAACX&#10;BAAADgAAAAAAAAABACAAAAAkAQAAZHJzL2Uyb0RvYy54bWxQSwUGAAAAAAYABgBZAQAA6gUAAAAA&#10;">
                      <v:fill on="f" focussize="0,0"/>
                      <v:stroke on="f" weight="0.25pt"/>
                      <v:imagedata o:title=""/>
                      <o:lock v:ext="edit" aspectratio="f"/>
                      <v:textbox>
                        <w:txbxContent>
                          <w:p w14:paraId="51BF599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热源（天然气）</w:t>
                            </w:r>
                          </w:p>
                        </w:txbxContent>
                      </v:textbox>
                    </v:rect>
                  </w:pict>
                </mc:Fallback>
              </mc:AlternateContent>
            </w:r>
            <w:r>
              <w:rPr>
                <w:sz w:val="24"/>
              </w:rPr>
              <mc:AlternateContent>
                <mc:Choice Requires="wps">
                  <w:drawing>
                    <wp:anchor distT="0" distB="0" distL="114300" distR="114300" simplePos="0" relativeHeight="251755520" behindDoc="0" locked="0" layoutInCell="1" allowOverlap="1">
                      <wp:simplePos x="0" y="0"/>
                      <wp:positionH relativeFrom="column">
                        <wp:posOffset>1789430</wp:posOffset>
                      </wp:positionH>
                      <wp:positionV relativeFrom="paragraph">
                        <wp:posOffset>255905</wp:posOffset>
                      </wp:positionV>
                      <wp:extent cx="247650" cy="223520"/>
                      <wp:effectExtent l="3175" t="3810" r="3175" b="1270"/>
                      <wp:wrapNone/>
                      <wp:docPr id="93" name="直接箭头连接符 93"/>
                      <wp:cNvGraphicFramePr/>
                      <a:graphic xmlns:a="http://schemas.openxmlformats.org/drawingml/2006/main">
                        <a:graphicData uri="http://schemas.microsoft.com/office/word/2010/wordprocessingShape">
                          <wps:wsp>
                            <wps:cNvCnPr/>
                            <wps:spPr>
                              <a:xfrm>
                                <a:off x="0" y="0"/>
                                <a:ext cx="247650" cy="22352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40.9pt;margin-top:20.15pt;height:17.6pt;width:19.5pt;z-index:251755520;mso-width-relative:page;mso-height-relative:page;" filled="f" stroked="t" coordsize="21600,21600" o:gfxdata="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wanydgAAAAJAQAADwAAAAAAAAABACAAAAAiAAAAZHJzL2Rvd25y&#10;ZXYueG1sUEsBAhQAFAAAAAgAh07iQN9qvZ/+AQAAzQMAAA4AAAAAAAAAAQAgAAAAJwEAAGRycy9l&#10;Mm9Eb2MueG1sUEsFBgAAAAAGAAYAWQEAAJcFAAAAAA==&#10;">
                      <v:fill on="f" focussize="0,0"/>
                      <v:stroke weight="0.25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51424" behindDoc="0" locked="0" layoutInCell="1" allowOverlap="1">
                      <wp:simplePos x="0" y="0"/>
                      <wp:positionH relativeFrom="column">
                        <wp:posOffset>2437130</wp:posOffset>
                      </wp:positionH>
                      <wp:positionV relativeFrom="paragraph">
                        <wp:posOffset>162560</wp:posOffset>
                      </wp:positionV>
                      <wp:extent cx="1905" cy="379730"/>
                      <wp:effectExtent l="47625" t="0" r="52070" b="1270"/>
                      <wp:wrapNone/>
                      <wp:docPr id="121" name="直接箭头连接符 121"/>
                      <wp:cNvGraphicFramePr/>
                      <a:graphic xmlns:a="http://schemas.openxmlformats.org/drawingml/2006/main">
                        <a:graphicData uri="http://schemas.microsoft.com/office/word/2010/wordprocessingShape">
                          <wps:wsp>
                            <wps:cNvCnPr/>
                            <wps:spPr>
                              <a:xfrm>
                                <a:off x="0" y="0"/>
                                <a:ext cx="1905" cy="37973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1.9pt;margin-top:12.8pt;height:29.9pt;width:0.15pt;z-index:251751424;mso-width-relative:page;mso-height-relative:page;" filled="f" stroked="t" coordsize="21600,21600" o:gfxdata="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1y292QAAAAkBAAAPAAAAAAAAAAEAIAAAACIAAABkcnMvZG93bnJl&#10;di54bWxQSwECFAAUAAAACACHTuJAS5KLTfwBAADNAwAADgAAAAAAAAABACAAAAAoAQAAZHJzL2Uy&#10;b0RvYy54bWxQSwUGAAAAAAYABgBZAQAAlgUAAAAA&#10;">
                      <v:fill on="f" focussize="0,0"/>
                      <v:stroke weight="0.25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41184" behindDoc="0" locked="0" layoutInCell="1" allowOverlap="1">
                      <wp:simplePos x="0" y="0"/>
                      <wp:positionH relativeFrom="column">
                        <wp:posOffset>2865120</wp:posOffset>
                      </wp:positionH>
                      <wp:positionV relativeFrom="paragraph">
                        <wp:posOffset>107950</wp:posOffset>
                      </wp:positionV>
                      <wp:extent cx="368300" cy="3175"/>
                      <wp:effectExtent l="0" t="46990" r="0" b="51435"/>
                      <wp:wrapNone/>
                      <wp:docPr id="109" name="直接箭头连接符 109"/>
                      <wp:cNvGraphicFramePr/>
                      <a:graphic xmlns:a="http://schemas.openxmlformats.org/drawingml/2006/main">
                        <a:graphicData uri="http://schemas.microsoft.com/office/word/2010/wordprocessingShape">
                          <wps:wsp>
                            <wps:cNvCnPr/>
                            <wps:spPr>
                              <a:xfrm>
                                <a:off x="0" y="0"/>
                                <a:ext cx="368300" cy="317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5.6pt;margin-top:8.5pt;height:0.25pt;width:29pt;z-index:251741184;mso-width-relative:page;mso-height-relative:page;" filled="f" stroked="t" coordsize="21600,21600" o:gfxdata="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&#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I9WsDWAAAACQEAAA8AAAAAAAAAAQAgAAAAIgAAAGRy&#10;cy9kb3ducmV2LnhtbFBLAQIUABQAAAAIAIdO4kApzFwCBwIAAN4DAAAOAAAAAAAAAAEAIAAAACUB&#10;AABkcnMvZTJvRG9jLnhtbFBLBQYAAAAABgAGAFkBAACeBQAAAAA=&#10;">
                      <v:fill on="f" focussize="0,0"/>
                      <v:stroke color="#000000 [3213]" joinstyle="round" dashstyle="dash" endarrow="open"/>
                      <v:imagedata o:title=""/>
                      <o:lock v:ext="edit" aspectratio="f"/>
                    </v:shape>
                  </w:pict>
                </mc:Fallback>
              </mc:AlternateContent>
            </w:r>
          </w:p>
          <w:p w14:paraId="1F3359B6">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46304" behindDoc="0" locked="0" layoutInCell="1" allowOverlap="1">
                      <wp:simplePos x="0" y="0"/>
                      <wp:positionH relativeFrom="column">
                        <wp:posOffset>2054860</wp:posOffset>
                      </wp:positionH>
                      <wp:positionV relativeFrom="paragraph">
                        <wp:posOffset>241300</wp:posOffset>
                      </wp:positionV>
                      <wp:extent cx="807085" cy="273050"/>
                      <wp:effectExtent l="4445" t="5080" r="13970" b="13970"/>
                      <wp:wrapNone/>
                      <wp:docPr id="116" name="矩形 116"/>
                      <wp:cNvGraphicFramePr/>
                      <a:graphic xmlns:a="http://schemas.openxmlformats.org/drawingml/2006/main">
                        <a:graphicData uri="http://schemas.microsoft.com/office/word/2010/wordprocessingShape">
                          <wps:wsp>
                            <wps:cNvSpPr/>
                            <wps:spPr>
                              <a:xfrm>
                                <a:off x="0" y="0"/>
                                <a:ext cx="80708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FBDC94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烘干*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8pt;margin-top:19pt;height:21.5pt;width:63.55pt;z-index:251746304;v-text-anchor:middle;mso-width-relative:page;mso-height-relative:page;" filled="f" stroked="t" coordsize="21600,21600" o:gfxdata="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8xBDn1wAAAAkBAAAPAAAAAAAAAAEAIAAAACIAAABkcnMvZG93bnJldi54bWxQSwECFAAU&#10;AAAACACHTuJAbxYQ0mQCAADBBAAADgAAAAAAAAABACAAAAAmAQAAZHJzL2Uyb0RvYy54bWxQSwUG&#10;AAAAAAYABgBZAQAA/AUAAAAA&#10;">
                      <v:fill on="f" focussize="0,0"/>
                      <v:stroke weight="0.25pt" color="#000000 [3213]" joinstyle="round"/>
                      <v:imagedata o:title=""/>
                      <o:lock v:ext="edit" aspectratio="f"/>
                      <v:textbox>
                        <w:txbxContent>
                          <w:p w14:paraId="6FBDC94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烘干*</w:t>
                            </w:r>
                          </w:p>
                        </w:txbxContent>
                      </v:textbox>
                    </v:rect>
                  </w:pict>
                </mc:Fallback>
              </mc:AlternateContent>
            </w:r>
          </w:p>
          <w:p w14:paraId="5CB0C88D">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95456" behindDoc="0" locked="0" layoutInCell="1" allowOverlap="1">
                      <wp:simplePos x="0" y="0"/>
                      <wp:positionH relativeFrom="column">
                        <wp:posOffset>3796030</wp:posOffset>
                      </wp:positionH>
                      <wp:positionV relativeFrom="paragraph">
                        <wp:posOffset>248920</wp:posOffset>
                      </wp:positionV>
                      <wp:extent cx="1189355" cy="36830"/>
                      <wp:effectExtent l="0" t="46355" r="4445" b="18415"/>
                      <wp:wrapNone/>
                      <wp:docPr id="150" name="直接箭头连接符 150"/>
                      <wp:cNvGraphicFramePr/>
                      <a:graphic xmlns:a="http://schemas.openxmlformats.org/drawingml/2006/main">
                        <a:graphicData uri="http://schemas.microsoft.com/office/word/2010/wordprocessingShape">
                          <wps:wsp>
                            <wps:cNvCnPr/>
                            <wps:spPr>
                              <a:xfrm flipV="1">
                                <a:off x="0" y="0"/>
                                <a:ext cx="1189355" cy="3683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98.9pt;margin-top:19.6pt;height:2.9pt;width:93.65pt;z-index:251795456;mso-width-relative:page;mso-height-relative:page;" filled="f" stroked="t" coordsize="21600,21600" o:gfxdata="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7JElHYAAAACQEAAA8AAAAAAAAAAQAg&#10;AAAAIgAAAGRycy9kb3ducmV2LnhtbFBLAQIUABQAAAAIAIdO4kBhSgKWDgIAAOoDAAAOAAAAAAAA&#10;AAEAIAAAACcBAABkcnMvZTJvRG9jLnhtbFBLBQYAAAAABgAGAFkBAACnBQ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91360" behindDoc="0" locked="0" layoutInCell="1" allowOverlap="1">
                      <wp:simplePos x="0" y="0"/>
                      <wp:positionH relativeFrom="column">
                        <wp:posOffset>61595</wp:posOffset>
                      </wp:positionH>
                      <wp:positionV relativeFrom="paragraph">
                        <wp:posOffset>-2797810</wp:posOffset>
                      </wp:positionV>
                      <wp:extent cx="50165" cy="3152775"/>
                      <wp:effectExtent l="4445" t="0" r="59690" b="9525"/>
                      <wp:wrapNone/>
                      <wp:docPr id="146" name="直接箭头连接符 146"/>
                      <wp:cNvGraphicFramePr/>
                      <a:graphic xmlns:a="http://schemas.openxmlformats.org/drawingml/2006/main">
                        <a:graphicData uri="http://schemas.microsoft.com/office/word/2010/wordprocessingShape">
                          <wps:wsp>
                            <wps:cNvCnPr/>
                            <wps:spPr>
                              <a:xfrm flipV="1">
                                <a:off x="0" y="0"/>
                                <a:ext cx="50165" cy="315277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85pt;margin-top:-220.3pt;height:248.25pt;width:3.95pt;z-index:251791360;mso-width-relative:page;mso-height-relative:page;" filled="f" stroked="t" coordsize="21600,21600" o:gfxdata="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nwhA9cAAAAIAQAADwAAAAAAAAABACAA&#10;AAAiAAAAZHJzL2Rvd25yZXYueG1sUEsBAhQAFAAAAAgAh07iQAZhQtsOAgAA6gMAAA4AAAAAAAAA&#10;AQAgAAAAJgEAAGRycy9lMm9Eb2MueG1sUEsFBgAAAAAGAAYAWQEAAKYFA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59616" behindDoc="0" locked="0" layoutInCell="1" allowOverlap="1">
                      <wp:simplePos x="0" y="0"/>
                      <wp:positionH relativeFrom="column">
                        <wp:posOffset>3098165</wp:posOffset>
                      </wp:positionH>
                      <wp:positionV relativeFrom="paragraph">
                        <wp:posOffset>163830</wp:posOffset>
                      </wp:positionV>
                      <wp:extent cx="924560" cy="273050"/>
                      <wp:effectExtent l="0" t="0" r="0" b="0"/>
                      <wp:wrapNone/>
                      <wp:docPr id="115" name="矩形 115"/>
                      <wp:cNvGraphicFramePr/>
                      <a:graphic xmlns:a="http://schemas.openxmlformats.org/drawingml/2006/main">
                        <a:graphicData uri="http://schemas.microsoft.com/office/word/2010/wordprocessingShape">
                          <wps:wsp>
                            <wps:cNvSpPr/>
                            <wps:spPr>
                              <a:xfrm>
                                <a:off x="0" y="0"/>
                                <a:ext cx="924560"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385D695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石墨渣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95pt;margin-top:12.9pt;height:21.5pt;width:72.8pt;z-index:251759616;v-text-anchor:middle;mso-width-relative:page;mso-height-relative:page;" filled="f" stroked="f" coordsize="21600,21600" o:gfxdata="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OVk5dkAAAAJ&#10;AQAADwAAAAAAAAABACAAAAAiAAAAZHJzL2Rvd25yZXYueG1sUEsBAhQAFAAAAAgAh07iQO7s5A9U&#10;AgAAmAQAAA4AAAAAAAAAAQAgAAAAKAEAAGRycy9lMm9Eb2MueG1sUEsFBgAAAAAGAAYAWQEAAO4F&#10;AAAAAA==&#10;">
                      <v:fill on="f" focussize="0,0"/>
                      <v:stroke on="f" weight="0.25pt"/>
                      <v:imagedata o:title=""/>
                      <o:lock v:ext="edit" aspectratio="f"/>
                      <v:textbox>
                        <w:txbxContent>
                          <w:p w14:paraId="385D695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石墨渣</w:t>
                            </w:r>
                          </w:p>
                        </w:txbxContent>
                      </v:textbox>
                    </v:rect>
                  </w:pict>
                </mc:Fallback>
              </mc:AlternateContent>
            </w:r>
            <w:r>
              <w:rPr>
                <w:sz w:val="24"/>
              </w:rPr>
              <mc:AlternateContent>
                <mc:Choice Requires="wps">
                  <w:drawing>
                    <wp:anchor distT="0" distB="0" distL="114300" distR="114300" simplePos="0" relativeHeight="251782144" behindDoc="0" locked="0" layoutInCell="1" allowOverlap="1">
                      <wp:simplePos x="0" y="0"/>
                      <wp:positionH relativeFrom="column">
                        <wp:posOffset>577850</wp:posOffset>
                      </wp:positionH>
                      <wp:positionV relativeFrom="paragraph">
                        <wp:posOffset>71120</wp:posOffset>
                      </wp:positionV>
                      <wp:extent cx="6985" cy="220345"/>
                      <wp:effectExtent l="45085" t="0" r="49530" b="8255"/>
                      <wp:wrapNone/>
                      <wp:docPr id="137" name="直接箭头连接符 137"/>
                      <wp:cNvGraphicFramePr/>
                      <a:graphic xmlns:a="http://schemas.openxmlformats.org/drawingml/2006/main">
                        <a:graphicData uri="http://schemas.microsoft.com/office/word/2010/wordprocessingShape">
                          <wps:wsp>
                            <wps:cNvCnPr/>
                            <wps:spPr>
                              <a:xfrm flipV="1">
                                <a:off x="0" y="0"/>
                                <a:ext cx="6985" cy="22034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5.5pt;margin-top:5.6pt;height:17.35pt;width:0.55pt;z-index:251782144;mso-width-relative:page;mso-height-relative:page;" filled="f" stroked="t" coordsize="21600,21600" o:gfxdata="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jk5XWAAAABwEAAA8AAAAAAAAAAQAgAAAA&#10;IgAAAGRycy9kb3ducmV2LnhtbFBLAQIUABQAAAAIAIdO4kA8MF6YDQIAAOgDAAAOAAAAAAAAAAEA&#10;IAAAACUBAABkcnMvZTJvRG9jLnhtbFBLBQYAAAAABgAGAFkBAACkBQ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76000" behindDoc="0" locked="0" layoutInCell="1" allowOverlap="1">
                      <wp:simplePos x="0" y="0"/>
                      <wp:positionH relativeFrom="column">
                        <wp:posOffset>2451100</wp:posOffset>
                      </wp:positionH>
                      <wp:positionV relativeFrom="paragraph">
                        <wp:posOffset>227330</wp:posOffset>
                      </wp:positionV>
                      <wp:extent cx="1905" cy="379730"/>
                      <wp:effectExtent l="47625" t="0" r="52070" b="1270"/>
                      <wp:wrapNone/>
                      <wp:docPr id="110" name="直接箭头连接符 110"/>
                      <wp:cNvGraphicFramePr/>
                      <a:graphic xmlns:a="http://schemas.openxmlformats.org/drawingml/2006/main">
                        <a:graphicData uri="http://schemas.microsoft.com/office/word/2010/wordprocessingShape">
                          <wps:wsp>
                            <wps:cNvCnPr/>
                            <wps:spPr>
                              <a:xfrm>
                                <a:off x="0" y="0"/>
                                <a:ext cx="1905" cy="37973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3pt;margin-top:17.9pt;height:29.9pt;width:0.15pt;z-index:251776000;mso-width-relative:page;mso-height-relative:page;" filled="f" stroked="t" coordsize="21600,21600" o:gfxdata="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WO1dtkAAAAJAQAADwAAAAAAAAABACAAAAAiAAAAZHJzL2Rvd25yZXYu&#10;eG1sUEsBAhQAFAAAAAgAh07iQEp/EBT6AQAAzQMAAA4AAAAAAAAAAQAgAAAAKAEAAGRycy9lMm9E&#10;b2MueG1sUEsFBgAAAAAGAAYAWQEAAJQFAAAAAA==&#10;">
                      <v:fill on="f" focussize="0,0"/>
                      <v:stroke weight="0.25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65760" behindDoc="0" locked="0" layoutInCell="1" allowOverlap="1">
                      <wp:simplePos x="0" y="0"/>
                      <wp:positionH relativeFrom="column">
                        <wp:posOffset>2867660</wp:posOffset>
                      </wp:positionH>
                      <wp:positionV relativeFrom="paragraph">
                        <wp:posOffset>274955</wp:posOffset>
                      </wp:positionV>
                      <wp:extent cx="374650" cy="280670"/>
                      <wp:effectExtent l="2540" t="0" r="3810" b="11430"/>
                      <wp:wrapNone/>
                      <wp:docPr id="131" name="直接箭头连接符 131"/>
                      <wp:cNvGraphicFramePr/>
                      <a:graphic xmlns:a="http://schemas.openxmlformats.org/drawingml/2006/main">
                        <a:graphicData uri="http://schemas.microsoft.com/office/word/2010/wordprocessingShape">
                          <wps:wsp>
                            <wps:cNvCnPr/>
                            <wps:spPr>
                              <a:xfrm flipV="1">
                                <a:off x="0" y="0"/>
                                <a:ext cx="374650" cy="28067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5.8pt;margin-top:21.65pt;height:22.1pt;width:29.5pt;z-index:251765760;mso-width-relative:page;mso-height-relative:page;" filled="f" stroked="t" coordsize="21600,21600" o:gfxdata="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HDl71wAAAAkBAAAPAAAAAAAAAAEA&#10;IAAAACIAAABkcnMvZG93bnJldi54bWxQSwECFAAUAAAACACHTuJAq9TUWRACAADqAwAADgAAAAAA&#10;AAABACAAAAAmAQAAZHJzL2Uyb0RvYy54bWxQSwUGAAAAAAYABgBZAQAAqA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54496" behindDoc="0" locked="0" layoutInCell="1" allowOverlap="1">
                      <wp:simplePos x="0" y="0"/>
                      <wp:positionH relativeFrom="column">
                        <wp:posOffset>1221740</wp:posOffset>
                      </wp:positionH>
                      <wp:positionV relativeFrom="paragraph">
                        <wp:posOffset>1270</wp:posOffset>
                      </wp:positionV>
                      <wp:extent cx="551180" cy="273050"/>
                      <wp:effectExtent l="0" t="0" r="0" b="0"/>
                      <wp:wrapNone/>
                      <wp:docPr id="91" name="矩形 91"/>
                      <wp:cNvGraphicFramePr/>
                      <a:graphic xmlns:a="http://schemas.openxmlformats.org/drawingml/2006/main">
                        <a:graphicData uri="http://schemas.microsoft.com/office/word/2010/wordprocessingShape">
                          <wps:wsp>
                            <wps:cNvSpPr/>
                            <wps:spPr>
                              <a:xfrm>
                                <a:off x="0" y="0"/>
                                <a:ext cx="551180"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07ACF43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烟气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pt;margin-top:0.1pt;height:21.5pt;width:43.4pt;z-index:251754496;v-text-anchor:middle;mso-width-relative:page;mso-height-relative:page;" filled="f" stroked="f" coordsize="21600,21600" o:gfxdata="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Sv5F3VAAAABwEAAA8A&#10;AAAAAAAAAQAgAAAAIgAAAGRycy9kb3ducmV2LnhtbFBLAQIUABQAAAAIAIdO4kBx9BGaUwIAAJYE&#10;AAAOAAAAAAAAAAEAIAAAACQBAABkcnMvZTJvRG9jLnhtbFBLBQYAAAAABgAGAFkBAADpBQAAAAA=&#10;">
                      <v:fill on="f" focussize="0,0"/>
                      <v:stroke on="f" weight="0.25pt"/>
                      <v:imagedata o:title=""/>
                      <o:lock v:ext="edit" aspectratio="f"/>
                      <v:textbox>
                        <w:txbxContent>
                          <w:p w14:paraId="07ACF43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烟气</w:t>
                            </w:r>
                          </w:p>
                        </w:txbxContent>
                      </v:textbox>
                    </v:rect>
                  </w:pict>
                </mc:Fallback>
              </mc:AlternateContent>
            </w:r>
            <w:r>
              <w:rPr>
                <w:sz w:val="24"/>
              </w:rPr>
              <mc:AlternateContent>
                <mc:Choice Requires="wps">
                  <w:drawing>
                    <wp:anchor distT="0" distB="0" distL="114300" distR="114300" simplePos="0" relativeHeight="251753472" behindDoc="0" locked="0" layoutInCell="1" allowOverlap="1">
                      <wp:simplePos x="0" y="0"/>
                      <wp:positionH relativeFrom="column">
                        <wp:posOffset>1705610</wp:posOffset>
                      </wp:positionH>
                      <wp:positionV relativeFrom="paragraph">
                        <wp:posOffset>113665</wp:posOffset>
                      </wp:positionV>
                      <wp:extent cx="307340" cy="11430"/>
                      <wp:effectExtent l="0" t="45720" r="10160" b="44450"/>
                      <wp:wrapNone/>
                      <wp:docPr id="89" name="直接箭头连接符 89"/>
                      <wp:cNvGraphicFramePr/>
                      <a:graphic xmlns:a="http://schemas.openxmlformats.org/drawingml/2006/main">
                        <a:graphicData uri="http://schemas.microsoft.com/office/word/2010/wordprocessingShape">
                          <wps:wsp>
                            <wps:cNvCnPr/>
                            <wps:spPr>
                              <a:xfrm flipH="1" flipV="1">
                                <a:off x="0" y="0"/>
                                <a:ext cx="307340" cy="1143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34.3pt;margin-top:8.95pt;height:0.9pt;width:24.2pt;z-index:251753472;mso-width-relative:page;mso-height-relative:page;" filled="f" stroked="t" coordsize="21600,21600" o:gfxdata="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6La21gAAAAkBAAAPAAAAAAAA&#10;AAEAIAAAACIAAABkcnMvZG93bnJldi54bWxQSwECFAAUAAAACACHTuJAGmPDsRQCAADxAwAADgAA&#10;AAAAAAABACAAAAAlAQAAZHJzL2Uyb0RvYy54bWxQSwUGAAAAAAYABgBZAQAAqwUAAAAA&#10;">
                      <v:fill on="f" focussize="0,0"/>
                      <v:stroke color="#000000 [3213]" joinstyle="round" dashstyle="dash" endarrow="open"/>
                      <v:imagedata o:title=""/>
                      <o:lock v:ext="edit" aspectratio="f"/>
                    </v:shape>
                  </w:pict>
                </mc:Fallback>
              </mc:AlternateContent>
            </w:r>
          </w:p>
          <w:p w14:paraId="6EBA9FC8">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88288" behindDoc="0" locked="0" layoutInCell="1" allowOverlap="1">
                      <wp:simplePos x="0" y="0"/>
                      <wp:positionH relativeFrom="column">
                        <wp:posOffset>-88265</wp:posOffset>
                      </wp:positionH>
                      <wp:positionV relativeFrom="paragraph">
                        <wp:posOffset>113030</wp:posOffset>
                      </wp:positionV>
                      <wp:extent cx="463550" cy="527050"/>
                      <wp:effectExtent l="0" t="0" r="0" b="0"/>
                      <wp:wrapNone/>
                      <wp:docPr id="143" name="矩形 143"/>
                      <wp:cNvGraphicFramePr/>
                      <a:graphic xmlns:a="http://schemas.openxmlformats.org/drawingml/2006/main">
                        <a:graphicData uri="http://schemas.microsoft.com/office/word/2010/wordprocessingShape">
                          <wps:wsp>
                            <wps:cNvSpPr/>
                            <wps:spPr>
                              <a:xfrm>
                                <a:off x="0" y="0"/>
                                <a:ext cx="463550" cy="527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64A4194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回收粉尘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5pt;margin-top:8.9pt;height:41.5pt;width:36.5pt;z-index:251788288;v-text-anchor:middle;mso-width-relative:page;mso-height-relative:page;" filled="f" stroked="f" coordsize="21600,21600" o:gfxdata="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8jMe41wAAAAkBAAAP&#10;AAAAAAAAAAEAIAAAACIAAABkcnMvZG93bnJldi54bWxQSwECFAAUAAAACACHTuJAsNmzBFICAACY&#10;BAAADgAAAAAAAAABACAAAAAmAQAAZHJzL2Uyb0RvYy54bWxQSwUGAAAAAAYABgBZAQAA6gUAAAAA&#10;">
                      <v:fill on="f" focussize="0,0"/>
                      <v:stroke on="f" weight="0.25pt"/>
                      <v:imagedata o:title=""/>
                      <o:lock v:ext="edit" aspectratio="f"/>
                      <v:textbox>
                        <w:txbxContent>
                          <w:p w14:paraId="64A4194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回收粉尘</w:t>
                            </w:r>
                          </w:p>
                        </w:txbxContent>
                      </v:textbox>
                    </v:rect>
                  </w:pict>
                </mc:Fallback>
              </mc:AlternateContent>
            </w:r>
            <w:r>
              <w:rPr>
                <w:sz w:val="24"/>
              </w:rPr>
              <mc:AlternateContent>
                <mc:Choice Requires="wps">
                  <w:drawing>
                    <wp:anchor distT="0" distB="0" distL="114300" distR="114300" simplePos="0" relativeHeight="251780096" behindDoc="0" locked="0" layoutInCell="1" allowOverlap="1">
                      <wp:simplePos x="0" y="0"/>
                      <wp:positionH relativeFrom="column">
                        <wp:posOffset>412115</wp:posOffset>
                      </wp:positionH>
                      <wp:positionV relativeFrom="paragraph">
                        <wp:posOffset>42545</wp:posOffset>
                      </wp:positionV>
                      <wp:extent cx="304800" cy="771525"/>
                      <wp:effectExtent l="4445" t="4445" r="8255" b="11430"/>
                      <wp:wrapNone/>
                      <wp:docPr id="135" name="矩形 135"/>
                      <wp:cNvGraphicFramePr/>
                      <a:graphic xmlns:a="http://schemas.openxmlformats.org/drawingml/2006/main">
                        <a:graphicData uri="http://schemas.microsoft.com/office/word/2010/wordprocessingShape">
                          <wps:wsp>
                            <wps:cNvSpPr/>
                            <wps:spPr>
                              <a:xfrm>
                                <a:off x="0" y="0"/>
                                <a:ext cx="304800" cy="771525"/>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FDB209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除尘器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45pt;margin-top:3.35pt;height:60.75pt;width:24pt;z-index:251780096;v-text-anchor:middle;mso-width-relative:page;mso-height-relative:page;" filled="f" stroked="t" coordsize="21600,21600" o:gfxdata="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Nxm09YAAAAIAQAADwAAAAAAAAABACAAAAAiAAAAZHJzL2Rvd25yZXYueG1sUEsBAhQAFAAA&#10;AAgAh07iQPTnwixjAgAAwQQAAA4AAAAAAAAAAQAgAAAAJQEAAGRycy9lMm9Eb2MueG1sUEsFBgAA&#10;AAAGAAYAWQEAAPoFAAAAAA==&#10;">
                      <v:fill on="f" focussize="0,0"/>
                      <v:stroke weight="0.25pt" color="#000000 [3213]" joinstyle="round"/>
                      <v:imagedata o:title=""/>
                      <o:lock v:ext="edit" aspectratio="f"/>
                      <v:textbox>
                        <w:txbxContent>
                          <w:p w14:paraId="7FDB209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除尘器 </w:t>
                            </w:r>
                          </w:p>
                        </w:txbxContent>
                      </v:textbox>
                    </v:rect>
                  </w:pict>
                </mc:Fallback>
              </mc:AlternateContent>
            </w:r>
            <w:r>
              <w:rPr>
                <w:sz w:val="24"/>
              </w:rPr>
              <mc:AlternateContent>
                <mc:Choice Requires="wps">
                  <w:drawing>
                    <wp:anchor distT="0" distB="0" distL="114300" distR="114300" simplePos="0" relativeHeight="251778048" behindDoc="0" locked="0" layoutInCell="1" allowOverlap="1">
                      <wp:simplePos x="0" y="0"/>
                      <wp:positionH relativeFrom="column">
                        <wp:posOffset>983615</wp:posOffset>
                      </wp:positionH>
                      <wp:positionV relativeFrom="paragraph">
                        <wp:posOffset>26670</wp:posOffset>
                      </wp:positionV>
                      <wp:extent cx="304800" cy="771525"/>
                      <wp:effectExtent l="4445" t="4445" r="8255" b="11430"/>
                      <wp:wrapNone/>
                      <wp:docPr id="124" name="矩形 124"/>
                      <wp:cNvGraphicFramePr/>
                      <a:graphic xmlns:a="http://schemas.openxmlformats.org/drawingml/2006/main">
                        <a:graphicData uri="http://schemas.microsoft.com/office/word/2010/wordprocessingShape">
                          <wps:wsp>
                            <wps:cNvSpPr/>
                            <wps:spPr>
                              <a:xfrm>
                                <a:off x="0" y="0"/>
                                <a:ext cx="304800" cy="771525"/>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DCE07F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集气罩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45pt;margin-top:2.1pt;height:60.75pt;width:24pt;z-index:251778048;v-text-anchor:middle;mso-width-relative:page;mso-height-relative:page;" filled="f" stroked="t" coordsize="21600,21600" o:gfxdata="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uzPC1gAAAAkBAAAPAAAAAAAAAAEAIAAAACIAAABkcnMvZG93bnJldi54bWxQSwECFAAUAAAA&#10;CACHTuJAQ4pdL2ICAADBBAAADgAAAAAAAAABACAAAAAlAQAAZHJzL2Uyb0RvYy54bWxQSwUGAAAA&#10;AAYABgBZAQAA+QUAAAAA&#10;">
                      <v:fill on="f" focussize="0,0"/>
                      <v:stroke weight="0.25pt" color="#000000 [3213]" joinstyle="round"/>
                      <v:imagedata o:title=""/>
                      <o:lock v:ext="edit" aspectratio="f"/>
                      <v:textbox>
                        <w:txbxContent>
                          <w:p w14:paraId="1DCE07F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集气罩 </w:t>
                            </w:r>
                          </w:p>
                        </w:txbxContent>
                      </v:textbox>
                    </v:rect>
                  </w:pict>
                </mc:Fallback>
              </mc:AlternateContent>
            </w:r>
          </w:p>
          <w:p w14:paraId="21D0A261">
            <w:pPr>
              <w:pStyle w:val="63"/>
              <w:spacing w:line="460" w:lineRule="exact"/>
              <w:ind w:left="0" w:leftChars="0" w:firstLine="0" w:firstLineChars="0"/>
              <w:rPr>
                <w:rFonts w:hint="eastAsia" w:ascii="Times New Roman" w:hAnsi="Times New Roman"/>
                <w:snapToGrid w:val="0"/>
                <w:color w:val="000000" w:themeColor="text1"/>
                <w:lang w:eastAsia="zh-CN"/>
                <w14:textFill>
                  <w14:solidFill>
                    <w14:schemeClr w14:val="tx1"/>
                  </w14:solidFill>
                </w14:textFill>
              </w:rPr>
            </w:pPr>
            <w:r>
              <w:rPr>
                <w:sz w:val="24"/>
              </w:rPr>
              <mc:AlternateContent>
                <mc:Choice Requires="wps">
                  <w:drawing>
                    <wp:anchor distT="0" distB="0" distL="114300" distR="114300" simplePos="0" relativeHeight="251787264" behindDoc="0" locked="0" layoutInCell="1" allowOverlap="1">
                      <wp:simplePos x="0" y="0"/>
                      <wp:positionH relativeFrom="column">
                        <wp:posOffset>262890</wp:posOffset>
                      </wp:positionH>
                      <wp:positionV relativeFrom="paragraph">
                        <wp:posOffset>32385</wp:posOffset>
                      </wp:positionV>
                      <wp:extent cx="172085" cy="8255"/>
                      <wp:effectExtent l="0" t="45085" r="5715" b="48260"/>
                      <wp:wrapNone/>
                      <wp:docPr id="142" name="直接箭头连接符 142"/>
                      <wp:cNvGraphicFramePr/>
                      <a:graphic xmlns:a="http://schemas.openxmlformats.org/drawingml/2006/main">
                        <a:graphicData uri="http://schemas.microsoft.com/office/word/2010/wordprocessingShape">
                          <wps:wsp>
                            <wps:cNvCnPr/>
                            <wps:spPr>
                              <a:xfrm flipH="1" flipV="1">
                                <a:off x="0" y="0"/>
                                <a:ext cx="172085" cy="825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0.7pt;margin-top:2.55pt;height:0.65pt;width:13.55pt;z-index:251787264;mso-width-relative:page;mso-height-relative:page;" filled="f" stroked="t" coordsize="21600,21600" o:gfxdata="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0jRq0wAAAAUBAAAPAAAAAAAAAAEAIAAA&#10;ACIAAABkcnMvZG93bnJldi54bWxQSwECFAAUAAAACACHTuJAQ/MK1RECAADyAwAADgAAAAAAAAAB&#10;ACAAAAAiAQAAZHJzL2Uyb0RvYy54bWxQSwUGAAAAAAYABgBZAQAApQ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79072" behindDoc="0" locked="0" layoutInCell="1" allowOverlap="1">
                      <wp:simplePos x="0" y="0"/>
                      <wp:positionH relativeFrom="column">
                        <wp:posOffset>707390</wp:posOffset>
                      </wp:positionH>
                      <wp:positionV relativeFrom="paragraph">
                        <wp:posOffset>125095</wp:posOffset>
                      </wp:positionV>
                      <wp:extent cx="185420" cy="20320"/>
                      <wp:effectExtent l="0" t="39370" r="5080" b="41910"/>
                      <wp:wrapNone/>
                      <wp:docPr id="127" name="直接箭头连接符 127"/>
                      <wp:cNvGraphicFramePr/>
                      <a:graphic xmlns:a="http://schemas.openxmlformats.org/drawingml/2006/main">
                        <a:graphicData uri="http://schemas.microsoft.com/office/word/2010/wordprocessingShape">
                          <wps:wsp>
                            <wps:cNvCnPr/>
                            <wps:spPr>
                              <a:xfrm flipH="1" flipV="1">
                                <a:off x="0" y="0"/>
                                <a:ext cx="185420" cy="2032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55.7pt;margin-top:9.85pt;height:1.6pt;width:14.6pt;z-index:251779072;mso-width-relative:page;mso-height-relative:page;" filled="f" stroked="t" coordsize="21600,21600" o:gfxdata="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XH9utYAAAAJAQAADwAAAAAAAAAB&#10;ACAAAAAiAAAAZHJzL2Rvd25yZXYueG1sUEsBAhQAFAAAAAgAh07iQMQQPNMSAgAA8wMAAA4AAAAA&#10;AAAAAQAgAAAAJQEAAGRycy9lMm9Eb2MueG1sUEsFBgAAAAAGAAYAWQEAAKkFA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77024" behindDoc="0" locked="0" layoutInCell="1" allowOverlap="1">
                      <wp:simplePos x="0" y="0"/>
                      <wp:positionH relativeFrom="column">
                        <wp:posOffset>1326515</wp:posOffset>
                      </wp:positionH>
                      <wp:positionV relativeFrom="paragraph">
                        <wp:posOffset>140970</wp:posOffset>
                      </wp:positionV>
                      <wp:extent cx="185420" cy="20320"/>
                      <wp:effectExtent l="0" t="39370" r="5080" b="41910"/>
                      <wp:wrapNone/>
                      <wp:docPr id="123" name="直接箭头连接符 123"/>
                      <wp:cNvGraphicFramePr/>
                      <a:graphic xmlns:a="http://schemas.openxmlformats.org/drawingml/2006/main">
                        <a:graphicData uri="http://schemas.microsoft.com/office/word/2010/wordprocessingShape">
                          <wps:wsp>
                            <wps:cNvCnPr/>
                            <wps:spPr>
                              <a:xfrm flipH="1" flipV="1">
                                <a:off x="0" y="0"/>
                                <a:ext cx="185420" cy="2032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04.45pt;margin-top:11.1pt;height:1.6pt;width:14.6pt;z-index:251777024;mso-width-relative:page;mso-height-relative:page;" filled="f" stroked="t" coordsize="21600,21600" o:gfxdata="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TiqENYAAAAJAQAADwAAAAAAAAAB&#10;ACAAAAAiAAAAZHJzL2Rvd25yZXYueG1sUEsBAhQAFAAAAAgAh07iQDT6124SAgAA8wMAAA4AAAAA&#10;AAAAAQAgAAAAJQEAAGRycy9lMm9Eb2MueG1sUEsFBgAAAAAGAAYAWQEAAKkFA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58592" behindDoc="0" locked="0" layoutInCell="1" allowOverlap="1">
                      <wp:simplePos x="0" y="0"/>
                      <wp:positionH relativeFrom="column">
                        <wp:posOffset>1435735</wp:posOffset>
                      </wp:positionH>
                      <wp:positionV relativeFrom="paragraph">
                        <wp:posOffset>35560</wp:posOffset>
                      </wp:positionV>
                      <wp:extent cx="463550" cy="273050"/>
                      <wp:effectExtent l="0" t="0" r="0" b="0"/>
                      <wp:wrapNone/>
                      <wp:docPr id="107" name="矩形 107"/>
                      <wp:cNvGraphicFramePr/>
                      <a:graphic xmlns:a="http://schemas.openxmlformats.org/drawingml/2006/main">
                        <a:graphicData uri="http://schemas.microsoft.com/office/word/2010/wordprocessingShape">
                          <wps:wsp>
                            <wps:cNvSpPr/>
                            <wps:spPr>
                              <a:xfrm>
                                <a:off x="0" y="0"/>
                                <a:ext cx="463550"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15889F66">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粉尘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05pt;margin-top:2.8pt;height:21.5pt;width:36.5pt;z-index:251758592;v-text-anchor:middle;mso-width-relative:page;mso-height-relative:page;" filled="f" stroked="f" coordsize="21600,21600" o:gfxdata="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mxyGd1wAAAAgBAAAP&#10;AAAAAAAAAAEAIAAAACIAAABkcnMvZG93bnJldi54bWxQSwECFAAUAAAACACHTuJAVJzgplICAACY&#10;BAAADgAAAAAAAAABACAAAAAmAQAAZHJzL2Uyb0RvYy54bWxQSwUGAAAAAAYABgBZAQAA6gUAAAAA&#10;">
                      <v:fill on="f" focussize="0,0"/>
                      <v:stroke on="f" weight="0.25pt"/>
                      <v:imagedata o:title=""/>
                      <o:lock v:ext="edit" aspectratio="f"/>
                      <v:textbox>
                        <w:txbxContent>
                          <w:p w14:paraId="15889F66">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粉尘</w:t>
                            </w:r>
                          </w:p>
                        </w:txbxContent>
                      </v:textbox>
                    </v:rect>
                  </w:pict>
                </mc:Fallback>
              </mc:AlternateContent>
            </w:r>
            <w:r>
              <w:rPr>
                <w:sz w:val="24"/>
              </w:rPr>
              <mc:AlternateContent>
                <mc:Choice Requires="wps">
                  <w:drawing>
                    <wp:anchor distT="0" distB="0" distL="114300" distR="114300" simplePos="0" relativeHeight="251766784" behindDoc="0" locked="0" layoutInCell="1" allowOverlap="1">
                      <wp:simplePos x="0" y="0"/>
                      <wp:positionH relativeFrom="column">
                        <wp:posOffset>4025900</wp:posOffset>
                      </wp:positionH>
                      <wp:positionV relativeFrom="paragraph">
                        <wp:posOffset>114300</wp:posOffset>
                      </wp:positionV>
                      <wp:extent cx="360680" cy="1270"/>
                      <wp:effectExtent l="0" t="48260" r="7620" b="52070"/>
                      <wp:wrapNone/>
                      <wp:docPr id="132" name="直接箭头连接符 132"/>
                      <wp:cNvGraphicFramePr/>
                      <a:graphic xmlns:a="http://schemas.openxmlformats.org/drawingml/2006/main">
                        <a:graphicData uri="http://schemas.microsoft.com/office/word/2010/wordprocessingShape">
                          <wps:wsp>
                            <wps:cNvCnPr/>
                            <wps:spPr>
                              <a:xfrm>
                                <a:off x="0" y="0"/>
                                <a:ext cx="360680" cy="127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17pt;margin-top:9pt;height:0.1pt;width:28.4pt;z-index:251766784;mso-width-relative:page;mso-height-relative:page;" filled="f" stroked="t" coordsize="21600,21600" o:gfxdata="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IsBfYAAAACQEAAA8AAAAAAAAAAQAgAAAAIgAAAGRycy9kb3ducmV2&#10;LnhtbFBLAQIUABQAAAAIAIdO4kCe0v2C/AEAAM0DAAAOAAAAAAAAAAEAIAAAACcBAABkcnMvZTJv&#10;RG9jLnhtbFBLBQYAAAAABgAGAFkBAACVBQAAAAA=&#10;">
                      <v:fill on="f" focussize="0,0"/>
                      <v:stroke weight="0.25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50400" behindDoc="0" locked="0" layoutInCell="1" allowOverlap="1">
                      <wp:simplePos x="0" y="0"/>
                      <wp:positionH relativeFrom="column">
                        <wp:posOffset>2861310</wp:posOffset>
                      </wp:positionH>
                      <wp:positionV relativeFrom="paragraph">
                        <wp:posOffset>170815</wp:posOffset>
                      </wp:positionV>
                      <wp:extent cx="360680" cy="1270"/>
                      <wp:effectExtent l="0" t="48260" r="7620" b="52070"/>
                      <wp:wrapNone/>
                      <wp:docPr id="122" name="直接箭头连接符 122"/>
                      <wp:cNvGraphicFramePr/>
                      <a:graphic xmlns:a="http://schemas.openxmlformats.org/drawingml/2006/main">
                        <a:graphicData uri="http://schemas.microsoft.com/office/word/2010/wordprocessingShape">
                          <wps:wsp>
                            <wps:cNvCnPr/>
                            <wps:spPr>
                              <a:xfrm>
                                <a:off x="0" y="0"/>
                                <a:ext cx="360680" cy="1270"/>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5.3pt;margin-top:13.45pt;height:0.1pt;width:28.4pt;z-index:251750400;mso-width-relative:page;mso-height-relative:page;" filled="f" stroked="t" coordsize="21600,21600" o:gfxdata="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U6GS9gAAAAJAQAADwAAAAAAAAABACAAAAAiAAAAZHJzL2Rvd25yZXYu&#10;eG1sUEsBAhQAFAAAAAgAh07iQDyhiLz7AQAAzQMAAA4AAAAAAAAAAQAgAAAAJwEAAGRycy9lMm9E&#10;b2MueG1sUEsFBgAAAAAGAAYAWQEAAJQFAAAAAA==&#10;">
                      <v:fill on="f" focussize="0,0"/>
                      <v:stroke weight="0.25pt"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47328" behindDoc="0" locked="0" layoutInCell="1" allowOverlap="1">
                      <wp:simplePos x="0" y="0"/>
                      <wp:positionH relativeFrom="column">
                        <wp:posOffset>4354830</wp:posOffset>
                      </wp:positionH>
                      <wp:positionV relativeFrom="paragraph">
                        <wp:posOffset>14605</wp:posOffset>
                      </wp:positionV>
                      <wp:extent cx="807085" cy="273050"/>
                      <wp:effectExtent l="4445" t="5080" r="13970" b="13970"/>
                      <wp:wrapNone/>
                      <wp:docPr id="119" name="矩形 119"/>
                      <wp:cNvGraphicFramePr/>
                      <a:graphic xmlns:a="http://schemas.openxmlformats.org/drawingml/2006/main">
                        <a:graphicData uri="http://schemas.microsoft.com/office/word/2010/wordprocessingShape">
                          <wps:wsp>
                            <wps:cNvSpPr/>
                            <wps:spPr>
                              <a:xfrm>
                                <a:off x="0" y="0"/>
                                <a:ext cx="80708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9B4D8E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产品外售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2.9pt;margin-top:1.15pt;height:21.5pt;width:63.55pt;z-index:251747328;v-text-anchor:middle;mso-width-relative:page;mso-height-relative:page;" filled="f" stroked="t" coordsize="21600,21600" o:gfxdata="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84Pri9cAAAAIAQAADwAAAAAAAAABACAAAAAiAAAAZHJzL2Rvd25yZXYueG1sUEsBAhQA&#10;FAAAAAgAh07iQKBF8c9lAgAAwQQAAA4AAAAAAAAAAQAgAAAAJgEAAGRycy9lMm9Eb2MueG1sUEsF&#10;BgAAAAAGAAYAWQEAAP0FAAAAAA==&#10;">
                      <v:fill on="f" focussize="0,0"/>
                      <v:stroke weight="0.25pt" color="#000000 [3213]" joinstyle="round"/>
                      <v:imagedata o:title=""/>
                      <o:lock v:ext="edit" aspectratio="f"/>
                      <v:textbox>
                        <w:txbxContent>
                          <w:p w14:paraId="19B4D8E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产品外售</w:t>
                            </w:r>
                          </w:p>
                        </w:txbxContent>
                      </v:textbox>
                    </v:rect>
                  </w:pict>
                </mc:Fallback>
              </mc:AlternateContent>
            </w:r>
            <w:r>
              <w:rPr>
                <w:sz w:val="24"/>
              </w:rPr>
              <mc:AlternateContent>
                <mc:Choice Requires="wps">
                  <w:drawing>
                    <wp:anchor distT="0" distB="0" distL="114300" distR="114300" simplePos="0" relativeHeight="251749376" behindDoc="0" locked="0" layoutInCell="1" allowOverlap="1">
                      <wp:simplePos x="0" y="0"/>
                      <wp:positionH relativeFrom="column">
                        <wp:posOffset>3197860</wp:posOffset>
                      </wp:positionH>
                      <wp:positionV relativeFrom="paragraph">
                        <wp:posOffset>13970</wp:posOffset>
                      </wp:positionV>
                      <wp:extent cx="807085" cy="273050"/>
                      <wp:effectExtent l="4445" t="5080" r="13970" b="13970"/>
                      <wp:wrapNone/>
                      <wp:docPr id="118" name="矩形 118"/>
                      <wp:cNvGraphicFramePr/>
                      <a:graphic xmlns:a="http://schemas.openxmlformats.org/drawingml/2006/main">
                        <a:graphicData uri="http://schemas.microsoft.com/office/word/2010/wordprocessingShape">
                          <wps:wsp>
                            <wps:cNvSpPr/>
                            <wps:spPr>
                              <a:xfrm>
                                <a:off x="0" y="0"/>
                                <a:ext cx="80708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0FE9CF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产品检验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8pt;margin-top:1.1pt;height:21.5pt;width:63.55pt;z-index:251749376;v-text-anchor:middle;mso-width-relative:page;mso-height-relative:page;" filled="f" stroked="t" coordsize="21600,21600" o:gfxdata="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6hq7/XAAAACAEAAA8AAAAAAAAAAQAgAAAAIgAAAGRycy9kb3ducmV2LnhtbFBLAQIUABQA&#10;AAAIAIdO4kD0SwegYwIAAMEEAAAOAAAAAAAAAAEAIAAAACYBAABkcnMvZTJvRG9jLnhtbFBLBQYA&#10;AAAABgAGAFkBAAD7BQAAAAA=&#10;">
                      <v:fill on="f" focussize="0,0"/>
                      <v:stroke weight="0.25pt" color="#000000 [3213]" joinstyle="round"/>
                      <v:imagedata o:title=""/>
                      <o:lock v:ext="edit" aspectratio="f"/>
                      <v:textbox>
                        <w:txbxContent>
                          <w:p w14:paraId="50FE9CF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产品检验</w:t>
                            </w:r>
                          </w:p>
                        </w:txbxContent>
                      </v:textbox>
                    </v:rect>
                  </w:pict>
                </mc:Fallback>
              </mc:AlternateContent>
            </w:r>
            <w:r>
              <w:rPr>
                <w:sz w:val="24"/>
              </w:rPr>
              <mc:AlternateContent>
                <mc:Choice Requires="wps">
                  <w:drawing>
                    <wp:anchor distT="0" distB="0" distL="114300" distR="114300" simplePos="0" relativeHeight="251757568" behindDoc="0" locked="0" layoutInCell="1" allowOverlap="1">
                      <wp:simplePos x="0" y="0"/>
                      <wp:positionH relativeFrom="column">
                        <wp:posOffset>1899285</wp:posOffset>
                      </wp:positionH>
                      <wp:positionV relativeFrom="paragraph">
                        <wp:posOffset>160020</wp:posOffset>
                      </wp:positionV>
                      <wp:extent cx="183515" cy="12065"/>
                      <wp:effectExtent l="0" t="42545" r="6985" b="46990"/>
                      <wp:wrapNone/>
                      <wp:docPr id="106" name="直接箭头连接符 106"/>
                      <wp:cNvGraphicFramePr/>
                      <a:graphic xmlns:a="http://schemas.openxmlformats.org/drawingml/2006/main">
                        <a:graphicData uri="http://schemas.microsoft.com/office/word/2010/wordprocessingShape">
                          <wps:wsp>
                            <wps:cNvCnPr>
                              <a:endCxn id="107" idx="3"/>
                            </wps:cNvCnPr>
                            <wps:spPr>
                              <a:xfrm flipH="1">
                                <a:off x="0" y="0"/>
                                <a:ext cx="183515" cy="12065"/>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49.55pt;margin-top:12.6pt;height:0.95pt;width:14.45pt;z-index:251757568;mso-width-relative:page;mso-height-relative:page;" filled="f" stroked="t" coordsize="21600,21600" o:gfxdata="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Whl+&#10;2AAAAAkBAAAPAAAAAAAAAAEAIAAAACIAAABkcnMvZG93bnJldi54bWxQSwECFAAUAAAACACHTuJA&#10;OaT3sSECAAASBAAADgAAAAAAAAABACAAAAAnAQAAZHJzL2Uyb0RvYy54bWxQSwUGAAAAAAYABgBZ&#10;AQAAugUAAAAA&#10;">
                      <v:fill on="f" focussize="0,0"/>
                      <v:stroke color="#000000 [3213]"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748352" behindDoc="0" locked="0" layoutInCell="1" allowOverlap="1">
                      <wp:simplePos x="0" y="0"/>
                      <wp:positionH relativeFrom="column">
                        <wp:posOffset>2075815</wp:posOffset>
                      </wp:positionH>
                      <wp:positionV relativeFrom="paragraph">
                        <wp:posOffset>6985</wp:posOffset>
                      </wp:positionV>
                      <wp:extent cx="807085" cy="273050"/>
                      <wp:effectExtent l="4445" t="5080" r="13970" b="13970"/>
                      <wp:wrapNone/>
                      <wp:docPr id="117" name="矩形 117"/>
                      <wp:cNvGraphicFramePr/>
                      <a:graphic xmlns:a="http://schemas.openxmlformats.org/drawingml/2006/main">
                        <a:graphicData uri="http://schemas.microsoft.com/office/word/2010/wordprocessingShape">
                          <wps:wsp>
                            <wps:cNvSpPr/>
                            <wps:spPr>
                              <a:xfrm>
                                <a:off x="0" y="0"/>
                                <a:ext cx="807085" cy="273050"/>
                              </a:xfrm>
                              <a:prstGeom prst="rect">
                                <a:avLst/>
                              </a:prstGeom>
                              <a:no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546900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筛分*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45pt;margin-top:0.55pt;height:21.5pt;width:63.55pt;z-index:251748352;v-text-anchor:middle;mso-width-relative:page;mso-height-relative:page;" filled="f" stroked="t" coordsize="21600,21600" o:gfxdata="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dXruTWAAAACAEAAA8AAAAAAAAAAQAgAAAAIgAAAGRycy9kb3ducmV2LnhtbFBLAQIUABQA&#10;AAAIAIdO4kA7GOa9ZAIAAMEEAAAOAAAAAAAAAAEAIAAAACUBAABkcnMvZTJvRG9jLnhtbFBLBQYA&#10;AAAABgAGAFkBAAD7BQAAAAA=&#10;">
                      <v:fill on="f" focussize="0,0"/>
                      <v:stroke weight="0.25pt" color="#000000 [3213]" joinstyle="round"/>
                      <v:imagedata o:title=""/>
                      <o:lock v:ext="edit" aspectratio="f"/>
                      <v:textbox>
                        <w:txbxContent>
                          <w:p w14:paraId="6546900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筛分*</w:t>
                            </w:r>
                          </w:p>
                        </w:txbxContent>
                      </v:textbox>
                    </v:rect>
                  </w:pict>
                </mc:Fallback>
              </mc:AlternateContent>
            </w:r>
          </w:p>
          <w:p w14:paraId="4E1E7740">
            <w:pPr>
              <w:pStyle w:val="63"/>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snapToGrid w:val="0"/>
                <w:color w:val="000000" w:themeColor="text1"/>
                <w:lang w:eastAsia="zh-CN"/>
                <w14:textFill>
                  <w14:solidFill>
                    <w14:schemeClr w14:val="tx1"/>
                  </w14:solidFill>
                </w14:textFill>
              </w:rPr>
            </w:pPr>
            <w:r>
              <w:rPr>
                <w:rFonts w:hint="eastAsia" w:ascii="Times New Roman" w:hAnsi="Times New Roman"/>
                <w:snapToGrid w:val="0"/>
                <w:color w:val="000000" w:themeColor="text1"/>
                <w:lang w:val="en-US" w:eastAsia="zh-CN"/>
                <w14:textFill>
                  <w14:solidFill>
                    <w14:schemeClr w14:val="tx1"/>
                  </w14:solidFill>
                </w14:textFill>
              </w:rPr>
              <w:t xml:space="preserve">       </w:t>
            </w:r>
          </w:p>
          <w:p w14:paraId="3E095B9E">
            <w:pPr>
              <w:adjustRightInd w:val="0"/>
              <w:snapToGrid w:val="0"/>
              <w:ind w:firstLine="1440" w:firstLineChars="600"/>
              <w:rPr>
                <w:b/>
                <w:bCs/>
                <w:color w:val="000000" w:themeColor="text1"/>
                <w:spacing w:val="5"/>
                <w:highlight w:val="yellow"/>
                <w14:textFill>
                  <w14:solidFill>
                    <w14:schemeClr w14:val="tx1"/>
                  </w14:solidFill>
                </w14:textFill>
              </w:rPr>
            </w:pPr>
            <w:r>
              <w:rPr>
                <w:sz w:val="24"/>
              </w:rPr>
              <mc:AlternateContent>
                <mc:Choice Requires="wps">
                  <w:drawing>
                    <wp:anchor distT="0" distB="0" distL="114300" distR="114300" simplePos="0" relativeHeight="251798528" behindDoc="0" locked="0" layoutInCell="1" allowOverlap="1">
                      <wp:simplePos x="0" y="0"/>
                      <wp:positionH relativeFrom="column">
                        <wp:posOffset>2687320</wp:posOffset>
                      </wp:positionH>
                      <wp:positionV relativeFrom="paragraph">
                        <wp:posOffset>111760</wp:posOffset>
                      </wp:positionV>
                      <wp:extent cx="2711450" cy="273050"/>
                      <wp:effectExtent l="0" t="0" r="0" b="0"/>
                      <wp:wrapNone/>
                      <wp:docPr id="153" name="矩形 153"/>
                      <wp:cNvGraphicFramePr/>
                      <a:graphic xmlns:a="http://schemas.openxmlformats.org/drawingml/2006/main">
                        <a:graphicData uri="http://schemas.microsoft.com/office/word/2010/wordprocessingShape">
                          <wps:wsp>
                            <wps:cNvSpPr/>
                            <wps:spPr>
                              <a:xfrm>
                                <a:off x="0" y="0"/>
                                <a:ext cx="2711450" cy="273050"/>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009064A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注*为产噪环节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1.6pt;margin-top:8.8pt;height:21.5pt;width:213.5pt;z-index:251798528;v-text-anchor:middle;mso-width-relative:page;mso-height-relative:page;" filled="f" stroked="f" coordsize="21600,21600" o:gfxdata="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087ktcAAAAJAQAA&#10;DwAAAAAAAAABACAAAAAiAAAAZHJzL2Rvd25yZXYueG1sUEsBAhQAFAAAAAgAh07iQMHKmtxTAgAA&#10;mQQAAA4AAAAAAAAAAQAgAAAAJgEAAGRycy9lMm9Eb2MueG1sUEsFBgAAAAAGAAYAWQEAAOsFAAAA&#10;AA==&#10;">
                      <v:fill on="f" focussize="0,0"/>
                      <v:stroke on="f" weight="0.25pt"/>
                      <v:imagedata o:title=""/>
                      <o:lock v:ext="edit" aspectratio="f"/>
                      <v:textbox>
                        <w:txbxContent>
                          <w:p w14:paraId="009064A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注*为产噪环节</w:t>
                            </w:r>
                          </w:p>
                        </w:txbxContent>
                      </v:textbox>
                    </v:rect>
                  </w:pict>
                </mc:Fallback>
              </mc:AlternateContent>
            </w:r>
            <w:r>
              <w:rPr>
                <w:sz w:val="24"/>
              </w:rPr>
              <mc:AlternateContent>
                <mc:Choice Requires="wps">
                  <w:drawing>
                    <wp:anchor distT="0" distB="0" distL="114300" distR="114300" simplePos="0" relativeHeight="251783168" behindDoc="0" locked="0" layoutInCell="1" allowOverlap="1">
                      <wp:simplePos x="0" y="0"/>
                      <wp:positionH relativeFrom="column">
                        <wp:posOffset>689610</wp:posOffset>
                      </wp:positionH>
                      <wp:positionV relativeFrom="paragraph">
                        <wp:posOffset>84455</wp:posOffset>
                      </wp:positionV>
                      <wp:extent cx="1022985" cy="356235"/>
                      <wp:effectExtent l="0" t="0" r="0" b="0"/>
                      <wp:wrapNone/>
                      <wp:docPr id="138" name="矩形 138"/>
                      <wp:cNvGraphicFramePr/>
                      <a:graphic xmlns:a="http://schemas.openxmlformats.org/drawingml/2006/main">
                        <a:graphicData uri="http://schemas.microsoft.com/office/word/2010/wordprocessingShape">
                          <wps:wsp>
                            <wps:cNvSpPr/>
                            <wps:spPr>
                              <a:xfrm>
                                <a:off x="0" y="0"/>
                                <a:ext cx="1022985" cy="356235"/>
                              </a:xfrm>
                              <a:prstGeom prst="rect">
                                <a:avLst/>
                              </a:prstGeom>
                              <a:noFill/>
                              <a:ln w="3175">
                                <a:noFill/>
                              </a:ln>
                            </wps:spPr>
                            <wps:style>
                              <a:lnRef idx="2">
                                <a:schemeClr val="accent1">
                                  <a:lumMod val="75000"/>
                                </a:schemeClr>
                              </a:lnRef>
                              <a:fillRef idx="1">
                                <a:schemeClr val="accent1"/>
                              </a:fillRef>
                              <a:effectRef idx="0">
                                <a:srgbClr val="FFFFFF"/>
                              </a:effectRef>
                              <a:fontRef idx="minor">
                                <a:schemeClr val="lt1"/>
                              </a:fontRef>
                            </wps:style>
                            <wps:txbx>
                              <w:txbxContent>
                                <w:p w14:paraId="0DB17112">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无组织排放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3pt;margin-top:6.65pt;height:28.05pt;width:80.55pt;z-index:251783168;v-text-anchor:middle;mso-width-relative:page;mso-height-relative:page;" filled="f" stroked="f" coordsize="21600,21600" o:gfxdata="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Nx2ljYAAAACQEA&#10;AA8AAAAAAAAAAQAgAAAAIgAAAGRycy9kb3ducmV2LnhtbFBLAQIUABQAAAAIAIdO4kDiPZvQUwIA&#10;AJkEAAAOAAAAAAAAAAEAIAAAACcBAABkcnMvZTJvRG9jLnhtbFBLBQYAAAAABgAGAFkBAADsBQAA&#10;AAA=&#10;">
                      <v:fill on="f" focussize="0,0"/>
                      <v:stroke on="f" weight="0.25pt"/>
                      <v:imagedata o:title=""/>
                      <o:lock v:ext="edit" aspectratio="f"/>
                      <v:textbox>
                        <w:txbxContent>
                          <w:p w14:paraId="0DB17112">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无组织排放</w:t>
                            </w:r>
                          </w:p>
                        </w:txbxContent>
                      </v:textbox>
                    </v:rect>
                  </w:pict>
                </mc:Fallback>
              </mc:AlternateContent>
            </w:r>
            <w:r>
              <w:rPr>
                <w:sz w:val="24"/>
              </w:rPr>
              <mc:AlternateContent>
                <mc:Choice Requires="wps">
                  <w:drawing>
                    <wp:anchor distT="0" distB="0" distL="114300" distR="114300" simplePos="0" relativeHeight="251784192" behindDoc="0" locked="0" layoutInCell="1" allowOverlap="1">
                      <wp:simplePos x="0" y="0"/>
                      <wp:positionH relativeFrom="column">
                        <wp:posOffset>1143635</wp:posOffset>
                      </wp:positionH>
                      <wp:positionV relativeFrom="paragraph">
                        <wp:posOffset>-41275</wp:posOffset>
                      </wp:positionV>
                      <wp:extent cx="0" cy="198120"/>
                      <wp:effectExtent l="48895" t="0" r="52705" b="5080"/>
                      <wp:wrapNone/>
                      <wp:docPr id="139" name="直接箭头连接符 139"/>
                      <wp:cNvGraphicFramePr/>
                      <a:graphic xmlns:a="http://schemas.openxmlformats.org/drawingml/2006/main">
                        <a:graphicData uri="http://schemas.microsoft.com/office/word/2010/wordprocessingShape">
                          <wps:wsp>
                            <wps:cNvCnPr/>
                            <wps:spPr>
                              <a:xfrm>
                                <a:off x="0" y="0"/>
                                <a:ext cx="0" cy="198120"/>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0.05pt;margin-top:-3.25pt;height:15.6pt;width:0pt;z-index:251784192;mso-width-relative:page;mso-height-relative:page;" filled="f" stroked="t" coordsize="21600,21600" o:gfxdata="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iQkt1gAAAAkBAAAPAAAAAAAAAAEAIAAAACIAAABkcnMvZG93&#10;bnJldi54bWxQSwECFAAUAAAACACHTuJAVgZumwICAADbAwAADgAAAAAAAAABACAAAAAlAQAAZHJz&#10;L2Uyb0RvYy54bWxQSwUGAAAAAAYABgBZAQAAmQUAAAAA&#10;">
                      <v:fill on="f" focussize="0,0"/>
                      <v:stroke color="#000000 [3213]" joinstyle="round" dashstyle="dash" endarrow="open"/>
                      <v:imagedata o:title=""/>
                      <o:lock v:ext="edit" aspectratio="f"/>
                    </v:shape>
                  </w:pict>
                </mc:Fallback>
              </mc:AlternateContent>
            </w:r>
          </w:p>
          <w:p w14:paraId="052801C2">
            <w:pPr>
              <w:adjustRightInd w:val="0"/>
              <w:snapToGrid w:val="0"/>
              <w:ind w:firstLine="1325" w:firstLineChars="600"/>
              <w:rPr>
                <w:b/>
                <w:bCs/>
                <w:color w:val="000000" w:themeColor="text1"/>
                <w:spacing w:val="5"/>
                <w:highlight w:val="yellow"/>
                <w14:textFill>
                  <w14:solidFill>
                    <w14:schemeClr w14:val="tx1"/>
                  </w14:solidFill>
                </w14:textFill>
              </w:rPr>
            </w:pPr>
          </w:p>
          <w:p w14:paraId="660A05BE">
            <w:pPr>
              <w:adjustRightInd w:val="0"/>
              <w:snapToGrid w:val="0"/>
              <w:ind w:firstLine="1325" w:firstLineChars="600"/>
              <w:rPr>
                <w:b/>
                <w:bCs/>
                <w:color w:val="000000" w:themeColor="text1"/>
                <w:spacing w:val="5"/>
                <w:highlight w:val="yellow"/>
                <w14:textFill>
                  <w14:solidFill>
                    <w14:schemeClr w14:val="tx1"/>
                  </w14:solidFill>
                </w14:textFill>
              </w:rPr>
            </w:pPr>
          </w:p>
          <w:p w14:paraId="6198723E">
            <w:pPr>
              <w:adjustRightInd w:val="0"/>
              <w:snapToGrid w:val="0"/>
              <w:ind w:firstLine="1325" w:firstLineChars="600"/>
              <w:rPr>
                <w:b/>
                <w:bCs/>
                <w:color w:val="000000" w:themeColor="text1"/>
                <w:spacing w:val="5"/>
                <w14:textFill>
                  <w14:solidFill>
                    <w14:schemeClr w14:val="tx1"/>
                  </w14:solidFill>
                </w14:textFill>
              </w:rPr>
            </w:pPr>
            <w:r>
              <w:rPr>
                <w:b/>
                <w:bCs/>
                <w:color w:val="0000FF"/>
                <w:spacing w:val="5"/>
                <w:highlight w:val="none"/>
                <w:u w:val="single"/>
              </w:rPr>
              <w:t>图</w:t>
            </w:r>
            <w:r>
              <w:rPr>
                <w:color w:val="0000FF"/>
                <w:spacing w:val="-28"/>
                <w:highlight w:val="none"/>
                <w:u w:val="single"/>
              </w:rPr>
              <w:t xml:space="preserve"> </w:t>
            </w:r>
            <w:r>
              <w:rPr>
                <w:rFonts w:ascii="Times New Roman" w:hAnsi="Times New Roman" w:eastAsia="Times New Roman" w:cs="Times New Roman"/>
                <w:b/>
                <w:bCs/>
                <w:color w:val="0000FF"/>
                <w:spacing w:val="5"/>
                <w:highlight w:val="none"/>
                <w:u w:val="single"/>
              </w:rPr>
              <w:t xml:space="preserve">2-3      </w:t>
            </w:r>
            <w:r>
              <w:rPr>
                <w:b/>
                <w:bCs/>
                <w:color w:val="0000FF"/>
                <w:spacing w:val="5"/>
                <w:highlight w:val="none"/>
                <w:u w:val="single"/>
              </w:rPr>
              <w:t>双氧水可膨胀石墨工艺流程及产污流程图</w:t>
            </w:r>
          </w:p>
        </w:tc>
      </w:tr>
      <w:tr w14:paraId="592E4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117" w:type="dxa"/>
            <w:gridSpan w:val="2"/>
            <w:noWrap w:val="0"/>
            <w:vAlign w:val="center"/>
          </w:tcPr>
          <w:p w14:paraId="551B9BC4">
            <w:pPr>
              <w:pStyle w:val="18"/>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与项目有关的原有环境污染问题</w:t>
            </w:r>
          </w:p>
        </w:tc>
        <w:tc>
          <w:tcPr>
            <w:tcW w:w="7943" w:type="dxa"/>
            <w:noWrap w:val="0"/>
            <w:vAlign w:val="top"/>
          </w:tcPr>
          <w:p w14:paraId="13BEB1A0">
            <w:pPr>
              <w:adjustRightInd w:val="0"/>
              <w:snapToGrid w:val="0"/>
              <w:ind w:firstLine="630" w:firstLineChars="300"/>
              <w:rPr>
                <w:rFonts w:hint="eastAsia" w:ascii="宋体" w:hAnsi="宋体"/>
                <w:bCs/>
                <w:color w:val="000000" w:themeColor="text1"/>
                <w:szCs w:val="21"/>
                <w:lang w:val="en-US" w:eastAsia="zh-CN"/>
                <w14:textFill>
                  <w14:solidFill>
                    <w14:schemeClr w14:val="tx1"/>
                  </w14:solidFill>
                </w14:textFill>
              </w:rPr>
            </w:pPr>
          </w:p>
          <w:p w14:paraId="6C8B959B">
            <w:pPr>
              <w:adjustRightInd w:val="0"/>
              <w:snapToGrid w:val="0"/>
              <w:rPr>
                <w:rFonts w:hint="default"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B050"/>
                <w:szCs w:val="21"/>
                <w:u w:val="single"/>
                <w:lang w:val="en-US" w:eastAsia="zh-CN"/>
              </w:rPr>
              <w:t>本项目为新建，原厂址为汽车检测线，现厂区仅为厂房，不存在与项目有关的原有环境问题。</w:t>
            </w:r>
          </w:p>
        </w:tc>
      </w:tr>
    </w:tbl>
    <w:p w14:paraId="3F374B69">
      <w:pPr>
        <w:pStyle w:val="18"/>
        <w:jc w:val="center"/>
        <w:rPr>
          <w:rFonts w:ascii="黑体" w:hAnsi="黑体" w:eastAsia="黑体"/>
          <w:snapToGrid w:val="0"/>
          <w:sz w:val="36"/>
          <w:szCs w:val="36"/>
        </w:rPr>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bookmarkStart w:id="12" w:name="_GoBack"/>
      <w:bookmarkEnd w:id="12"/>
    </w:p>
    <w:p w14:paraId="36FBCD6C">
      <w:pPr>
        <w:pStyle w:val="18"/>
        <w:adjustRightInd w:val="0"/>
        <w:snapToGrid w:val="0"/>
        <w:spacing w:before="0" w:beforeAutospacing="0" w:after="0" w:afterAutospacing="0" w:line="14" w:lineRule="auto"/>
        <w:jc w:val="center"/>
        <w:outlineLvl w:val="0"/>
        <w:rPr>
          <w:rFonts w:hint="eastAsia" w:ascii="黑体" w:hAnsi="黑体" w:eastAsia="黑体"/>
          <w:snapToGrid w:val="0"/>
          <w:sz w:val="30"/>
          <w:szCs w:val="30"/>
        </w:rPr>
      </w:pPr>
    </w:p>
    <w:p w14:paraId="0CE1C37F">
      <w:pPr>
        <w:pStyle w:val="18"/>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8497"/>
      </w:tblGrid>
      <w:tr w14:paraId="4EC5B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800" w:type="dxa"/>
            <w:noWrap w:val="0"/>
            <w:vAlign w:val="center"/>
          </w:tcPr>
          <w:p w14:paraId="133165F0">
            <w:pPr>
              <w:adjustRightInd w:val="0"/>
              <w:snapToGrid w:val="0"/>
              <w:jc w:val="center"/>
              <w:rPr>
                <w:rFonts w:hint="eastAsia" w:ascii="宋体" w:hAnsi="宋体" w:cs="宋体"/>
                <w:kern w:val="0"/>
                <w:szCs w:val="21"/>
              </w:rPr>
            </w:pPr>
            <w:r>
              <w:rPr>
                <w:rFonts w:hint="eastAsia" w:ascii="宋体" w:hAnsi="宋体" w:cs="宋体"/>
                <w:kern w:val="0"/>
                <w:szCs w:val="21"/>
              </w:rPr>
              <w:t>区域</w:t>
            </w:r>
          </w:p>
          <w:p w14:paraId="0E872427">
            <w:pPr>
              <w:adjustRightInd w:val="0"/>
              <w:snapToGrid w:val="0"/>
              <w:jc w:val="center"/>
              <w:rPr>
                <w:rFonts w:hint="eastAsia" w:ascii="宋体" w:hAnsi="宋体" w:cs="宋体"/>
                <w:kern w:val="0"/>
                <w:szCs w:val="21"/>
              </w:rPr>
            </w:pPr>
            <w:r>
              <w:rPr>
                <w:rFonts w:hint="eastAsia" w:ascii="宋体" w:hAnsi="宋体" w:cs="宋体"/>
                <w:kern w:val="0"/>
                <w:szCs w:val="21"/>
              </w:rPr>
              <w:t>环境</w:t>
            </w:r>
          </w:p>
          <w:p w14:paraId="386D710E">
            <w:pPr>
              <w:adjustRightInd w:val="0"/>
              <w:snapToGrid w:val="0"/>
              <w:jc w:val="center"/>
              <w:rPr>
                <w:rFonts w:hint="eastAsia" w:ascii="宋体" w:hAnsi="宋体" w:cs="宋体"/>
                <w:kern w:val="0"/>
                <w:szCs w:val="21"/>
              </w:rPr>
            </w:pPr>
            <w:r>
              <w:rPr>
                <w:rFonts w:hint="eastAsia" w:ascii="宋体" w:hAnsi="宋体" w:cs="宋体"/>
                <w:kern w:val="0"/>
                <w:szCs w:val="21"/>
              </w:rPr>
              <w:t>质量</w:t>
            </w:r>
          </w:p>
          <w:p w14:paraId="3CF6138C">
            <w:pPr>
              <w:adjustRightInd w:val="0"/>
              <w:snapToGrid w:val="0"/>
              <w:jc w:val="center"/>
              <w:rPr>
                <w:rFonts w:ascii="宋体" w:hAnsi="宋体" w:cs="宋体"/>
                <w:kern w:val="0"/>
                <w:szCs w:val="21"/>
              </w:rPr>
            </w:pPr>
            <w:r>
              <w:rPr>
                <w:rFonts w:hint="eastAsia" w:ascii="宋体" w:hAnsi="宋体" w:cs="宋体"/>
                <w:kern w:val="0"/>
                <w:szCs w:val="21"/>
              </w:rPr>
              <w:t>现状</w:t>
            </w:r>
          </w:p>
        </w:tc>
        <w:tc>
          <w:tcPr>
            <w:tcW w:w="8190" w:type="dxa"/>
            <w:noWrap w:val="0"/>
            <w:vAlign w:val="center"/>
          </w:tcPr>
          <w:p w14:paraId="1D6CA7D1">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jc w:val="both"/>
              <w:textAlignment w:val="auto"/>
              <w:outlineLvl w:val="9"/>
              <w:rPr>
                <w:rFonts w:hint="eastAsia" w:ascii="Times New Roman" w:hAnsi="Times New Roman" w:eastAsia="宋体" w:cs="宋体"/>
                <w:b/>
                <w:bCs w:val="0"/>
                <w:caps w:val="0"/>
                <w:color w:val="auto"/>
                <w:spacing w:val="0"/>
                <w:kern w:val="0"/>
                <w:position w:val="0"/>
                <w:sz w:val="24"/>
                <w:szCs w:val="24"/>
                <w:highlight w:val="none"/>
                <w:u w:val="none" w:color="auto"/>
                <w:lang w:val="en-US" w:eastAsia="zh-CN"/>
              </w:rPr>
            </w:pPr>
            <w:r>
              <w:rPr>
                <w:rFonts w:hint="eastAsia" w:ascii="Times New Roman" w:hAnsi="Times New Roman" w:eastAsia="宋体" w:cs="宋体"/>
                <w:b/>
                <w:bCs w:val="0"/>
                <w:caps w:val="0"/>
                <w:color w:val="auto"/>
                <w:spacing w:val="0"/>
                <w:kern w:val="0"/>
                <w:position w:val="0"/>
                <w:sz w:val="24"/>
                <w:szCs w:val="24"/>
                <w:highlight w:val="none"/>
                <w:u w:val="none" w:color="auto"/>
                <w:lang w:val="en-US" w:eastAsia="zh-CN"/>
              </w:rPr>
              <w:t>1、大气环境质量现状</w:t>
            </w:r>
          </w:p>
          <w:p w14:paraId="1B4CBA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imes New Roman" w:hAnsi="Times New Roman" w:eastAsia="宋体" w:cs="宋体"/>
                <w:color w:val="auto"/>
                <w:kern w:val="21"/>
                <w:sz w:val="24"/>
                <w:szCs w:val="24"/>
                <w:highlight w:val="none"/>
                <w:u w:val="none" w:color="auto"/>
              </w:rPr>
            </w:pPr>
            <w:r>
              <w:rPr>
                <w:rFonts w:hint="eastAsia" w:ascii="Times New Roman" w:hAnsi="Times New Roman" w:eastAsia="宋体"/>
                <w:caps w:val="0"/>
                <w:color w:val="auto"/>
                <w:spacing w:val="0"/>
                <w:kern w:val="21"/>
                <w:sz w:val="24"/>
                <w:highlight w:val="none"/>
                <w:u w:val="none" w:color="auto"/>
                <w:lang w:eastAsia="zh-CN"/>
              </w:rPr>
              <w:t>（</w:t>
            </w:r>
            <w:r>
              <w:rPr>
                <w:rFonts w:hint="eastAsia" w:ascii="Times New Roman" w:hAnsi="Times New Roman" w:eastAsia="宋体"/>
                <w:caps w:val="0"/>
                <w:color w:val="auto"/>
                <w:spacing w:val="0"/>
                <w:kern w:val="21"/>
                <w:sz w:val="24"/>
                <w:highlight w:val="none"/>
                <w:u w:val="none" w:color="auto"/>
                <w:lang w:val="en-US" w:eastAsia="zh-CN"/>
              </w:rPr>
              <w:t>1</w:t>
            </w:r>
            <w:r>
              <w:rPr>
                <w:rFonts w:hint="eastAsia" w:ascii="Times New Roman" w:hAnsi="Times New Roman" w:eastAsia="宋体"/>
                <w:caps w:val="0"/>
                <w:color w:val="auto"/>
                <w:spacing w:val="0"/>
                <w:kern w:val="21"/>
                <w:sz w:val="24"/>
                <w:highlight w:val="none"/>
                <w:u w:val="none" w:color="auto"/>
                <w:lang w:eastAsia="zh-CN"/>
              </w:rPr>
              <w:t>）</w:t>
            </w:r>
            <w:r>
              <w:rPr>
                <w:rFonts w:hint="eastAsia" w:ascii="Times New Roman" w:hAnsi="Times New Roman" w:eastAsia="宋体"/>
                <w:caps w:val="0"/>
                <w:color w:val="auto"/>
                <w:spacing w:val="0"/>
                <w:kern w:val="21"/>
                <w:sz w:val="24"/>
                <w:szCs w:val="24"/>
                <w:highlight w:val="none"/>
                <w:u w:val="none" w:color="auto"/>
                <w:lang w:val="en-US" w:eastAsia="zh-CN"/>
              </w:rPr>
              <w:t>区域环境空气质量达标情况</w:t>
            </w:r>
          </w:p>
          <w:p w14:paraId="2B03C80A">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auto"/>
              <w:outlineLvl w:val="9"/>
              <w:rPr>
                <w:rFonts w:hint="eastAsia" w:ascii="Times New Roman" w:hAnsi="Times New Roman" w:eastAsia="宋体" w:cs="宋体"/>
                <w:caps w:val="0"/>
                <w:color w:val="auto"/>
                <w:spacing w:val="0"/>
                <w:kern w:val="0"/>
                <w:sz w:val="24"/>
                <w:szCs w:val="24"/>
                <w:highlight w:val="none"/>
                <w:u w:val="none" w:color="auto"/>
                <w:lang w:val="en-US" w:eastAsia="zh-CN"/>
              </w:rPr>
            </w:pPr>
            <w:r>
              <w:rPr>
                <w:rFonts w:hint="eastAsia" w:ascii="Times New Roman" w:hAnsi="Times New Roman" w:eastAsia="宋体"/>
                <w:caps w:val="0"/>
                <w:color w:val="auto"/>
                <w:spacing w:val="0"/>
                <w:kern w:val="0"/>
                <w:sz w:val="24"/>
                <w:szCs w:val="24"/>
                <w:highlight w:val="none"/>
                <w:u w:val="none" w:color="auto"/>
                <w:lang w:val="en-US" w:eastAsia="zh-CN"/>
              </w:rPr>
              <w:t>根据《环境影响评价技术导则 大气环境》（HJ2.2-2018）相关要求，对基本污染物需进行区域达标判定，本次采用吉林省生态环境厅《2024年吉林省生态环境状况公报》2024年省内各城市空气质量监测数据及达标情况，四平市环境空气质量主要污染物年平均浓度及占标率详见表3-1</w:t>
            </w:r>
            <w:r>
              <w:rPr>
                <w:rFonts w:hint="eastAsia" w:ascii="Times New Roman" w:hAnsi="Times New Roman" w:eastAsia="宋体" w:cs="宋体"/>
                <w:caps w:val="0"/>
                <w:color w:val="auto"/>
                <w:spacing w:val="0"/>
                <w:kern w:val="0"/>
                <w:sz w:val="24"/>
                <w:szCs w:val="24"/>
                <w:highlight w:val="none"/>
                <w:u w:val="none" w:color="auto"/>
                <w:lang w:val="en-US" w:eastAsia="zh-CN"/>
              </w:rPr>
              <w:t>。</w:t>
            </w:r>
          </w:p>
          <w:p w14:paraId="6B256F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宋体" w:cs="宋体"/>
                <w:b/>
                <w:bCs/>
                <w:caps w:val="0"/>
                <w:color w:val="auto"/>
                <w:spacing w:val="0"/>
                <w:kern w:val="0"/>
                <w:sz w:val="21"/>
                <w:szCs w:val="21"/>
                <w:highlight w:val="none"/>
                <w:u w:val="none" w:color="auto"/>
                <w:lang w:val="en-US" w:eastAsia="zh-CN"/>
              </w:rPr>
            </w:pPr>
            <w:r>
              <w:rPr>
                <w:rFonts w:hint="eastAsia" w:ascii="Times New Roman" w:hAnsi="Times New Roman" w:eastAsia="宋体" w:cs="宋体"/>
                <w:b/>
                <w:bCs/>
                <w:caps w:val="0"/>
                <w:color w:val="auto"/>
                <w:spacing w:val="0"/>
                <w:kern w:val="0"/>
                <w:sz w:val="21"/>
                <w:szCs w:val="21"/>
                <w:highlight w:val="none"/>
                <w:u w:val="none" w:color="auto"/>
                <w:lang w:val="en-US" w:eastAsia="zh-CN"/>
              </w:rPr>
              <w:t>表3-1  四平市环境空气质量主要污染物年均浓度及占标率情况一览表（2024年）</w:t>
            </w:r>
          </w:p>
          <w:p w14:paraId="2EA799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Times New Roman" w:hAnsi="Times New Roman" w:eastAsia="宋体" w:cs="宋体"/>
                <w:caps w:val="0"/>
                <w:color w:val="auto"/>
                <w:spacing w:val="0"/>
                <w:kern w:val="0"/>
                <w:sz w:val="24"/>
                <w:szCs w:val="24"/>
                <w:highlight w:val="none"/>
                <w:u w:val="none" w:color="auto"/>
                <w:vertAlign w:val="baseline"/>
                <w:lang w:eastAsia="zh-CN"/>
              </w:rPr>
            </w:pPr>
            <w:r>
              <w:rPr>
                <w:rFonts w:hint="eastAsia" w:ascii="Times New Roman" w:hAnsi="Times New Roman" w:eastAsia="宋体" w:cs="宋体"/>
                <w:caps w:val="0"/>
                <w:color w:val="auto"/>
                <w:spacing w:val="0"/>
                <w:kern w:val="0"/>
                <w:sz w:val="21"/>
                <w:szCs w:val="21"/>
                <w:highlight w:val="none"/>
                <w:u w:val="none" w:color="auto"/>
                <w:lang w:val="en-US" w:eastAsia="zh-CN"/>
              </w:rPr>
              <w:t>单位：</w:t>
            </w:r>
            <w:r>
              <w:rPr>
                <w:rFonts w:hint="eastAsia" w:ascii="Times New Roman" w:hAnsi="Times New Roman" w:eastAsia="宋体" w:cs="宋体"/>
                <w:caps w:val="0"/>
                <w:color w:val="auto"/>
                <w:spacing w:val="0"/>
                <w:kern w:val="0"/>
                <w:sz w:val="21"/>
                <w:szCs w:val="21"/>
                <w:highlight w:val="none"/>
                <w:u w:val="none" w:color="auto"/>
              </w:rPr>
              <w:t>μg/m</w:t>
            </w:r>
            <w:r>
              <w:rPr>
                <w:rFonts w:hint="eastAsia" w:ascii="Times New Roman" w:hAnsi="Times New Roman" w:eastAsia="宋体" w:cs="宋体"/>
                <w:caps w:val="0"/>
                <w:color w:val="auto"/>
                <w:spacing w:val="0"/>
                <w:kern w:val="0"/>
                <w:sz w:val="21"/>
                <w:szCs w:val="21"/>
                <w:highlight w:val="none"/>
                <w:u w:val="none" w:color="auto"/>
                <w:vertAlign w:val="superscript"/>
              </w:rPr>
              <w:t>3</w:t>
            </w:r>
            <w:r>
              <w:rPr>
                <w:rFonts w:hint="eastAsia" w:ascii="Times New Roman" w:hAnsi="Times New Roman" w:eastAsia="宋体" w:cs="宋体"/>
                <w:caps w:val="0"/>
                <w:color w:val="auto"/>
                <w:spacing w:val="0"/>
                <w:kern w:val="0"/>
                <w:sz w:val="21"/>
                <w:szCs w:val="21"/>
                <w:highlight w:val="none"/>
                <w:u w:val="none" w:color="auto"/>
                <w:vertAlign w:val="baseline"/>
                <w:lang w:eastAsia="zh-CN"/>
              </w:rPr>
              <w:t>（</w:t>
            </w:r>
            <w:r>
              <w:rPr>
                <w:rFonts w:hint="eastAsia" w:ascii="Times New Roman" w:hAnsi="Times New Roman" w:eastAsia="宋体" w:cs="宋体"/>
                <w:caps w:val="0"/>
                <w:color w:val="auto"/>
                <w:spacing w:val="0"/>
                <w:kern w:val="0"/>
                <w:sz w:val="21"/>
                <w:szCs w:val="21"/>
                <w:highlight w:val="none"/>
                <w:u w:val="none" w:color="auto"/>
                <w:vertAlign w:val="baseline"/>
                <w:lang w:val="en-US" w:eastAsia="zh-CN"/>
              </w:rPr>
              <w:t>CO：mg/m</w:t>
            </w:r>
            <w:r>
              <w:rPr>
                <w:rFonts w:hint="eastAsia" w:ascii="Times New Roman" w:hAnsi="Times New Roman" w:eastAsia="宋体" w:cs="宋体"/>
                <w:caps w:val="0"/>
                <w:color w:val="auto"/>
                <w:spacing w:val="0"/>
                <w:kern w:val="0"/>
                <w:sz w:val="21"/>
                <w:szCs w:val="21"/>
                <w:highlight w:val="none"/>
                <w:u w:val="none" w:color="auto"/>
                <w:vertAlign w:val="superscript"/>
                <w:lang w:val="en-US" w:eastAsia="zh-CN"/>
              </w:rPr>
              <w:t>3</w:t>
            </w:r>
            <w:r>
              <w:rPr>
                <w:rFonts w:hint="eastAsia" w:ascii="Times New Roman" w:hAnsi="Times New Roman" w:eastAsia="宋体" w:cs="宋体"/>
                <w:caps w:val="0"/>
                <w:color w:val="auto"/>
                <w:spacing w:val="0"/>
                <w:kern w:val="0"/>
                <w:sz w:val="21"/>
                <w:szCs w:val="21"/>
                <w:highlight w:val="none"/>
                <w:u w:val="none" w:color="auto"/>
                <w:vertAlign w:val="baseline"/>
                <w:lang w:eastAsia="zh-CN"/>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155"/>
              <w:gridCol w:w="1156"/>
              <w:gridCol w:w="1157"/>
              <w:gridCol w:w="1156"/>
              <w:gridCol w:w="1156"/>
              <w:gridCol w:w="1156"/>
            </w:tblGrid>
            <w:tr w14:paraId="58BF8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l2br w:val="nil"/>
                    <w:tr2bl w:val="nil"/>
                  </w:tcBorders>
                  <w:noWrap w:val="0"/>
                  <w:vAlign w:val="top"/>
                </w:tcPr>
                <w:p w14:paraId="5216557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项目</w:t>
                  </w:r>
                </w:p>
              </w:tc>
              <w:tc>
                <w:tcPr>
                  <w:tcW w:w="1155" w:type="dxa"/>
                  <w:tcBorders>
                    <w:tl2br w:val="nil"/>
                    <w:tr2bl w:val="nil"/>
                  </w:tcBorders>
                  <w:noWrap w:val="0"/>
                  <w:vAlign w:val="top"/>
                </w:tcPr>
                <w:p w14:paraId="1BD5A6C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SO</w:t>
                  </w:r>
                  <w:r>
                    <w:rPr>
                      <w:rFonts w:hint="default" w:ascii="Times New Roman" w:hAnsi="Times New Roman" w:eastAsia="宋体" w:cs="Times New Roman"/>
                      <w:caps w:val="0"/>
                      <w:color w:val="auto"/>
                      <w:spacing w:val="0"/>
                      <w:kern w:val="0"/>
                      <w:sz w:val="21"/>
                      <w:szCs w:val="21"/>
                      <w:highlight w:val="none"/>
                      <w:u w:val="none" w:color="auto"/>
                      <w:vertAlign w:val="subscript"/>
                      <w:lang w:val="en-US" w:eastAsia="zh-CN"/>
                    </w:rPr>
                    <w:t>2</w:t>
                  </w:r>
                </w:p>
              </w:tc>
              <w:tc>
                <w:tcPr>
                  <w:tcW w:w="1156" w:type="dxa"/>
                  <w:tcBorders>
                    <w:tl2br w:val="nil"/>
                    <w:tr2bl w:val="nil"/>
                  </w:tcBorders>
                  <w:noWrap w:val="0"/>
                  <w:vAlign w:val="top"/>
                </w:tcPr>
                <w:p w14:paraId="0C9FAF0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NO</w:t>
                  </w:r>
                  <w:r>
                    <w:rPr>
                      <w:rFonts w:hint="default" w:ascii="Times New Roman" w:hAnsi="Times New Roman" w:eastAsia="宋体" w:cs="Times New Roman"/>
                      <w:caps w:val="0"/>
                      <w:color w:val="auto"/>
                      <w:spacing w:val="0"/>
                      <w:kern w:val="0"/>
                      <w:sz w:val="21"/>
                      <w:szCs w:val="21"/>
                      <w:highlight w:val="none"/>
                      <w:u w:val="none" w:color="auto"/>
                      <w:vertAlign w:val="subscript"/>
                      <w:lang w:val="en-US" w:eastAsia="zh-CN"/>
                    </w:rPr>
                    <w:t>2</w:t>
                  </w:r>
                </w:p>
              </w:tc>
              <w:tc>
                <w:tcPr>
                  <w:tcW w:w="1157" w:type="dxa"/>
                  <w:tcBorders>
                    <w:tl2br w:val="nil"/>
                    <w:tr2bl w:val="nil"/>
                  </w:tcBorders>
                  <w:noWrap w:val="0"/>
                  <w:vAlign w:val="top"/>
                </w:tcPr>
                <w:p w14:paraId="0EFC384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CO</w:t>
                  </w:r>
                </w:p>
              </w:tc>
              <w:tc>
                <w:tcPr>
                  <w:tcW w:w="1156" w:type="dxa"/>
                  <w:tcBorders>
                    <w:tl2br w:val="nil"/>
                    <w:tr2bl w:val="nil"/>
                  </w:tcBorders>
                  <w:noWrap w:val="0"/>
                  <w:vAlign w:val="top"/>
                </w:tcPr>
                <w:p w14:paraId="309AA65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O</w:t>
                  </w:r>
                  <w:r>
                    <w:rPr>
                      <w:rFonts w:hint="default" w:ascii="Times New Roman" w:hAnsi="Times New Roman" w:eastAsia="宋体" w:cs="Times New Roman"/>
                      <w:caps w:val="0"/>
                      <w:color w:val="auto"/>
                      <w:spacing w:val="0"/>
                      <w:kern w:val="0"/>
                      <w:sz w:val="21"/>
                      <w:szCs w:val="21"/>
                      <w:highlight w:val="none"/>
                      <w:u w:val="none" w:color="auto"/>
                      <w:vertAlign w:val="subscript"/>
                      <w:lang w:val="en-US" w:eastAsia="zh-CN"/>
                    </w:rPr>
                    <w:t>3</w:t>
                  </w:r>
                </w:p>
              </w:tc>
              <w:tc>
                <w:tcPr>
                  <w:tcW w:w="1156" w:type="dxa"/>
                  <w:tcBorders>
                    <w:tl2br w:val="nil"/>
                    <w:tr2bl w:val="nil"/>
                  </w:tcBorders>
                  <w:noWrap w:val="0"/>
                  <w:vAlign w:val="top"/>
                </w:tcPr>
                <w:p w14:paraId="49AE5D6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PM</w:t>
                  </w:r>
                  <w:r>
                    <w:rPr>
                      <w:rFonts w:hint="default" w:ascii="Times New Roman" w:hAnsi="Times New Roman" w:eastAsia="宋体" w:cs="Times New Roman"/>
                      <w:caps w:val="0"/>
                      <w:color w:val="auto"/>
                      <w:spacing w:val="0"/>
                      <w:kern w:val="0"/>
                      <w:sz w:val="21"/>
                      <w:szCs w:val="21"/>
                      <w:highlight w:val="none"/>
                      <w:u w:val="none" w:color="auto"/>
                      <w:vertAlign w:val="subscript"/>
                      <w:lang w:val="en-US" w:eastAsia="zh-CN"/>
                    </w:rPr>
                    <w:t>10</w:t>
                  </w:r>
                </w:p>
              </w:tc>
              <w:tc>
                <w:tcPr>
                  <w:tcW w:w="1156" w:type="dxa"/>
                  <w:tcBorders>
                    <w:tl2br w:val="nil"/>
                    <w:tr2bl w:val="nil"/>
                  </w:tcBorders>
                  <w:noWrap w:val="0"/>
                  <w:vAlign w:val="top"/>
                </w:tcPr>
                <w:p w14:paraId="6F03830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PM</w:t>
                  </w:r>
                  <w:r>
                    <w:rPr>
                      <w:rFonts w:hint="default" w:ascii="Times New Roman" w:hAnsi="Times New Roman" w:eastAsia="宋体" w:cs="Times New Roman"/>
                      <w:caps w:val="0"/>
                      <w:color w:val="auto"/>
                      <w:spacing w:val="0"/>
                      <w:kern w:val="0"/>
                      <w:sz w:val="21"/>
                      <w:szCs w:val="21"/>
                      <w:highlight w:val="none"/>
                      <w:u w:val="none" w:color="auto"/>
                      <w:vertAlign w:val="subscript"/>
                      <w:lang w:val="en-US" w:eastAsia="zh-CN"/>
                    </w:rPr>
                    <w:t>2.5</w:t>
                  </w:r>
                </w:p>
              </w:tc>
            </w:tr>
            <w:tr w14:paraId="61442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55" w:type="dxa"/>
                  <w:tcBorders>
                    <w:tl2br w:val="nil"/>
                    <w:tr2bl w:val="nil"/>
                  </w:tcBorders>
                  <w:noWrap w:val="0"/>
                  <w:vAlign w:val="top"/>
                </w:tcPr>
                <w:p w14:paraId="03815A9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平均浓度</w:t>
                  </w:r>
                </w:p>
              </w:tc>
              <w:tc>
                <w:tcPr>
                  <w:tcW w:w="1155" w:type="dxa"/>
                  <w:tcBorders>
                    <w:tl2br w:val="nil"/>
                    <w:tr2bl w:val="nil"/>
                  </w:tcBorders>
                  <w:noWrap w:val="0"/>
                  <w:vAlign w:val="top"/>
                </w:tcPr>
                <w:p w14:paraId="2FE6672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6</w:t>
                  </w:r>
                </w:p>
              </w:tc>
              <w:tc>
                <w:tcPr>
                  <w:tcW w:w="1156" w:type="dxa"/>
                  <w:tcBorders>
                    <w:tl2br w:val="nil"/>
                    <w:tr2bl w:val="nil"/>
                  </w:tcBorders>
                  <w:noWrap w:val="0"/>
                  <w:vAlign w:val="top"/>
                </w:tcPr>
                <w:p w14:paraId="65D2817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25</w:t>
                  </w:r>
                </w:p>
              </w:tc>
              <w:tc>
                <w:tcPr>
                  <w:tcW w:w="1157" w:type="dxa"/>
                  <w:tcBorders>
                    <w:tl2br w:val="nil"/>
                    <w:tr2bl w:val="nil"/>
                  </w:tcBorders>
                  <w:noWrap w:val="0"/>
                  <w:vAlign w:val="top"/>
                </w:tcPr>
                <w:p w14:paraId="08D62D2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0.8</w:t>
                  </w:r>
                </w:p>
              </w:tc>
              <w:tc>
                <w:tcPr>
                  <w:tcW w:w="1156" w:type="dxa"/>
                  <w:tcBorders>
                    <w:tl2br w:val="nil"/>
                    <w:tr2bl w:val="nil"/>
                  </w:tcBorders>
                  <w:noWrap w:val="0"/>
                  <w:vAlign w:val="top"/>
                </w:tcPr>
                <w:p w14:paraId="58DB711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144</w:t>
                  </w:r>
                </w:p>
              </w:tc>
              <w:tc>
                <w:tcPr>
                  <w:tcW w:w="1156" w:type="dxa"/>
                  <w:tcBorders>
                    <w:tl2br w:val="nil"/>
                    <w:tr2bl w:val="nil"/>
                  </w:tcBorders>
                  <w:noWrap w:val="0"/>
                  <w:vAlign w:val="top"/>
                </w:tcPr>
                <w:p w14:paraId="6016F97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52</w:t>
                  </w:r>
                </w:p>
              </w:tc>
              <w:tc>
                <w:tcPr>
                  <w:tcW w:w="1156" w:type="dxa"/>
                  <w:tcBorders>
                    <w:tl2br w:val="nil"/>
                    <w:tr2bl w:val="nil"/>
                  </w:tcBorders>
                  <w:noWrap w:val="0"/>
                  <w:vAlign w:val="top"/>
                </w:tcPr>
                <w:p w14:paraId="134E1E3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31</w:t>
                  </w:r>
                </w:p>
              </w:tc>
            </w:tr>
            <w:tr w14:paraId="1DF08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l2br w:val="nil"/>
                    <w:tr2bl w:val="nil"/>
                  </w:tcBorders>
                  <w:noWrap w:val="0"/>
                  <w:vAlign w:val="top"/>
                </w:tcPr>
                <w:p w14:paraId="2FDB2F5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标准限值</w:t>
                  </w:r>
                </w:p>
              </w:tc>
              <w:tc>
                <w:tcPr>
                  <w:tcW w:w="1155" w:type="dxa"/>
                  <w:tcBorders>
                    <w:tl2br w:val="nil"/>
                    <w:tr2bl w:val="nil"/>
                  </w:tcBorders>
                  <w:noWrap w:val="0"/>
                  <w:vAlign w:val="top"/>
                </w:tcPr>
                <w:p w14:paraId="2B0B5E7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60</w:t>
                  </w:r>
                </w:p>
              </w:tc>
              <w:tc>
                <w:tcPr>
                  <w:tcW w:w="1156" w:type="dxa"/>
                  <w:tcBorders>
                    <w:tl2br w:val="nil"/>
                    <w:tr2bl w:val="nil"/>
                  </w:tcBorders>
                  <w:noWrap w:val="0"/>
                  <w:vAlign w:val="top"/>
                </w:tcPr>
                <w:p w14:paraId="1C8F434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40</w:t>
                  </w:r>
                </w:p>
              </w:tc>
              <w:tc>
                <w:tcPr>
                  <w:tcW w:w="1157" w:type="dxa"/>
                  <w:tcBorders>
                    <w:tl2br w:val="nil"/>
                    <w:tr2bl w:val="nil"/>
                  </w:tcBorders>
                  <w:noWrap w:val="0"/>
                  <w:vAlign w:val="top"/>
                </w:tcPr>
                <w:p w14:paraId="38A673B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4</w:t>
                  </w:r>
                </w:p>
              </w:tc>
              <w:tc>
                <w:tcPr>
                  <w:tcW w:w="1156" w:type="dxa"/>
                  <w:tcBorders>
                    <w:tl2br w:val="nil"/>
                    <w:tr2bl w:val="nil"/>
                  </w:tcBorders>
                  <w:noWrap w:val="0"/>
                  <w:vAlign w:val="top"/>
                </w:tcPr>
                <w:p w14:paraId="182D475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160</w:t>
                  </w:r>
                </w:p>
              </w:tc>
              <w:tc>
                <w:tcPr>
                  <w:tcW w:w="1156" w:type="dxa"/>
                  <w:tcBorders>
                    <w:tl2br w:val="nil"/>
                    <w:tr2bl w:val="nil"/>
                  </w:tcBorders>
                  <w:noWrap w:val="0"/>
                  <w:vAlign w:val="top"/>
                </w:tcPr>
                <w:p w14:paraId="24D6C2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70</w:t>
                  </w:r>
                </w:p>
              </w:tc>
              <w:tc>
                <w:tcPr>
                  <w:tcW w:w="1156" w:type="dxa"/>
                  <w:tcBorders>
                    <w:tl2br w:val="nil"/>
                    <w:tr2bl w:val="nil"/>
                  </w:tcBorders>
                  <w:noWrap w:val="0"/>
                  <w:vAlign w:val="top"/>
                </w:tcPr>
                <w:p w14:paraId="47DCDC9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35</w:t>
                  </w:r>
                </w:p>
              </w:tc>
            </w:tr>
            <w:tr w14:paraId="60D9F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l2br w:val="nil"/>
                    <w:tr2bl w:val="nil"/>
                  </w:tcBorders>
                  <w:noWrap w:val="0"/>
                  <w:vAlign w:val="top"/>
                </w:tcPr>
                <w:p w14:paraId="2D2C07B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占标率%</w:t>
                  </w:r>
                </w:p>
              </w:tc>
              <w:tc>
                <w:tcPr>
                  <w:tcW w:w="1155" w:type="dxa"/>
                  <w:tcBorders>
                    <w:tl2br w:val="nil"/>
                    <w:tr2bl w:val="nil"/>
                  </w:tcBorders>
                  <w:noWrap w:val="0"/>
                  <w:vAlign w:val="top"/>
                </w:tcPr>
                <w:p w14:paraId="75D6A70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10.0</w:t>
                  </w:r>
                </w:p>
              </w:tc>
              <w:tc>
                <w:tcPr>
                  <w:tcW w:w="1156" w:type="dxa"/>
                  <w:tcBorders>
                    <w:tl2br w:val="nil"/>
                    <w:tr2bl w:val="nil"/>
                  </w:tcBorders>
                  <w:noWrap w:val="0"/>
                  <w:vAlign w:val="top"/>
                </w:tcPr>
                <w:p w14:paraId="6FC4281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62.5</w:t>
                  </w:r>
                </w:p>
              </w:tc>
              <w:tc>
                <w:tcPr>
                  <w:tcW w:w="1157" w:type="dxa"/>
                  <w:tcBorders>
                    <w:tl2br w:val="nil"/>
                    <w:tr2bl w:val="nil"/>
                  </w:tcBorders>
                  <w:noWrap w:val="0"/>
                  <w:vAlign w:val="top"/>
                </w:tcPr>
                <w:p w14:paraId="4A0140D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20.0</w:t>
                  </w:r>
                </w:p>
              </w:tc>
              <w:tc>
                <w:tcPr>
                  <w:tcW w:w="1156" w:type="dxa"/>
                  <w:tcBorders>
                    <w:tl2br w:val="nil"/>
                    <w:tr2bl w:val="nil"/>
                  </w:tcBorders>
                  <w:noWrap w:val="0"/>
                  <w:vAlign w:val="top"/>
                </w:tcPr>
                <w:p w14:paraId="597F61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90.0</w:t>
                  </w:r>
                </w:p>
              </w:tc>
              <w:tc>
                <w:tcPr>
                  <w:tcW w:w="1156" w:type="dxa"/>
                  <w:tcBorders>
                    <w:tl2br w:val="nil"/>
                    <w:tr2bl w:val="nil"/>
                  </w:tcBorders>
                  <w:noWrap w:val="0"/>
                  <w:vAlign w:val="top"/>
                </w:tcPr>
                <w:p w14:paraId="6CDAA4D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74.3</w:t>
                  </w:r>
                </w:p>
              </w:tc>
              <w:tc>
                <w:tcPr>
                  <w:tcW w:w="1156" w:type="dxa"/>
                  <w:tcBorders>
                    <w:tl2br w:val="nil"/>
                    <w:tr2bl w:val="nil"/>
                  </w:tcBorders>
                  <w:noWrap w:val="0"/>
                  <w:vAlign w:val="top"/>
                </w:tcPr>
                <w:p w14:paraId="36577C4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88.6</w:t>
                  </w:r>
                </w:p>
              </w:tc>
            </w:tr>
            <w:tr w14:paraId="12E00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l2br w:val="nil"/>
                    <w:tr2bl w:val="nil"/>
                  </w:tcBorders>
                  <w:noWrap w:val="0"/>
                  <w:vAlign w:val="top"/>
                </w:tcPr>
                <w:p w14:paraId="086327D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t>达标情况</w:t>
                  </w:r>
                </w:p>
              </w:tc>
              <w:tc>
                <w:tcPr>
                  <w:tcW w:w="1155" w:type="dxa"/>
                  <w:tcBorders>
                    <w:tl2br w:val="nil"/>
                    <w:tr2bl w:val="nil"/>
                  </w:tcBorders>
                  <w:noWrap w:val="0"/>
                  <w:vAlign w:val="top"/>
                </w:tcPr>
                <w:p w14:paraId="1DD9500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达标</w:t>
                  </w:r>
                </w:p>
              </w:tc>
              <w:tc>
                <w:tcPr>
                  <w:tcW w:w="1156" w:type="dxa"/>
                  <w:tcBorders>
                    <w:tl2br w:val="nil"/>
                    <w:tr2bl w:val="nil"/>
                  </w:tcBorders>
                  <w:noWrap w:val="0"/>
                  <w:vAlign w:val="top"/>
                </w:tcPr>
                <w:p w14:paraId="735C996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达标</w:t>
                  </w:r>
                </w:p>
              </w:tc>
              <w:tc>
                <w:tcPr>
                  <w:tcW w:w="1157" w:type="dxa"/>
                  <w:tcBorders>
                    <w:tl2br w:val="nil"/>
                    <w:tr2bl w:val="nil"/>
                  </w:tcBorders>
                  <w:noWrap w:val="0"/>
                  <w:vAlign w:val="top"/>
                </w:tcPr>
                <w:p w14:paraId="0B24983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达标</w:t>
                  </w:r>
                </w:p>
              </w:tc>
              <w:tc>
                <w:tcPr>
                  <w:tcW w:w="1156" w:type="dxa"/>
                  <w:tcBorders>
                    <w:tl2br w:val="nil"/>
                    <w:tr2bl w:val="nil"/>
                  </w:tcBorders>
                  <w:noWrap w:val="0"/>
                  <w:vAlign w:val="top"/>
                </w:tcPr>
                <w:p w14:paraId="5A18D14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达标</w:t>
                  </w:r>
                </w:p>
              </w:tc>
              <w:tc>
                <w:tcPr>
                  <w:tcW w:w="1156" w:type="dxa"/>
                  <w:tcBorders>
                    <w:tl2br w:val="nil"/>
                    <w:tr2bl w:val="nil"/>
                  </w:tcBorders>
                  <w:noWrap w:val="0"/>
                  <w:vAlign w:val="top"/>
                </w:tcPr>
                <w:p w14:paraId="3FA6A0D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达标</w:t>
                  </w:r>
                </w:p>
              </w:tc>
              <w:tc>
                <w:tcPr>
                  <w:tcW w:w="1156" w:type="dxa"/>
                  <w:tcBorders>
                    <w:tl2br w:val="nil"/>
                    <w:tr2bl w:val="nil"/>
                  </w:tcBorders>
                  <w:noWrap w:val="0"/>
                  <w:vAlign w:val="top"/>
                </w:tcPr>
                <w:p w14:paraId="01CBB0B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s="Times New Roman"/>
                      <w:caps w:val="0"/>
                      <w:color w:val="auto"/>
                      <w:spacing w:val="0"/>
                      <w:kern w:val="0"/>
                      <w:sz w:val="21"/>
                      <w:szCs w:val="21"/>
                      <w:highlight w:val="none"/>
                      <w:u w:val="none" w:color="auto"/>
                      <w:vertAlign w:val="baseline"/>
                      <w:lang w:val="en-US" w:eastAsia="zh-CN"/>
                    </w:rPr>
                  </w:pPr>
                  <w:r>
                    <w:rPr>
                      <w:rFonts w:hint="eastAsia" w:ascii="Times New Roman" w:hAnsi="Times New Roman" w:eastAsia="宋体" w:cs="Times New Roman"/>
                      <w:caps w:val="0"/>
                      <w:color w:val="auto"/>
                      <w:spacing w:val="0"/>
                      <w:kern w:val="0"/>
                      <w:sz w:val="21"/>
                      <w:szCs w:val="21"/>
                      <w:highlight w:val="none"/>
                      <w:u w:val="none" w:color="auto"/>
                      <w:vertAlign w:val="baseline"/>
                      <w:lang w:val="en-US" w:eastAsia="zh-CN"/>
                    </w:rPr>
                    <w:t>达标</w:t>
                  </w:r>
                </w:p>
              </w:tc>
            </w:tr>
          </w:tbl>
          <w:p w14:paraId="474D30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Times New Roman" w:hAnsi="Times New Roman" w:eastAsia="宋体" w:cs="Times New Roman"/>
                <w:caps w:val="0"/>
                <w:color w:val="auto"/>
                <w:spacing w:val="0"/>
                <w:kern w:val="0"/>
                <w:sz w:val="24"/>
                <w:szCs w:val="24"/>
                <w:highlight w:val="none"/>
                <w:u w:val="none" w:color="auto"/>
                <w:lang w:val="en-US" w:eastAsia="zh-CN"/>
              </w:rPr>
            </w:pPr>
            <w:r>
              <w:rPr>
                <w:rFonts w:hint="eastAsia" w:ascii="Times New Roman" w:hAnsi="Times New Roman" w:eastAsia="宋体" w:cs="Times New Roman"/>
                <w:caps w:val="0"/>
                <w:color w:val="auto"/>
                <w:spacing w:val="0"/>
                <w:kern w:val="0"/>
                <w:sz w:val="24"/>
                <w:szCs w:val="24"/>
                <w:highlight w:val="none"/>
                <w:u w:val="none" w:color="auto"/>
                <w:lang w:val="en-US" w:eastAsia="zh-CN"/>
              </w:rPr>
              <w:t>2024</w:t>
            </w:r>
            <w:r>
              <w:rPr>
                <w:rFonts w:hint="default" w:ascii="Times New Roman" w:hAnsi="Times New Roman" w:eastAsia="宋体" w:cs="Times New Roman"/>
                <w:caps w:val="0"/>
                <w:color w:val="auto"/>
                <w:spacing w:val="0"/>
                <w:kern w:val="0"/>
                <w:sz w:val="24"/>
                <w:szCs w:val="24"/>
                <w:highlight w:val="none"/>
                <w:u w:val="none" w:color="auto"/>
                <w:lang w:val="en-US" w:eastAsia="zh-CN"/>
              </w:rPr>
              <w:t>年</w:t>
            </w:r>
            <w:r>
              <w:rPr>
                <w:rFonts w:hint="eastAsia" w:ascii="Times New Roman" w:hAnsi="Times New Roman" w:eastAsia="宋体" w:cs="Times New Roman"/>
                <w:caps w:val="0"/>
                <w:color w:val="auto"/>
                <w:spacing w:val="0"/>
                <w:kern w:val="0"/>
                <w:sz w:val="24"/>
                <w:szCs w:val="24"/>
                <w:highlight w:val="none"/>
                <w:u w:val="none" w:color="auto"/>
                <w:lang w:val="en-US" w:eastAsia="zh-CN"/>
              </w:rPr>
              <w:t>四平</w:t>
            </w:r>
            <w:r>
              <w:rPr>
                <w:rFonts w:hint="default" w:ascii="Times New Roman" w:hAnsi="Times New Roman" w:eastAsia="宋体" w:cs="Times New Roman"/>
                <w:caps w:val="0"/>
                <w:color w:val="auto"/>
                <w:spacing w:val="0"/>
                <w:kern w:val="0"/>
                <w:sz w:val="24"/>
                <w:szCs w:val="24"/>
                <w:highlight w:val="none"/>
                <w:u w:val="none" w:color="auto"/>
                <w:lang w:val="en-US" w:eastAsia="zh-CN"/>
              </w:rPr>
              <w:t>市环境空气</w:t>
            </w:r>
            <w:r>
              <w:rPr>
                <w:rFonts w:hint="eastAsia" w:ascii="Times New Roman" w:hAnsi="Times New Roman" w:eastAsia="宋体" w:cs="Times New Roman"/>
                <w:caps w:val="0"/>
                <w:color w:val="auto"/>
                <w:spacing w:val="0"/>
                <w:kern w:val="0"/>
                <w:sz w:val="24"/>
                <w:szCs w:val="24"/>
                <w:highlight w:val="none"/>
                <w:u w:val="none" w:color="auto"/>
                <w:lang w:val="en-US" w:eastAsia="zh-CN"/>
              </w:rPr>
              <w:t>各污染物年均浓度均</w:t>
            </w:r>
            <w:r>
              <w:rPr>
                <w:rFonts w:hint="default" w:ascii="Times New Roman" w:hAnsi="Times New Roman" w:eastAsia="宋体" w:cs="Times New Roman"/>
                <w:caps w:val="0"/>
                <w:color w:val="auto"/>
                <w:spacing w:val="0"/>
                <w:kern w:val="0"/>
                <w:sz w:val="24"/>
                <w:szCs w:val="24"/>
                <w:highlight w:val="none"/>
                <w:u w:val="none" w:color="auto"/>
                <w:lang w:val="en-US" w:eastAsia="zh-CN"/>
              </w:rPr>
              <w:t>达标，因此</w:t>
            </w:r>
            <w:r>
              <w:rPr>
                <w:rFonts w:hint="eastAsia" w:ascii="Times New Roman" w:hAnsi="Times New Roman" w:eastAsia="宋体" w:cs="Times New Roman"/>
                <w:caps w:val="0"/>
                <w:color w:val="auto"/>
                <w:spacing w:val="0"/>
                <w:kern w:val="0"/>
                <w:sz w:val="24"/>
                <w:szCs w:val="24"/>
                <w:highlight w:val="none"/>
                <w:u w:val="none" w:color="auto"/>
                <w:lang w:val="en-US" w:eastAsia="zh-CN"/>
              </w:rPr>
              <w:t>四平</w:t>
            </w:r>
            <w:r>
              <w:rPr>
                <w:rFonts w:hint="default" w:ascii="Times New Roman" w:hAnsi="Times New Roman" w:eastAsia="宋体" w:cs="Times New Roman"/>
                <w:caps w:val="0"/>
                <w:color w:val="auto"/>
                <w:spacing w:val="0"/>
                <w:kern w:val="0"/>
                <w:sz w:val="24"/>
                <w:szCs w:val="24"/>
                <w:highlight w:val="none"/>
                <w:u w:val="none" w:color="auto"/>
                <w:lang w:val="en-US" w:eastAsia="zh-CN"/>
              </w:rPr>
              <w:t>市为环境空气质量达标区。</w:t>
            </w:r>
          </w:p>
          <w:p w14:paraId="495B101D">
            <w:pPr>
              <w:pStyle w:val="17"/>
              <w:keepNext w:val="0"/>
              <w:keepLines w:val="0"/>
              <w:pageBreakBefore w:val="0"/>
              <w:widowControl w:val="0"/>
              <w:kinsoku/>
              <w:wordWrap/>
              <w:overflowPunct/>
              <w:topLinePunct w:val="0"/>
              <w:autoSpaceDE/>
              <w:autoSpaceDN/>
              <w:bidi w:val="0"/>
              <w:adjustRightInd/>
              <w:snapToGrid/>
              <w:spacing w:after="0" w:afterLines="0" w:line="500" w:lineRule="exact"/>
              <w:ind w:firstLine="480" w:firstLineChars="200"/>
              <w:textAlignment w:val="auto"/>
              <w:rPr>
                <w:rFonts w:hint="default" w:ascii="Times New Roman" w:hAnsi="Times New Roman" w:eastAsia="宋体" w:cs="宋体"/>
                <w:color w:val="auto"/>
                <w:kern w:val="0"/>
                <w:sz w:val="24"/>
                <w:highlight w:val="none"/>
                <w:u w:val="none" w:color="auto"/>
                <w:lang w:val="en-US" w:eastAsia="zh-CN"/>
              </w:rPr>
            </w:pPr>
            <w:r>
              <w:rPr>
                <w:rFonts w:hint="eastAsia" w:ascii="Times New Roman" w:hAnsi="Times New Roman" w:eastAsia="宋体" w:cs="宋体"/>
                <w:color w:val="auto"/>
                <w:kern w:val="0"/>
                <w:sz w:val="24"/>
                <w:highlight w:val="none"/>
                <w:u w:val="none" w:color="auto"/>
                <w:lang w:eastAsia="zh-CN"/>
              </w:rPr>
              <w:t>（</w:t>
            </w:r>
            <w:r>
              <w:rPr>
                <w:rFonts w:hint="eastAsia" w:ascii="Times New Roman" w:hAnsi="Times New Roman" w:eastAsia="宋体" w:cs="宋体"/>
                <w:color w:val="auto"/>
                <w:kern w:val="0"/>
                <w:sz w:val="24"/>
                <w:highlight w:val="none"/>
                <w:u w:val="none" w:color="auto"/>
                <w:lang w:val="en-US" w:eastAsia="zh-CN"/>
              </w:rPr>
              <w:t>2</w:t>
            </w:r>
            <w:r>
              <w:rPr>
                <w:rFonts w:hint="eastAsia" w:ascii="Times New Roman" w:hAnsi="Times New Roman" w:eastAsia="宋体" w:cs="宋体"/>
                <w:color w:val="auto"/>
                <w:kern w:val="0"/>
                <w:sz w:val="24"/>
                <w:highlight w:val="none"/>
                <w:u w:val="none" w:color="auto"/>
                <w:lang w:eastAsia="zh-CN"/>
              </w:rPr>
              <w:t>）</w:t>
            </w:r>
            <w:r>
              <w:rPr>
                <w:rFonts w:hint="eastAsia" w:ascii="Times New Roman" w:hAnsi="Times New Roman" w:eastAsia="宋体" w:cs="宋体"/>
                <w:color w:val="auto"/>
                <w:kern w:val="0"/>
                <w:sz w:val="24"/>
                <w:highlight w:val="none"/>
                <w:u w:val="none" w:color="auto"/>
                <w:lang w:val="en-US" w:eastAsia="zh-CN"/>
              </w:rPr>
              <w:t>特征污染物</w:t>
            </w:r>
          </w:p>
          <w:p w14:paraId="3BD891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Times New Roman" w:hAnsi="Times New Roman" w:eastAsia="宋体" w:cs="Times New Roman"/>
                <w:caps w:val="0"/>
                <w:color w:val="auto"/>
                <w:sz w:val="24"/>
                <w:szCs w:val="24"/>
                <w:highlight w:val="none"/>
                <w:u w:val="none" w:color="auto"/>
              </w:rPr>
            </w:pPr>
            <w:r>
              <w:rPr>
                <w:rFonts w:hint="default" w:ascii="Times New Roman" w:hAnsi="Times New Roman" w:eastAsia="宋体" w:cs="Times New Roman"/>
                <w:caps w:val="0"/>
                <w:color w:val="auto"/>
                <w:sz w:val="24"/>
                <w:szCs w:val="24"/>
                <w:highlight w:val="none"/>
                <w:u w:val="none" w:color="auto"/>
              </w:rPr>
              <w:t>①监测项目</w:t>
            </w:r>
          </w:p>
          <w:p w14:paraId="4D14E1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Times New Roman" w:hAnsi="Times New Roman" w:eastAsia="宋体" w:cs="Times New Roman"/>
                <w:caps w:val="0"/>
                <w:color w:val="auto"/>
                <w:sz w:val="24"/>
                <w:szCs w:val="24"/>
                <w:highlight w:val="none"/>
                <w:u w:val="none" w:color="auto"/>
              </w:rPr>
            </w:pPr>
            <w:r>
              <w:rPr>
                <w:rFonts w:hint="eastAsia" w:ascii="Times New Roman" w:hAnsi="Times New Roman" w:eastAsia="宋体" w:cs="宋体"/>
                <w:caps w:val="0"/>
                <w:color w:val="auto"/>
                <w:sz w:val="24"/>
                <w:highlight w:val="none"/>
                <w:u w:val="none" w:color="auto"/>
                <w:lang w:val="en-US" w:eastAsia="zh-CN"/>
              </w:rPr>
              <w:t>本项目废气污染物主要为颗粒物</w:t>
            </w:r>
            <w:r>
              <w:rPr>
                <w:rFonts w:hint="eastAsia" w:cs="宋体"/>
                <w:caps w:val="0"/>
                <w:color w:val="auto"/>
                <w:sz w:val="24"/>
                <w:highlight w:val="none"/>
                <w:u w:val="none" w:color="auto"/>
                <w:lang w:val="en-US" w:eastAsia="zh-CN"/>
              </w:rPr>
              <w:t>、酸雾</w:t>
            </w:r>
            <w:r>
              <w:rPr>
                <w:rFonts w:hint="eastAsia" w:ascii="Times New Roman" w:hAnsi="Times New Roman" w:eastAsia="宋体" w:cs="宋体"/>
                <w:caps w:val="0"/>
                <w:color w:val="auto"/>
                <w:sz w:val="24"/>
                <w:highlight w:val="none"/>
                <w:u w:val="none" w:color="auto"/>
                <w:lang w:val="en-US" w:eastAsia="zh-CN"/>
              </w:rPr>
              <w:t>，因此本次新增特征污染物TSP</w:t>
            </w:r>
            <w:r>
              <w:rPr>
                <w:rFonts w:hint="eastAsia" w:cs="宋体"/>
                <w:caps w:val="0"/>
                <w:color w:val="auto"/>
                <w:sz w:val="24"/>
                <w:highlight w:val="none"/>
                <w:u w:val="none" w:color="auto"/>
                <w:lang w:val="en-US" w:eastAsia="zh-CN"/>
              </w:rPr>
              <w:t>、酸雾</w:t>
            </w:r>
            <w:r>
              <w:rPr>
                <w:rFonts w:hint="eastAsia" w:ascii="Times New Roman" w:hAnsi="Times New Roman" w:eastAsia="宋体" w:cs="宋体"/>
                <w:caps w:val="0"/>
                <w:color w:val="auto"/>
                <w:sz w:val="24"/>
                <w:highlight w:val="none"/>
                <w:u w:val="none" w:color="auto"/>
                <w:lang w:val="en-US" w:eastAsia="zh-CN"/>
              </w:rPr>
              <w:t>的现状评价</w:t>
            </w:r>
            <w:r>
              <w:rPr>
                <w:rFonts w:hint="eastAsia" w:ascii="Times New Roman" w:hAnsi="Times New Roman" w:eastAsia="宋体" w:cs="宋体"/>
                <w:caps w:val="0"/>
                <w:color w:val="auto"/>
                <w:sz w:val="24"/>
                <w:highlight w:val="none"/>
                <w:u w:val="none" w:color="auto"/>
              </w:rPr>
              <w:t>。</w:t>
            </w:r>
          </w:p>
          <w:p w14:paraId="384C95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Times New Roman" w:hAnsi="Times New Roman" w:eastAsia="宋体" w:cs="Times New Roman"/>
                <w:caps w:val="0"/>
                <w:color w:val="auto"/>
                <w:sz w:val="24"/>
                <w:szCs w:val="24"/>
                <w:highlight w:val="none"/>
                <w:u w:val="none" w:color="auto"/>
              </w:rPr>
            </w:pPr>
            <w:r>
              <w:rPr>
                <w:rFonts w:hint="default" w:ascii="Times New Roman" w:hAnsi="Times New Roman" w:eastAsia="宋体" w:cs="Times New Roman"/>
                <w:caps w:val="0"/>
                <w:color w:val="auto"/>
                <w:sz w:val="24"/>
                <w:szCs w:val="24"/>
                <w:highlight w:val="none"/>
                <w:u w:val="none" w:color="auto"/>
                <w:lang w:eastAsia="zh-CN"/>
              </w:rPr>
              <w:t>②</w:t>
            </w:r>
            <w:r>
              <w:rPr>
                <w:rFonts w:hint="default" w:ascii="Times New Roman" w:hAnsi="Times New Roman" w:eastAsia="宋体" w:cs="Times New Roman"/>
                <w:caps w:val="0"/>
                <w:color w:val="auto"/>
                <w:sz w:val="24"/>
                <w:szCs w:val="24"/>
                <w:highlight w:val="none"/>
                <w:u w:val="none" w:color="auto"/>
              </w:rPr>
              <w:t>监测点位布置</w:t>
            </w:r>
          </w:p>
          <w:p w14:paraId="090C25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Times New Roman" w:hAnsi="Times New Roman" w:eastAsia="宋体"/>
                <w:caps w:val="0"/>
                <w:color w:val="auto"/>
                <w:sz w:val="24"/>
                <w:highlight w:val="none"/>
                <w:u w:val="none" w:color="auto"/>
              </w:rPr>
            </w:pPr>
            <w:r>
              <w:rPr>
                <w:rFonts w:hint="eastAsia" w:ascii="Times New Roman" w:hAnsi="Times New Roman" w:eastAsia="宋体"/>
                <w:caps w:val="0"/>
                <w:color w:val="auto"/>
                <w:sz w:val="24"/>
                <w:highlight w:val="none"/>
                <w:u w:val="none" w:color="auto"/>
                <w:lang w:val="en-US" w:eastAsia="zh-CN"/>
              </w:rPr>
              <w:t>本次评价在建设项目厂区</w:t>
            </w:r>
            <w:r>
              <w:rPr>
                <w:rFonts w:hint="eastAsia" w:ascii="Times New Roman" w:hAnsi="Times New Roman" w:eastAsia="宋体"/>
                <w:caps w:val="0"/>
                <w:color w:val="auto"/>
                <w:sz w:val="24"/>
                <w:highlight w:val="none"/>
                <w:u w:val="none" w:color="auto"/>
              </w:rPr>
              <w:t>布设1个点位</w:t>
            </w:r>
            <w:r>
              <w:rPr>
                <w:rFonts w:hint="eastAsia" w:ascii="Times New Roman" w:hAnsi="Times New Roman" w:eastAsia="宋体"/>
                <w:caps w:val="0"/>
                <w:color w:val="auto"/>
                <w:sz w:val="24"/>
                <w:highlight w:val="none"/>
                <w:u w:val="none" w:color="auto"/>
                <w:lang w:eastAsia="zh-CN"/>
              </w:rPr>
              <w:t>，</w:t>
            </w:r>
            <w:r>
              <w:rPr>
                <w:rFonts w:hint="eastAsia" w:ascii="Times New Roman" w:hAnsi="Times New Roman" w:eastAsia="宋体"/>
                <w:caps w:val="0"/>
                <w:color w:val="auto"/>
                <w:sz w:val="24"/>
                <w:highlight w:val="none"/>
                <w:u w:val="none" w:color="auto"/>
              </w:rPr>
              <w:t>监测点见表</w:t>
            </w:r>
            <w:r>
              <w:rPr>
                <w:rFonts w:hint="eastAsia" w:ascii="Times New Roman" w:hAnsi="Times New Roman" w:eastAsia="宋体"/>
                <w:caps w:val="0"/>
                <w:color w:val="auto"/>
                <w:sz w:val="24"/>
                <w:highlight w:val="none"/>
                <w:u w:val="none" w:color="auto"/>
                <w:lang w:val="en-US" w:eastAsia="zh-CN"/>
              </w:rPr>
              <w:t>3-2</w:t>
            </w:r>
            <w:r>
              <w:rPr>
                <w:rFonts w:hint="eastAsia" w:ascii="Times New Roman" w:hAnsi="Times New Roman" w:eastAsia="宋体"/>
                <w:caps w:val="0"/>
                <w:color w:val="auto"/>
                <w:sz w:val="24"/>
                <w:highlight w:val="none"/>
                <w:u w:val="none" w:color="auto"/>
              </w:rPr>
              <w:t>，布点位置详见附图</w:t>
            </w:r>
            <w:r>
              <w:rPr>
                <w:rFonts w:hint="eastAsia" w:ascii="Times New Roman" w:hAnsi="Times New Roman" w:eastAsia="宋体"/>
                <w:caps w:val="0"/>
                <w:color w:val="auto"/>
                <w:sz w:val="24"/>
                <w:highlight w:val="none"/>
                <w:u w:val="none" w:color="auto"/>
                <w:lang w:val="en-US" w:eastAsia="zh-CN"/>
              </w:rPr>
              <w:t>5</w:t>
            </w:r>
            <w:r>
              <w:rPr>
                <w:rFonts w:hint="eastAsia" w:ascii="Times New Roman" w:hAnsi="Times New Roman" w:eastAsia="宋体"/>
                <w:caps w:val="0"/>
                <w:color w:val="auto"/>
                <w:sz w:val="24"/>
                <w:highlight w:val="none"/>
                <w:u w:val="none" w:color="auto"/>
              </w:rPr>
              <w:t>。</w:t>
            </w:r>
          </w:p>
          <w:p w14:paraId="41EE9235">
            <w:pPr>
              <w:pStyle w:val="64"/>
              <w:keepNext w:val="0"/>
              <w:keepLines w:val="0"/>
              <w:pageBreakBefore w:val="0"/>
              <w:widowControl w:val="0"/>
              <w:kinsoku/>
              <w:wordWrap/>
              <w:overflowPunct/>
              <w:topLinePunct w:val="0"/>
              <w:autoSpaceDE/>
              <w:autoSpaceDN/>
              <w:bidi w:val="0"/>
              <w:adjustRightInd/>
              <w:snapToGrid/>
              <w:spacing w:before="0" w:line="500" w:lineRule="exact"/>
              <w:ind w:left="0" w:leftChars="0" w:right="0" w:rightChars="0" w:firstLine="0" w:firstLineChars="0"/>
              <w:jc w:val="center"/>
              <w:textAlignment w:val="auto"/>
              <w:outlineLvl w:val="9"/>
              <w:rPr>
                <w:rFonts w:hint="eastAsia" w:ascii="Times New Roman" w:hAnsi="Times New Roman" w:eastAsia="宋体"/>
                <w:b/>
                <w:caps w:val="0"/>
                <w:color w:val="auto"/>
                <w:sz w:val="21"/>
                <w:szCs w:val="21"/>
                <w:highlight w:val="none"/>
                <w:u w:val="none" w:color="auto"/>
                <w:lang w:val="zh-CN"/>
              </w:rPr>
            </w:pPr>
            <w:r>
              <w:rPr>
                <w:rFonts w:hint="eastAsia" w:ascii="Times New Roman" w:hAnsi="Times New Roman" w:eastAsia="宋体"/>
                <w:b/>
                <w:caps w:val="0"/>
                <w:color w:val="auto"/>
                <w:sz w:val="21"/>
                <w:szCs w:val="21"/>
                <w:highlight w:val="none"/>
                <w:u w:val="none" w:color="auto"/>
                <w:lang w:val="zh-CN"/>
              </w:rPr>
              <w:t>表</w:t>
            </w:r>
            <w:r>
              <w:rPr>
                <w:rFonts w:hint="eastAsia" w:ascii="Times New Roman" w:hAnsi="Times New Roman" w:eastAsia="宋体"/>
                <w:b/>
                <w:caps w:val="0"/>
                <w:color w:val="auto"/>
                <w:sz w:val="21"/>
                <w:szCs w:val="21"/>
                <w:highlight w:val="none"/>
                <w:u w:val="none" w:color="auto"/>
                <w:lang w:val="en-US" w:eastAsia="zh-CN"/>
              </w:rPr>
              <w:t>3-2</w:t>
            </w:r>
            <w:r>
              <w:rPr>
                <w:rFonts w:hint="eastAsia" w:ascii="Times New Roman" w:hAnsi="Times New Roman" w:eastAsia="宋体"/>
                <w:b/>
                <w:caps w:val="0"/>
                <w:color w:val="auto"/>
                <w:sz w:val="21"/>
                <w:szCs w:val="21"/>
                <w:highlight w:val="none"/>
                <w:u w:val="none" w:color="auto"/>
                <w:lang w:val="zh-CN"/>
              </w:rPr>
              <w:t xml:space="preserve">   环境空气特征污染物监测点位布设情况表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714"/>
              <w:gridCol w:w="2047"/>
              <w:gridCol w:w="2705"/>
            </w:tblGrid>
            <w:tr w14:paraId="0822B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474" w:type="pct"/>
                  <w:tcBorders>
                    <w:tl2br w:val="nil"/>
                    <w:tr2bl w:val="nil"/>
                  </w:tcBorders>
                  <w:noWrap w:val="0"/>
                  <w:vAlign w:val="center"/>
                </w:tcPr>
                <w:p w14:paraId="313237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宋体"/>
                      <w:caps w:val="0"/>
                      <w:color w:val="auto"/>
                      <w:sz w:val="21"/>
                      <w:szCs w:val="21"/>
                      <w:highlight w:val="none"/>
                      <w:u w:val="none" w:color="auto"/>
                    </w:rPr>
                  </w:pPr>
                  <w:r>
                    <w:rPr>
                      <w:rFonts w:hint="eastAsia" w:ascii="Times New Roman" w:hAnsi="Times New Roman" w:eastAsia="宋体" w:cs="宋体"/>
                      <w:caps w:val="0"/>
                      <w:color w:val="auto"/>
                      <w:sz w:val="21"/>
                      <w:szCs w:val="21"/>
                      <w:highlight w:val="none"/>
                      <w:u w:val="none" w:color="auto"/>
                    </w:rPr>
                    <w:t>序号</w:t>
                  </w:r>
                </w:p>
              </w:tc>
              <w:tc>
                <w:tcPr>
                  <w:tcW w:w="1644" w:type="pct"/>
                  <w:tcBorders>
                    <w:tl2br w:val="nil"/>
                    <w:tr2bl w:val="nil"/>
                  </w:tcBorders>
                  <w:noWrap w:val="0"/>
                  <w:vAlign w:val="top"/>
                </w:tcPr>
                <w:p w14:paraId="7149EEB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宋体"/>
                      <w:caps w:val="0"/>
                      <w:color w:val="auto"/>
                      <w:sz w:val="21"/>
                      <w:szCs w:val="21"/>
                      <w:highlight w:val="none"/>
                      <w:u w:val="none" w:color="auto"/>
                    </w:rPr>
                  </w:pPr>
                  <w:r>
                    <w:rPr>
                      <w:rFonts w:hint="default" w:ascii="Times New Roman" w:hAnsi="Times New Roman" w:eastAsia="宋体" w:cs="Times New Roman"/>
                      <w:caps w:val="0"/>
                      <w:color w:val="auto"/>
                      <w:sz w:val="21"/>
                      <w:szCs w:val="21"/>
                      <w:highlight w:val="none"/>
                      <w:u w:val="none" w:color="auto"/>
                      <w:vertAlign w:val="baseline"/>
                      <w:lang w:val="en-US" w:eastAsia="zh-CN"/>
                    </w:rPr>
                    <w:t>监测点名称</w:t>
                  </w:r>
                </w:p>
              </w:tc>
              <w:tc>
                <w:tcPr>
                  <w:tcW w:w="1240" w:type="pct"/>
                  <w:tcBorders>
                    <w:tl2br w:val="nil"/>
                    <w:tr2bl w:val="nil"/>
                  </w:tcBorders>
                  <w:noWrap w:val="0"/>
                  <w:vAlign w:val="top"/>
                </w:tcPr>
                <w:p w14:paraId="5BECEB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宋体"/>
                      <w:caps w:val="0"/>
                      <w:color w:val="auto"/>
                      <w:sz w:val="21"/>
                      <w:szCs w:val="21"/>
                      <w:highlight w:val="none"/>
                      <w:u w:val="none" w:color="auto"/>
                    </w:rPr>
                  </w:pPr>
                  <w:r>
                    <w:rPr>
                      <w:rFonts w:hint="default" w:ascii="Times New Roman" w:hAnsi="Times New Roman" w:eastAsia="宋体" w:cs="Times New Roman"/>
                      <w:caps w:val="0"/>
                      <w:color w:val="auto"/>
                      <w:sz w:val="21"/>
                      <w:szCs w:val="21"/>
                      <w:highlight w:val="none"/>
                      <w:u w:val="none" w:color="auto"/>
                      <w:vertAlign w:val="baseline"/>
                      <w:lang w:val="en-US" w:eastAsia="zh-CN"/>
                    </w:rPr>
                    <w:t>相对位置</w:t>
                  </w:r>
                </w:p>
              </w:tc>
              <w:tc>
                <w:tcPr>
                  <w:tcW w:w="1639" w:type="pct"/>
                  <w:tcBorders>
                    <w:tl2br w:val="nil"/>
                    <w:tr2bl w:val="nil"/>
                  </w:tcBorders>
                  <w:noWrap w:val="0"/>
                  <w:vAlign w:val="top"/>
                </w:tcPr>
                <w:p w14:paraId="7FFDF20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宋体"/>
                      <w:caps w:val="0"/>
                      <w:color w:val="auto"/>
                      <w:sz w:val="21"/>
                      <w:szCs w:val="21"/>
                      <w:highlight w:val="none"/>
                      <w:u w:val="none" w:color="auto"/>
                    </w:rPr>
                  </w:pPr>
                  <w:r>
                    <w:rPr>
                      <w:rFonts w:hint="default" w:ascii="Times New Roman" w:hAnsi="Times New Roman" w:eastAsia="宋体" w:cs="Times New Roman"/>
                      <w:caps w:val="0"/>
                      <w:color w:val="auto"/>
                      <w:sz w:val="21"/>
                      <w:szCs w:val="21"/>
                      <w:highlight w:val="none"/>
                      <w:u w:val="none" w:color="auto"/>
                      <w:vertAlign w:val="baseline"/>
                      <w:lang w:val="en-US" w:eastAsia="zh-CN"/>
                    </w:rPr>
                    <w:t>布点功能</w:t>
                  </w:r>
                </w:p>
              </w:tc>
            </w:tr>
            <w:tr w14:paraId="3C133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tcBorders>
                    <w:tl2br w:val="nil"/>
                    <w:tr2bl w:val="nil"/>
                  </w:tcBorders>
                  <w:noWrap w:val="0"/>
                  <w:vAlign w:val="center"/>
                </w:tcPr>
                <w:p w14:paraId="279D3A1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eastAsia="宋体" w:cs="宋体"/>
                      <w:caps w:val="0"/>
                      <w:color w:val="auto"/>
                      <w:sz w:val="21"/>
                      <w:szCs w:val="21"/>
                      <w:highlight w:val="none"/>
                      <w:u w:val="none" w:color="auto"/>
                    </w:rPr>
                  </w:pPr>
                  <w:r>
                    <w:rPr>
                      <w:rFonts w:hint="eastAsia" w:ascii="Times New Roman" w:hAnsi="Times New Roman" w:eastAsia="宋体" w:cs="宋体"/>
                      <w:caps w:val="0"/>
                      <w:color w:val="auto"/>
                      <w:sz w:val="21"/>
                      <w:szCs w:val="21"/>
                      <w:highlight w:val="none"/>
                      <w:u w:val="none" w:color="auto"/>
                    </w:rPr>
                    <w:t>1#</w:t>
                  </w:r>
                </w:p>
              </w:tc>
              <w:tc>
                <w:tcPr>
                  <w:tcW w:w="1644" w:type="pct"/>
                  <w:tcBorders>
                    <w:tl2br w:val="nil"/>
                    <w:tr2bl w:val="nil"/>
                  </w:tcBorders>
                  <w:noWrap w:val="0"/>
                  <w:vAlign w:val="center"/>
                </w:tcPr>
                <w:p w14:paraId="5B35AF32">
                  <w:pPr>
                    <w:jc w:val="center"/>
                    <w:rPr>
                      <w:rFonts w:hint="default" w:ascii="Times New Roman" w:hAnsi="Times New Roman" w:eastAsia="宋体" w:cs="宋体"/>
                      <w:caps w:val="0"/>
                      <w:color w:val="auto"/>
                      <w:sz w:val="21"/>
                      <w:szCs w:val="21"/>
                      <w:highlight w:val="none"/>
                      <w:u w:val="none" w:color="auto"/>
                      <w:lang w:val="en-US" w:eastAsia="zh-CN"/>
                    </w:rPr>
                  </w:pPr>
                  <w:r>
                    <w:rPr>
                      <w:rFonts w:hint="eastAsia" w:ascii="Times New Roman" w:hAnsi="Times New Roman" w:eastAsia="宋体" w:cs="Times New Roman"/>
                      <w:color w:val="auto"/>
                      <w:sz w:val="21"/>
                      <w:szCs w:val="21"/>
                      <w:lang w:val="en-US" w:eastAsia="zh-CN"/>
                    </w:rPr>
                    <w:t>四平墨麟新材料有限公司</w:t>
                  </w:r>
                </w:p>
              </w:tc>
              <w:tc>
                <w:tcPr>
                  <w:tcW w:w="1240" w:type="pct"/>
                  <w:tcBorders>
                    <w:tl2br w:val="nil"/>
                    <w:tr2bl w:val="nil"/>
                  </w:tcBorders>
                  <w:noWrap w:val="0"/>
                  <w:vAlign w:val="center"/>
                </w:tcPr>
                <w:p w14:paraId="06CF2EFD">
                  <w:pPr>
                    <w:jc w:val="center"/>
                    <w:rPr>
                      <w:rFonts w:hint="default" w:ascii="Times New Roman" w:hAnsi="Times New Roman" w:eastAsia="宋体"/>
                      <w:caps w:val="0"/>
                      <w:color w:val="auto"/>
                      <w:sz w:val="21"/>
                      <w:szCs w:val="21"/>
                      <w:highlight w:val="none"/>
                      <w:u w:val="none" w:color="auto"/>
                      <w:lang w:val="en-US" w:eastAsia="zh-CN"/>
                    </w:rPr>
                  </w:pPr>
                  <w:r>
                    <w:rPr>
                      <w:rFonts w:hint="eastAsia" w:ascii="Times New Roman" w:hAnsi="Times New Roman" w:eastAsia="宋体" w:cs="Times New Roman"/>
                      <w:color w:val="auto"/>
                      <w:sz w:val="21"/>
                      <w:szCs w:val="21"/>
                      <w:lang w:val="en-US" w:eastAsia="zh-CN"/>
                    </w:rPr>
                    <w:t>项目所在地</w:t>
                  </w:r>
                </w:p>
              </w:tc>
              <w:tc>
                <w:tcPr>
                  <w:tcW w:w="1639" w:type="pct"/>
                  <w:tcBorders>
                    <w:tl2br w:val="nil"/>
                    <w:tr2bl w:val="nil"/>
                  </w:tcBorders>
                  <w:noWrap w:val="0"/>
                  <w:vAlign w:val="top"/>
                </w:tcPr>
                <w:p w14:paraId="6443B84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宋体"/>
                      <w:caps w:val="0"/>
                      <w:color w:val="auto"/>
                      <w:sz w:val="21"/>
                      <w:szCs w:val="21"/>
                      <w:highlight w:val="none"/>
                      <w:u w:val="none" w:color="auto"/>
                      <w:lang w:val="en-US"/>
                    </w:rPr>
                  </w:pPr>
                  <w:r>
                    <w:rPr>
                      <w:rFonts w:hint="default" w:ascii="Times New Roman" w:hAnsi="Times New Roman" w:eastAsia="宋体" w:cs="Times New Roman"/>
                      <w:caps w:val="0"/>
                      <w:color w:val="auto"/>
                      <w:spacing w:val="0"/>
                      <w:position w:val="0"/>
                      <w:sz w:val="21"/>
                      <w:szCs w:val="21"/>
                      <w:highlight w:val="none"/>
                      <w:u w:val="none" w:color="auto"/>
                      <w:vertAlign w:val="baseline"/>
                      <w:lang w:val="en-US" w:eastAsia="zh-CN"/>
                    </w:rPr>
                    <w:t>了解</w:t>
                  </w:r>
                  <w:r>
                    <w:rPr>
                      <w:rFonts w:hint="eastAsia" w:ascii="Times New Roman" w:hAnsi="Times New Roman" w:eastAsia="宋体" w:cs="Times New Roman"/>
                      <w:caps w:val="0"/>
                      <w:color w:val="auto"/>
                      <w:spacing w:val="0"/>
                      <w:position w:val="0"/>
                      <w:sz w:val="21"/>
                      <w:szCs w:val="21"/>
                      <w:highlight w:val="none"/>
                      <w:u w:val="none" w:color="auto"/>
                      <w:vertAlign w:val="baseline"/>
                      <w:lang w:val="en-US" w:eastAsia="zh-CN"/>
                    </w:rPr>
                    <w:t>区域</w:t>
                  </w:r>
                  <w:r>
                    <w:rPr>
                      <w:rFonts w:hint="default" w:ascii="Times New Roman" w:hAnsi="Times New Roman" w:eastAsia="宋体" w:cs="Times New Roman"/>
                      <w:caps w:val="0"/>
                      <w:color w:val="auto"/>
                      <w:spacing w:val="0"/>
                      <w:position w:val="0"/>
                      <w:sz w:val="21"/>
                      <w:szCs w:val="21"/>
                      <w:highlight w:val="none"/>
                      <w:u w:val="none" w:color="auto"/>
                      <w:vertAlign w:val="baseline"/>
                      <w:lang w:val="en-US" w:eastAsia="zh-CN"/>
                    </w:rPr>
                    <w:t>大气环境质量</w:t>
                  </w:r>
                  <w:r>
                    <w:rPr>
                      <w:rFonts w:hint="eastAsia" w:cs="Times New Roman"/>
                      <w:caps w:val="0"/>
                      <w:color w:val="auto"/>
                      <w:spacing w:val="0"/>
                      <w:position w:val="0"/>
                      <w:sz w:val="21"/>
                      <w:szCs w:val="21"/>
                      <w:highlight w:val="none"/>
                      <w:u w:val="none" w:color="auto"/>
                      <w:vertAlign w:val="baseline"/>
                      <w:lang w:val="en-US" w:eastAsia="zh-CN"/>
                    </w:rPr>
                    <w:t>，</w:t>
                  </w:r>
                </w:p>
              </w:tc>
            </w:tr>
          </w:tbl>
          <w:p w14:paraId="2288FF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Times New Roman" w:hAnsi="Times New Roman" w:eastAsia="宋体" w:cs="Times New Roman"/>
                <w:caps w:val="0"/>
                <w:color w:val="auto"/>
                <w:sz w:val="24"/>
                <w:szCs w:val="24"/>
                <w:highlight w:val="none"/>
                <w:u w:val="none" w:color="auto"/>
                <w:lang w:val="en-US" w:eastAsia="zh-CN"/>
              </w:rPr>
            </w:pPr>
            <w:r>
              <w:rPr>
                <w:rFonts w:hint="default" w:ascii="Times New Roman" w:hAnsi="Times New Roman" w:eastAsia="宋体" w:cs="Times New Roman"/>
                <w:caps w:val="0"/>
                <w:color w:val="auto"/>
                <w:sz w:val="24"/>
                <w:szCs w:val="24"/>
                <w:highlight w:val="none"/>
                <w:u w:val="none" w:color="auto"/>
                <w:lang w:val="en-US" w:eastAsia="zh-CN"/>
              </w:rPr>
              <w:t>③采样时间及监测频次</w:t>
            </w:r>
          </w:p>
          <w:p w14:paraId="7917EC85">
            <w:pPr>
              <w:spacing w:line="460" w:lineRule="exact"/>
              <w:ind w:firstLine="480" w:firstLineChars="200"/>
              <w:rPr>
                <w:rFonts w:hint="default" w:ascii="Times New Roman" w:hAnsi="Times New Roman" w:cs="Times New Roman"/>
                <w:color w:val="auto"/>
                <w:sz w:val="24"/>
                <w:szCs w:val="24"/>
                <w:u w:val="none"/>
              </w:rPr>
            </w:pPr>
            <w:r>
              <w:rPr>
                <w:rFonts w:hint="default" w:ascii="Times New Roman" w:hAnsi="Times New Roman" w:eastAsia="宋体" w:cs="Times New Roman"/>
                <w:color w:val="auto"/>
                <w:sz w:val="24"/>
                <w:szCs w:val="24"/>
                <w:highlight w:val="none"/>
                <w:u w:val="none"/>
                <w:lang w:val="en-US" w:eastAsia="zh-CN"/>
              </w:rPr>
              <w:t>委托</w:t>
            </w:r>
            <w:r>
              <w:rPr>
                <w:rFonts w:hint="eastAsia" w:ascii="Times New Roman" w:hAnsi="Times New Roman" w:eastAsia="宋体" w:cs="Times New Roman"/>
                <w:color w:val="auto"/>
                <w:sz w:val="24"/>
                <w:szCs w:val="24"/>
                <w:highlight w:val="none"/>
                <w:u w:val="none"/>
                <w:lang w:val="en-US" w:eastAsia="zh-CN"/>
              </w:rPr>
              <w:t>吉林省同正检测技术有限公司</w:t>
            </w:r>
            <w:r>
              <w:rPr>
                <w:rFonts w:hint="default" w:ascii="Times New Roman" w:hAnsi="Times New Roman" w:eastAsia="宋体" w:cs="Times New Roman"/>
                <w:color w:val="auto"/>
                <w:sz w:val="24"/>
                <w:szCs w:val="24"/>
                <w:highlight w:val="none"/>
                <w:u w:val="none"/>
                <w:lang w:val="en-US" w:eastAsia="zh-CN"/>
              </w:rPr>
              <w:t>于202</w:t>
            </w:r>
            <w:r>
              <w:rPr>
                <w:rFonts w:hint="eastAsia" w:ascii="Times New Roman" w:hAnsi="Times New Roman" w:eastAsia="宋体" w:cs="Times New Roman"/>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lang w:val="en-US" w:eastAsia="zh-CN"/>
              </w:rPr>
              <w:t>年</w:t>
            </w:r>
            <w:r>
              <w:rPr>
                <w:rFonts w:hint="eastAsia" w:ascii="Times New Roman" w:hAnsi="Times New Roman" w:eastAsia="宋体" w:cs="Times New Roman"/>
                <w:color w:val="auto"/>
                <w:sz w:val="24"/>
                <w:szCs w:val="24"/>
                <w:highlight w:val="none"/>
                <w:u w:val="none"/>
                <w:lang w:val="en-US" w:eastAsia="zh-CN"/>
              </w:rPr>
              <w:t>7</w:t>
            </w:r>
            <w:r>
              <w:rPr>
                <w:rFonts w:hint="default" w:ascii="Times New Roman" w:hAnsi="Times New Roman" w:eastAsia="宋体" w:cs="Times New Roman"/>
                <w:color w:val="auto"/>
                <w:sz w:val="24"/>
                <w:szCs w:val="24"/>
                <w:highlight w:val="none"/>
                <w:u w:val="none"/>
                <w:lang w:val="en-US" w:eastAsia="zh-CN"/>
              </w:rPr>
              <w:t>月</w:t>
            </w:r>
            <w:r>
              <w:rPr>
                <w:rFonts w:hint="eastAsia" w:ascii="Times New Roman" w:hAnsi="Times New Roman" w:eastAsia="宋体" w:cs="Times New Roman"/>
                <w:color w:val="auto"/>
                <w:sz w:val="24"/>
                <w:szCs w:val="24"/>
                <w:highlight w:val="none"/>
                <w:u w:val="none"/>
                <w:lang w:val="en-US" w:eastAsia="zh-CN"/>
              </w:rPr>
              <w:t>1</w:t>
            </w:r>
            <w:r>
              <w:rPr>
                <w:rFonts w:hint="default" w:ascii="Times New Roman" w:hAnsi="Times New Roman" w:eastAsia="宋体" w:cs="Times New Roman"/>
                <w:color w:val="auto"/>
                <w:sz w:val="24"/>
                <w:szCs w:val="24"/>
                <w:highlight w:val="none"/>
                <w:u w:val="none"/>
                <w:lang w:val="en-US" w:eastAsia="zh-CN"/>
              </w:rPr>
              <w:t>日-</w:t>
            </w:r>
            <w:r>
              <w:rPr>
                <w:rFonts w:hint="eastAsia" w:ascii="Times New Roman" w:hAnsi="Times New Roman" w:eastAsia="宋体" w:cs="Times New Roman"/>
                <w:color w:val="auto"/>
                <w:sz w:val="24"/>
                <w:szCs w:val="24"/>
                <w:highlight w:val="none"/>
                <w:u w:val="none"/>
                <w:lang w:val="en-US" w:eastAsia="zh-CN"/>
              </w:rPr>
              <w:t>8</w:t>
            </w:r>
            <w:r>
              <w:rPr>
                <w:rFonts w:hint="default" w:ascii="Times New Roman" w:hAnsi="Times New Roman" w:cs="Times New Roman"/>
                <w:color w:val="auto"/>
                <w:sz w:val="24"/>
                <w:szCs w:val="24"/>
                <w:highlight w:val="none"/>
                <w:u w:val="none"/>
              </w:rPr>
              <w:t>日</w:t>
            </w:r>
            <w:r>
              <w:rPr>
                <w:rFonts w:hint="default" w:ascii="Times New Roman" w:hAnsi="Times New Roman" w:cs="Times New Roman"/>
                <w:color w:val="auto"/>
                <w:sz w:val="24"/>
                <w:szCs w:val="24"/>
                <w:u w:val="none"/>
              </w:rPr>
              <w:t>进行监测，连续监测7天，监测小时值</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无小时值的监测日均值</w:t>
            </w:r>
            <w:r>
              <w:rPr>
                <w:rFonts w:hint="eastAsia"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w:t>
            </w:r>
          </w:p>
          <w:p w14:paraId="7C5D77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default" w:ascii="Times New Roman" w:hAnsi="Times New Roman" w:eastAsia="宋体" w:cs="Times New Roman"/>
                <w:caps w:val="0"/>
                <w:color w:val="auto"/>
                <w:sz w:val="24"/>
                <w:szCs w:val="24"/>
                <w:highlight w:val="none"/>
                <w:u w:val="none" w:color="auto"/>
              </w:rPr>
            </w:pPr>
            <w:r>
              <w:rPr>
                <w:rFonts w:hint="default" w:ascii="Times New Roman" w:hAnsi="Times New Roman" w:eastAsia="宋体" w:cs="Times New Roman"/>
                <w:caps w:val="0"/>
                <w:color w:val="auto"/>
                <w:sz w:val="24"/>
                <w:szCs w:val="24"/>
                <w:highlight w:val="none"/>
                <w:u w:val="none" w:color="auto"/>
                <w:lang w:eastAsia="zh-CN"/>
              </w:rPr>
              <w:t>④</w:t>
            </w:r>
            <w:r>
              <w:rPr>
                <w:rFonts w:hint="default" w:ascii="Times New Roman" w:hAnsi="Times New Roman" w:eastAsia="宋体" w:cs="Times New Roman"/>
                <w:caps w:val="0"/>
                <w:color w:val="auto"/>
                <w:sz w:val="24"/>
                <w:szCs w:val="24"/>
                <w:highlight w:val="none"/>
                <w:u w:val="none" w:color="auto"/>
              </w:rPr>
              <w:t>评价标准</w:t>
            </w:r>
          </w:p>
          <w:p w14:paraId="53590E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Times New Roman" w:hAnsi="Times New Roman" w:eastAsia="宋体" w:cs="Times New Roman"/>
                <w:caps w:val="0"/>
                <w:color w:val="auto"/>
                <w:sz w:val="24"/>
                <w:highlight w:val="none"/>
                <w:u w:val="none" w:color="auto"/>
                <w:lang w:val="en-US" w:eastAsia="zh-CN"/>
              </w:rPr>
            </w:pPr>
            <w:r>
              <w:rPr>
                <w:rFonts w:hint="eastAsia" w:ascii="Times New Roman" w:hAnsi="Times New Roman" w:eastAsia="宋体" w:cs="Times New Roman"/>
                <w:caps w:val="0"/>
                <w:color w:val="auto"/>
                <w:sz w:val="24"/>
                <w:highlight w:val="none"/>
                <w:u w:val="none" w:color="auto"/>
                <w:lang w:val="en-US" w:eastAsia="zh-CN"/>
              </w:rPr>
              <w:t>采用GB3095-2012《环境空气质量标准》限值要求。</w:t>
            </w:r>
          </w:p>
          <w:p w14:paraId="4C3FFF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default" w:ascii="Times New Roman" w:hAnsi="Times New Roman" w:eastAsia="宋体" w:cs="Times New Roman"/>
                <w:caps w:val="0"/>
                <w:color w:val="auto"/>
                <w:sz w:val="24"/>
                <w:szCs w:val="24"/>
                <w:highlight w:val="none"/>
                <w:u w:val="none" w:color="auto"/>
              </w:rPr>
            </w:pPr>
            <w:r>
              <w:rPr>
                <w:rFonts w:hint="default" w:ascii="Times New Roman" w:hAnsi="Times New Roman" w:eastAsia="宋体" w:cs="Times New Roman"/>
                <w:caps w:val="0"/>
                <w:color w:val="auto"/>
                <w:sz w:val="24"/>
                <w:szCs w:val="24"/>
                <w:highlight w:val="none"/>
                <w:u w:val="none" w:color="auto"/>
                <w:lang w:eastAsia="zh-CN"/>
              </w:rPr>
              <w:t>⑤</w:t>
            </w:r>
            <w:r>
              <w:rPr>
                <w:rFonts w:hint="default" w:ascii="Times New Roman" w:hAnsi="Times New Roman" w:eastAsia="宋体" w:cs="Times New Roman"/>
                <w:caps w:val="0"/>
                <w:color w:val="auto"/>
                <w:sz w:val="24"/>
                <w:szCs w:val="24"/>
                <w:highlight w:val="none"/>
                <w:u w:val="none" w:color="auto"/>
              </w:rPr>
              <w:t>评价方法</w:t>
            </w:r>
          </w:p>
          <w:p w14:paraId="5168E3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textAlignment w:val="auto"/>
              <w:outlineLvl w:val="9"/>
              <w:rPr>
                <w:rFonts w:hint="default" w:ascii="Times New Roman" w:hAnsi="Times New Roman" w:eastAsia="宋体" w:cs="Times New Roman"/>
                <w:caps w:val="0"/>
                <w:color w:val="auto"/>
                <w:sz w:val="24"/>
                <w:szCs w:val="24"/>
                <w:highlight w:val="none"/>
                <w:u w:val="none" w:color="auto"/>
              </w:rPr>
            </w:pPr>
            <w:r>
              <w:rPr>
                <w:rFonts w:hint="default" w:ascii="Times New Roman" w:hAnsi="Times New Roman" w:eastAsia="宋体" w:cs="Times New Roman"/>
                <w:caps w:val="0"/>
                <w:color w:val="auto"/>
                <w:sz w:val="24"/>
                <w:szCs w:val="24"/>
                <w:highlight w:val="none"/>
                <w:u w:val="none" w:color="auto"/>
              </w:rPr>
              <w:t>采用污染物的地面浓度占标率P</w:t>
            </w:r>
            <w:r>
              <w:rPr>
                <w:rFonts w:hint="default" w:ascii="Times New Roman" w:hAnsi="Times New Roman" w:eastAsia="宋体" w:cs="Times New Roman"/>
                <w:caps w:val="0"/>
                <w:color w:val="auto"/>
                <w:sz w:val="24"/>
                <w:szCs w:val="24"/>
                <w:highlight w:val="none"/>
                <w:u w:val="none" w:color="auto"/>
                <w:vertAlign w:val="subscript"/>
              </w:rPr>
              <w:t>i</w:t>
            </w:r>
            <w:r>
              <w:rPr>
                <w:rFonts w:hint="default" w:ascii="Times New Roman" w:hAnsi="Times New Roman" w:eastAsia="宋体" w:cs="Times New Roman"/>
                <w:caps w:val="0"/>
                <w:color w:val="auto"/>
                <w:sz w:val="24"/>
                <w:szCs w:val="24"/>
                <w:highlight w:val="none"/>
                <w:u w:val="none" w:color="auto"/>
              </w:rPr>
              <w:t>：</w:t>
            </w:r>
          </w:p>
          <w:p w14:paraId="12FA63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Times New Roman" w:hAnsi="Times New Roman" w:eastAsia="宋体" w:cs="Times New Roman"/>
                <w:caps w:val="0"/>
                <w:color w:val="auto"/>
                <w:sz w:val="24"/>
                <w:szCs w:val="24"/>
                <w:highlight w:val="none"/>
                <w:u w:val="none" w:color="auto"/>
              </w:rPr>
            </w:pPr>
            <w:r>
              <w:rPr>
                <w:rFonts w:hint="default" w:ascii="Times New Roman" w:hAnsi="Times New Roman" w:eastAsia="宋体" w:cs="Times New Roman"/>
                <w:caps w:val="0"/>
                <w:color w:val="auto"/>
                <w:sz w:val="24"/>
                <w:szCs w:val="24"/>
                <w:highlight w:val="none"/>
                <w:u w:val="none" w:color="auto"/>
              </w:rPr>
              <w:t>P</w:t>
            </w:r>
            <w:r>
              <w:rPr>
                <w:rFonts w:hint="default" w:ascii="Times New Roman" w:hAnsi="Times New Roman" w:eastAsia="宋体" w:cs="Times New Roman"/>
                <w:caps w:val="0"/>
                <w:color w:val="auto"/>
                <w:sz w:val="24"/>
                <w:szCs w:val="24"/>
                <w:highlight w:val="none"/>
                <w:u w:val="none" w:color="auto"/>
                <w:vertAlign w:val="subscript"/>
              </w:rPr>
              <w:t>i</w:t>
            </w:r>
            <w:r>
              <w:rPr>
                <w:rFonts w:hint="default" w:ascii="Times New Roman" w:hAnsi="Times New Roman" w:eastAsia="宋体" w:cs="Times New Roman"/>
                <w:caps w:val="0"/>
                <w:color w:val="auto"/>
                <w:sz w:val="24"/>
                <w:szCs w:val="24"/>
                <w:highlight w:val="none"/>
                <w:u w:val="none" w:color="auto"/>
              </w:rPr>
              <w:t xml:space="preserve"> = C</w:t>
            </w:r>
            <w:r>
              <w:rPr>
                <w:rFonts w:hint="default" w:ascii="Times New Roman" w:hAnsi="Times New Roman" w:eastAsia="宋体" w:cs="Times New Roman"/>
                <w:caps w:val="0"/>
                <w:color w:val="auto"/>
                <w:sz w:val="24"/>
                <w:szCs w:val="24"/>
                <w:highlight w:val="none"/>
                <w:u w:val="none" w:color="auto"/>
                <w:vertAlign w:val="subscript"/>
              </w:rPr>
              <w:t xml:space="preserve">i </w:t>
            </w:r>
            <w:r>
              <w:rPr>
                <w:rFonts w:hint="default" w:ascii="Times New Roman" w:hAnsi="Times New Roman" w:eastAsia="宋体" w:cs="Times New Roman"/>
                <w:caps w:val="0"/>
                <w:color w:val="auto"/>
                <w:sz w:val="24"/>
                <w:szCs w:val="24"/>
                <w:highlight w:val="none"/>
                <w:u w:val="none" w:color="auto"/>
              </w:rPr>
              <w:t>/ C</w:t>
            </w:r>
            <w:r>
              <w:rPr>
                <w:rFonts w:hint="default" w:ascii="Times New Roman" w:hAnsi="Times New Roman" w:eastAsia="宋体" w:cs="Times New Roman"/>
                <w:caps w:val="0"/>
                <w:color w:val="auto"/>
                <w:sz w:val="24"/>
                <w:szCs w:val="24"/>
                <w:highlight w:val="none"/>
                <w:u w:val="none" w:color="auto"/>
                <w:vertAlign w:val="subscript"/>
              </w:rPr>
              <w:t>oi</w:t>
            </w:r>
            <w:r>
              <w:rPr>
                <w:rFonts w:hint="default" w:ascii="Times New Roman" w:hAnsi="Times New Roman" w:eastAsia="宋体" w:cs="Times New Roman"/>
                <w:caps w:val="0"/>
                <w:color w:val="auto"/>
                <w:sz w:val="24"/>
                <w:szCs w:val="24"/>
                <w:highlight w:val="none"/>
                <w:u w:val="none" w:color="auto"/>
              </w:rPr>
              <w:t>×100%</w:t>
            </w:r>
          </w:p>
          <w:p w14:paraId="6A29F4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textAlignment w:val="auto"/>
              <w:outlineLvl w:val="9"/>
              <w:rPr>
                <w:rFonts w:hint="default" w:ascii="Times New Roman" w:hAnsi="Times New Roman" w:eastAsia="宋体" w:cs="Times New Roman"/>
                <w:caps w:val="0"/>
                <w:color w:val="auto"/>
                <w:sz w:val="24"/>
                <w:szCs w:val="24"/>
                <w:highlight w:val="none"/>
                <w:u w:val="none" w:color="auto"/>
              </w:rPr>
            </w:pPr>
            <w:r>
              <w:rPr>
                <w:rFonts w:hint="default" w:ascii="Times New Roman" w:hAnsi="Times New Roman" w:eastAsia="宋体" w:cs="Times New Roman"/>
                <w:caps w:val="0"/>
                <w:color w:val="auto"/>
                <w:sz w:val="24"/>
                <w:szCs w:val="24"/>
                <w:highlight w:val="none"/>
                <w:u w:val="none" w:color="auto"/>
              </w:rPr>
              <w:t>式中：P</w:t>
            </w:r>
            <w:r>
              <w:rPr>
                <w:rFonts w:hint="default" w:ascii="Times New Roman" w:hAnsi="Times New Roman" w:eastAsia="宋体" w:cs="Times New Roman"/>
                <w:caps w:val="0"/>
                <w:color w:val="auto"/>
                <w:sz w:val="24"/>
                <w:szCs w:val="24"/>
                <w:highlight w:val="none"/>
                <w:u w:val="none" w:color="auto"/>
                <w:vertAlign w:val="subscript"/>
              </w:rPr>
              <w:t>i</w:t>
            </w:r>
            <w:r>
              <w:rPr>
                <w:rFonts w:hint="default" w:ascii="Times New Roman" w:hAnsi="Times New Roman" w:eastAsia="宋体" w:cs="Times New Roman"/>
                <w:caps w:val="0"/>
                <w:color w:val="auto"/>
                <w:sz w:val="24"/>
                <w:szCs w:val="24"/>
                <w:highlight w:val="none"/>
                <w:u w:val="none" w:color="auto"/>
              </w:rPr>
              <w:t>—第i个污染物的日均浓度占标率，%；</w:t>
            </w:r>
          </w:p>
          <w:p w14:paraId="406314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200" w:firstLineChars="500"/>
              <w:textAlignment w:val="auto"/>
              <w:outlineLvl w:val="9"/>
              <w:rPr>
                <w:rFonts w:hint="default" w:ascii="Times New Roman" w:hAnsi="Times New Roman" w:eastAsia="宋体" w:cs="Times New Roman"/>
                <w:caps w:val="0"/>
                <w:color w:val="auto"/>
                <w:sz w:val="24"/>
                <w:szCs w:val="24"/>
                <w:highlight w:val="none"/>
                <w:u w:val="none" w:color="auto"/>
              </w:rPr>
            </w:pPr>
            <w:r>
              <w:rPr>
                <w:rFonts w:hint="default" w:ascii="Times New Roman" w:hAnsi="Times New Roman" w:eastAsia="宋体" w:cs="Times New Roman"/>
                <w:caps w:val="0"/>
                <w:color w:val="auto"/>
                <w:sz w:val="24"/>
                <w:szCs w:val="24"/>
                <w:highlight w:val="none"/>
                <w:u w:val="none" w:color="auto"/>
              </w:rPr>
              <w:t>C</w:t>
            </w:r>
            <w:r>
              <w:rPr>
                <w:rFonts w:hint="default" w:ascii="Times New Roman" w:hAnsi="Times New Roman" w:eastAsia="宋体" w:cs="Times New Roman"/>
                <w:caps w:val="0"/>
                <w:color w:val="auto"/>
                <w:sz w:val="24"/>
                <w:szCs w:val="24"/>
                <w:highlight w:val="none"/>
                <w:u w:val="none" w:color="auto"/>
                <w:vertAlign w:val="subscript"/>
              </w:rPr>
              <w:t>i</w:t>
            </w:r>
            <w:r>
              <w:rPr>
                <w:rFonts w:hint="default" w:ascii="Times New Roman" w:hAnsi="Times New Roman" w:eastAsia="宋体" w:cs="Times New Roman"/>
                <w:caps w:val="0"/>
                <w:color w:val="auto"/>
                <w:sz w:val="24"/>
                <w:szCs w:val="24"/>
                <w:highlight w:val="none"/>
                <w:u w:val="none" w:color="auto"/>
              </w:rPr>
              <w:t>—第i个环境空气污染物实测浓度，mg/m</w:t>
            </w:r>
            <w:r>
              <w:rPr>
                <w:rFonts w:hint="default" w:ascii="Times New Roman" w:hAnsi="Times New Roman" w:eastAsia="宋体" w:cs="Times New Roman"/>
                <w:caps w:val="0"/>
                <w:color w:val="auto"/>
                <w:sz w:val="24"/>
                <w:szCs w:val="24"/>
                <w:highlight w:val="none"/>
                <w:u w:val="none" w:color="auto"/>
                <w:vertAlign w:val="superscript"/>
              </w:rPr>
              <w:t>3</w:t>
            </w:r>
            <w:r>
              <w:rPr>
                <w:rFonts w:hint="default" w:ascii="Times New Roman" w:hAnsi="Times New Roman" w:eastAsia="宋体" w:cs="Times New Roman"/>
                <w:caps w:val="0"/>
                <w:color w:val="auto"/>
                <w:sz w:val="24"/>
                <w:szCs w:val="24"/>
                <w:highlight w:val="none"/>
                <w:u w:val="none" w:color="auto"/>
              </w:rPr>
              <w:t>；</w:t>
            </w:r>
          </w:p>
          <w:p w14:paraId="62C92A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200" w:firstLineChars="500"/>
              <w:textAlignment w:val="auto"/>
              <w:outlineLvl w:val="9"/>
              <w:rPr>
                <w:rFonts w:hint="default" w:ascii="Times New Roman" w:hAnsi="Times New Roman" w:eastAsia="宋体" w:cs="Times New Roman"/>
                <w:caps w:val="0"/>
                <w:color w:val="auto"/>
                <w:sz w:val="24"/>
                <w:szCs w:val="24"/>
                <w:highlight w:val="none"/>
                <w:u w:val="none" w:color="auto"/>
              </w:rPr>
            </w:pPr>
            <w:r>
              <w:rPr>
                <w:rFonts w:hint="default" w:ascii="Times New Roman" w:hAnsi="Times New Roman" w:eastAsia="宋体" w:cs="Times New Roman"/>
                <w:caps w:val="0"/>
                <w:color w:val="auto"/>
                <w:sz w:val="24"/>
                <w:szCs w:val="24"/>
                <w:highlight w:val="none"/>
                <w:u w:val="none" w:color="auto"/>
              </w:rPr>
              <w:t>C</w:t>
            </w:r>
            <w:r>
              <w:rPr>
                <w:rFonts w:hint="default" w:ascii="Times New Roman" w:hAnsi="Times New Roman" w:eastAsia="宋体" w:cs="Times New Roman"/>
                <w:caps w:val="0"/>
                <w:color w:val="auto"/>
                <w:sz w:val="24"/>
                <w:szCs w:val="24"/>
                <w:highlight w:val="none"/>
                <w:u w:val="none" w:color="auto"/>
                <w:vertAlign w:val="subscript"/>
              </w:rPr>
              <w:t>oi</w:t>
            </w:r>
            <w:r>
              <w:rPr>
                <w:rFonts w:hint="default" w:ascii="Times New Roman" w:hAnsi="Times New Roman" w:eastAsia="宋体" w:cs="Times New Roman"/>
                <w:caps w:val="0"/>
                <w:color w:val="auto"/>
                <w:sz w:val="24"/>
                <w:szCs w:val="24"/>
                <w:highlight w:val="none"/>
                <w:u w:val="none" w:color="auto"/>
              </w:rPr>
              <w:t>—第i个污染物的环境空气质量标准，mg/m</w:t>
            </w:r>
            <w:r>
              <w:rPr>
                <w:rFonts w:hint="default" w:ascii="Times New Roman" w:hAnsi="Times New Roman" w:eastAsia="宋体" w:cs="Times New Roman"/>
                <w:caps w:val="0"/>
                <w:color w:val="auto"/>
                <w:sz w:val="24"/>
                <w:szCs w:val="24"/>
                <w:highlight w:val="none"/>
                <w:u w:val="none" w:color="auto"/>
                <w:vertAlign w:val="superscript"/>
              </w:rPr>
              <w:t>3</w:t>
            </w:r>
            <w:r>
              <w:rPr>
                <w:rFonts w:hint="default" w:ascii="Times New Roman" w:hAnsi="Times New Roman" w:eastAsia="宋体" w:cs="Times New Roman"/>
                <w:caps w:val="0"/>
                <w:color w:val="auto"/>
                <w:sz w:val="24"/>
                <w:szCs w:val="24"/>
                <w:highlight w:val="none"/>
                <w:u w:val="none" w:color="auto"/>
              </w:rPr>
              <w:t>。</w:t>
            </w:r>
          </w:p>
          <w:p w14:paraId="0B9A23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textAlignment w:val="auto"/>
              <w:outlineLvl w:val="9"/>
              <w:rPr>
                <w:rFonts w:hint="eastAsia" w:ascii="Times New Roman" w:hAnsi="Times New Roman" w:eastAsia="宋体" w:cs="宋体"/>
                <w:caps w:val="0"/>
                <w:color w:val="auto"/>
                <w:sz w:val="24"/>
                <w:szCs w:val="24"/>
                <w:highlight w:val="none"/>
                <w:u w:val="none" w:color="auto"/>
                <w:lang w:val="en-US" w:eastAsia="zh-CN"/>
              </w:rPr>
            </w:pPr>
            <w:r>
              <w:rPr>
                <w:rFonts w:hint="eastAsia" w:ascii="Times New Roman" w:hAnsi="Times New Roman" w:eastAsia="宋体" w:cs="宋体"/>
                <w:caps w:val="0"/>
                <w:color w:val="auto"/>
                <w:sz w:val="24"/>
                <w:szCs w:val="24"/>
                <w:highlight w:val="none"/>
                <w:u w:val="none" w:color="auto"/>
                <w:lang w:val="en-US" w:eastAsia="zh-CN"/>
              </w:rPr>
              <w:t>⑥监测结果</w:t>
            </w:r>
          </w:p>
          <w:p w14:paraId="5698F3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Times New Roman" w:hAnsi="Times New Roman" w:eastAsia="宋体" w:cs="宋体"/>
                <w:caps w:val="0"/>
                <w:color w:val="auto"/>
                <w:sz w:val="24"/>
                <w:highlight w:val="none"/>
                <w:u w:val="none" w:color="auto"/>
              </w:rPr>
            </w:pPr>
            <w:r>
              <w:rPr>
                <w:rFonts w:hint="eastAsia" w:ascii="Times New Roman" w:hAnsi="Times New Roman" w:eastAsia="宋体" w:cs="宋体"/>
                <w:caps w:val="0"/>
                <w:color w:val="auto"/>
                <w:sz w:val="24"/>
                <w:highlight w:val="none"/>
                <w:u w:val="none" w:color="auto"/>
                <w:lang w:eastAsia="zh-CN"/>
              </w:rPr>
              <w:t>特征污染物监测结果见表</w:t>
            </w:r>
            <w:r>
              <w:rPr>
                <w:rFonts w:hint="eastAsia" w:ascii="Times New Roman" w:hAnsi="Times New Roman" w:eastAsia="宋体" w:cs="宋体"/>
                <w:caps w:val="0"/>
                <w:color w:val="auto"/>
                <w:sz w:val="24"/>
                <w:highlight w:val="none"/>
                <w:u w:val="none" w:color="auto"/>
                <w:lang w:val="en-US" w:eastAsia="zh-CN"/>
              </w:rPr>
              <w:t>3-3</w:t>
            </w:r>
            <w:r>
              <w:rPr>
                <w:rFonts w:hint="eastAsia" w:ascii="Times New Roman" w:hAnsi="Times New Roman" w:eastAsia="宋体" w:cs="宋体"/>
                <w:caps w:val="0"/>
                <w:color w:val="auto"/>
                <w:sz w:val="24"/>
                <w:highlight w:val="none"/>
                <w:u w:val="none" w:color="auto"/>
              </w:rPr>
              <w:t>。</w:t>
            </w:r>
          </w:p>
          <w:p w14:paraId="559021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r>
              <w:rPr>
                <w:rFonts w:hint="eastAsia" w:ascii="Times New Roman" w:hAnsi="Times New Roman" w:eastAsia="宋体" w:cs="Times New Roman"/>
                <w:b/>
                <w:bCs/>
                <w:caps w:val="0"/>
                <w:color w:val="auto"/>
                <w:sz w:val="21"/>
                <w:szCs w:val="21"/>
                <w:highlight w:val="none"/>
                <w:u w:val="none" w:color="auto"/>
                <w:lang w:val="en-US" w:eastAsia="zh-CN"/>
              </w:rPr>
              <w:t>表3-3</w:t>
            </w:r>
            <w:r>
              <w:rPr>
                <w:rFonts w:hint="eastAsia" w:cs="Times New Roman"/>
                <w:b/>
                <w:bCs/>
                <w:caps w:val="0"/>
                <w:color w:val="auto"/>
                <w:sz w:val="21"/>
                <w:szCs w:val="21"/>
                <w:highlight w:val="none"/>
                <w:u w:val="none" w:color="auto"/>
                <w:lang w:val="en-US" w:eastAsia="zh-CN"/>
              </w:rPr>
              <w:t xml:space="preserve">   </w:t>
            </w:r>
            <w:r>
              <w:rPr>
                <w:rFonts w:hint="eastAsia" w:ascii="Times New Roman" w:hAnsi="Times New Roman" w:eastAsia="宋体" w:cs="Times New Roman"/>
                <w:b/>
                <w:bCs/>
                <w:caps w:val="0"/>
                <w:color w:val="auto"/>
                <w:sz w:val="21"/>
                <w:szCs w:val="21"/>
                <w:highlight w:val="none"/>
                <w:u w:val="none" w:color="auto"/>
                <w:lang w:val="en-US" w:eastAsia="zh-CN"/>
              </w:rPr>
              <w:t xml:space="preserve"> 补充监测结果表</w:t>
            </w:r>
          </w:p>
          <w:tbl>
            <w:tblPr>
              <w:tblStyle w:val="22"/>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951"/>
              <w:gridCol w:w="2649"/>
              <w:gridCol w:w="2649"/>
            </w:tblGrid>
            <w:tr w14:paraId="15EE8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0" w:hRule="atLeast"/>
              </w:trPr>
              <w:tc>
                <w:tcPr>
                  <w:tcW w:w="1788" w:type="pct"/>
                  <w:vMerge w:val="restart"/>
                  <w:tcBorders>
                    <w:tl2br w:val="nil"/>
                    <w:tr2bl w:val="nil"/>
                  </w:tcBorders>
                  <w:noWrap w:val="0"/>
                  <w:vAlign w:val="center"/>
                </w:tcPr>
                <w:p w14:paraId="732550F5">
                  <w:pPr>
                    <w:adjustRightInd w:val="0"/>
                    <w:snapToGrid w:val="0"/>
                    <w:spacing w:line="20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检测</w:t>
                  </w:r>
                  <w:r>
                    <w:rPr>
                      <w:rFonts w:hint="eastAsia" w:ascii="宋体" w:hAnsi="宋体" w:eastAsia="宋体" w:cs="宋体"/>
                      <w:sz w:val="21"/>
                      <w:szCs w:val="21"/>
                      <w:highlight w:val="none"/>
                    </w:rPr>
                    <w:t>点位</w:t>
                  </w:r>
                </w:p>
              </w:tc>
              <w:tc>
                <w:tcPr>
                  <w:tcW w:w="1605" w:type="pct"/>
                  <w:tcBorders>
                    <w:tl2br w:val="nil"/>
                    <w:tr2bl w:val="nil"/>
                  </w:tcBorders>
                  <w:noWrap w:val="0"/>
                  <w:vAlign w:val="center"/>
                </w:tcPr>
                <w:p w14:paraId="1E0B3C39">
                  <w:pPr>
                    <w:adjustRightInd w:val="0"/>
                    <w:snapToGrid w:val="0"/>
                    <w:spacing w:line="200" w:lineRule="atLeast"/>
                    <w:jc w:val="center"/>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TSP 检测结果（采样日期）</w:t>
                  </w:r>
                </w:p>
              </w:tc>
              <w:tc>
                <w:tcPr>
                  <w:tcW w:w="1605" w:type="pct"/>
                  <w:tcBorders>
                    <w:tl2br w:val="nil"/>
                    <w:tr2bl w:val="nil"/>
                  </w:tcBorders>
                  <w:noWrap w:val="0"/>
                  <w:vAlign w:val="center"/>
                </w:tcPr>
                <w:p w14:paraId="25C768FC">
                  <w:pPr>
                    <w:adjustRightInd w:val="0"/>
                    <w:snapToGrid w:val="0"/>
                    <w:spacing w:line="200" w:lineRule="atLeast"/>
                    <w:jc w:val="center"/>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硫酸雾（采样日期）</w:t>
                  </w:r>
                </w:p>
              </w:tc>
            </w:tr>
            <w:tr w14:paraId="2866B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42" w:hRule="atLeast"/>
              </w:trPr>
              <w:tc>
                <w:tcPr>
                  <w:tcW w:w="1788" w:type="pct"/>
                  <w:vMerge w:val="continue"/>
                  <w:tcBorders>
                    <w:tl2br w:val="nil"/>
                    <w:tr2bl w:val="nil"/>
                  </w:tcBorders>
                  <w:noWrap w:val="0"/>
                  <w:vAlign w:val="center"/>
                </w:tcPr>
                <w:p w14:paraId="0CD05265">
                  <w:pPr>
                    <w:snapToGrid w:val="0"/>
                    <w:spacing w:line="200" w:lineRule="atLeast"/>
                    <w:jc w:val="center"/>
                    <w:rPr>
                      <w:rFonts w:hint="eastAsia" w:ascii="宋体" w:hAnsi="宋体" w:eastAsia="宋体" w:cs="宋体"/>
                      <w:sz w:val="21"/>
                      <w:szCs w:val="21"/>
                      <w:highlight w:val="none"/>
                    </w:rPr>
                  </w:pPr>
                </w:p>
              </w:tc>
              <w:tc>
                <w:tcPr>
                  <w:tcW w:w="1605" w:type="pct"/>
                  <w:tcBorders>
                    <w:tl2br w:val="nil"/>
                    <w:tr2bl w:val="nil"/>
                  </w:tcBorders>
                  <w:noWrap w:val="0"/>
                  <w:vAlign w:val="center"/>
                </w:tcPr>
                <w:p w14:paraId="62809F2A">
                  <w:pPr>
                    <w:adjustRightInd w:val="0"/>
                    <w:snapToGrid w:val="0"/>
                    <w:spacing w:line="200" w:lineRule="atLeast"/>
                    <w:jc w:val="center"/>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7月7日-10日</w:t>
                  </w:r>
                </w:p>
              </w:tc>
              <w:tc>
                <w:tcPr>
                  <w:tcW w:w="1605" w:type="pct"/>
                  <w:tcBorders>
                    <w:tl2br w:val="nil"/>
                    <w:tr2bl w:val="nil"/>
                  </w:tcBorders>
                  <w:noWrap w:val="0"/>
                  <w:vAlign w:val="center"/>
                </w:tcPr>
                <w:p w14:paraId="71050D03">
                  <w:pPr>
                    <w:adjustRightInd w:val="0"/>
                    <w:snapToGrid w:val="0"/>
                    <w:spacing w:line="200" w:lineRule="atLeast"/>
                    <w:jc w:val="center"/>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7月7日-10日</w:t>
                  </w:r>
                </w:p>
              </w:tc>
            </w:tr>
            <w:tr w14:paraId="51D03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788" w:type="pct"/>
                  <w:tcBorders>
                    <w:tl2br w:val="nil"/>
                    <w:tr2bl w:val="nil"/>
                  </w:tcBorders>
                  <w:noWrap w:val="0"/>
                  <w:vAlign w:val="center"/>
                </w:tcPr>
                <w:p w14:paraId="7B7A6896">
                  <w:pPr>
                    <w:snapToGrid w:val="0"/>
                    <w:spacing w:line="200" w:lineRule="atLeast"/>
                    <w:jc w:val="center"/>
                    <w:rPr>
                      <w:rFonts w:hint="eastAsia" w:ascii="宋体" w:hAnsi="宋体" w:eastAsia="宋体" w:cs="宋体"/>
                      <w:sz w:val="21"/>
                      <w:szCs w:val="21"/>
                      <w:highlight w:val="none"/>
                    </w:rPr>
                  </w:pPr>
                  <w:r>
                    <w:rPr>
                      <w:rFonts w:hint="eastAsia" w:ascii="宋体" w:hAnsi="宋体" w:eastAsia="宋体" w:cs="宋体"/>
                      <w:sz w:val="21"/>
                      <w:szCs w:val="21"/>
                      <w:lang w:val="en-US" w:eastAsia="zh-CN"/>
                    </w:rPr>
                    <w:t>四平墨麟新材料有限公司</w:t>
                  </w:r>
                </w:p>
              </w:tc>
              <w:tc>
                <w:tcPr>
                  <w:tcW w:w="1605" w:type="pct"/>
                  <w:tcBorders>
                    <w:tl2br w:val="nil"/>
                    <w:tr2bl w:val="nil"/>
                  </w:tcBorders>
                  <w:noWrap w:val="0"/>
                  <w:vAlign w:val="center"/>
                </w:tcPr>
                <w:p w14:paraId="31B19B84">
                  <w:pPr>
                    <w:adjustRightInd w:val="0"/>
                    <w:snapToGrid w:val="0"/>
                    <w:spacing w:line="200" w:lineRule="atLeast"/>
                    <w:jc w:val="center"/>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0.105-0.117</w:t>
                  </w:r>
                </w:p>
              </w:tc>
              <w:tc>
                <w:tcPr>
                  <w:tcW w:w="1605" w:type="pct"/>
                  <w:tcBorders>
                    <w:tl2br w:val="nil"/>
                    <w:tr2bl w:val="nil"/>
                  </w:tcBorders>
                  <w:noWrap w:val="0"/>
                  <w:vAlign w:val="center"/>
                </w:tcPr>
                <w:p w14:paraId="6D1F06D4">
                  <w:pPr>
                    <w:adjustRightInd w:val="0"/>
                    <w:snapToGrid w:val="0"/>
                    <w:spacing w:line="200" w:lineRule="atLeast"/>
                    <w:jc w:val="center"/>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olor w:val="auto"/>
                      <w:kern w:val="0"/>
                      <w:sz w:val="21"/>
                      <w:szCs w:val="21"/>
                      <w:highlight w:val="none"/>
                      <w:shd w:val="clear" w:color="auto" w:fill="auto"/>
                      <w:lang w:val="en-US" w:eastAsia="zh-CN" w:bidi="ar"/>
                    </w:rPr>
                    <w:t>0.005L</w:t>
                  </w:r>
                </w:p>
              </w:tc>
            </w:tr>
            <w:tr w14:paraId="303DB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788" w:type="pct"/>
                  <w:tcBorders>
                    <w:tl2br w:val="nil"/>
                    <w:tr2bl w:val="nil"/>
                  </w:tcBorders>
                  <w:noWrap w:val="0"/>
                  <w:vAlign w:val="center"/>
                </w:tcPr>
                <w:p w14:paraId="5F6C04EF">
                  <w:pPr>
                    <w:snapToGrid w:val="0"/>
                    <w:spacing w:line="20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标准指数</w:t>
                  </w:r>
                </w:p>
              </w:tc>
              <w:tc>
                <w:tcPr>
                  <w:tcW w:w="1605" w:type="pct"/>
                  <w:tcBorders>
                    <w:tl2br w:val="nil"/>
                    <w:tr2bl w:val="nil"/>
                  </w:tcBorders>
                  <w:noWrap w:val="0"/>
                  <w:vAlign w:val="center"/>
                </w:tcPr>
                <w:p w14:paraId="27DB0D6A">
                  <w:pPr>
                    <w:adjustRightInd w:val="0"/>
                    <w:snapToGrid w:val="0"/>
                    <w:spacing w:line="200" w:lineRule="atLeast"/>
                    <w:jc w:val="center"/>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0.35-0.39</w:t>
                  </w:r>
                </w:p>
              </w:tc>
              <w:tc>
                <w:tcPr>
                  <w:tcW w:w="1605" w:type="pct"/>
                  <w:tcBorders>
                    <w:tl2br w:val="nil"/>
                    <w:tr2bl w:val="nil"/>
                  </w:tcBorders>
                  <w:noWrap w:val="0"/>
                  <w:vAlign w:val="center"/>
                </w:tcPr>
                <w:p w14:paraId="688040C6">
                  <w:pPr>
                    <w:adjustRightInd w:val="0"/>
                    <w:snapToGrid w:val="0"/>
                    <w:spacing w:line="200" w:lineRule="atLeast"/>
                    <w:jc w:val="center"/>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0.008（按检出限的一半计算）</w:t>
                  </w:r>
                </w:p>
              </w:tc>
            </w:tr>
          </w:tbl>
          <w:p w14:paraId="5C30FA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aps w:val="0"/>
                <w:color w:val="auto"/>
                <w:sz w:val="24"/>
                <w:highlight w:val="none"/>
                <w:u w:val="none" w:color="auto"/>
                <w:lang w:val="en-US" w:eastAsia="zh-CN"/>
              </w:rPr>
            </w:pPr>
            <w:r>
              <w:rPr>
                <w:rFonts w:ascii="Times New Roman" w:hAnsi="Times New Roman" w:eastAsia="宋体"/>
                <w:caps w:val="0"/>
                <w:color w:val="auto"/>
                <w:sz w:val="24"/>
                <w:highlight w:val="none"/>
                <w:u w:val="none" w:color="auto"/>
              </w:rPr>
              <w:t>由监测结果可以看出，</w:t>
            </w:r>
            <w:r>
              <w:rPr>
                <w:rFonts w:hint="eastAsia" w:ascii="Times New Roman" w:hAnsi="Times New Roman" w:eastAsia="宋体"/>
                <w:caps w:val="0"/>
                <w:color w:val="auto"/>
                <w:sz w:val="24"/>
                <w:highlight w:val="none"/>
                <w:u w:val="none" w:color="auto"/>
                <w:lang w:eastAsia="zh-CN"/>
              </w:rPr>
              <w:t>特征污</w:t>
            </w:r>
            <w:r>
              <w:rPr>
                <w:rFonts w:hint="eastAsia" w:ascii="Times New Roman" w:hAnsi="Times New Roman" w:eastAsia="宋体" w:cs="Times New Roman"/>
                <w:caps w:val="0"/>
                <w:color w:val="auto"/>
                <w:sz w:val="24"/>
                <w:highlight w:val="none"/>
                <w:u w:val="none" w:color="auto"/>
                <w:lang w:eastAsia="zh-CN"/>
              </w:rPr>
              <w:t>染物</w:t>
            </w:r>
            <w:r>
              <w:rPr>
                <w:rFonts w:hint="eastAsia" w:ascii="Times New Roman" w:hAnsi="Times New Roman" w:eastAsia="宋体" w:cs="Times New Roman"/>
                <w:caps w:val="0"/>
                <w:color w:val="auto"/>
                <w:sz w:val="24"/>
                <w:highlight w:val="none"/>
                <w:u w:val="none" w:color="auto"/>
                <w:lang w:val="en-US" w:eastAsia="zh-CN"/>
              </w:rPr>
              <w:t>能够满足《环境空气质量标准》（GB3095-2012）中二级标准要求。</w:t>
            </w:r>
          </w:p>
          <w:p w14:paraId="19D69DD0">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caps w:val="0"/>
                <w:color w:val="auto"/>
                <w:sz w:val="24"/>
                <w:szCs w:val="24"/>
                <w:highlight w:val="none"/>
                <w:u w:val="none" w:color="auto"/>
                <w:lang w:val="en-US" w:eastAsia="zh-CN"/>
              </w:rPr>
              <w:t>2、地表水环境质量现状</w:t>
            </w:r>
          </w:p>
          <w:p w14:paraId="38FF6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根据《建设项目环境影响报告表编制技术指南（污染影响类）（试行）》，地表水环境现状监测“引用与建设项目距离近的有效数据，包括近3年的规划环境影响评价的监测数据，所在流域控制单元内国家、地方控制断面监测数据，生态环境主管部门发布的水环境质量数据或地表水达标情况的结论”。</w:t>
            </w:r>
          </w:p>
          <w:p w14:paraId="5727FF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引用吉林省生态环境厅网站发布的重点流域水质月报数据，详见表3-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p>
          <w:p w14:paraId="53E32A59">
            <w:pPr>
              <w:spacing w:line="500" w:lineRule="exact"/>
              <w:jc w:val="center"/>
              <w:rPr>
                <w:rFonts w:hint="default" w:ascii="Times New Roman" w:hAnsi="Times New Roman" w:cs="Times New Roman"/>
                <w:color w:val="auto"/>
                <w:sz w:val="18"/>
                <w:szCs w:val="18"/>
                <w:u w:val="none"/>
                <w:lang w:eastAsia="zh-CN"/>
              </w:rPr>
            </w:pPr>
            <w:r>
              <w:rPr>
                <w:rFonts w:hint="eastAsia" w:ascii="Times New Roman" w:hAnsi="Times New Roman" w:eastAsia="宋体" w:cs="Times New Roman"/>
                <w:b/>
                <w:bCs/>
                <w:caps w:val="0"/>
                <w:color w:val="auto"/>
                <w:spacing w:val="0"/>
                <w:kern w:val="0"/>
                <w:sz w:val="21"/>
                <w:szCs w:val="21"/>
                <w:highlight w:val="none"/>
                <w:u w:val="none" w:color="auto"/>
                <w:lang w:val="zh-CN" w:eastAsia="zh-CN"/>
              </w:rPr>
              <w:t>表3-</w:t>
            </w:r>
            <w:r>
              <w:rPr>
                <w:rFonts w:hint="eastAsia" w:ascii="Times New Roman" w:hAnsi="Times New Roman" w:eastAsia="宋体" w:cs="Times New Roman"/>
                <w:b/>
                <w:bCs/>
                <w:caps w:val="0"/>
                <w:color w:val="auto"/>
                <w:spacing w:val="0"/>
                <w:kern w:val="0"/>
                <w:sz w:val="21"/>
                <w:szCs w:val="21"/>
                <w:highlight w:val="none"/>
                <w:u w:val="none" w:color="auto"/>
                <w:lang w:val="en-US" w:eastAsia="zh-CN"/>
              </w:rPr>
              <w:t>4</w:t>
            </w:r>
            <w:r>
              <w:rPr>
                <w:rFonts w:hint="eastAsia" w:cs="Times New Roman"/>
                <w:b/>
                <w:bCs/>
                <w:caps w:val="0"/>
                <w:color w:val="auto"/>
                <w:spacing w:val="0"/>
                <w:kern w:val="0"/>
                <w:sz w:val="21"/>
                <w:szCs w:val="21"/>
                <w:highlight w:val="none"/>
                <w:u w:val="none" w:color="auto"/>
                <w:lang w:val="en-US" w:eastAsia="zh-CN"/>
              </w:rPr>
              <w:t xml:space="preserve">   2025 </w:t>
            </w:r>
            <w:r>
              <w:rPr>
                <w:rFonts w:hint="default" w:ascii="Times New Roman" w:hAnsi="Times New Roman" w:cs="Times New Roman"/>
                <w:b/>
                <w:bCs/>
                <w:color w:val="auto"/>
                <w:u w:val="none"/>
              </w:rPr>
              <w:t>条子河（林家断面）环境质量例行监测数据</w:t>
            </w:r>
            <w:r>
              <w:rPr>
                <w:rFonts w:hint="eastAsia" w:ascii="Times New Roman" w:hAnsi="Times New Roman" w:cs="Times New Roman"/>
                <w:b/>
                <w:bCs/>
                <w:color w:val="auto"/>
                <w:u w:val="none"/>
                <w:lang w:val="en-US" w:eastAsia="zh-CN"/>
              </w:rPr>
              <w:t xml:space="preserve">  </w:t>
            </w:r>
            <w:r>
              <w:rPr>
                <w:rFonts w:hint="default" w:ascii="Times New Roman" w:hAnsi="Times New Roman" w:cs="Times New Roman"/>
                <w:bCs/>
                <w:color w:val="auto"/>
                <w:sz w:val="18"/>
                <w:szCs w:val="18"/>
                <w:u w:val="none"/>
              </w:rPr>
              <w:t>单位：</w:t>
            </w:r>
            <w:r>
              <w:rPr>
                <w:rFonts w:hint="default" w:ascii="Times New Roman" w:hAnsi="Times New Roman" w:cs="Times New Roman"/>
                <w:color w:val="auto"/>
                <w:sz w:val="18"/>
                <w:szCs w:val="18"/>
                <w:u w:val="none"/>
              </w:rPr>
              <w:t>mg/L</w:t>
            </w:r>
            <w:r>
              <w:rPr>
                <w:rFonts w:hint="eastAsia" w:ascii="Times New Roman" w:hAnsi="Times New Roman" w:cs="Times New Roman"/>
                <w:color w:val="auto"/>
                <w:sz w:val="18"/>
                <w:szCs w:val="18"/>
                <w:u w:val="none"/>
                <w:lang w:eastAsia="zh-CN"/>
              </w:rPr>
              <w:t>（</w:t>
            </w:r>
            <w:r>
              <w:rPr>
                <w:rFonts w:hint="default" w:ascii="Times New Roman" w:hAnsi="Times New Roman" w:cs="Times New Roman"/>
                <w:color w:val="auto"/>
                <w:sz w:val="18"/>
                <w:szCs w:val="18"/>
                <w:u w:val="none"/>
              </w:rPr>
              <w:t>pH无量纲</w:t>
            </w:r>
            <w:r>
              <w:rPr>
                <w:rFonts w:hint="default" w:ascii="Times New Roman" w:hAnsi="Times New Roman" w:cs="Times New Roman"/>
                <w:color w:val="auto"/>
                <w:sz w:val="18"/>
                <w:szCs w:val="18"/>
                <w:u w:val="none"/>
                <w:lang w:eastAsia="zh-CN"/>
              </w:rPr>
              <w:t>）</w:t>
            </w:r>
          </w:p>
          <w:tbl>
            <w:tblPr>
              <w:tblStyle w:val="22"/>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16"/>
              <w:gridCol w:w="614"/>
              <w:gridCol w:w="667"/>
              <w:gridCol w:w="635"/>
              <w:gridCol w:w="719"/>
              <w:gridCol w:w="785"/>
              <w:gridCol w:w="566"/>
              <w:gridCol w:w="625"/>
              <w:gridCol w:w="711"/>
              <w:gridCol w:w="764"/>
              <w:gridCol w:w="619"/>
              <w:gridCol w:w="627"/>
            </w:tblGrid>
            <w:tr w14:paraId="003887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5" w:type="pct"/>
                  <w:vMerge w:val="restart"/>
                  <w:noWrap w:val="0"/>
                  <w:vAlign w:val="center"/>
                </w:tcPr>
                <w:p w14:paraId="41BE1B93">
                  <w:pPr>
                    <w:pStyle w:val="54"/>
                    <w:spacing w:line="300" w:lineRule="exact"/>
                    <w:jc w:val="center"/>
                    <w:rPr>
                      <w:color w:val="auto"/>
                      <w:sz w:val="21"/>
                      <w:szCs w:val="21"/>
                      <w:highlight w:val="none"/>
                    </w:rPr>
                  </w:pPr>
                  <w:r>
                    <w:rPr>
                      <w:color w:val="auto"/>
                      <w:sz w:val="21"/>
                      <w:szCs w:val="21"/>
                      <w:highlight w:val="none"/>
                    </w:rPr>
                    <w:t>断面</w:t>
                  </w:r>
                </w:p>
              </w:tc>
              <w:tc>
                <w:tcPr>
                  <w:tcW w:w="4444" w:type="pct"/>
                  <w:gridSpan w:val="11"/>
                  <w:noWrap w:val="0"/>
                  <w:vAlign w:val="center"/>
                </w:tcPr>
                <w:p w14:paraId="1FF73471">
                  <w:pPr>
                    <w:pStyle w:val="54"/>
                    <w:spacing w:line="300" w:lineRule="exact"/>
                    <w:jc w:val="center"/>
                    <w:rPr>
                      <w:color w:val="auto"/>
                      <w:sz w:val="21"/>
                      <w:szCs w:val="21"/>
                      <w:highlight w:val="none"/>
                    </w:rPr>
                  </w:pPr>
                  <w:r>
                    <w:rPr>
                      <w:color w:val="auto"/>
                      <w:sz w:val="21"/>
                      <w:szCs w:val="21"/>
                      <w:highlight w:val="none"/>
                    </w:rPr>
                    <w:t>水质类型</w:t>
                  </w:r>
                </w:p>
              </w:tc>
            </w:tr>
            <w:tr w14:paraId="676751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5" w:type="pct"/>
                  <w:vMerge w:val="continue"/>
                  <w:noWrap w:val="0"/>
                  <w:vAlign w:val="center"/>
                </w:tcPr>
                <w:p w14:paraId="15961CF2">
                  <w:pPr>
                    <w:spacing w:line="300" w:lineRule="exact"/>
                    <w:jc w:val="center"/>
                    <w:rPr>
                      <w:color w:val="auto"/>
                      <w:szCs w:val="21"/>
                      <w:highlight w:val="none"/>
                    </w:rPr>
                  </w:pPr>
                </w:p>
              </w:tc>
              <w:tc>
                <w:tcPr>
                  <w:tcW w:w="372" w:type="pct"/>
                  <w:noWrap w:val="0"/>
                  <w:vAlign w:val="center"/>
                </w:tcPr>
                <w:p w14:paraId="55EE12CD">
                  <w:pPr>
                    <w:pStyle w:val="54"/>
                    <w:spacing w:line="300" w:lineRule="exact"/>
                    <w:jc w:val="center"/>
                    <w:rPr>
                      <w:color w:val="auto"/>
                      <w:sz w:val="21"/>
                      <w:szCs w:val="21"/>
                      <w:highlight w:val="none"/>
                    </w:rPr>
                  </w:pPr>
                  <w:r>
                    <w:rPr>
                      <w:color w:val="auto"/>
                      <w:sz w:val="21"/>
                      <w:szCs w:val="21"/>
                      <w:highlight w:val="none"/>
                    </w:rPr>
                    <w:t>1</w:t>
                  </w:r>
                </w:p>
              </w:tc>
              <w:tc>
                <w:tcPr>
                  <w:tcW w:w="404" w:type="pct"/>
                  <w:noWrap w:val="0"/>
                  <w:vAlign w:val="center"/>
                </w:tcPr>
                <w:p w14:paraId="4B32A833">
                  <w:pPr>
                    <w:pStyle w:val="54"/>
                    <w:spacing w:line="300" w:lineRule="exact"/>
                    <w:jc w:val="center"/>
                    <w:rPr>
                      <w:color w:val="auto"/>
                      <w:sz w:val="21"/>
                      <w:szCs w:val="21"/>
                      <w:highlight w:val="none"/>
                    </w:rPr>
                  </w:pPr>
                  <w:r>
                    <w:rPr>
                      <w:color w:val="auto"/>
                      <w:sz w:val="21"/>
                      <w:szCs w:val="21"/>
                      <w:highlight w:val="none"/>
                    </w:rPr>
                    <w:t>2</w:t>
                  </w:r>
                </w:p>
              </w:tc>
              <w:tc>
                <w:tcPr>
                  <w:tcW w:w="385" w:type="pct"/>
                  <w:noWrap w:val="0"/>
                  <w:vAlign w:val="center"/>
                </w:tcPr>
                <w:p w14:paraId="50B8775E">
                  <w:pPr>
                    <w:pStyle w:val="54"/>
                    <w:spacing w:line="300" w:lineRule="exact"/>
                    <w:jc w:val="center"/>
                    <w:rPr>
                      <w:color w:val="auto"/>
                      <w:sz w:val="21"/>
                      <w:szCs w:val="21"/>
                      <w:highlight w:val="none"/>
                    </w:rPr>
                  </w:pPr>
                  <w:r>
                    <w:rPr>
                      <w:color w:val="auto"/>
                      <w:sz w:val="21"/>
                      <w:szCs w:val="21"/>
                      <w:highlight w:val="none"/>
                    </w:rPr>
                    <w:t>3</w:t>
                  </w:r>
                </w:p>
              </w:tc>
              <w:tc>
                <w:tcPr>
                  <w:tcW w:w="436" w:type="pct"/>
                  <w:noWrap w:val="0"/>
                  <w:vAlign w:val="center"/>
                </w:tcPr>
                <w:p w14:paraId="17D6F2B9">
                  <w:pPr>
                    <w:pStyle w:val="54"/>
                    <w:spacing w:line="300" w:lineRule="exact"/>
                    <w:jc w:val="center"/>
                    <w:rPr>
                      <w:color w:val="auto"/>
                      <w:sz w:val="21"/>
                      <w:szCs w:val="21"/>
                      <w:highlight w:val="none"/>
                    </w:rPr>
                  </w:pPr>
                  <w:r>
                    <w:rPr>
                      <w:color w:val="auto"/>
                      <w:sz w:val="21"/>
                      <w:szCs w:val="21"/>
                      <w:highlight w:val="none"/>
                    </w:rPr>
                    <w:t>4</w:t>
                  </w:r>
                </w:p>
              </w:tc>
              <w:tc>
                <w:tcPr>
                  <w:tcW w:w="476" w:type="pct"/>
                  <w:noWrap w:val="0"/>
                  <w:vAlign w:val="center"/>
                </w:tcPr>
                <w:p w14:paraId="564622D8">
                  <w:pPr>
                    <w:pStyle w:val="54"/>
                    <w:spacing w:line="300" w:lineRule="exact"/>
                    <w:jc w:val="center"/>
                    <w:rPr>
                      <w:color w:val="auto"/>
                      <w:sz w:val="21"/>
                      <w:szCs w:val="21"/>
                      <w:highlight w:val="none"/>
                    </w:rPr>
                  </w:pPr>
                  <w:r>
                    <w:rPr>
                      <w:color w:val="auto"/>
                      <w:sz w:val="21"/>
                      <w:szCs w:val="21"/>
                      <w:highlight w:val="none"/>
                    </w:rPr>
                    <w:t>5</w:t>
                  </w:r>
                </w:p>
              </w:tc>
              <w:tc>
                <w:tcPr>
                  <w:tcW w:w="343" w:type="pct"/>
                  <w:noWrap w:val="0"/>
                  <w:vAlign w:val="center"/>
                </w:tcPr>
                <w:p w14:paraId="3E6A6CAE">
                  <w:pPr>
                    <w:pStyle w:val="54"/>
                    <w:spacing w:line="300" w:lineRule="exact"/>
                    <w:jc w:val="center"/>
                    <w:rPr>
                      <w:rFonts w:hint="eastAsia"/>
                      <w:color w:val="auto"/>
                      <w:sz w:val="21"/>
                      <w:szCs w:val="21"/>
                      <w:highlight w:val="none"/>
                    </w:rPr>
                  </w:pPr>
                  <w:r>
                    <w:rPr>
                      <w:color w:val="auto"/>
                      <w:sz w:val="21"/>
                      <w:szCs w:val="21"/>
                      <w:highlight w:val="none"/>
                    </w:rPr>
                    <w:t>6</w:t>
                  </w:r>
                </w:p>
              </w:tc>
              <w:tc>
                <w:tcPr>
                  <w:tcW w:w="379" w:type="pct"/>
                  <w:noWrap w:val="0"/>
                  <w:vAlign w:val="center"/>
                </w:tcPr>
                <w:p w14:paraId="2A96842C">
                  <w:pPr>
                    <w:pStyle w:val="54"/>
                    <w:spacing w:line="30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7</w:t>
                  </w:r>
                </w:p>
              </w:tc>
              <w:tc>
                <w:tcPr>
                  <w:tcW w:w="431" w:type="pct"/>
                  <w:noWrap w:val="0"/>
                  <w:vAlign w:val="center"/>
                </w:tcPr>
                <w:p w14:paraId="1C81568C">
                  <w:pPr>
                    <w:pStyle w:val="54"/>
                    <w:spacing w:line="3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463" w:type="pct"/>
                  <w:noWrap w:val="0"/>
                  <w:vAlign w:val="center"/>
                </w:tcPr>
                <w:p w14:paraId="34740E30">
                  <w:pPr>
                    <w:pStyle w:val="54"/>
                    <w:spacing w:line="3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375" w:type="pct"/>
                  <w:noWrap w:val="0"/>
                  <w:vAlign w:val="center"/>
                </w:tcPr>
                <w:p w14:paraId="0B8B899B">
                  <w:pPr>
                    <w:pStyle w:val="54"/>
                    <w:spacing w:line="3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377" w:type="pct"/>
                  <w:noWrap w:val="0"/>
                  <w:vAlign w:val="center"/>
                </w:tcPr>
                <w:p w14:paraId="71C12FD1">
                  <w:pPr>
                    <w:pStyle w:val="54"/>
                    <w:spacing w:line="30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11</w:t>
                  </w:r>
                </w:p>
              </w:tc>
            </w:tr>
            <w:tr w14:paraId="427A80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5" w:type="pct"/>
                  <w:noWrap w:val="0"/>
                  <w:vAlign w:val="center"/>
                </w:tcPr>
                <w:p w14:paraId="7AD8E78F">
                  <w:pPr>
                    <w:pStyle w:val="54"/>
                    <w:spacing w:line="300" w:lineRule="exact"/>
                    <w:jc w:val="center"/>
                    <w:rPr>
                      <w:color w:val="auto"/>
                      <w:sz w:val="21"/>
                      <w:szCs w:val="21"/>
                      <w:highlight w:val="none"/>
                    </w:rPr>
                  </w:pPr>
                  <w:r>
                    <w:rPr>
                      <w:color w:val="auto"/>
                      <w:sz w:val="21"/>
                      <w:szCs w:val="21"/>
                      <w:highlight w:val="none"/>
                    </w:rPr>
                    <w:t>条子河林家断面</w:t>
                  </w:r>
                </w:p>
              </w:tc>
              <w:tc>
                <w:tcPr>
                  <w:tcW w:w="372" w:type="pct"/>
                  <w:noWrap w:val="0"/>
                  <w:vAlign w:val="center"/>
                </w:tcPr>
                <w:p w14:paraId="718559BF">
                  <w:pPr>
                    <w:pStyle w:val="54"/>
                    <w:spacing w:line="300" w:lineRule="exact"/>
                    <w:jc w:val="center"/>
                    <w:rPr>
                      <w:color w:val="auto"/>
                      <w:sz w:val="21"/>
                      <w:szCs w:val="21"/>
                      <w:highlight w:val="none"/>
                    </w:rPr>
                  </w:pPr>
                  <w:r>
                    <w:rPr>
                      <w:color w:val="auto"/>
                      <w:w w:val="99"/>
                      <w:sz w:val="21"/>
                      <w:szCs w:val="21"/>
                      <w:highlight w:val="none"/>
                    </w:rPr>
                    <w:t>Ⅲ</w:t>
                  </w:r>
                </w:p>
              </w:tc>
              <w:tc>
                <w:tcPr>
                  <w:tcW w:w="404" w:type="pct"/>
                  <w:noWrap w:val="0"/>
                  <w:vAlign w:val="center"/>
                </w:tcPr>
                <w:p w14:paraId="234207A2">
                  <w:pPr>
                    <w:pStyle w:val="54"/>
                    <w:spacing w:line="300" w:lineRule="exact"/>
                    <w:jc w:val="center"/>
                    <w:rPr>
                      <w:color w:val="auto"/>
                      <w:sz w:val="21"/>
                      <w:szCs w:val="21"/>
                      <w:highlight w:val="none"/>
                    </w:rPr>
                  </w:pPr>
                  <w:r>
                    <w:rPr>
                      <w:color w:val="auto"/>
                      <w:w w:val="99"/>
                      <w:sz w:val="21"/>
                      <w:szCs w:val="21"/>
                      <w:highlight w:val="none"/>
                    </w:rPr>
                    <w:t>Ⅲ</w:t>
                  </w:r>
                </w:p>
              </w:tc>
              <w:tc>
                <w:tcPr>
                  <w:tcW w:w="385" w:type="pct"/>
                  <w:noWrap w:val="0"/>
                  <w:vAlign w:val="center"/>
                </w:tcPr>
                <w:p w14:paraId="20B0BAC9">
                  <w:pPr>
                    <w:pStyle w:val="54"/>
                    <w:spacing w:line="300" w:lineRule="exact"/>
                    <w:jc w:val="center"/>
                    <w:rPr>
                      <w:color w:val="auto"/>
                      <w:sz w:val="21"/>
                      <w:szCs w:val="21"/>
                      <w:highlight w:val="none"/>
                    </w:rPr>
                  </w:pPr>
                  <w:r>
                    <w:rPr>
                      <w:color w:val="auto"/>
                      <w:w w:val="99"/>
                      <w:sz w:val="21"/>
                      <w:szCs w:val="21"/>
                      <w:highlight w:val="none"/>
                    </w:rPr>
                    <w:t>Ⅲ</w:t>
                  </w:r>
                </w:p>
              </w:tc>
              <w:tc>
                <w:tcPr>
                  <w:tcW w:w="436" w:type="pct"/>
                  <w:noWrap w:val="0"/>
                  <w:vAlign w:val="center"/>
                </w:tcPr>
                <w:p w14:paraId="72C932F9">
                  <w:pPr>
                    <w:pStyle w:val="54"/>
                    <w:spacing w:line="300" w:lineRule="exact"/>
                    <w:jc w:val="center"/>
                    <w:rPr>
                      <w:color w:val="auto"/>
                      <w:sz w:val="21"/>
                      <w:szCs w:val="21"/>
                      <w:highlight w:val="none"/>
                    </w:rPr>
                  </w:pPr>
                  <w:r>
                    <w:rPr>
                      <w:color w:val="auto"/>
                      <w:w w:val="99"/>
                      <w:sz w:val="21"/>
                      <w:szCs w:val="21"/>
                      <w:highlight w:val="none"/>
                    </w:rPr>
                    <w:t>Ⅳ</w:t>
                  </w:r>
                </w:p>
              </w:tc>
              <w:tc>
                <w:tcPr>
                  <w:tcW w:w="476" w:type="pct"/>
                  <w:noWrap w:val="0"/>
                  <w:vAlign w:val="center"/>
                </w:tcPr>
                <w:p w14:paraId="2B735869">
                  <w:pPr>
                    <w:pStyle w:val="54"/>
                    <w:spacing w:line="300" w:lineRule="exact"/>
                    <w:jc w:val="center"/>
                    <w:rPr>
                      <w:color w:val="auto"/>
                      <w:sz w:val="21"/>
                      <w:szCs w:val="21"/>
                      <w:highlight w:val="none"/>
                    </w:rPr>
                  </w:pPr>
                  <w:r>
                    <w:rPr>
                      <w:color w:val="auto"/>
                      <w:w w:val="99"/>
                      <w:sz w:val="21"/>
                      <w:szCs w:val="21"/>
                      <w:highlight w:val="none"/>
                    </w:rPr>
                    <w:t>Ⅳ</w:t>
                  </w:r>
                </w:p>
              </w:tc>
              <w:tc>
                <w:tcPr>
                  <w:tcW w:w="343" w:type="pct"/>
                  <w:noWrap w:val="0"/>
                  <w:vAlign w:val="center"/>
                </w:tcPr>
                <w:p w14:paraId="5D15843B">
                  <w:pPr>
                    <w:pStyle w:val="54"/>
                    <w:spacing w:line="300" w:lineRule="exact"/>
                    <w:jc w:val="center"/>
                    <w:rPr>
                      <w:color w:val="auto"/>
                      <w:w w:val="99"/>
                      <w:sz w:val="21"/>
                      <w:szCs w:val="21"/>
                      <w:highlight w:val="none"/>
                    </w:rPr>
                  </w:pPr>
                  <w:r>
                    <w:rPr>
                      <w:color w:val="auto"/>
                      <w:w w:val="99"/>
                      <w:sz w:val="21"/>
                      <w:szCs w:val="21"/>
                      <w:highlight w:val="none"/>
                    </w:rPr>
                    <w:t>Ⅳ</w:t>
                  </w:r>
                </w:p>
              </w:tc>
              <w:tc>
                <w:tcPr>
                  <w:tcW w:w="379" w:type="pct"/>
                  <w:noWrap w:val="0"/>
                  <w:vAlign w:val="center"/>
                </w:tcPr>
                <w:p w14:paraId="4820A9D4">
                  <w:pPr>
                    <w:pStyle w:val="54"/>
                    <w:spacing w:line="300" w:lineRule="exact"/>
                    <w:jc w:val="center"/>
                    <w:rPr>
                      <w:color w:val="auto"/>
                      <w:w w:val="99"/>
                      <w:sz w:val="21"/>
                      <w:szCs w:val="21"/>
                      <w:highlight w:val="none"/>
                    </w:rPr>
                  </w:pPr>
                  <w:r>
                    <w:rPr>
                      <w:color w:val="auto"/>
                      <w:w w:val="99"/>
                      <w:sz w:val="21"/>
                      <w:szCs w:val="21"/>
                      <w:highlight w:val="none"/>
                    </w:rPr>
                    <w:t>Ⅳ</w:t>
                  </w:r>
                </w:p>
              </w:tc>
              <w:tc>
                <w:tcPr>
                  <w:tcW w:w="431" w:type="pct"/>
                  <w:noWrap w:val="0"/>
                  <w:vAlign w:val="center"/>
                </w:tcPr>
                <w:p w14:paraId="5DE14512">
                  <w:pPr>
                    <w:pStyle w:val="54"/>
                    <w:spacing w:line="300" w:lineRule="exact"/>
                    <w:jc w:val="center"/>
                    <w:rPr>
                      <w:color w:val="auto"/>
                      <w:w w:val="99"/>
                      <w:sz w:val="21"/>
                      <w:szCs w:val="21"/>
                      <w:highlight w:val="none"/>
                    </w:rPr>
                  </w:pPr>
                  <w:r>
                    <w:rPr>
                      <w:color w:val="auto"/>
                      <w:w w:val="99"/>
                      <w:sz w:val="21"/>
                      <w:szCs w:val="21"/>
                      <w:highlight w:val="none"/>
                    </w:rPr>
                    <w:t>Ⅳ</w:t>
                  </w:r>
                </w:p>
              </w:tc>
              <w:tc>
                <w:tcPr>
                  <w:tcW w:w="463" w:type="pct"/>
                  <w:noWrap w:val="0"/>
                  <w:vAlign w:val="center"/>
                </w:tcPr>
                <w:p w14:paraId="5EBD98A6">
                  <w:pPr>
                    <w:pStyle w:val="54"/>
                    <w:spacing w:line="300" w:lineRule="exact"/>
                    <w:jc w:val="center"/>
                    <w:rPr>
                      <w:color w:val="auto"/>
                      <w:w w:val="99"/>
                      <w:sz w:val="21"/>
                      <w:szCs w:val="21"/>
                      <w:highlight w:val="none"/>
                    </w:rPr>
                  </w:pPr>
                  <w:r>
                    <w:rPr>
                      <w:color w:val="auto"/>
                      <w:w w:val="99"/>
                      <w:sz w:val="21"/>
                      <w:szCs w:val="21"/>
                      <w:highlight w:val="none"/>
                    </w:rPr>
                    <w:t>Ⅳ</w:t>
                  </w:r>
                </w:p>
              </w:tc>
              <w:tc>
                <w:tcPr>
                  <w:tcW w:w="375" w:type="pct"/>
                  <w:noWrap w:val="0"/>
                  <w:vAlign w:val="center"/>
                </w:tcPr>
                <w:p w14:paraId="76D5306A">
                  <w:pPr>
                    <w:pStyle w:val="54"/>
                    <w:spacing w:line="300" w:lineRule="exact"/>
                    <w:jc w:val="center"/>
                    <w:rPr>
                      <w:color w:val="auto"/>
                      <w:w w:val="99"/>
                      <w:sz w:val="21"/>
                      <w:szCs w:val="21"/>
                      <w:highlight w:val="none"/>
                    </w:rPr>
                  </w:pPr>
                  <w:r>
                    <w:rPr>
                      <w:color w:val="auto"/>
                      <w:w w:val="99"/>
                      <w:sz w:val="21"/>
                      <w:szCs w:val="21"/>
                      <w:highlight w:val="none"/>
                    </w:rPr>
                    <w:t>Ⅲ</w:t>
                  </w:r>
                </w:p>
              </w:tc>
              <w:tc>
                <w:tcPr>
                  <w:tcW w:w="377" w:type="pct"/>
                  <w:noWrap w:val="0"/>
                  <w:vAlign w:val="center"/>
                </w:tcPr>
                <w:p w14:paraId="20723E8F">
                  <w:pPr>
                    <w:pStyle w:val="54"/>
                    <w:spacing w:line="300" w:lineRule="exact"/>
                    <w:jc w:val="center"/>
                    <w:rPr>
                      <w:color w:val="auto"/>
                      <w:w w:val="99"/>
                      <w:sz w:val="21"/>
                      <w:szCs w:val="21"/>
                      <w:highlight w:val="none"/>
                    </w:rPr>
                  </w:pPr>
                  <w:r>
                    <w:rPr>
                      <w:color w:val="auto"/>
                      <w:w w:val="99"/>
                      <w:sz w:val="21"/>
                      <w:szCs w:val="21"/>
                      <w:highlight w:val="none"/>
                    </w:rPr>
                    <w:t>Ⅲ</w:t>
                  </w:r>
                </w:p>
              </w:tc>
            </w:tr>
          </w:tbl>
          <w:p w14:paraId="0AB258FF">
            <w:pPr>
              <w:spacing w:line="300" w:lineRule="exact"/>
              <w:ind w:left="0" w:leftChars="0" w:firstLine="0" w:firstLineChars="0"/>
              <w:jc w:val="center"/>
              <w:rPr>
                <w:color w:val="auto"/>
                <w:szCs w:val="21"/>
              </w:rPr>
            </w:pPr>
          </w:p>
          <w:p w14:paraId="66DE3952">
            <w:pPr>
              <w:keepNext w:val="0"/>
              <w:keepLines w:val="0"/>
              <w:pageBreakBefore w:val="0"/>
              <w:widowControl w:val="0"/>
              <w:tabs>
                <w:tab w:val="left" w:pos="828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B050"/>
                <w:sz w:val="24"/>
                <w:u w:val="single"/>
              </w:rPr>
            </w:pPr>
            <w:r>
              <w:rPr>
                <w:rFonts w:hint="eastAsia" w:ascii="宋体" w:hAnsi="宋体" w:eastAsia="宋体" w:cs="宋体"/>
                <w:color w:val="00B050"/>
                <w:sz w:val="24"/>
                <w:u w:val="single"/>
              </w:rPr>
              <w:t>根据 DB22/388-2004《吉林省地表水功能区》中功能区划可知，原则条子河评价水域执行《地表水环境质量标准》（GB3838-2002）中Ⅲ类水质标准。根据《吉林省“十四五”重点流域水生态环境保护规划》，“十四五”期间，条子河林家断面要求达到优于Ⅳ类（含）。</w:t>
            </w:r>
          </w:p>
          <w:p w14:paraId="70B4C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B050"/>
                <w:sz w:val="24"/>
                <w:u w:val="single"/>
              </w:rPr>
            </w:pPr>
            <w:r>
              <w:rPr>
                <w:rFonts w:hint="eastAsia" w:ascii="宋体" w:hAnsi="宋体" w:eastAsia="宋体" w:cs="宋体"/>
                <w:color w:val="00B050"/>
                <w:sz w:val="24"/>
                <w:u w:val="single"/>
              </w:rPr>
              <w:t>根据</w:t>
            </w:r>
            <w:r>
              <w:rPr>
                <w:rFonts w:hint="eastAsia" w:ascii="宋体" w:hAnsi="宋体" w:eastAsia="宋体" w:cs="宋体"/>
                <w:color w:val="00B050"/>
                <w:sz w:val="24"/>
                <w:u w:val="single"/>
                <w:lang w:val="en-US" w:eastAsia="zh-CN"/>
              </w:rPr>
              <w:t>吉林省生态环境厅发布的</w:t>
            </w:r>
            <w:r>
              <w:rPr>
                <w:rFonts w:hint="eastAsia" w:ascii="宋体" w:hAnsi="宋体" w:eastAsia="宋体" w:cs="宋体"/>
                <w:color w:val="00B050"/>
                <w:sz w:val="24"/>
                <w:u w:val="single"/>
              </w:rPr>
              <w:t>吉林省地表水国控断面水质月报，条子河（林家断面）</w:t>
            </w:r>
            <w:r>
              <w:rPr>
                <w:rFonts w:hint="eastAsia" w:ascii="宋体" w:hAnsi="宋体" w:eastAsia="宋体" w:cs="宋体"/>
                <w:color w:val="00B050"/>
                <w:sz w:val="24"/>
                <w:u w:val="single"/>
                <w:lang w:val="en-US" w:eastAsia="zh-CN"/>
              </w:rPr>
              <w:t>2025年1—11月水质</w:t>
            </w:r>
            <w:r>
              <w:rPr>
                <w:rFonts w:hint="eastAsia" w:ascii="宋体" w:hAnsi="宋体" w:eastAsia="宋体" w:cs="宋体"/>
                <w:color w:val="00B050"/>
                <w:sz w:val="24"/>
                <w:u w:val="single"/>
              </w:rPr>
              <w:t>满足《地表水环境质量标准》（GB3838-2002）Ⅳ类水质目标。</w:t>
            </w:r>
          </w:p>
          <w:p w14:paraId="0B311C4D">
            <w:pPr>
              <w:pageBreakBefore w:val="0"/>
              <w:widowControl w:val="0"/>
              <w:kinsoku/>
              <w:wordWrap/>
              <w:overflowPunct/>
              <w:topLinePunct w:val="0"/>
              <w:autoSpaceDE/>
              <w:autoSpaceDN/>
              <w:bidi w:val="0"/>
              <w:adjustRightInd/>
              <w:spacing w:line="500" w:lineRule="exact"/>
              <w:ind w:firstLine="482" w:firstLineChars="200"/>
              <w:textAlignment w:val="auto"/>
              <w:rPr>
                <w:rFonts w:hint="eastAsia"/>
                <w:b/>
                <w:color w:val="auto"/>
                <w:sz w:val="24"/>
              </w:rPr>
            </w:pPr>
            <w:r>
              <w:rPr>
                <w:rFonts w:hint="eastAsia"/>
                <w:b/>
                <w:color w:val="auto"/>
                <w:sz w:val="24"/>
              </w:rPr>
              <w:t>3、声学环境质量现状</w:t>
            </w:r>
          </w:p>
          <w:p w14:paraId="618C5D4E">
            <w:pPr>
              <w:spacing w:line="500" w:lineRule="exact"/>
              <w:ind w:firstLine="480" w:firstLineChars="200"/>
              <w:outlineLvl w:val="0"/>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本项目周围50m范围内无声环境敏感点，依据《指南》要求，可不进行噪声监测。</w:t>
            </w:r>
          </w:p>
          <w:p w14:paraId="1F87AFA3">
            <w:pPr>
              <w:spacing w:line="500" w:lineRule="exact"/>
              <w:ind w:firstLine="482" w:firstLineChars="200"/>
              <w:outlineLvl w:val="0"/>
              <w:rPr>
                <w:rFonts w:hint="eastAsia"/>
                <w:b/>
                <w:color w:val="auto"/>
                <w:sz w:val="24"/>
              </w:rPr>
            </w:pPr>
            <w:r>
              <w:rPr>
                <w:rFonts w:hint="eastAsia"/>
                <w:b/>
                <w:bCs/>
                <w:color w:val="auto"/>
                <w:sz w:val="24"/>
              </w:rPr>
              <w:t>4</w:t>
            </w:r>
            <w:r>
              <w:rPr>
                <w:b/>
                <w:bCs/>
                <w:color w:val="auto"/>
                <w:sz w:val="24"/>
              </w:rPr>
              <w:t>、</w:t>
            </w:r>
            <w:r>
              <w:rPr>
                <w:rFonts w:hint="eastAsia"/>
                <w:b/>
                <w:color w:val="auto"/>
                <w:sz w:val="24"/>
              </w:rPr>
              <w:t>土壤环境质量现状</w:t>
            </w:r>
          </w:p>
          <w:p w14:paraId="5855D7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Cs/>
                <w:color w:val="auto"/>
                <w:sz w:val="24"/>
              </w:rPr>
            </w:pPr>
            <w:r>
              <w:rPr>
                <w:rFonts w:hint="eastAsia" w:ascii="宋体" w:hAnsi="宋体" w:cs="宋体"/>
                <w:bCs/>
                <w:color w:val="auto"/>
                <w:sz w:val="24"/>
              </w:rPr>
              <w:t>（1）监测布点</w:t>
            </w:r>
          </w:p>
          <w:p w14:paraId="1ECEF700">
            <w:pPr>
              <w:spacing w:line="300" w:lineRule="exact"/>
              <w:jc w:val="center"/>
              <w:rPr>
                <w:rFonts w:hint="default" w:ascii="Times New Roman" w:hAnsi="Times New Roman" w:cs="Times New Roman"/>
                <w:b/>
                <w:bCs/>
                <w:color w:val="auto"/>
                <w:szCs w:val="24"/>
                <w:u w:val="none"/>
              </w:rPr>
            </w:pPr>
            <w:r>
              <w:rPr>
                <w:rFonts w:hint="default" w:ascii="Times New Roman" w:hAnsi="Times New Roman" w:cs="Times New Roman"/>
                <w:b/>
                <w:bCs/>
                <w:color w:val="auto"/>
                <w:szCs w:val="24"/>
                <w:u w:val="none"/>
              </w:rPr>
              <w:t>表3.3-25  土壤监测分布点</w:t>
            </w:r>
          </w:p>
          <w:tbl>
            <w:tblPr>
              <w:tblStyle w:val="24"/>
              <w:tblW w:w="4998" w:type="pct"/>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Layout w:type="autofit"/>
              <w:tblCellMar>
                <w:top w:w="0" w:type="dxa"/>
                <w:left w:w="108" w:type="dxa"/>
                <w:bottom w:w="0" w:type="dxa"/>
                <w:right w:w="108" w:type="dxa"/>
              </w:tblCellMar>
            </w:tblPr>
            <w:tblGrid>
              <w:gridCol w:w="508"/>
              <w:gridCol w:w="1339"/>
              <w:gridCol w:w="2113"/>
              <w:gridCol w:w="848"/>
              <w:gridCol w:w="1583"/>
              <w:gridCol w:w="1857"/>
            </w:tblGrid>
            <w:tr w14:paraId="1BC62AB3">
              <w:tblPrEx>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CellMar>
                  <w:top w:w="0" w:type="dxa"/>
                  <w:left w:w="108" w:type="dxa"/>
                  <w:bottom w:w="0" w:type="dxa"/>
                  <w:right w:w="108" w:type="dxa"/>
                </w:tblCellMar>
              </w:tblPrEx>
              <w:tc>
                <w:tcPr>
                  <w:tcW w:w="308" w:type="pct"/>
                  <w:tcBorders>
                    <w:tl2br w:val="nil"/>
                    <w:tr2bl w:val="nil"/>
                  </w:tcBorders>
                  <w:shd w:val="clear" w:color="auto" w:fill="auto"/>
                  <w:noWrap w:val="0"/>
                  <w:vAlign w:val="center"/>
                </w:tcPr>
                <w:p w14:paraId="10F0C28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编号</w:t>
                  </w:r>
                </w:p>
              </w:tc>
              <w:tc>
                <w:tcPr>
                  <w:tcW w:w="811" w:type="pct"/>
                  <w:tcBorders>
                    <w:tl2br w:val="nil"/>
                    <w:tr2bl w:val="nil"/>
                  </w:tcBorders>
                  <w:shd w:val="clear" w:color="auto" w:fill="auto"/>
                  <w:noWrap w:val="0"/>
                  <w:vAlign w:val="center"/>
                </w:tcPr>
                <w:p w14:paraId="3E4D8A14">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监测点名称</w:t>
                  </w:r>
                </w:p>
              </w:tc>
              <w:tc>
                <w:tcPr>
                  <w:tcW w:w="1794" w:type="pct"/>
                  <w:gridSpan w:val="2"/>
                  <w:tcBorders>
                    <w:tl2br w:val="nil"/>
                    <w:tr2bl w:val="nil"/>
                  </w:tcBorders>
                  <w:shd w:val="clear" w:color="auto" w:fill="auto"/>
                  <w:noWrap w:val="0"/>
                  <w:vAlign w:val="center"/>
                </w:tcPr>
                <w:p w14:paraId="250ED676">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布点功能</w:t>
                  </w:r>
                </w:p>
              </w:tc>
              <w:tc>
                <w:tcPr>
                  <w:tcW w:w="959" w:type="pct"/>
                  <w:tcBorders>
                    <w:tl2br w:val="nil"/>
                    <w:tr2bl w:val="nil"/>
                  </w:tcBorders>
                  <w:shd w:val="clear" w:color="auto" w:fill="auto"/>
                  <w:noWrap w:val="0"/>
                  <w:vAlign w:val="center"/>
                </w:tcPr>
                <w:p w14:paraId="1275154F">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监测内容</w:t>
                  </w:r>
                </w:p>
              </w:tc>
              <w:tc>
                <w:tcPr>
                  <w:tcW w:w="1125" w:type="pct"/>
                  <w:tcBorders>
                    <w:tl2br w:val="nil"/>
                    <w:tr2bl w:val="nil"/>
                  </w:tcBorders>
                  <w:shd w:val="clear" w:color="auto" w:fill="auto"/>
                  <w:noWrap w:val="0"/>
                  <w:vAlign w:val="center"/>
                </w:tcPr>
                <w:p w14:paraId="15E670B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监测项目</w:t>
                  </w:r>
                </w:p>
              </w:tc>
            </w:tr>
            <w:tr w14:paraId="12974220">
              <w:tblPrEx>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CellMar>
                  <w:top w:w="0" w:type="dxa"/>
                  <w:left w:w="108" w:type="dxa"/>
                  <w:bottom w:w="0" w:type="dxa"/>
                  <w:right w:w="108" w:type="dxa"/>
                </w:tblCellMar>
              </w:tblPrEx>
              <w:tc>
                <w:tcPr>
                  <w:tcW w:w="308" w:type="pct"/>
                  <w:tcBorders>
                    <w:tl2br w:val="nil"/>
                    <w:tr2bl w:val="nil"/>
                  </w:tcBorders>
                  <w:shd w:val="clear" w:color="auto" w:fill="auto"/>
                  <w:noWrap w:val="0"/>
                  <w:vAlign w:val="center"/>
                </w:tcPr>
                <w:p w14:paraId="7BCA0E0B">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811" w:type="pct"/>
                  <w:tcBorders>
                    <w:tl2br w:val="nil"/>
                    <w:tr2bl w:val="nil"/>
                  </w:tcBorders>
                  <w:shd w:val="clear" w:color="auto" w:fill="auto"/>
                  <w:noWrap w:val="0"/>
                  <w:vAlign w:val="center"/>
                </w:tcPr>
                <w:p w14:paraId="370FF4B4">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四平墨麟新材料有限公司（塔山村4屯）</w:t>
                  </w:r>
                </w:p>
              </w:tc>
              <w:tc>
                <w:tcPr>
                  <w:tcW w:w="1280" w:type="pct"/>
                  <w:tcBorders>
                    <w:tl2br w:val="nil"/>
                    <w:tr2bl w:val="nil"/>
                  </w:tcBorders>
                  <w:shd w:val="clear" w:color="auto" w:fill="auto"/>
                  <w:noWrap w:val="0"/>
                  <w:vAlign w:val="center"/>
                </w:tcPr>
                <w:p w14:paraId="35532199">
                  <w:pPr>
                    <w:jc w:val="center"/>
                    <w:rPr>
                      <w:rFonts w:hint="eastAsia" w:ascii="Times New Roman" w:hAnsi="Times New Roman" w:cs="Times New Roman"/>
                      <w:color w:val="auto"/>
                      <w:kern w:val="2"/>
                      <w:sz w:val="21"/>
                      <w:szCs w:val="21"/>
                      <w:highlight w:val="none"/>
                      <w:u w:val="none"/>
                      <w:lang w:val="en-US" w:eastAsia="zh-CN" w:bidi="ar-SA"/>
                    </w:rPr>
                  </w:pPr>
                  <w:r>
                    <w:rPr>
                      <w:rFonts w:hint="eastAsia" w:ascii="Times New Roman" w:hAnsi="Times New Roman" w:cs="Times New Roman"/>
                      <w:sz w:val="21"/>
                      <w:szCs w:val="21"/>
                      <w:lang w:val="en-US" w:eastAsia="zh-CN"/>
                    </w:rPr>
                    <w:t>了解项目所在地土壤质量</w:t>
                  </w:r>
                </w:p>
              </w:tc>
              <w:tc>
                <w:tcPr>
                  <w:tcW w:w="514" w:type="pct"/>
                  <w:tcBorders>
                    <w:tl2br w:val="nil"/>
                    <w:tr2bl w:val="nil"/>
                  </w:tcBorders>
                  <w:shd w:val="clear" w:color="auto" w:fill="auto"/>
                  <w:noWrap w:val="0"/>
                  <w:vAlign w:val="center"/>
                </w:tcPr>
                <w:p w14:paraId="050036FD">
                  <w:pPr>
                    <w:jc w:val="center"/>
                    <w:rPr>
                      <w:rFonts w:hint="eastAsia" w:ascii="Times New Roman" w:hAnsi="Times New Roman" w:cs="Times New Roman"/>
                      <w:color w:val="auto"/>
                      <w:kern w:val="2"/>
                      <w:sz w:val="21"/>
                      <w:szCs w:val="24"/>
                      <w:u w:val="none"/>
                      <w:lang w:val="en-US" w:eastAsia="zh-CN" w:bidi="ar-SA"/>
                    </w:rPr>
                  </w:pPr>
                  <w:r>
                    <w:rPr>
                      <w:rFonts w:hint="eastAsia" w:ascii="Times New Roman" w:hAnsi="Times New Roman" w:cs="Times New Roman"/>
                      <w:sz w:val="21"/>
                      <w:szCs w:val="21"/>
                      <w:lang w:val="en-US" w:eastAsia="zh-CN"/>
                    </w:rPr>
                    <w:t>区内</w:t>
                  </w:r>
                </w:p>
              </w:tc>
              <w:tc>
                <w:tcPr>
                  <w:tcW w:w="959" w:type="pct"/>
                  <w:tcBorders>
                    <w:tl2br w:val="nil"/>
                    <w:tr2bl w:val="nil"/>
                  </w:tcBorders>
                  <w:shd w:val="clear" w:color="auto" w:fill="auto"/>
                  <w:noWrap w:val="0"/>
                  <w:vAlign w:val="center"/>
                </w:tcPr>
                <w:p w14:paraId="7952586D">
                  <w:pPr>
                    <w:jc w:val="center"/>
                    <w:rPr>
                      <w:rFonts w:hint="default" w:ascii="Times New Roman" w:hAnsi="Times New Roman" w:cs="Times New Roman"/>
                      <w:color w:val="auto"/>
                      <w:kern w:val="2"/>
                      <w:sz w:val="21"/>
                      <w:szCs w:val="21"/>
                      <w:highlight w:val="none"/>
                      <w:u w:val="none"/>
                      <w:lang w:val="en-US" w:eastAsia="zh-CN" w:bidi="ar-SA"/>
                    </w:rPr>
                  </w:pPr>
                  <w:r>
                    <w:rPr>
                      <w:rFonts w:hint="default" w:ascii="Times New Roman" w:hAnsi="Times New Roman" w:cs="Times New Roman"/>
                      <w:color w:val="auto"/>
                      <w:u w:val="none"/>
                    </w:rPr>
                    <w:t>柱状点0-0.5m、0.5-1.5m、1.5-3m</w:t>
                  </w:r>
                </w:p>
              </w:tc>
              <w:tc>
                <w:tcPr>
                  <w:tcW w:w="1125" w:type="pct"/>
                  <w:tcBorders>
                    <w:tl2br w:val="nil"/>
                    <w:tr2bl w:val="nil"/>
                  </w:tcBorders>
                  <w:shd w:val="clear" w:color="auto" w:fill="auto"/>
                  <w:noWrap w:val="0"/>
                  <w:vAlign w:val="center"/>
                </w:tcPr>
                <w:p w14:paraId="7FF4711C">
                  <w:pPr>
                    <w:jc w:val="center"/>
                    <w:rPr>
                      <w:rFonts w:hint="default" w:ascii="Times New Roman" w:hAnsi="Times New Roman" w:cs="Times New Roman"/>
                      <w:color w:val="auto"/>
                      <w:kern w:val="2"/>
                      <w:sz w:val="21"/>
                      <w:szCs w:val="21"/>
                      <w:highlight w:val="none"/>
                      <w:u w:val="none"/>
                      <w:lang w:val="en-US" w:eastAsia="zh-CN" w:bidi="ar-SA"/>
                    </w:rPr>
                  </w:pPr>
                  <w:r>
                    <w:rPr>
                      <w:rFonts w:hint="default" w:ascii="Times New Roman" w:hAnsi="Times New Roman" w:cs="Times New Roman"/>
                      <w:color w:val="auto"/>
                      <w:spacing w:val="-11"/>
                      <w:u w:val="none"/>
                    </w:rPr>
                    <w:t>GB36600-2018中45个基本项、pH、石油烃</w:t>
                  </w:r>
                </w:p>
              </w:tc>
            </w:tr>
          </w:tbl>
          <w:p w14:paraId="57FE6911">
            <w:pPr>
              <w:keepNext w:val="0"/>
              <w:keepLines w:val="0"/>
              <w:pageBreakBefore w:val="0"/>
              <w:widowControl w:val="0"/>
              <w:kinsoku/>
              <w:wordWrap/>
              <w:overflowPunct w:val="0"/>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iCs/>
                <w:color w:val="auto"/>
                <w:sz w:val="24"/>
                <w:szCs w:val="24"/>
                <w:u w:val="none"/>
                <w:lang w:val="en-US" w:eastAsia="zh-CN"/>
              </w:rPr>
            </w:pPr>
            <w:r>
              <w:rPr>
                <w:rFonts w:hint="default" w:ascii="Times New Roman" w:hAnsi="Times New Roman" w:eastAsia="宋体" w:cs="Times New Roman"/>
                <w:iCs/>
                <w:color w:val="auto"/>
                <w:sz w:val="24"/>
                <w:szCs w:val="24"/>
                <w:u w:val="none"/>
                <w:lang w:val="en-US" w:eastAsia="zh-CN"/>
              </w:rPr>
              <w:t>（</w:t>
            </w:r>
            <w:r>
              <w:rPr>
                <w:rFonts w:hint="eastAsia" w:ascii="Times New Roman" w:hAnsi="Times New Roman" w:eastAsia="宋体" w:cs="Times New Roman"/>
                <w:iCs/>
                <w:color w:val="auto"/>
                <w:sz w:val="24"/>
                <w:szCs w:val="24"/>
                <w:u w:val="none"/>
                <w:lang w:val="en-US" w:eastAsia="zh-CN"/>
              </w:rPr>
              <w:t>2</w:t>
            </w:r>
            <w:r>
              <w:rPr>
                <w:rFonts w:hint="default" w:ascii="Times New Roman" w:hAnsi="Times New Roman" w:eastAsia="宋体" w:cs="Times New Roman"/>
                <w:iCs/>
                <w:color w:val="auto"/>
                <w:sz w:val="24"/>
                <w:szCs w:val="24"/>
                <w:u w:val="none"/>
                <w:lang w:val="en-US" w:eastAsia="zh-CN"/>
              </w:rPr>
              <w:t>）监测时间</w:t>
            </w:r>
          </w:p>
          <w:p w14:paraId="64B0E98C">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iCs/>
                <w:color w:val="auto"/>
                <w:sz w:val="24"/>
                <w:szCs w:val="24"/>
                <w:u w:val="none"/>
                <w:lang w:val="zh-CN"/>
              </w:rPr>
            </w:pPr>
            <w:r>
              <w:rPr>
                <w:rFonts w:hint="eastAsia" w:cs="Times New Roman"/>
                <w:iCs/>
                <w:color w:val="auto"/>
                <w:sz w:val="24"/>
                <w:szCs w:val="24"/>
                <w:u w:val="none"/>
                <w:lang w:val="en-US" w:eastAsia="zh-CN"/>
              </w:rPr>
              <w:t>利用《吉林四平经济开发区总体规划》（2025-2035年）环境影响评价报告书中相关数据，</w:t>
            </w:r>
            <w:r>
              <w:rPr>
                <w:rFonts w:hint="default" w:ascii="Times New Roman" w:hAnsi="Times New Roman" w:eastAsia="宋体" w:cs="Times New Roman"/>
                <w:iCs/>
                <w:color w:val="auto"/>
                <w:sz w:val="24"/>
                <w:szCs w:val="24"/>
                <w:u w:val="none"/>
                <w:lang w:val="zh-CN"/>
              </w:rPr>
              <w:t>由</w:t>
            </w:r>
            <w:r>
              <w:rPr>
                <w:rFonts w:hint="eastAsia" w:ascii="Times New Roman" w:hAnsi="Times New Roman" w:eastAsia="宋体" w:cs="Times New Roman"/>
                <w:iCs/>
                <w:color w:val="auto"/>
                <w:sz w:val="24"/>
                <w:szCs w:val="24"/>
                <w:u w:val="none"/>
                <w:lang w:val="zh-CN"/>
              </w:rPr>
              <w:t>吉林省同正检测技术有限公司</w:t>
            </w:r>
            <w:r>
              <w:rPr>
                <w:rFonts w:hint="default" w:ascii="Times New Roman" w:hAnsi="Times New Roman" w:eastAsia="宋体" w:cs="Times New Roman"/>
                <w:iCs/>
                <w:color w:val="auto"/>
                <w:sz w:val="24"/>
                <w:szCs w:val="24"/>
                <w:u w:val="none"/>
                <w:lang w:val="zh-CN"/>
              </w:rPr>
              <w:t>于202</w:t>
            </w:r>
            <w:r>
              <w:rPr>
                <w:rFonts w:hint="eastAsia" w:ascii="Times New Roman" w:hAnsi="Times New Roman" w:eastAsia="宋体" w:cs="Times New Roman"/>
                <w:iCs/>
                <w:color w:val="auto"/>
                <w:sz w:val="24"/>
                <w:szCs w:val="24"/>
                <w:u w:val="none"/>
                <w:lang w:val="en-US" w:eastAsia="zh-CN"/>
              </w:rPr>
              <w:t>5</w:t>
            </w:r>
            <w:r>
              <w:rPr>
                <w:rFonts w:hint="default" w:ascii="Times New Roman" w:hAnsi="Times New Roman" w:eastAsia="宋体" w:cs="Times New Roman"/>
                <w:iCs/>
                <w:color w:val="auto"/>
                <w:sz w:val="24"/>
                <w:szCs w:val="24"/>
                <w:u w:val="none"/>
                <w:lang w:val="zh-CN"/>
              </w:rPr>
              <w:t>年</w:t>
            </w:r>
            <w:r>
              <w:rPr>
                <w:rFonts w:hint="eastAsia" w:ascii="Times New Roman" w:hAnsi="Times New Roman" w:eastAsia="宋体" w:cs="Times New Roman"/>
                <w:iCs/>
                <w:color w:val="auto"/>
                <w:sz w:val="24"/>
                <w:szCs w:val="24"/>
                <w:u w:val="none"/>
                <w:lang w:val="en-US" w:eastAsia="zh-CN"/>
              </w:rPr>
              <w:t>7</w:t>
            </w:r>
            <w:r>
              <w:rPr>
                <w:rFonts w:hint="default" w:ascii="Times New Roman" w:hAnsi="Times New Roman" w:eastAsia="宋体" w:cs="Times New Roman"/>
                <w:iCs/>
                <w:color w:val="auto"/>
                <w:sz w:val="24"/>
                <w:szCs w:val="24"/>
                <w:u w:val="none"/>
                <w:lang w:val="zh-CN"/>
              </w:rPr>
              <w:t>月</w:t>
            </w:r>
            <w:r>
              <w:rPr>
                <w:rFonts w:hint="eastAsia" w:ascii="Times New Roman" w:hAnsi="Times New Roman" w:eastAsia="宋体" w:cs="Times New Roman"/>
                <w:iCs/>
                <w:color w:val="auto"/>
                <w:sz w:val="24"/>
                <w:szCs w:val="24"/>
                <w:u w:val="none"/>
                <w:lang w:val="en-US" w:eastAsia="zh-CN"/>
              </w:rPr>
              <w:t>1</w:t>
            </w:r>
            <w:r>
              <w:rPr>
                <w:rFonts w:hint="default" w:ascii="Times New Roman" w:hAnsi="Times New Roman" w:eastAsia="宋体" w:cs="Times New Roman"/>
                <w:iCs/>
                <w:color w:val="auto"/>
                <w:sz w:val="24"/>
                <w:szCs w:val="24"/>
                <w:u w:val="none"/>
                <w:lang w:val="zh-CN"/>
              </w:rPr>
              <w:t>日采样</w:t>
            </w:r>
            <w:r>
              <w:rPr>
                <w:rFonts w:hint="eastAsia" w:ascii="Times New Roman" w:hAnsi="Times New Roman" w:eastAsia="宋体" w:cs="Times New Roman"/>
                <w:iCs/>
                <w:color w:val="auto"/>
                <w:sz w:val="24"/>
                <w:szCs w:val="24"/>
                <w:u w:val="none"/>
                <w:lang w:val="en-US" w:eastAsia="zh-CN"/>
              </w:rPr>
              <w:t>监测</w:t>
            </w:r>
            <w:r>
              <w:rPr>
                <w:rFonts w:hint="default" w:ascii="Times New Roman" w:hAnsi="Times New Roman" w:eastAsia="宋体" w:cs="Times New Roman"/>
                <w:iCs/>
                <w:color w:val="auto"/>
                <w:sz w:val="24"/>
                <w:szCs w:val="24"/>
                <w:u w:val="none"/>
                <w:lang w:val="zh-CN"/>
              </w:rPr>
              <w:t>，监测1次。</w:t>
            </w:r>
            <w:r>
              <w:rPr>
                <w:rFonts w:hint="eastAsia" w:ascii="Times New Roman" w:hAnsi="Times New Roman" w:eastAsia="宋体" w:cs="Times New Roman"/>
                <w:iCs/>
                <w:color w:val="auto"/>
                <w:sz w:val="24"/>
                <w:szCs w:val="24"/>
                <w:u w:val="none"/>
                <w:lang w:val="zh-CN"/>
              </w:rPr>
              <w:t>（</w:t>
            </w:r>
            <w:r>
              <w:rPr>
                <w:rFonts w:hint="eastAsia" w:ascii="Times New Roman" w:hAnsi="Times New Roman" w:eastAsia="宋体" w:cs="Times New Roman"/>
                <w:iCs/>
                <w:color w:val="auto"/>
                <w:sz w:val="24"/>
                <w:szCs w:val="24"/>
                <w:u w:val="none"/>
                <w:lang w:val="en-US" w:eastAsia="zh-CN"/>
              </w:rPr>
              <w:t>3</w:t>
            </w:r>
            <w:r>
              <w:rPr>
                <w:rFonts w:hint="eastAsia" w:ascii="Times New Roman" w:hAnsi="Times New Roman" w:eastAsia="宋体" w:cs="Times New Roman"/>
                <w:iCs/>
                <w:color w:val="auto"/>
                <w:sz w:val="24"/>
                <w:szCs w:val="24"/>
                <w:u w:val="none"/>
                <w:lang w:val="zh-CN"/>
              </w:rPr>
              <w:t>）监测分析方法</w:t>
            </w:r>
          </w:p>
          <w:p w14:paraId="7E86BCB8">
            <w:pPr>
              <w:pStyle w:val="6"/>
              <w:keepNext w:val="0"/>
              <w:keepLines w:val="0"/>
              <w:pageBreakBefore w:val="0"/>
              <w:widowControl w:val="0"/>
              <w:kinsoku/>
              <w:wordWrap/>
              <w:topLinePunct w:val="0"/>
              <w:autoSpaceDE/>
              <w:autoSpaceDN/>
              <w:bidi w:val="0"/>
              <w:adjustRightInd w:val="0"/>
              <w:spacing w:before="0" w:after="0" w:line="500" w:lineRule="exact"/>
              <w:ind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按照</w:t>
            </w:r>
            <w:r>
              <w:rPr>
                <w:rFonts w:hint="eastAsia" w:ascii="宋体" w:hAnsi="宋体" w:cs="宋体"/>
                <w:color w:val="auto"/>
                <w:sz w:val="24"/>
                <w:szCs w:val="24"/>
                <w:lang w:eastAsia="zh-CN"/>
              </w:rPr>
              <w:t>生态环境部</w:t>
            </w:r>
            <w:r>
              <w:rPr>
                <w:rFonts w:hint="eastAsia" w:ascii="宋体" w:hAnsi="宋体" w:cs="宋体"/>
                <w:color w:val="auto"/>
                <w:sz w:val="24"/>
                <w:szCs w:val="24"/>
              </w:rPr>
              <w:t>颁布的《环境监测技术规范》和《环境监测分析方法》有关规定和要求执行。</w:t>
            </w:r>
          </w:p>
          <w:p w14:paraId="28973F72">
            <w:pPr>
              <w:pStyle w:val="6"/>
              <w:keepNext w:val="0"/>
              <w:keepLines w:val="0"/>
              <w:pageBreakBefore w:val="0"/>
              <w:widowControl w:val="0"/>
              <w:kinsoku/>
              <w:wordWrap/>
              <w:topLinePunct w:val="0"/>
              <w:autoSpaceDE/>
              <w:autoSpaceDN/>
              <w:bidi w:val="0"/>
              <w:adjustRightInd w:val="0"/>
              <w:spacing w:before="0" w:after="0" w:line="500" w:lineRule="exact"/>
              <w:ind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）评价方法</w:t>
            </w:r>
          </w:p>
          <w:p w14:paraId="3BA5A764">
            <w:pPr>
              <w:pStyle w:val="6"/>
              <w:keepNext w:val="0"/>
              <w:keepLines w:val="0"/>
              <w:pageBreakBefore w:val="0"/>
              <w:widowControl w:val="0"/>
              <w:kinsoku/>
              <w:wordWrap/>
              <w:topLinePunct w:val="0"/>
              <w:autoSpaceDE/>
              <w:autoSpaceDN/>
              <w:bidi w:val="0"/>
              <w:adjustRightInd w:val="0"/>
              <w:spacing w:before="0" w:after="0" w:line="500" w:lineRule="exact"/>
              <w:ind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采用标准指数法进行评价，标准指数＞1，表明该因子已超过了规定的标准，指数值越大，超标越严重。公式同地下水评价公式。</w:t>
            </w:r>
          </w:p>
          <w:p w14:paraId="634BCE5E">
            <w:pPr>
              <w:pStyle w:val="6"/>
              <w:keepNext w:val="0"/>
              <w:keepLines w:val="0"/>
              <w:pageBreakBefore w:val="0"/>
              <w:widowControl w:val="0"/>
              <w:kinsoku/>
              <w:wordWrap/>
              <w:topLinePunct w:val="0"/>
              <w:autoSpaceDE/>
              <w:autoSpaceDN/>
              <w:bidi w:val="0"/>
              <w:adjustRightInd w:val="0"/>
              <w:spacing w:before="0" w:after="0" w:line="500" w:lineRule="exact"/>
              <w:ind w:right="0"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）评价标准</w:t>
            </w:r>
          </w:p>
          <w:p w14:paraId="54A2A020">
            <w:pPr>
              <w:keepNext w:val="0"/>
              <w:keepLines w:val="0"/>
              <w:pageBreakBefore w:val="0"/>
              <w:widowControl w:val="0"/>
              <w:kinsoku/>
              <w:wordWrap/>
              <w:overflowPunct w:val="0"/>
              <w:topLinePunct w:val="0"/>
              <w:autoSpaceDE/>
              <w:autoSpaceDN/>
              <w:bidi w:val="0"/>
              <w:adjustRightInd w:val="0"/>
              <w:snapToGrid w:val="0"/>
              <w:spacing w:line="500" w:lineRule="exact"/>
              <w:ind w:firstLine="480" w:firstLineChars="200"/>
              <w:textAlignment w:val="auto"/>
              <w:rPr>
                <w:rFonts w:hint="eastAsia" w:ascii="宋体" w:hAnsi="宋体" w:cs="宋体"/>
                <w:color w:val="auto"/>
                <w:sz w:val="24"/>
              </w:rPr>
            </w:pPr>
            <w:r>
              <w:rPr>
                <w:rFonts w:hint="eastAsia" w:ascii="宋体" w:hAnsi="宋体" w:cs="宋体"/>
                <w:iCs/>
                <w:color w:val="auto"/>
                <w:sz w:val="24"/>
              </w:rPr>
              <w:t>采用</w:t>
            </w:r>
            <w:r>
              <w:rPr>
                <w:rFonts w:hint="eastAsia" w:ascii="宋体" w:hAnsi="宋体" w:cs="宋体"/>
                <w:iCs/>
                <w:color w:val="auto"/>
                <w:sz w:val="24"/>
                <w:lang w:val="zh-CN"/>
              </w:rPr>
              <w:t>GB36600—2018《土壤环境质量 建设用地土壤污染风险管控标准（试行）》中第二类用地筛选值标准；</w:t>
            </w:r>
            <w:r>
              <w:rPr>
                <w:rFonts w:hint="eastAsia" w:ascii="宋体" w:hAnsi="宋体" w:cs="宋体"/>
                <w:iCs/>
                <w:color w:val="auto"/>
                <w:sz w:val="24"/>
              </w:rPr>
              <w:t>pH采用</w:t>
            </w:r>
            <w:r>
              <w:rPr>
                <w:rFonts w:hint="eastAsia" w:ascii="宋体" w:hAnsi="宋体" w:cs="宋体"/>
                <w:color w:val="auto"/>
                <w:sz w:val="24"/>
              </w:rPr>
              <w:t>HJ964-2018《环境影响评价技术导则  土壤环境（试行）》</w:t>
            </w:r>
            <w:r>
              <w:rPr>
                <w:rFonts w:hint="eastAsia" w:ascii="宋体" w:hAnsi="宋体" w:cs="宋体"/>
                <w:iCs/>
                <w:color w:val="auto"/>
                <w:sz w:val="24"/>
              </w:rPr>
              <w:t>附录D.2 土壤酸化、碱化分级标准</w:t>
            </w:r>
            <w:r>
              <w:rPr>
                <w:rFonts w:hint="eastAsia" w:ascii="宋体" w:hAnsi="宋体" w:cs="宋体"/>
                <w:color w:val="auto"/>
                <w:sz w:val="24"/>
              </w:rPr>
              <w:t>。</w:t>
            </w:r>
          </w:p>
          <w:p w14:paraId="0C9446F3">
            <w:pPr>
              <w:pStyle w:val="65"/>
              <w:keepNext w:val="0"/>
              <w:keepLines w:val="0"/>
              <w:pageBreakBefore w:val="0"/>
              <w:widowControl w:val="0"/>
              <w:kinsoku/>
              <w:wordWrap/>
              <w:topLinePunct w:val="0"/>
              <w:autoSpaceDE/>
              <w:autoSpaceDN/>
              <w:bidi w:val="0"/>
              <w:adjustRightInd w:val="0"/>
              <w:snapToGrid w:val="0"/>
              <w:spacing w:line="500" w:lineRule="exact"/>
              <w:ind w:firstLine="480" w:firstLineChars="200"/>
              <w:jc w:val="both"/>
              <w:textAlignment w:val="auto"/>
              <w:rPr>
                <w:rFonts w:hint="eastAsia" w:ascii="宋体" w:hAnsi="宋体" w:cs="宋体"/>
                <w:b w:val="0"/>
                <w:color w:val="auto"/>
                <w:sz w:val="24"/>
                <w:u w:val="none"/>
              </w:rPr>
            </w:pPr>
            <w:r>
              <w:rPr>
                <w:rFonts w:hint="eastAsia" w:ascii="宋体" w:hAnsi="宋体" w:cs="宋体"/>
                <w:b w:val="0"/>
                <w:color w:val="auto"/>
                <w:sz w:val="24"/>
                <w:u w:val="none"/>
              </w:rPr>
              <w:t>（7）监测及评价结果</w:t>
            </w:r>
          </w:p>
          <w:p w14:paraId="69EBFBD6">
            <w:pPr>
              <w:pStyle w:val="6"/>
              <w:keepNext w:val="0"/>
              <w:keepLines w:val="0"/>
              <w:pageBreakBefore w:val="0"/>
              <w:widowControl w:val="0"/>
              <w:kinsoku/>
              <w:wordWrap/>
              <w:overflowPunct/>
              <w:topLinePunct w:val="0"/>
              <w:autoSpaceDE/>
              <w:autoSpaceDN/>
              <w:bidi w:val="0"/>
              <w:adjustRightInd w:val="0"/>
              <w:spacing w:before="0" w:after="0" w:line="500" w:lineRule="exact"/>
              <w:ind w:right="0" w:firstLine="480" w:firstLineChars="200"/>
              <w:textAlignment w:val="auto"/>
              <w:rPr>
                <w:rFonts w:hint="eastAsia" w:ascii="Times New Roman" w:hAnsi="Times New Roman" w:eastAsia="宋体" w:cs="Times New Roman"/>
                <w:b/>
                <w:bCs/>
                <w:caps w:val="0"/>
                <w:color w:val="auto"/>
                <w:spacing w:val="0"/>
                <w:kern w:val="0"/>
                <w:sz w:val="21"/>
                <w:szCs w:val="21"/>
                <w:highlight w:val="none"/>
                <w:u w:val="none" w:color="auto"/>
                <w:lang w:val="zh-CN" w:eastAsia="zh-CN"/>
              </w:rPr>
            </w:pPr>
            <w:r>
              <w:rPr>
                <w:rFonts w:hint="eastAsia" w:ascii="宋体" w:hAnsi="宋体" w:cs="宋体"/>
                <w:color w:val="auto"/>
                <w:sz w:val="24"/>
                <w:szCs w:val="24"/>
              </w:rPr>
              <w:t>监测结果及评价指数见</w:t>
            </w:r>
            <w:r>
              <w:rPr>
                <w:rFonts w:hint="eastAsia" w:ascii="宋体" w:hAnsi="宋体" w:cs="宋体"/>
                <w:color w:val="auto"/>
                <w:sz w:val="24"/>
                <w:szCs w:val="24"/>
                <w:lang w:val="en-US" w:eastAsia="zh-CN"/>
              </w:rPr>
              <w:t>下</w:t>
            </w:r>
            <w:r>
              <w:rPr>
                <w:rFonts w:hint="eastAsia" w:ascii="宋体" w:hAnsi="宋体" w:cs="宋体"/>
                <w:color w:val="auto"/>
                <w:sz w:val="24"/>
                <w:szCs w:val="24"/>
              </w:rPr>
              <w:t>表。</w:t>
            </w:r>
          </w:p>
          <w:p w14:paraId="5BAB1185">
            <w:pPr>
              <w:keepNext w:val="0"/>
              <w:keepLines w:val="0"/>
              <w:pageBreakBefore w:val="0"/>
              <w:widowControl w:val="0"/>
              <w:kinsoku/>
              <w:wordWrap/>
              <w:overflowPunct/>
              <w:topLinePunct w:val="0"/>
              <w:autoSpaceDE/>
              <w:autoSpaceDN/>
              <w:bidi w:val="0"/>
              <w:spacing w:line="500" w:lineRule="exact"/>
              <w:jc w:val="center"/>
              <w:textAlignment w:val="auto"/>
              <w:rPr>
                <w:b/>
                <w:bCs/>
                <w:color w:val="auto"/>
              </w:rPr>
            </w:pPr>
            <w:r>
              <w:rPr>
                <w:rFonts w:hint="eastAsia" w:ascii="Times New Roman" w:hAnsi="Times New Roman" w:eastAsia="宋体" w:cs="Times New Roman"/>
                <w:b/>
                <w:bCs/>
                <w:caps w:val="0"/>
                <w:color w:val="auto"/>
                <w:spacing w:val="0"/>
                <w:kern w:val="0"/>
                <w:sz w:val="21"/>
                <w:szCs w:val="21"/>
                <w:highlight w:val="none"/>
                <w:u w:val="none" w:color="auto"/>
                <w:lang w:val="zh-CN" w:eastAsia="zh-CN"/>
              </w:rPr>
              <w:t>表</w:t>
            </w:r>
            <w:r>
              <w:rPr>
                <w:rFonts w:hint="eastAsia" w:ascii="Times New Roman" w:hAnsi="Times New Roman" w:eastAsia="宋体" w:cs="Times New Roman"/>
                <w:b/>
                <w:bCs/>
                <w:caps w:val="0"/>
                <w:color w:val="auto"/>
                <w:spacing w:val="0"/>
                <w:kern w:val="0"/>
                <w:sz w:val="21"/>
                <w:szCs w:val="21"/>
                <w:highlight w:val="none"/>
                <w:u w:val="none" w:color="auto"/>
                <w:lang w:val="en-US" w:eastAsia="zh-CN"/>
              </w:rPr>
              <w:t>3-6</w:t>
            </w:r>
            <w:r>
              <w:rPr>
                <w:rFonts w:hint="eastAsia" w:ascii="Times New Roman" w:hAnsi="Times New Roman" w:eastAsia="宋体" w:cs="Times New Roman"/>
                <w:b/>
                <w:bCs/>
                <w:caps w:val="0"/>
                <w:color w:val="auto"/>
                <w:spacing w:val="0"/>
                <w:kern w:val="0"/>
                <w:sz w:val="21"/>
                <w:szCs w:val="21"/>
                <w:highlight w:val="none"/>
                <w:u w:val="none" w:color="auto"/>
                <w:lang w:val="zh-CN" w:eastAsia="zh-CN"/>
              </w:rPr>
              <w:t xml:space="preserve">  土壤监测结</w:t>
            </w:r>
            <w:r>
              <w:rPr>
                <w:b/>
                <w:bCs/>
                <w:color w:val="auto"/>
              </w:rPr>
              <w:t>果及标准指数表</w:t>
            </w:r>
          </w:p>
          <w:tbl>
            <w:tblPr>
              <w:tblStyle w:val="22"/>
              <w:tblW w:w="4998"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1512"/>
              <w:gridCol w:w="1243"/>
              <w:gridCol w:w="846"/>
              <w:gridCol w:w="866"/>
              <w:gridCol w:w="959"/>
            </w:tblGrid>
            <w:tr w14:paraId="14DE0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 w:hRule="atLeast"/>
                <w:tblHeader/>
              </w:trPr>
              <w:tc>
                <w:tcPr>
                  <w:tcW w:w="1711" w:type="pct"/>
                  <w:vMerge w:val="restart"/>
                  <w:tcBorders>
                    <w:tl2br w:val="nil"/>
                    <w:tr2bl w:val="nil"/>
                  </w:tcBorders>
                  <w:noWrap w:val="0"/>
                  <w:vAlign w:val="center"/>
                </w:tcPr>
                <w:p w14:paraId="0896A86A">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监测项目</w:t>
                  </w:r>
                </w:p>
              </w:tc>
              <w:tc>
                <w:tcPr>
                  <w:tcW w:w="2706" w:type="pct"/>
                  <w:gridSpan w:val="4"/>
                  <w:tcBorders>
                    <w:tl2br w:val="nil"/>
                    <w:tr2bl w:val="nil"/>
                  </w:tcBorders>
                  <w:noWrap w:val="0"/>
                  <w:vAlign w:val="center"/>
                </w:tcPr>
                <w:p w14:paraId="4EA47F3B">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lang w:val="en-US" w:eastAsia="zh-CN"/>
                    </w:rPr>
                    <w:t>8#监测结果及标准指数</w:t>
                  </w:r>
                </w:p>
              </w:tc>
              <w:tc>
                <w:tcPr>
                  <w:tcW w:w="581" w:type="pct"/>
                  <w:vMerge w:val="restart"/>
                  <w:tcBorders>
                    <w:tl2br w:val="nil"/>
                    <w:tr2bl w:val="nil"/>
                  </w:tcBorders>
                  <w:noWrap w:val="0"/>
                  <w:vAlign w:val="center"/>
                </w:tcPr>
                <w:p w14:paraId="6A43CF79">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标准值</w:t>
                  </w:r>
                </w:p>
              </w:tc>
            </w:tr>
            <w:tr w14:paraId="7160F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711" w:type="pct"/>
                  <w:vMerge w:val="continue"/>
                  <w:tcBorders>
                    <w:tl2br w:val="nil"/>
                    <w:tr2bl w:val="nil"/>
                  </w:tcBorders>
                  <w:noWrap w:val="0"/>
                  <w:vAlign w:val="center"/>
                </w:tcPr>
                <w:p w14:paraId="157D3AAC">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p>
              </w:tc>
              <w:tc>
                <w:tcPr>
                  <w:tcW w:w="916" w:type="pct"/>
                  <w:tcBorders>
                    <w:tl2br w:val="nil"/>
                    <w:tr2bl w:val="nil"/>
                  </w:tcBorders>
                  <w:noWrap w:val="0"/>
                  <w:vAlign w:val="center"/>
                </w:tcPr>
                <w:p w14:paraId="1F9686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0-0.5m</w:t>
                  </w:r>
                </w:p>
              </w:tc>
              <w:tc>
                <w:tcPr>
                  <w:tcW w:w="753" w:type="pct"/>
                  <w:tcBorders>
                    <w:tl2br w:val="nil"/>
                    <w:tr2bl w:val="nil"/>
                  </w:tcBorders>
                  <w:noWrap w:val="0"/>
                  <w:vAlign w:val="center"/>
                </w:tcPr>
                <w:p w14:paraId="0592A0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0.5-1.5m</w:t>
                  </w:r>
                </w:p>
              </w:tc>
              <w:tc>
                <w:tcPr>
                  <w:tcW w:w="512" w:type="pct"/>
                  <w:tcBorders>
                    <w:tl2br w:val="nil"/>
                    <w:tr2bl w:val="nil"/>
                  </w:tcBorders>
                  <w:noWrap w:val="0"/>
                  <w:vAlign w:val="center"/>
                </w:tcPr>
                <w:p w14:paraId="78CEDB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1.5-3m</w:t>
                  </w:r>
                </w:p>
              </w:tc>
              <w:tc>
                <w:tcPr>
                  <w:tcW w:w="523" w:type="pct"/>
                  <w:tcBorders>
                    <w:tl2br w:val="nil"/>
                    <w:tr2bl w:val="nil"/>
                  </w:tcBorders>
                  <w:noWrap w:val="0"/>
                  <w:vAlign w:val="center"/>
                </w:tcPr>
                <w:p w14:paraId="54029330">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kern w:val="2"/>
                      <w:sz w:val="21"/>
                      <w:szCs w:val="21"/>
                      <w:u w:val="none"/>
                      <w:lang w:val="en-US" w:eastAsia="zh-CN" w:bidi="ar-SA"/>
                    </w:rPr>
                  </w:pPr>
                  <w:r>
                    <w:rPr>
                      <w:rFonts w:hint="eastAsia" w:ascii="宋体" w:hAnsi="宋体" w:eastAsia="宋体" w:cs="宋体"/>
                      <w:color w:val="auto"/>
                      <w:spacing w:val="-11"/>
                      <w:sz w:val="21"/>
                      <w:szCs w:val="21"/>
                      <w:u w:val="none"/>
                      <w:lang w:val="en-US" w:eastAsia="zh-CN"/>
                    </w:rPr>
                    <w:t>最大</w:t>
                  </w:r>
                  <w:r>
                    <w:rPr>
                      <w:rFonts w:hint="eastAsia" w:ascii="宋体" w:hAnsi="宋体" w:eastAsia="宋体" w:cs="宋体"/>
                      <w:color w:val="auto"/>
                      <w:spacing w:val="-11"/>
                      <w:sz w:val="21"/>
                      <w:szCs w:val="21"/>
                      <w:u w:val="none"/>
                    </w:rPr>
                    <w:t>标准指数</w:t>
                  </w:r>
                </w:p>
              </w:tc>
              <w:tc>
                <w:tcPr>
                  <w:tcW w:w="581" w:type="pct"/>
                  <w:vMerge w:val="continue"/>
                  <w:tcBorders>
                    <w:tl2br w:val="nil"/>
                    <w:tr2bl w:val="nil"/>
                  </w:tcBorders>
                  <w:noWrap w:val="0"/>
                  <w:vAlign w:val="center"/>
                </w:tcPr>
                <w:p w14:paraId="64170F41">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pacing w:val="-11"/>
                      <w:sz w:val="21"/>
                      <w:szCs w:val="21"/>
                      <w:u w:val="none"/>
                    </w:rPr>
                  </w:pPr>
                </w:p>
              </w:tc>
            </w:tr>
            <w:tr w14:paraId="23D04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507FB2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pH（无量纲）</w:t>
                  </w:r>
                </w:p>
              </w:tc>
              <w:tc>
                <w:tcPr>
                  <w:tcW w:w="916" w:type="pct"/>
                  <w:tcBorders>
                    <w:tl2br w:val="nil"/>
                    <w:tr2bl w:val="nil"/>
                  </w:tcBorders>
                  <w:shd w:val="clear" w:color="auto" w:fill="auto"/>
                  <w:noWrap w:val="0"/>
                  <w:vAlign w:val="center"/>
                </w:tcPr>
                <w:p w14:paraId="2BE37216">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highlight w:val="none"/>
                      <w:u w:val="none" w:color="auto"/>
                      <w:lang w:val="en-US" w:eastAsia="zh-CN" w:bidi="ar"/>
                    </w:rPr>
                  </w:pPr>
                  <w:r>
                    <w:rPr>
                      <w:rFonts w:hint="eastAsia" w:ascii="Times New Roman" w:hAnsi="Times New Roman" w:eastAsia="宋体" w:cs="Times New Roman"/>
                      <w:color w:val="000000"/>
                      <w:kern w:val="0"/>
                      <w:sz w:val="21"/>
                      <w:szCs w:val="21"/>
                      <w:highlight w:val="none"/>
                      <w:u w:val="none" w:color="auto"/>
                      <w:lang w:val="en-US" w:eastAsia="zh-CN" w:bidi="ar"/>
                    </w:rPr>
                    <w:t>8.28</w:t>
                  </w:r>
                </w:p>
              </w:tc>
              <w:tc>
                <w:tcPr>
                  <w:tcW w:w="753" w:type="pct"/>
                  <w:tcBorders>
                    <w:tl2br w:val="nil"/>
                    <w:tr2bl w:val="nil"/>
                  </w:tcBorders>
                  <w:shd w:val="clear" w:color="auto" w:fill="auto"/>
                  <w:noWrap w:val="0"/>
                  <w:vAlign w:val="center"/>
                </w:tcPr>
                <w:p w14:paraId="5B095127">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highlight w:val="none"/>
                      <w:u w:val="none" w:color="auto"/>
                      <w:lang w:val="en-US" w:eastAsia="zh-CN" w:bidi="ar"/>
                    </w:rPr>
                  </w:pPr>
                  <w:r>
                    <w:rPr>
                      <w:rFonts w:hint="eastAsia" w:ascii="Times New Roman" w:hAnsi="Times New Roman" w:eastAsia="宋体" w:cs="Times New Roman"/>
                      <w:color w:val="000000"/>
                      <w:kern w:val="0"/>
                      <w:sz w:val="21"/>
                      <w:szCs w:val="21"/>
                      <w:highlight w:val="none"/>
                      <w:u w:val="none" w:color="auto"/>
                      <w:lang w:val="en-US" w:eastAsia="zh-CN" w:bidi="ar"/>
                    </w:rPr>
                    <w:t>8.26</w:t>
                  </w:r>
                </w:p>
              </w:tc>
              <w:tc>
                <w:tcPr>
                  <w:tcW w:w="512" w:type="pct"/>
                  <w:tcBorders>
                    <w:tl2br w:val="nil"/>
                    <w:tr2bl w:val="nil"/>
                  </w:tcBorders>
                  <w:shd w:val="clear" w:color="auto" w:fill="auto"/>
                  <w:noWrap w:val="0"/>
                  <w:vAlign w:val="center"/>
                </w:tcPr>
                <w:p w14:paraId="3709D0E0">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highlight w:val="none"/>
                      <w:u w:val="none" w:color="auto"/>
                      <w:lang w:val="en-US" w:eastAsia="zh-CN" w:bidi="ar"/>
                    </w:rPr>
                  </w:pPr>
                  <w:r>
                    <w:rPr>
                      <w:rFonts w:hint="eastAsia" w:ascii="Times New Roman" w:hAnsi="Times New Roman" w:eastAsia="宋体" w:cs="Times New Roman"/>
                      <w:color w:val="000000"/>
                      <w:kern w:val="0"/>
                      <w:sz w:val="21"/>
                      <w:szCs w:val="21"/>
                      <w:highlight w:val="none"/>
                      <w:u w:val="none" w:color="auto"/>
                      <w:lang w:val="en-US" w:eastAsia="zh-CN" w:bidi="ar"/>
                    </w:rPr>
                    <w:t>8.26</w:t>
                  </w:r>
                </w:p>
              </w:tc>
              <w:tc>
                <w:tcPr>
                  <w:tcW w:w="523" w:type="pct"/>
                  <w:tcBorders>
                    <w:tl2br w:val="nil"/>
                    <w:tr2bl w:val="nil"/>
                  </w:tcBorders>
                  <w:shd w:val="clear" w:color="auto" w:fill="auto"/>
                  <w:noWrap w:val="0"/>
                  <w:vAlign w:val="center"/>
                </w:tcPr>
                <w:p w14:paraId="403CF432">
                  <w:pPr>
                    <w:pStyle w:val="54"/>
                    <w:spacing w:line="300" w:lineRule="exact"/>
                    <w:jc w:val="center"/>
                    <w:rPr>
                      <w:rFonts w:hint="eastAsia" w:ascii="Times New Roman" w:hAnsi="Times New Roman" w:eastAsia="宋体" w:cs="Times New Roman"/>
                      <w:color w:val="000000"/>
                      <w:spacing w:val="-11"/>
                      <w:kern w:val="2"/>
                      <w:sz w:val="21"/>
                      <w:szCs w:val="21"/>
                      <w:u w:val="none" w:color="auto"/>
                      <w:lang w:val="en-US" w:eastAsia="zh-CN" w:bidi="ar-SA"/>
                    </w:rPr>
                  </w:pPr>
                  <w:r>
                    <w:rPr>
                      <w:rFonts w:hint="eastAsia" w:ascii="Times New Roman" w:hAnsi="Times New Roman" w:eastAsia="宋体" w:cs="Times New Roman"/>
                      <w:color w:val="000000"/>
                      <w:spacing w:val="-11"/>
                      <w:sz w:val="21"/>
                      <w:szCs w:val="21"/>
                      <w:u w:val="none" w:color="auto"/>
                      <w:lang w:val="en-US" w:eastAsia="zh-CN"/>
                    </w:rPr>
                    <w:t>0.85</w:t>
                  </w:r>
                </w:p>
              </w:tc>
              <w:tc>
                <w:tcPr>
                  <w:tcW w:w="581" w:type="pct"/>
                  <w:tcBorders>
                    <w:tl2br w:val="nil"/>
                    <w:tr2bl w:val="nil"/>
                  </w:tcBorders>
                  <w:noWrap w:val="0"/>
                  <w:vAlign w:val="center"/>
                </w:tcPr>
                <w:p w14:paraId="52D9E228">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kern w:val="2"/>
                      <w:sz w:val="21"/>
                      <w:szCs w:val="21"/>
                      <w:u w:val="none"/>
                      <w:lang w:val="en-US" w:eastAsia="zh-CN" w:bidi="ar-SA"/>
                    </w:rPr>
                  </w:pPr>
                  <w:r>
                    <w:rPr>
                      <w:rFonts w:hint="eastAsia" w:ascii="宋体" w:hAnsi="宋体" w:eastAsia="宋体" w:cs="宋体"/>
                      <w:color w:val="auto"/>
                      <w:spacing w:val="-11"/>
                      <w:sz w:val="21"/>
                      <w:szCs w:val="21"/>
                      <w:u w:val="none"/>
                    </w:rPr>
                    <w:t>5.5≤pH＜8.5</w:t>
                  </w:r>
                </w:p>
              </w:tc>
            </w:tr>
            <w:tr w14:paraId="62073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27DA845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总砷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shd w:val="clear" w:color="auto" w:fill="auto"/>
                  <w:noWrap w:val="0"/>
                  <w:vAlign w:val="center"/>
                </w:tcPr>
                <w:p w14:paraId="2232C2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color="auto"/>
                      <w:lang w:val="en-US" w:eastAsia="zh-CN" w:bidi="ar"/>
                    </w:rPr>
                  </w:pPr>
                  <w:r>
                    <w:rPr>
                      <w:rFonts w:hint="default" w:ascii="Times New Roman" w:hAnsi="Times New Roman" w:eastAsia="宋体" w:cs="Times New Roman"/>
                      <w:i w:val="0"/>
                      <w:iCs w:val="0"/>
                      <w:color w:val="000000"/>
                      <w:kern w:val="0"/>
                      <w:sz w:val="21"/>
                      <w:szCs w:val="21"/>
                      <w:u w:val="none" w:color="auto"/>
                      <w:lang w:val="en-US" w:eastAsia="zh-CN" w:bidi="ar"/>
                    </w:rPr>
                    <w:t>8.19</w:t>
                  </w:r>
                </w:p>
              </w:tc>
              <w:tc>
                <w:tcPr>
                  <w:tcW w:w="753" w:type="pct"/>
                  <w:tcBorders>
                    <w:tl2br w:val="nil"/>
                    <w:tr2bl w:val="nil"/>
                  </w:tcBorders>
                  <w:shd w:val="clear" w:color="auto" w:fill="auto"/>
                  <w:noWrap w:val="0"/>
                  <w:vAlign w:val="center"/>
                </w:tcPr>
                <w:p w14:paraId="0A68220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color="auto"/>
                      <w:lang w:val="en-US" w:eastAsia="zh-CN" w:bidi="ar"/>
                    </w:rPr>
                  </w:pPr>
                  <w:r>
                    <w:rPr>
                      <w:rFonts w:hint="default" w:ascii="Times New Roman" w:hAnsi="Times New Roman" w:eastAsia="宋体" w:cs="Times New Roman"/>
                      <w:i w:val="0"/>
                      <w:iCs w:val="0"/>
                      <w:color w:val="000000"/>
                      <w:kern w:val="0"/>
                      <w:sz w:val="21"/>
                      <w:szCs w:val="21"/>
                      <w:u w:val="none" w:color="auto"/>
                      <w:lang w:val="en-US" w:eastAsia="zh-CN" w:bidi="ar"/>
                    </w:rPr>
                    <w:t>7.27</w:t>
                  </w:r>
                </w:p>
              </w:tc>
              <w:tc>
                <w:tcPr>
                  <w:tcW w:w="512" w:type="pct"/>
                  <w:tcBorders>
                    <w:tl2br w:val="nil"/>
                    <w:tr2bl w:val="nil"/>
                  </w:tcBorders>
                  <w:shd w:val="clear" w:color="auto" w:fill="auto"/>
                  <w:noWrap w:val="0"/>
                  <w:vAlign w:val="center"/>
                </w:tcPr>
                <w:p w14:paraId="54FD70C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color="auto"/>
                      <w:lang w:val="en-US" w:eastAsia="zh-CN" w:bidi="ar"/>
                    </w:rPr>
                  </w:pPr>
                  <w:r>
                    <w:rPr>
                      <w:rFonts w:hint="default" w:ascii="Times New Roman" w:hAnsi="Times New Roman" w:eastAsia="宋体" w:cs="Times New Roman"/>
                      <w:i w:val="0"/>
                      <w:iCs w:val="0"/>
                      <w:color w:val="000000"/>
                      <w:kern w:val="0"/>
                      <w:sz w:val="21"/>
                      <w:szCs w:val="21"/>
                      <w:u w:val="none" w:color="auto"/>
                      <w:lang w:val="en-US" w:eastAsia="zh-CN" w:bidi="ar"/>
                    </w:rPr>
                    <w:t>7.73</w:t>
                  </w:r>
                </w:p>
              </w:tc>
              <w:tc>
                <w:tcPr>
                  <w:tcW w:w="523" w:type="pct"/>
                  <w:tcBorders>
                    <w:tl2br w:val="nil"/>
                    <w:tr2bl w:val="nil"/>
                  </w:tcBorders>
                  <w:shd w:val="clear" w:color="auto" w:fill="auto"/>
                  <w:noWrap w:val="0"/>
                  <w:vAlign w:val="center"/>
                </w:tcPr>
                <w:p w14:paraId="37D194DA">
                  <w:pPr>
                    <w:keepNext w:val="0"/>
                    <w:keepLines w:val="0"/>
                    <w:widowControl/>
                    <w:suppressLineNumbers w:val="0"/>
                    <w:jc w:val="center"/>
                    <w:textAlignment w:val="center"/>
                    <w:rPr>
                      <w:rFonts w:hint="eastAsia" w:ascii="Times New Roman" w:hAnsi="Times New Roman" w:eastAsia="宋体" w:cs="Times New Roman"/>
                      <w:color w:val="000000"/>
                      <w:spacing w:val="-11"/>
                      <w:kern w:val="2"/>
                      <w:sz w:val="21"/>
                      <w:szCs w:val="21"/>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0.1365 </w:t>
                  </w:r>
                </w:p>
              </w:tc>
              <w:tc>
                <w:tcPr>
                  <w:tcW w:w="581" w:type="pct"/>
                  <w:tcBorders>
                    <w:tl2br w:val="nil"/>
                    <w:tr2bl w:val="nil"/>
                  </w:tcBorders>
                  <w:noWrap w:val="0"/>
                  <w:vAlign w:val="center"/>
                </w:tcPr>
                <w:p w14:paraId="2192C3BC">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kern w:val="2"/>
                      <w:sz w:val="21"/>
                      <w:szCs w:val="21"/>
                      <w:u w:val="none"/>
                      <w:lang w:val="en-US" w:eastAsia="zh-CN" w:bidi="ar-SA"/>
                    </w:rPr>
                  </w:pPr>
                  <w:r>
                    <w:rPr>
                      <w:rFonts w:hint="eastAsia" w:ascii="宋体" w:hAnsi="宋体" w:eastAsia="宋体" w:cs="宋体"/>
                      <w:color w:val="auto"/>
                      <w:spacing w:val="-11"/>
                      <w:sz w:val="21"/>
                      <w:szCs w:val="21"/>
                      <w:u w:val="none"/>
                      <w:lang w:val="en-US" w:eastAsia="zh-CN"/>
                    </w:rPr>
                    <w:t>60</w:t>
                  </w:r>
                </w:p>
              </w:tc>
            </w:tr>
            <w:tr w14:paraId="4FEA3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497D1DE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shd w:val="clear" w:color="auto" w:fill="auto"/>
                  <w:noWrap w:val="0"/>
                  <w:vAlign w:val="center"/>
                </w:tcPr>
                <w:p w14:paraId="0148C68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color="auto"/>
                      <w:lang w:val="en-US" w:eastAsia="zh-CN" w:bidi="ar"/>
                    </w:rPr>
                  </w:pPr>
                  <w:r>
                    <w:rPr>
                      <w:rFonts w:hint="default" w:ascii="Times New Roman" w:hAnsi="Times New Roman" w:eastAsia="宋体" w:cs="Times New Roman"/>
                      <w:i w:val="0"/>
                      <w:iCs w:val="0"/>
                      <w:color w:val="000000"/>
                      <w:kern w:val="0"/>
                      <w:sz w:val="21"/>
                      <w:szCs w:val="21"/>
                      <w:u w:val="none" w:color="auto"/>
                      <w:lang w:val="en-US" w:eastAsia="zh-CN" w:bidi="ar"/>
                    </w:rPr>
                    <w:t>0.093</w:t>
                  </w:r>
                </w:p>
              </w:tc>
              <w:tc>
                <w:tcPr>
                  <w:tcW w:w="753" w:type="pct"/>
                  <w:tcBorders>
                    <w:tl2br w:val="nil"/>
                    <w:tr2bl w:val="nil"/>
                  </w:tcBorders>
                  <w:shd w:val="clear" w:color="auto" w:fill="auto"/>
                  <w:noWrap w:val="0"/>
                  <w:vAlign w:val="center"/>
                </w:tcPr>
                <w:p w14:paraId="4FA786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color="auto"/>
                      <w:lang w:val="en-US" w:eastAsia="zh-CN" w:bidi="ar"/>
                    </w:rPr>
                  </w:pPr>
                  <w:r>
                    <w:rPr>
                      <w:rFonts w:hint="default" w:ascii="Times New Roman" w:hAnsi="Times New Roman" w:eastAsia="宋体" w:cs="Times New Roman"/>
                      <w:i w:val="0"/>
                      <w:iCs w:val="0"/>
                      <w:color w:val="000000"/>
                      <w:kern w:val="0"/>
                      <w:sz w:val="21"/>
                      <w:szCs w:val="21"/>
                      <w:u w:val="none" w:color="auto"/>
                      <w:lang w:val="en-US" w:eastAsia="zh-CN" w:bidi="ar"/>
                    </w:rPr>
                    <w:t>0.124</w:t>
                  </w:r>
                </w:p>
              </w:tc>
              <w:tc>
                <w:tcPr>
                  <w:tcW w:w="512" w:type="pct"/>
                  <w:tcBorders>
                    <w:tl2br w:val="nil"/>
                    <w:tr2bl w:val="nil"/>
                  </w:tcBorders>
                  <w:shd w:val="clear" w:color="auto" w:fill="auto"/>
                  <w:noWrap w:val="0"/>
                  <w:vAlign w:val="center"/>
                </w:tcPr>
                <w:p w14:paraId="0EFAF2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color="auto"/>
                      <w:lang w:val="en-US" w:eastAsia="zh-CN" w:bidi="ar"/>
                    </w:rPr>
                  </w:pPr>
                  <w:r>
                    <w:rPr>
                      <w:rFonts w:hint="default" w:ascii="Times New Roman" w:hAnsi="Times New Roman" w:eastAsia="宋体" w:cs="Times New Roman"/>
                      <w:i w:val="0"/>
                      <w:iCs w:val="0"/>
                      <w:color w:val="000000"/>
                      <w:kern w:val="0"/>
                      <w:sz w:val="21"/>
                      <w:szCs w:val="21"/>
                      <w:u w:val="none" w:color="auto"/>
                      <w:lang w:val="en-US" w:eastAsia="zh-CN" w:bidi="ar"/>
                    </w:rPr>
                    <w:t>0.116</w:t>
                  </w:r>
                </w:p>
              </w:tc>
              <w:tc>
                <w:tcPr>
                  <w:tcW w:w="523" w:type="pct"/>
                  <w:tcBorders>
                    <w:tl2br w:val="nil"/>
                    <w:tr2bl w:val="nil"/>
                  </w:tcBorders>
                  <w:shd w:val="clear" w:color="auto" w:fill="auto"/>
                  <w:noWrap w:val="0"/>
                  <w:vAlign w:val="center"/>
                </w:tcPr>
                <w:p w14:paraId="7B61B46E">
                  <w:pPr>
                    <w:keepNext w:val="0"/>
                    <w:keepLines w:val="0"/>
                    <w:widowControl/>
                    <w:suppressLineNumbers w:val="0"/>
                    <w:jc w:val="center"/>
                    <w:textAlignment w:val="center"/>
                    <w:rPr>
                      <w:rFonts w:hint="eastAsia" w:ascii="Times New Roman" w:hAnsi="Times New Roman" w:eastAsia="宋体" w:cs="Times New Roman"/>
                      <w:color w:val="000000"/>
                      <w:spacing w:val="-11"/>
                      <w:kern w:val="2"/>
                      <w:sz w:val="21"/>
                      <w:szCs w:val="21"/>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0.0019 </w:t>
                  </w:r>
                </w:p>
              </w:tc>
              <w:tc>
                <w:tcPr>
                  <w:tcW w:w="581" w:type="pct"/>
                  <w:tcBorders>
                    <w:tl2br w:val="nil"/>
                    <w:tr2bl w:val="nil"/>
                  </w:tcBorders>
                  <w:noWrap w:val="0"/>
                  <w:vAlign w:val="center"/>
                </w:tcPr>
                <w:p w14:paraId="6D2834AA">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65</w:t>
                  </w:r>
                </w:p>
              </w:tc>
            </w:tr>
            <w:tr w14:paraId="53C9A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B8602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六价铬</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shd w:val="clear" w:color="auto" w:fill="auto"/>
                  <w:noWrap w:val="0"/>
                  <w:vAlign w:val="center"/>
                </w:tcPr>
                <w:p w14:paraId="4B37E1FA">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0.5</w:t>
                  </w:r>
                </w:p>
              </w:tc>
              <w:tc>
                <w:tcPr>
                  <w:tcW w:w="753" w:type="pct"/>
                  <w:tcBorders>
                    <w:tl2br w:val="nil"/>
                    <w:tr2bl w:val="nil"/>
                  </w:tcBorders>
                  <w:shd w:val="clear" w:color="auto" w:fill="auto"/>
                  <w:noWrap w:val="0"/>
                  <w:vAlign w:val="center"/>
                </w:tcPr>
                <w:p w14:paraId="70306256">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0.5</w:t>
                  </w:r>
                </w:p>
              </w:tc>
              <w:tc>
                <w:tcPr>
                  <w:tcW w:w="512" w:type="pct"/>
                  <w:tcBorders>
                    <w:tl2br w:val="nil"/>
                    <w:tr2bl w:val="nil"/>
                  </w:tcBorders>
                  <w:shd w:val="clear" w:color="auto" w:fill="auto"/>
                  <w:noWrap w:val="0"/>
                  <w:vAlign w:val="center"/>
                </w:tcPr>
                <w:p w14:paraId="382E89BE">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0.5</w:t>
                  </w:r>
                </w:p>
              </w:tc>
              <w:tc>
                <w:tcPr>
                  <w:tcW w:w="523" w:type="pct"/>
                  <w:tcBorders>
                    <w:tl2br w:val="nil"/>
                    <w:tr2bl w:val="nil"/>
                  </w:tcBorders>
                  <w:shd w:val="clear" w:color="auto" w:fill="auto"/>
                  <w:noWrap w:val="0"/>
                  <w:vAlign w:val="center"/>
                </w:tcPr>
                <w:p w14:paraId="709764C1">
                  <w:pPr>
                    <w:keepNext w:val="0"/>
                    <w:keepLines w:val="0"/>
                    <w:widowControl/>
                    <w:suppressLineNumbers w:val="0"/>
                    <w:jc w:val="center"/>
                    <w:textAlignment w:val="center"/>
                    <w:rPr>
                      <w:rFonts w:hint="eastAsia" w:ascii="Times New Roman" w:hAnsi="Times New Roman" w:eastAsia="宋体" w:cs="Times New Roman"/>
                      <w:color w:val="000000"/>
                      <w:spacing w:val="-11"/>
                      <w:kern w:val="2"/>
                      <w:sz w:val="21"/>
                      <w:szCs w:val="21"/>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0.0877 </w:t>
                  </w:r>
                </w:p>
              </w:tc>
              <w:tc>
                <w:tcPr>
                  <w:tcW w:w="581" w:type="pct"/>
                  <w:tcBorders>
                    <w:tl2br w:val="nil"/>
                    <w:tr2bl w:val="nil"/>
                  </w:tcBorders>
                  <w:noWrap w:val="0"/>
                  <w:vAlign w:val="center"/>
                </w:tcPr>
                <w:p w14:paraId="30AF1DC3">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5.7</w:t>
                  </w:r>
                </w:p>
              </w:tc>
            </w:tr>
            <w:tr w14:paraId="203ED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3BEB79B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shd w:val="clear" w:color="auto" w:fill="auto"/>
                  <w:noWrap w:val="0"/>
                  <w:vAlign w:val="center"/>
                </w:tcPr>
                <w:p w14:paraId="776B0F74">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48</w:t>
                  </w:r>
                </w:p>
              </w:tc>
              <w:tc>
                <w:tcPr>
                  <w:tcW w:w="753" w:type="pct"/>
                  <w:tcBorders>
                    <w:tl2br w:val="nil"/>
                    <w:tr2bl w:val="nil"/>
                  </w:tcBorders>
                  <w:shd w:val="clear" w:color="auto" w:fill="auto"/>
                  <w:noWrap w:val="0"/>
                  <w:vAlign w:val="center"/>
                </w:tcPr>
                <w:p w14:paraId="272A5E60">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46</w:t>
                  </w:r>
                </w:p>
              </w:tc>
              <w:tc>
                <w:tcPr>
                  <w:tcW w:w="512" w:type="pct"/>
                  <w:tcBorders>
                    <w:tl2br w:val="nil"/>
                    <w:tr2bl w:val="nil"/>
                  </w:tcBorders>
                  <w:shd w:val="clear" w:color="auto" w:fill="auto"/>
                  <w:noWrap w:val="0"/>
                  <w:vAlign w:val="center"/>
                </w:tcPr>
                <w:p w14:paraId="75B1F8DC">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46</w:t>
                  </w:r>
                </w:p>
              </w:tc>
              <w:tc>
                <w:tcPr>
                  <w:tcW w:w="523" w:type="pct"/>
                  <w:tcBorders>
                    <w:tl2br w:val="nil"/>
                    <w:tr2bl w:val="nil"/>
                  </w:tcBorders>
                  <w:shd w:val="clear" w:color="auto" w:fill="auto"/>
                  <w:noWrap w:val="0"/>
                  <w:vAlign w:val="center"/>
                </w:tcPr>
                <w:p w14:paraId="33265A7B">
                  <w:pPr>
                    <w:keepNext w:val="0"/>
                    <w:keepLines w:val="0"/>
                    <w:widowControl/>
                    <w:suppressLineNumbers w:val="0"/>
                    <w:jc w:val="center"/>
                    <w:textAlignment w:val="center"/>
                    <w:rPr>
                      <w:rFonts w:hint="eastAsia" w:ascii="Times New Roman" w:hAnsi="Times New Roman" w:eastAsia="宋体" w:cs="Times New Roman"/>
                      <w:color w:val="000000"/>
                      <w:spacing w:val="-11"/>
                      <w:kern w:val="2"/>
                      <w:sz w:val="21"/>
                      <w:szCs w:val="21"/>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0.0027 </w:t>
                  </w:r>
                </w:p>
              </w:tc>
              <w:tc>
                <w:tcPr>
                  <w:tcW w:w="581" w:type="pct"/>
                  <w:tcBorders>
                    <w:tl2br w:val="nil"/>
                    <w:tr2bl w:val="nil"/>
                  </w:tcBorders>
                  <w:noWrap w:val="0"/>
                  <w:vAlign w:val="center"/>
                </w:tcPr>
                <w:p w14:paraId="6C558A81">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18000</w:t>
                  </w:r>
                </w:p>
              </w:tc>
            </w:tr>
            <w:tr w14:paraId="68769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D6AA66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shd w:val="clear" w:color="auto" w:fill="auto"/>
                  <w:noWrap w:val="0"/>
                  <w:vAlign w:val="center"/>
                </w:tcPr>
                <w:p w14:paraId="4B96E092">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49</w:t>
                  </w:r>
                </w:p>
              </w:tc>
              <w:tc>
                <w:tcPr>
                  <w:tcW w:w="753" w:type="pct"/>
                  <w:tcBorders>
                    <w:tl2br w:val="nil"/>
                    <w:tr2bl w:val="nil"/>
                  </w:tcBorders>
                  <w:shd w:val="clear" w:color="auto" w:fill="auto"/>
                  <w:noWrap w:val="0"/>
                  <w:vAlign w:val="center"/>
                </w:tcPr>
                <w:p w14:paraId="675300ED">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45</w:t>
                  </w:r>
                </w:p>
              </w:tc>
              <w:tc>
                <w:tcPr>
                  <w:tcW w:w="512" w:type="pct"/>
                  <w:tcBorders>
                    <w:tl2br w:val="nil"/>
                    <w:tr2bl w:val="nil"/>
                  </w:tcBorders>
                  <w:shd w:val="clear" w:color="auto" w:fill="auto"/>
                  <w:noWrap w:val="0"/>
                  <w:vAlign w:val="center"/>
                </w:tcPr>
                <w:p w14:paraId="589B88DE">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44</w:t>
                  </w:r>
                </w:p>
              </w:tc>
              <w:tc>
                <w:tcPr>
                  <w:tcW w:w="523" w:type="pct"/>
                  <w:tcBorders>
                    <w:tl2br w:val="nil"/>
                    <w:tr2bl w:val="nil"/>
                  </w:tcBorders>
                  <w:shd w:val="clear" w:color="auto" w:fill="auto"/>
                  <w:noWrap w:val="0"/>
                  <w:vAlign w:val="center"/>
                </w:tcPr>
                <w:p w14:paraId="2E3F2FF0">
                  <w:pPr>
                    <w:keepNext w:val="0"/>
                    <w:keepLines w:val="0"/>
                    <w:widowControl/>
                    <w:suppressLineNumbers w:val="0"/>
                    <w:jc w:val="center"/>
                    <w:textAlignment w:val="center"/>
                    <w:rPr>
                      <w:rFonts w:hint="eastAsia" w:ascii="Times New Roman" w:hAnsi="Times New Roman" w:eastAsia="宋体" w:cs="Times New Roman"/>
                      <w:color w:val="000000"/>
                      <w:spacing w:val="-11"/>
                      <w:kern w:val="2"/>
                      <w:sz w:val="21"/>
                      <w:szCs w:val="21"/>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0.0613 </w:t>
                  </w:r>
                </w:p>
              </w:tc>
              <w:tc>
                <w:tcPr>
                  <w:tcW w:w="581" w:type="pct"/>
                  <w:tcBorders>
                    <w:tl2br w:val="nil"/>
                    <w:tr2bl w:val="nil"/>
                  </w:tcBorders>
                  <w:noWrap w:val="0"/>
                  <w:vAlign w:val="center"/>
                </w:tcPr>
                <w:p w14:paraId="1E606FFF">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800</w:t>
                  </w:r>
                </w:p>
              </w:tc>
            </w:tr>
            <w:tr w14:paraId="0DF5C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3EC978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总汞</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shd w:val="clear" w:color="auto" w:fill="auto"/>
                  <w:noWrap w:val="0"/>
                  <w:vAlign w:val="center"/>
                </w:tcPr>
                <w:p w14:paraId="586EA0D7">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0.02</w:t>
                  </w:r>
                </w:p>
              </w:tc>
              <w:tc>
                <w:tcPr>
                  <w:tcW w:w="753" w:type="pct"/>
                  <w:tcBorders>
                    <w:tl2br w:val="nil"/>
                    <w:tr2bl w:val="nil"/>
                  </w:tcBorders>
                  <w:shd w:val="clear" w:color="auto" w:fill="auto"/>
                  <w:noWrap w:val="0"/>
                  <w:vAlign w:val="center"/>
                </w:tcPr>
                <w:p w14:paraId="3C8E104D">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0.018</w:t>
                  </w:r>
                </w:p>
              </w:tc>
              <w:tc>
                <w:tcPr>
                  <w:tcW w:w="512" w:type="pct"/>
                  <w:tcBorders>
                    <w:tl2br w:val="nil"/>
                    <w:tr2bl w:val="nil"/>
                  </w:tcBorders>
                  <w:shd w:val="clear" w:color="auto" w:fill="auto"/>
                  <w:noWrap w:val="0"/>
                  <w:vAlign w:val="center"/>
                </w:tcPr>
                <w:p w14:paraId="0E242330">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0.018</w:t>
                  </w:r>
                </w:p>
              </w:tc>
              <w:tc>
                <w:tcPr>
                  <w:tcW w:w="523" w:type="pct"/>
                  <w:tcBorders>
                    <w:tl2br w:val="nil"/>
                    <w:tr2bl w:val="nil"/>
                  </w:tcBorders>
                  <w:shd w:val="clear" w:color="auto" w:fill="auto"/>
                  <w:noWrap w:val="0"/>
                  <w:vAlign w:val="center"/>
                </w:tcPr>
                <w:p w14:paraId="0B741F49">
                  <w:pPr>
                    <w:keepNext w:val="0"/>
                    <w:keepLines w:val="0"/>
                    <w:widowControl/>
                    <w:suppressLineNumbers w:val="0"/>
                    <w:jc w:val="center"/>
                    <w:textAlignment w:val="center"/>
                    <w:rPr>
                      <w:rFonts w:hint="eastAsia" w:ascii="Times New Roman" w:hAnsi="Times New Roman" w:eastAsia="宋体" w:cs="Times New Roman"/>
                      <w:color w:val="000000"/>
                      <w:spacing w:val="-11"/>
                      <w:kern w:val="2"/>
                      <w:sz w:val="21"/>
                      <w:szCs w:val="21"/>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0.0005 </w:t>
                  </w:r>
                </w:p>
              </w:tc>
              <w:tc>
                <w:tcPr>
                  <w:tcW w:w="581" w:type="pct"/>
                  <w:tcBorders>
                    <w:tl2br w:val="nil"/>
                    <w:tr2bl w:val="nil"/>
                  </w:tcBorders>
                  <w:noWrap w:val="0"/>
                  <w:vAlign w:val="center"/>
                </w:tcPr>
                <w:p w14:paraId="6618E8F1">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38</w:t>
                  </w:r>
                </w:p>
              </w:tc>
            </w:tr>
            <w:tr w14:paraId="0DCAB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557088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镍</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shd w:val="clear" w:color="auto" w:fill="auto"/>
                  <w:noWrap w:val="0"/>
                  <w:vAlign w:val="center"/>
                </w:tcPr>
                <w:p w14:paraId="113BFEF7">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34</w:t>
                  </w:r>
                </w:p>
              </w:tc>
              <w:tc>
                <w:tcPr>
                  <w:tcW w:w="753" w:type="pct"/>
                  <w:tcBorders>
                    <w:tl2br w:val="nil"/>
                    <w:tr2bl w:val="nil"/>
                  </w:tcBorders>
                  <w:shd w:val="clear" w:color="auto" w:fill="auto"/>
                  <w:noWrap w:val="0"/>
                  <w:vAlign w:val="center"/>
                </w:tcPr>
                <w:p w14:paraId="6F74FF06">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32</w:t>
                  </w:r>
                </w:p>
              </w:tc>
              <w:tc>
                <w:tcPr>
                  <w:tcW w:w="512" w:type="pct"/>
                  <w:tcBorders>
                    <w:tl2br w:val="nil"/>
                    <w:tr2bl w:val="nil"/>
                  </w:tcBorders>
                  <w:shd w:val="clear" w:color="auto" w:fill="auto"/>
                  <w:noWrap w:val="0"/>
                  <w:vAlign w:val="center"/>
                </w:tcPr>
                <w:p w14:paraId="44ECEE24">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32</w:t>
                  </w:r>
                </w:p>
              </w:tc>
              <w:tc>
                <w:tcPr>
                  <w:tcW w:w="523" w:type="pct"/>
                  <w:tcBorders>
                    <w:tl2br w:val="nil"/>
                    <w:tr2bl w:val="nil"/>
                  </w:tcBorders>
                  <w:shd w:val="clear" w:color="auto" w:fill="auto"/>
                  <w:noWrap w:val="0"/>
                  <w:vAlign w:val="center"/>
                </w:tcPr>
                <w:p w14:paraId="40B79631">
                  <w:pPr>
                    <w:keepNext w:val="0"/>
                    <w:keepLines w:val="0"/>
                    <w:widowControl/>
                    <w:suppressLineNumbers w:val="0"/>
                    <w:jc w:val="center"/>
                    <w:textAlignment w:val="center"/>
                    <w:rPr>
                      <w:rFonts w:hint="eastAsia" w:ascii="Times New Roman" w:hAnsi="Times New Roman" w:eastAsia="宋体" w:cs="Times New Roman"/>
                      <w:color w:val="000000"/>
                      <w:spacing w:val="-11"/>
                      <w:kern w:val="2"/>
                      <w:sz w:val="21"/>
                      <w:szCs w:val="21"/>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0.0378 </w:t>
                  </w:r>
                </w:p>
              </w:tc>
              <w:tc>
                <w:tcPr>
                  <w:tcW w:w="581" w:type="pct"/>
                  <w:tcBorders>
                    <w:tl2br w:val="nil"/>
                    <w:tr2bl w:val="nil"/>
                  </w:tcBorders>
                  <w:noWrap w:val="0"/>
                  <w:vAlign w:val="center"/>
                </w:tcPr>
                <w:p w14:paraId="48ED870B">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900</w:t>
                  </w:r>
                </w:p>
              </w:tc>
            </w:tr>
            <w:tr w14:paraId="64BB0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706BE1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石油烃（C</w:t>
                  </w:r>
                  <w:r>
                    <w:rPr>
                      <w:rFonts w:hint="eastAsia" w:ascii="宋体" w:hAnsi="宋体" w:eastAsia="宋体" w:cs="宋体"/>
                      <w:sz w:val="21"/>
                      <w:szCs w:val="21"/>
                      <w:highlight w:val="none"/>
                      <w:vertAlign w:val="subscript"/>
                    </w:rPr>
                    <w:t>10</w:t>
                  </w:r>
                  <w:r>
                    <w:rPr>
                      <w:rFonts w:hint="eastAsia" w:ascii="宋体" w:hAnsi="宋体" w:eastAsia="宋体" w:cs="宋体"/>
                      <w:sz w:val="21"/>
                      <w:szCs w:val="21"/>
                      <w:highlight w:val="none"/>
                    </w:rPr>
                    <w:t>-C</w:t>
                  </w:r>
                  <w:r>
                    <w:rPr>
                      <w:rFonts w:hint="eastAsia" w:ascii="宋体" w:hAnsi="宋体" w:eastAsia="宋体" w:cs="宋体"/>
                      <w:sz w:val="21"/>
                      <w:szCs w:val="21"/>
                      <w:highlight w:val="none"/>
                      <w:vertAlign w:val="subscript"/>
                    </w:rPr>
                    <w:t>40</w:t>
                  </w:r>
                  <w:r>
                    <w:rPr>
                      <w:rFonts w:hint="eastAsia" w:ascii="宋体" w:hAnsi="宋体" w:eastAsia="宋体" w:cs="宋体"/>
                      <w:sz w:val="21"/>
                      <w:szCs w:val="21"/>
                      <w:highlight w:val="none"/>
                    </w:rPr>
                    <w:t>）</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shd w:val="clear" w:color="auto" w:fill="auto"/>
                  <w:noWrap w:val="0"/>
                  <w:vAlign w:val="center"/>
                </w:tcPr>
                <w:p w14:paraId="1AA74A32">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130</w:t>
                  </w:r>
                </w:p>
              </w:tc>
              <w:tc>
                <w:tcPr>
                  <w:tcW w:w="753" w:type="pct"/>
                  <w:tcBorders>
                    <w:tl2br w:val="nil"/>
                    <w:tr2bl w:val="nil"/>
                  </w:tcBorders>
                  <w:shd w:val="clear" w:color="auto" w:fill="auto"/>
                  <w:noWrap w:val="0"/>
                  <w:vAlign w:val="center"/>
                </w:tcPr>
                <w:p w14:paraId="25E3ED7F">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72</w:t>
                  </w:r>
                </w:p>
              </w:tc>
              <w:tc>
                <w:tcPr>
                  <w:tcW w:w="512" w:type="pct"/>
                  <w:tcBorders>
                    <w:tl2br w:val="nil"/>
                    <w:tr2bl w:val="nil"/>
                  </w:tcBorders>
                  <w:shd w:val="clear" w:color="auto" w:fill="auto"/>
                  <w:noWrap w:val="0"/>
                  <w:vAlign w:val="center"/>
                </w:tcPr>
                <w:p w14:paraId="0045A5A0">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66</w:t>
                  </w:r>
                </w:p>
              </w:tc>
              <w:tc>
                <w:tcPr>
                  <w:tcW w:w="523" w:type="pct"/>
                  <w:tcBorders>
                    <w:tl2br w:val="nil"/>
                    <w:tr2bl w:val="nil"/>
                  </w:tcBorders>
                  <w:shd w:val="clear" w:color="auto" w:fill="auto"/>
                  <w:noWrap w:val="0"/>
                  <w:vAlign w:val="center"/>
                </w:tcPr>
                <w:p w14:paraId="218EDC7C">
                  <w:pPr>
                    <w:keepNext w:val="0"/>
                    <w:keepLines w:val="0"/>
                    <w:widowControl/>
                    <w:suppressLineNumbers w:val="0"/>
                    <w:jc w:val="center"/>
                    <w:textAlignment w:val="center"/>
                    <w:rPr>
                      <w:rFonts w:hint="eastAsia" w:ascii="Times New Roman" w:hAnsi="Times New Roman" w:eastAsia="宋体" w:cs="Times New Roman"/>
                      <w:color w:val="000000"/>
                      <w:spacing w:val="-11"/>
                      <w:kern w:val="2"/>
                      <w:sz w:val="21"/>
                      <w:szCs w:val="21"/>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 xml:space="preserve">0.0289 </w:t>
                  </w:r>
                </w:p>
              </w:tc>
              <w:tc>
                <w:tcPr>
                  <w:tcW w:w="581" w:type="pct"/>
                  <w:tcBorders>
                    <w:tl2br w:val="nil"/>
                    <w:tr2bl w:val="nil"/>
                  </w:tcBorders>
                  <w:noWrap w:val="0"/>
                  <w:vAlign w:val="center"/>
                </w:tcPr>
                <w:p w14:paraId="09D04882">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4500</w:t>
                  </w:r>
                </w:p>
              </w:tc>
            </w:tr>
            <w:tr w14:paraId="3E829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4BAE72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锌</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685DEE6A">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w:t>
                  </w:r>
                </w:p>
              </w:tc>
              <w:tc>
                <w:tcPr>
                  <w:tcW w:w="753" w:type="pct"/>
                  <w:tcBorders>
                    <w:tl2br w:val="nil"/>
                    <w:tr2bl w:val="nil"/>
                  </w:tcBorders>
                  <w:noWrap w:val="0"/>
                  <w:vAlign w:val="center"/>
                </w:tcPr>
                <w:p w14:paraId="2CF5856F">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w:t>
                  </w:r>
                </w:p>
              </w:tc>
              <w:tc>
                <w:tcPr>
                  <w:tcW w:w="512" w:type="pct"/>
                  <w:tcBorders>
                    <w:tl2br w:val="nil"/>
                    <w:tr2bl w:val="nil"/>
                  </w:tcBorders>
                  <w:noWrap w:val="0"/>
                  <w:vAlign w:val="center"/>
                </w:tcPr>
                <w:p w14:paraId="19326916">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w:t>
                  </w:r>
                </w:p>
              </w:tc>
              <w:tc>
                <w:tcPr>
                  <w:tcW w:w="523" w:type="pct"/>
                  <w:tcBorders>
                    <w:tl2br w:val="nil"/>
                    <w:tr2bl w:val="nil"/>
                  </w:tcBorders>
                  <w:noWrap w:val="0"/>
                  <w:vAlign w:val="center"/>
                </w:tcPr>
                <w:p w14:paraId="48784FD7">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w:t>
                  </w:r>
                </w:p>
              </w:tc>
              <w:tc>
                <w:tcPr>
                  <w:tcW w:w="581" w:type="pct"/>
                  <w:tcBorders>
                    <w:tl2br w:val="nil"/>
                    <w:tr2bl w:val="nil"/>
                  </w:tcBorders>
                  <w:noWrap w:val="0"/>
                  <w:vAlign w:val="center"/>
                </w:tcPr>
                <w:p w14:paraId="2DF619D8">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200-300</w:t>
                  </w:r>
                </w:p>
              </w:tc>
            </w:tr>
            <w:tr w14:paraId="2A2C7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592420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铬</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617335BE">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w:t>
                  </w:r>
                </w:p>
              </w:tc>
              <w:tc>
                <w:tcPr>
                  <w:tcW w:w="753" w:type="pct"/>
                  <w:tcBorders>
                    <w:tl2br w:val="nil"/>
                    <w:tr2bl w:val="nil"/>
                  </w:tcBorders>
                  <w:noWrap w:val="0"/>
                  <w:vAlign w:val="center"/>
                </w:tcPr>
                <w:p w14:paraId="1407304B">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w:t>
                  </w:r>
                </w:p>
              </w:tc>
              <w:tc>
                <w:tcPr>
                  <w:tcW w:w="512" w:type="pct"/>
                  <w:tcBorders>
                    <w:tl2br w:val="nil"/>
                    <w:tr2bl w:val="nil"/>
                  </w:tcBorders>
                  <w:noWrap w:val="0"/>
                  <w:vAlign w:val="center"/>
                </w:tcPr>
                <w:p w14:paraId="610702D3">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w:t>
                  </w:r>
                </w:p>
              </w:tc>
              <w:tc>
                <w:tcPr>
                  <w:tcW w:w="523" w:type="pct"/>
                  <w:tcBorders>
                    <w:tl2br w:val="nil"/>
                    <w:tr2bl w:val="nil"/>
                  </w:tcBorders>
                  <w:noWrap w:val="0"/>
                  <w:vAlign w:val="center"/>
                </w:tcPr>
                <w:p w14:paraId="0105FA76">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w:t>
                  </w:r>
                </w:p>
              </w:tc>
              <w:tc>
                <w:tcPr>
                  <w:tcW w:w="581" w:type="pct"/>
                  <w:tcBorders>
                    <w:tl2br w:val="nil"/>
                    <w:tr2bl w:val="nil"/>
                  </w:tcBorders>
                  <w:noWrap w:val="0"/>
                  <w:vAlign w:val="center"/>
                </w:tcPr>
                <w:p w14:paraId="186F07B0">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lang w:val="en-US" w:eastAsia="zh-CN"/>
                    </w:rPr>
                  </w:pPr>
                  <w:r>
                    <w:rPr>
                      <w:rFonts w:hint="eastAsia" w:ascii="宋体" w:hAnsi="宋体" w:eastAsia="宋体" w:cs="宋体"/>
                      <w:color w:val="auto"/>
                      <w:spacing w:val="-11"/>
                      <w:sz w:val="21"/>
                      <w:szCs w:val="21"/>
                      <w:u w:val="none"/>
                      <w:lang w:val="en-US" w:eastAsia="zh-CN"/>
                    </w:rPr>
                    <w:t>150-250</w:t>
                  </w:r>
                </w:p>
              </w:tc>
            </w:tr>
            <w:tr w14:paraId="074B4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39C569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四氯化碳</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282087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753" w:type="pct"/>
                  <w:tcBorders>
                    <w:tl2br w:val="nil"/>
                    <w:tr2bl w:val="nil"/>
                  </w:tcBorders>
                  <w:noWrap w:val="0"/>
                  <w:vAlign w:val="center"/>
                </w:tcPr>
                <w:p w14:paraId="401765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12" w:type="pct"/>
                  <w:tcBorders>
                    <w:tl2br w:val="nil"/>
                    <w:tr2bl w:val="nil"/>
                  </w:tcBorders>
                  <w:noWrap w:val="0"/>
                  <w:vAlign w:val="center"/>
                </w:tcPr>
                <w:p w14:paraId="62C304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23" w:type="pct"/>
                  <w:tcBorders>
                    <w:tl2br w:val="nil"/>
                    <w:tr2bl w:val="nil"/>
                  </w:tcBorders>
                  <w:noWrap w:val="0"/>
                  <w:vAlign w:val="center"/>
                </w:tcPr>
                <w:p w14:paraId="54CE9954">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40FC25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2800</w:t>
                  </w:r>
                </w:p>
              </w:tc>
            </w:tr>
            <w:tr w14:paraId="6E782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11BB0F6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氯仿</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1EABA6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1.1L</w:t>
                  </w:r>
                </w:p>
              </w:tc>
              <w:tc>
                <w:tcPr>
                  <w:tcW w:w="753" w:type="pct"/>
                  <w:tcBorders>
                    <w:tl2br w:val="nil"/>
                    <w:tr2bl w:val="nil"/>
                  </w:tcBorders>
                  <w:noWrap w:val="0"/>
                  <w:vAlign w:val="center"/>
                </w:tcPr>
                <w:p w14:paraId="168F52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1.1L</w:t>
                  </w:r>
                </w:p>
              </w:tc>
              <w:tc>
                <w:tcPr>
                  <w:tcW w:w="512" w:type="pct"/>
                  <w:tcBorders>
                    <w:tl2br w:val="nil"/>
                    <w:tr2bl w:val="nil"/>
                  </w:tcBorders>
                  <w:noWrap w:val="0"/>
                  <w:vAlign w:val="center"/>
                </w:tcPr>
                <w:p w14:paraId="04E9FF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1.1L</w:t>
                  </w:r>
                </w:p>
              </w:tc>
              <w:tc>
                <w:tcPr>
                  <w:tcW w:w="523" w:type="pct"/>
                  <w:tcBorders>
                    <w:tl2br w:val="nil"/>
                    <w:tr2bl w:val="nil"/>
                  </w:tcBorders>
                  <w:noWrap w:val="0"/>
                  <w:vAlign w:val="center"/>
                </w:tcPr>
                <w:p w14:paraId="5011A4ED">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7442CA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14:paraId="2882D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0AB1CB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氯甲烷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62FD55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1.0L</w:t>
                  </w:r>
                </w:p>
              </w:tc>
              <w:tc>
                <w:tcPr>
                  <w:tcW w:w="753" w:type="pct"/>
                  <w:tcBorders>
                    <w:tl2br w:val="nil"/>
                    <w:tr2bl w:val="nil"/>
                  </w:tcBorders>
                  <w:noWrap w:val="0"/>
                  <w:vAlign w:val="center"/>
                </w:tcPr>
                <w:p w14:paraId="21928A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1.0L</w:t>
                  </w:r>
                </w:p>
              </w:tc>
              <w:tc>
                <w:tcPr>
                  <w:tcW w:w="512" w:type="pct"/>
                  <w:tcBorders>
                    <w:tl2br w:val="nil"/>
                    <w:tr2bl w:val="nil"/>
                  </w:tcBorders>
                  <w:noWrap w:val="0"/>
                  <w:vAlign w:val="center"/>
                </w:tcPr>
                <w:p w14:paraId="23DE0C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1.0L</w:t>
                  </w:r>
                </w:p>
              </w:tc>
              <w:tc>
                <w:tcPr>
                  <w:tcW w:w="523" w:type="pct"/>
                  <w:tcBorders>
                    <w:tl2br w:val="nil"/>
                    <w:tr2bl w:val="nil"/>
                  </w:tcBorders>
                  <w:noWrap w:val="0"/>
                  <w:vAlign w:val="center"/>
                </w:tcPr>
                <w:p w14:paraId="46CAB7D4">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5F63C7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37000</w:t>
                  </w:r>
                </w:p>
              </w:tc>
            </w:tr>
            <w:tr w14:paraId="3FC6C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1087E4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1,1-二氯乙烷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2D82E2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2D977A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185D30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12E95540">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3FB1F7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9000</w:t>
                  </w:r>
                </w:p>
              </w:tc>
            </w:tr>
            <w:tr w14:paraId="737A4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2F608E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1,2-二氯乙烷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422901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753" w:type="pct"/>
                  <w:tcBorders>
                    <w:tl2br w:val="nil"/>
                    <w:tr2bl w:val="nil"/>
                  </w:tcBorders>
                  <w:noWrap w:val="0"/>
                  <w:vAlign w:val="center"/>
                </w:tcPr>
                <w:p w14:paraId="4A1668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12" w:type="pct"/>
                  <w:tcBorders>
                    <w:tl2br w:val="nil"/>
                    <w:tr2bl w:val="nil"/>
                  </w:tcBorders>
                  <w:noWrap w:val="0"/>
                  <w:vAlign w:val="center"/>
                </w:tcPr>
                <w:p w14:paraId="16C729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23" w:type="pct"/>
                  <w:tcBorders>
                    <w:tl2br w:val="nil"/>
                    <w:tr2bl w:val="nil"/>
                  </w:tcBorders>
                  <w:noWrap w:val="0"/>
                  <w:vAlign w:val="center"/>
                </w:tcPr>
                <w:p w14:paraId="26BEA646">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3C2EF8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14:paraId="51A19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7E1372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1,1二氯乙烯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053542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1.0L</w:t>
                  </w:r>
                </w:p>
              </w:tc>
              <w:tc>
                <w:tcPr>
                  <w:tcW w:w="753" w:type="pct"/>
                  <w:tcBorders>
                    <w:tl2br w:val="nil"/>
                    <w:tr2bl w:val="nil"/>
                  </w:tcBorders>
                  <w:noWrap w:val="0"/>
                  <w:vAlign w:val="center"/>
                </w:tcPr>
                <w:p w14:paraId="675714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1.0L</w:t>
                  </w:r>
                </w:p>
              </w:tc>
              <w:tc>
                <w:tcPr>
                  <w:tcW w:w="512" w:type="pct"/>
                  <w:tcBorders>
                    <w:tl2br w:val="nil"/>
                    <w:tr2bl w:val="nil"/>
                  </w:tcBorders>
                  <w:noWrap w:val="0"/>
                  <w:vAlign w:val="center"/>
                </w:tcPr>
                <w:p w14:paraId="4C8AEB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1.0L</w:t>
                  </w:r>
                </w:p>
              </w:tc>
              <w:tc>
                <w:tcPr>
                  <w:tcW w:w="523" w:type="pct"/>
                  <w:tcBorders>
                    <w:tl2br w:val="nil"/>
                    <w:tr2bl w:val="nil"/>
                  </w:tcBorders>
                  <w:noWrap w:val="0"/>
                  <w:vAlign w:val="center"/>
                </w:tcPr>
                <w:p w14:paraId="7DD54092">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1CE21A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66000</w:t>
                  </w:r>
                </w:p>
              </w:tc>
            </w:tr>
            <w:tr w14:paraId="46878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4B0B6E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顺-1,2-二氯乙烯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4F12BC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753" w:type="pct"/>
                  <w:tcBorders>
                    <w:tl2br w:val="nil"/>
                    <w:tr2bl w:val="nil"/>
                  </w:tcBorders>
                  <w:noWrap w:val="0"/>
                  <w:vAlign w:val="center"/>
                </w:tcPr>
                <w:p w14:paraId="4FF113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12" w:type="pct"/>
                  <w:tcBorders>
                    <w:tl2br w:val="nil"/>
                    <w:tr2bl w:val="nil"/>
                  </w:tcBorders>
                  <w:noWrap w:val="0"/>
                  <w:vAlign w:val="center"/>
                </w:tcPr>
                <w:p w14:paraId="0D876B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23" w:type="pct"/>
                  <w:tcBorders>
                    <w:tl2br w:val="nil"/>
                    <w:tr2bl w:val="nil"/>
                  </w:tcBorders>
                  <w:noWrap w:val="0"/>
                  <w:vAlign w:val="center"/>
                </w:tcPr>
                <w:p w14:paraId="007FF7F6">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539FA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596000</w:t>
                  </w:r>
                </w:p>
              </w:tc>
            </w:tr>
            <w:tr w14:paraId="30941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2D2B94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反-1,2-二氯乙烯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780D75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1.4L</w:t>
                  </w:r>
                </w:p>
              </w:tc>
              <w:tc>
                <w:tcPr>
                  <w:tcW w:w="753" w:type="pct"/>
                  <w:tcBorders>
                    <w:tl2br w:val="nil"/>
                    <w:tr2bl w:val="nil"/>
                  </w:tcBorders>
                  <w:noWrap w:val="0"/>
                  <w:vAlign w:val="center"/>
                </w:tcPr>
                <w:p w14:paraId="4FF301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1.4L</w:t>
                  </w:r>
                </w:p>
              </w:tc>
              <w:tc>
                <w:tcPr>
                  <w:tcW w:w="512" w:type="pct"/>
                  <w:tcBorders>
                    <w:tl2br w:val="nil"/>
                    <w:tr2bl w:val="nil"/>
                  </w:tcBorders>
                  <w:noWrap w:val="0"/>
                  <w:vAlign w:val="center"/>
                </w:tcPr>
                <w:p w14:paraId="22E4B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1.4L</w:t>
                  </w:r>
                </w:p>
              </w:tc>
              <w:tc>
                <w:tcPr>
                  <w:tcW w:w="523" w:type="pct"/>
                  <w:tcBorders>
                    <w:tl2br w:val="nil"/>
                    <w:tr2bl w:val="nil"/>
                  </w:tcBorders>
                  <w:noWrap w:val="0"/>
                  <w:vAlign w:val="center"/>
                </w:tcPr>
                <w:p w14:paraId="1E42A896">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6345D7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54000</w:t>
                  </w:r>
                </w:p>
              </w:tc>
            </w:tr>
            <w:tr w14:paraId="4CFC9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324B7F7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二氯甲烷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6AC1E3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1.5L</w:t>
                  </w:r>
                </w:p>
              </w:tc>
              <w:tc>
                <w:tcPr>
                  <w:tcW w:w="753" w:type="pct"/>
                  <w:tcBorders>
                    <w:tl2br w:val="nil"/>
                    <w:tr2bl w:val="nil"/>
                  </w:tcBorders>
                  <w:noWrap w:val="0"/>
                  <w:vAlign w:val="center"/>
                </w:tcPr>
                <w:p w14:paraId="2964F0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1.5L</w:t>
                  </w:r>
                </w:p>
              </w:tc>
              <w:tc>
                <w:tcPr>
                  <w:tcW w:w="512" w:type="pct"/>
                  <w:tcBorders>
                    <w:tl2br w:val="nil"/>
                    <w:tr2bl w:val="nil"/>
                  </w:tcBorders>
                  <w:noWrap w:val="0"/>
                  <w:vAlign w:val="center"/>
                </w:tcPr>
                <w:p w14:paraId="538018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1.5L</w:t>
                  </w:r>
                </w:p>
              </w:tc>
              <w:tc>
                <w:tcPr>
                  <w:tcW w:w="523" w:type="pct"/>
                  <w:tcBorders>
                    <w:tl2br w:val="nil"/>
                    <w:tr2bl w:val="nil"/>
                  </w:tcBorders>
                  <w:noWrap w:val="0"/>
                  <w:vAlign w:val="center"/>
                </w:tcPr>
                <w:p w14:paraId="653A236C">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6D5411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616000</w:t>
                  </w:r>
                </w:p>
              </w:tc>
            </w:tr>
            <w:tr w14:paraId="65CEF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D40FC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1,2-二氯丙烷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3A6710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1.1L</w:t>
                  </w:r>
                </w:p>
              </w:tc>
              <w:tc>
                <w:tcPr>
                  <w:tcW w:w="753" w:type="pct"/>
                  <w:tcBorders>
                    <w:tl2br w:val="nil"/>
                    <w:tr2bl w:val="nil"/>
                  </w:tcBorders>
                  <w:noWrap w:val="0"/>
                  <w:vAlign w:val="center"/>
                </w:tcPr>
                <w:p w14:paraId="186968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1.1L</w:t>
                  </w:r>
                </w:p>
              </w:tc>
              <w:tc>
                <w:tcPr>
                  <w:tcW w:w="512" w:type="pct"/>
                  <w:tcBorders>
                    <w:tl2br w:val="nil"/>
                    <w:tr2bl w:val="nil"/>
                  </w:tcBorders>
                  <w:noWrap w:val="0"/>
                  <w:vAlign w:val="center"/>
                </w:tcPr>
                <w:p w14:paraId="09B649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1.1L</w:t>
                  </w:r>
                </w:p>
              </w:tc>
              <w:tc>
                <w:tcPr>
                  <w:tcW w:w="523" w:type="pct"/>
                  <w:tcBorders>
                    <w:tl2br w:val="nil"/>
                    <w:tr2bl w:val="nil"/>
                  </w:tcBorders>
                  <w:noWrap w:val="0"/>
                  <w:vAlign w:val="center"/>
                </w:tcPr>
                <w:p w14:paraId="6A3AC6A5">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55497D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14:paraId="0AA29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1BD5DA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1,1,1,2-四氯乙烷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41E480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142346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5177DB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444A9AC3">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44DDED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14:paraId="5D31B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425937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1,1,2,2-四氯乙烷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6257F5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6666A0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78DF11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0753CAA4">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07EFFE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6800</w:t>
                  </w:r>
                </w:p>
              </w:tc>
            </w:tr>
            <w:tr w14:paraId="70C08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0D988C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四氯乙烯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6B2292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1.4L</w:t>
                  </w:r>
                </w:p>
              </w:tc>
              <w:tc>
                <w:tcPr>
                  <w:tcW w:w="753" w:type="pct"/>
                  <w:tcBorders>
                    <w:tl2br w:val="nil"/>
                    <w:tr2bl w:val="nil"/>
                  </w:tcBorders>
                  <w:noWrap w:val="0"/>
                  <w:vAlign w:val="center"/>
                </w:tcPr>
                <w:p w14:paraId="79FE58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1.4L</w:t>
                  </w:r>
                </w:p>
              </w:tc>
              <w:tc>
                <w:tcPr>
                  <w:tcW w:w="512" w:type="pct"/>
                  <w:tcBorders>
                    <w:tl2br w:val="nil"/>
                    <w:tr2bl w:val="nil"/>
                  </w:tcBorders>
                  <w:noWrap w:val="0"/>
                  <w:vAlign w:val="center"/>
                </w:tcPr>
                <w:p w14:paraId="416783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1.4L</w:t>
                  </w:r>
                </w:p>
              </w:tc>
              <w:tc>
                <w:tcPr>
                  <w:tcW w:w="523" w:type="pct"/>
                  <w:tcBorders>
                    <w:tl2br w:val="nil"/>
                    <w:tr2bl w:val="nil"/>
                  </w:tcBorders>
                  <w:noWrap w:val="0"/>
                  <w:vAlign w:val="center"/>
                </w:tcPr>
                <w:p w14:paraId="49EBDDFB">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2FD09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53000</w:t>
                  </w:r>
                </w:p>
              </w:tc>
            </w:tr>
            <w:tr w14:paraId="1DA51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F1A3A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1,1,1-三氯乙烷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1D18EE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753" w:type="pct"/>
                  <w:tcBorders>
                    <w:tl2br w:val="nil"/>
                    <w:tr2bl w:val="nil"/>
                  </w:tcBorders>
                  <w:noWrap w:val="0"/>
                  <w:vAlign w:val="center"/>
                </w:tcPr>
                <w:p w14:paraId="2366B7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12" w:type="pct"/>
                  <w:tcBorders>
                    <w:tl2br w:val="nil"/>
                    <w:tr2bl w:val="nil"/>
                  </w:tcBorders>
                  <w:noWrap w:val="0"/>
                  <w:vAlign w:val="center"/>
                </w:tcPr>
                <w:p w14:paraId="423727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23" w:type="pct"/>
                  <w:tcBorders>
                    <w:tl2br w:val="nil"/>
                    <w:tr2bl w:val="nil"/>
                  </w:tcBorders>
                  <w:noWrap w:val="0"/>
                  <w:vAlign w:val="center"/>
                </w:tcPr>
                <w:p w14:paraId="6B75FB15">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56745F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840000</w:t>
                  </w:r>
                </w:p>
              </w:tc>
            </w:tr>
            <w:tr w14:paraId="6B48E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0548D7B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1,1,2-三氯乙烷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2DC0E7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380963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1E2F3D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42884A61">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5F6FD2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2800</w:t>
                  </w:r>
                </w:p>
              </w:tc>
            </w:tr>
            <w:tr w14:paraId="12628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D330D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三氯乙烯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493D18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559F85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4C508A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02876037">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3FC76B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2800</w:t>
                  </w:r>
                </w:p>
              </w:tc>
            </w:tr>
            <w:tr w14:paraId="50D02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5B5C97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1,2,3-三氯丙烷</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2E7466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4F33EF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3C99A6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70D9EDB0">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3A13D1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14:paraId="1FA11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361716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氯乙烯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501145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1.0L</w:t>
                  </w:r>
                </w:p>
              </w:tc>
              <w:tc>
                <w:tcPr>
                  <w:tcW w:w="753" w:type="pct"/>
                  <w:tcBorders>
                    <w:tl2br w:val="nil"/>
                    <w:tr2bl w:val="nil"/>
                  </w:tcBorders>
                  <w:noWrap w:val="0"/>
                  <w:vAlign w:val="center"/>
                </w:tcPr>
                <w:p w14:paraId="3BDF11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1.0L</w:t>
                  </w:r>
                </w:p>
              </w:tc>
              <w:tc>
                <w:tcPr>
                  <w:tcW w:w="512" w:type="pct"/>
                  <w:tcBorders>
                    <w:tl2br w:val="nil"/>
                    <w:tr2bl w:val="nil"/>
                  </w:tcBorders>
                  <w:noWrap w:val="0"/>
                  <w:vAlign w:val="center"/>
                </w:tcPr>
                <w:p w14:paraId="36689E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1.0L</w:t>
                  </w:r>
                </w:p>
              </w:tc>
              <w:tc>
                <w:tcPr>
                  <w:tcW w:w="523" w:type="pct"/>
                  <w:tcBorders>
                    <w:tl2br w:val="nil"/>
                    <w:tr2bl w:val="nil"/>
                  </w:tcBorders>
                  <w:noWrap w:val="0"/>
                  <w:vAlign w:val="center"/>
                </w:tcPr>
                <w:p w14:paraId="5F2A68B3">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73A3B7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430</w:t>
                  </w:r>
                </w:p>
              </w:tc>
            </w:tr>
            <w:tr w14:paraId="50896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5C8C5C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5D21D1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1.9L</w:t>
                  </w:r>
                </w:p>
              </w:tc>
              <w:tc>
                <w:tcPr>
                  <w:tcW w:w="753" w:type="pct"/>
                  <w:tcBorders>
                    <w:tl2br w:val="nil"/>
                    <w:tr2bl w:val="nil"/>
                  </w:tcBorders>
                  <w:noWrap w:val="0"/>
                  <w:vAlign w:val="center"/>
                </w:tcPr>
                <w:p w14:paraId="50451B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1.9L</w:t>
                  </w:r>
                </w:p>
              </w:tc>
              <w:tc>
                <w:tcPr>
                  <w:tcW w:w="512" w:type="pct"/>
                  <w:tcBorders>
                    <w:tl2br w:val="nil"/>
                    <w:tr2bl w:val="nil"/>
                  </w:tcBorders>
                  <w:noWrap w:val="0"/>
                  <w:vAlign w:val="center"/>
                </w:tcPr>
                <w:p w14:paraId="5FB973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1.9L</w:t>
                  </w:r>
                </w:p>
              </w:tc>
              <w:tc>
                <w:tcPr>
                  <w:tcW w:w="523" w:type="pct"/>
                  <w:tcBorders>
                    <w:tl2br w:val="nil"/>
                    <w:tr2bl w:val="nil"/>
                  </w:tcBorders>
                  <w:noWrap w:val="0"/>
                  <w:vAlign w:val="center"/>
                </w:tcPr>
                <w:p w14:paraId="38571D4F">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1BF4D8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58328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3FBBA74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氯苯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54626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5AD441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103B97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58788966">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52DA2D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270000</w:t>
                  </w:r>
                </w:p>
              </w:tc>
            </w:tr>
            <w:tr w14:paraId="5683F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229B46D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1,2-二氯苯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525172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1.5L</w:t>
                  </w:r>
                </w:p>
              </w:tc>
              <w:tc>
                <w:tcPr>
                  <w:tcW w:w="753" w:type="pct"/>
                  <w:tcBorders>
                    <w:tl2br w:val="nil"/>
                    <w:tr2bl w:val="nil"/>
                  </w:tcBorders>
                  <w:noWrap w:val="0"/>
                  <w:vAlign w:val="center"/>
                </w:tcPr>
                <w:p w14:paraId="2F4A17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1.5L</w:t>
                  </w:r>
                </w:p>
              </w:tc>
              <w:tc>
                <w:tcPr>
                  <w:tcW w:w="512" w:type="pct"/>
                  <w:tcBorders>
                    <w:tl2br w:val="nil"/>
                    <w:tr2bl w:val="nil"/>
                  </w:tcBorders>
                  <w:noWrap w:val="0"/>
                  <w:vAlign w:val="center"/>
                </w:tcPr>
                <w:p w14:paraId="76DE59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1.5L</w:t>
                  </w:r>
                </w:p>
              </w:tc>
              <w:tc>
                <w:tcPr>
                  <w:tcW w:w="523" w:type="pct"/>
                  <w:tcBorders>
                    <w:tl2br w:val="nil"/>
                    <w:tr2bl w:val="nil"/>
                  </w:tcBorders>
                  <w:noWrap w:val="0"/>
                  <w:vAlign w:val="center"/>
                </w:tcPr>
                <w:p w14:paraId="402BC471">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402C98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560000</w:t>
                  </w:r>
                </w:p>
              </w:tc>
            </w:tr>
            <w:tr w14:paraId="77BDB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1FD15A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1,4-二氯苯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59EDE3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1.5L</w:t>
                  </w:r>
                </w:p>
              </w:tc>
              <w:tc>
                <w:tcPr>
                  <w:tcW w:w="753" w:type="pct"/>
                  <w:tcBorders>
                    <w:tl2br w:val="nil"/>
                    <w:tr2bl w:val="nil"/>
                  </w:tcBorders>
                  <w:noWrap w:val="0"/>
                  <w:vAlign w:val="center"/>
                </w:tcPr>
                <w:p w14:paraId="4D2264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1.5L</w:t>
                  </w:r>
                </w:p>
              </w:tc>
              <w:tc>
                <w:tcPr>
                  <w:tcW w:w="512" w:type="pct"/>
                  <w:tcBorders>
                    <w:tl2br w:val="nil"/>
                    <w:tr2bl w:val="nil"/>
                  </w:tcBorders>
                  <w:noWrap w:val="0"/>
                  <w:vAlign w:val="center"/>
                </w:tcPr>
                <w:p w14:paraId="39054E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1.5L</w:t>
                  </w:r>
                </w:p>
              </w:tc>
              <w:tc>
                <w:tcPr>
                  <w:tcW w:w="523" w:type="pct"/>
                  <w:tcBorders>
                    <w:tl2br w:val="nil"/>
                    <w:tr2bl w:val="nil"/>
                  </w:tcBorders>
                  <w:noWrap w:val="0"/>
                  <w:vAlign w:val="center"/>
                </w:tcPr>
                <w:p w14:paraId="5A6BD05A">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3BF67D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20000</w:t>
                  </w:r>
                </w:p>
              </w:tc>
            </w:tr>
            <w:tr w14:paraId="7B618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24AF86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乙苯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19A824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1994C2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157856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0BC42017">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262845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28000</w:t>
                  </w:r>
                </w:p>
              </w:tc>
            </w:tr>
            <w:tr w14:paraId="1CD33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003DB5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苯乙烯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0A9F04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1.1L</w:t>
                  </w:r>
                </w:p>
              </w:tc>
              <w:tc>
                <w:tcPr>
                  <w:tcW w:w="753" w:type="pct"/>
                  <w:tcBorders>
                    <w:tl2br w:val="nil"/>
                    <w:tr2bl w:val="nil"/>
                  </w:tcBorders>
                  <w:noWrap w:val="0"/>
                  <w:vAlign w:val="center"/>
                </w:tcPr>
                <w:p w14:paraId="0EFA7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1.1L</w:t>
                  </w:r>
                </w:p>
              </w:tc>
              <w:tc>
                <w:tcPr>
                  <w:tcW w:w="512" w:type="pct"/>
                  <w:tcBorders>
                    <w:tl2br w:val="nil"/>
                    <w:tr2bl w:val="nil"/>
                  </w:tcBorders>
                  <w:noWrap w:val="0"/>
                  <w:vAlign w:val="center"/>
                </w:tcPr>
                <w:p w14:paraId="789DDA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1.1L</w:t>
                  </w:r>
                </w:p>
              </w:tc>
              <w:tc>
                <w:tcPr>
                  <w:tcW w:w="523" w:type="pct"/>
                  <w:tcBorders>
                    <w:tl2br w:val="nil"/>
                    <w:tr2bl w:val="nil"/>
                  </w:tcBorders>
                  <w:noWrap w:val="0"/>
                  <w:vAlign w:val="center"/>
                </w:tcPr>
                <w:p w14:paraId="2308615D">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045B31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1290000</w:t>
                  </w:r>
                </w:p>
              </w:tc>
            </w:tr>
            <w:tr w14:paraId="4F832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DBB4BE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甲苯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592250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753" w:type="pct"/>
                  <w:tcBorders>
                    <w:tl2br w:val="nil"/>
                    <w:tr2bl w:val="nil"/>
                  </w:tcBorders>
                  <w:noWrap w:val="0"/>
                  <w:vAlign w:val="center"/>
                </w:tcPr>
                <w:p w14:paraId="7625BF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12" w:type="pct"/>
                  <w:tcBorders>
                    <w:tl2br w:val="nil"/>
                    <w:tr2bl w:val="nil"/>
                  </w:tcBorders>
                  <w:noWrap w:val="0"/>
                  <w:vAlign w:val="center"/>
                </w:tcPr>
                <w:p w14:paraId="415E33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1.3L</w:t>
                  </w:r>
                </w:p>
              </w:tc>
              <w:tc>
                <w:tcPr>
                  <w:tcW w:w="523" w:type="pct"/>
                  <w:tcBorders>
                    <w:tl2br w:val="nil"/>
                    <w:tr2bl w:val="nil"/>
                  </w:tcBorders>
                  <w:noWrap w:val="0"/>
                  <w:vAlign w:val="center"/>
                </w:tcPr>
                <w:p w14:paraId="16121620">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35EF28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1200000</w:t>
                  </w:r>
                </w:p>
              </w:tc>
            </w:tr>
            <w:tr w14:paraId="4C2DF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7D2166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对-二甲苯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2BFFD2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735236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32805E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5B4AAF91">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5F59B1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570000</w:t>
                  </w:r>
                </w:p>
              </w:tc>
            </w:tr>
            <w:tr w14:paraId="6983B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3F055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邻-二甲苯</w:t>
                  </w:r>
                  <w:r>
                    <w:rPr>
                      <w:rFonts w:hint="eastAsia" w:ascii="宋体" w:hAnsi="宋体" w:eastAsia="宋体" w:cs="宋体"/>
                      <w:color w:val="auto"/>
                      <w:sz w:val="21"/>
                      <w:szCs w:val="21"/>
                      <w:highlight w:val="none"/>
                      <w:lang w:eastAsia="zh-CN"/>
                    </w:rPr>
                    <w:t>（μg/kg）</w:t>
                  </w:r>
                </w:p>
              </w:tc>
              <w:tc>
                <w:tcPr>
                  <w:tcW w:w="916" w:type="pct"/>
                  <w:tcBorders>
                    <w:tl2br w:val="nil"/>
                    <w:tr2bl w:val="nil"/>
                  </w:tcBorders>
                  <w:noWrap w:val="0"/>
                  <w:vAlign w:val="center"/>
                </w:tcPr>
                <w:p w14:paraId="48DD3F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753" w:type="pct"/>
                  <w:tcBorders>
                    <w:tl2br w:val="nil"/>
                    <w:tr2bl w:val="nil"/>
                  </w:tcBorders>
                  <w:noWrap w:val="0"/>
                  <w:vAlign w:val="center"/>
                </w:tcPr>
                <w:p w14:paraId="4C718E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12" w:type="pct"/>
                  <w:tcBorders>
                    <w:tl2br w:val="nil"/>
                    <w:tr2bl w:val="nil"/>
                  </w:tcBorders>
                  <w:noWrap w:val="0"/>
                  <w:vAlign w:val="center"/>
                </w:tcPr>
                <w:p w14:paraId="15537F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1.2L</w:t>
                  </w:r>
                </w:p>
              </w:tc>
              <w:tc>
                <w:tcPr>
                  <w:tcW w:w="523" w:type="pct"/>
                  <w:tcBorders>
                    <w:tl2br w:val="nil"/>
                    <w:tr2bl w:val="nil"/>
                  </w:tcBorders>
                  <w:noWrap w:val="0"/>
                  <w:vAlign w:val="center"/>
                </w:tcPr>
                <w:p w14:paraId="570A95C2">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38FC84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pacing w:val="-11"/>
                      <w:sz w:val="21"/>
                      <w:szCs w:val="21"/>
                      <w:u w:val="none"/>
                    </w:rPr>
                  </w:pPr>
                  <w:r>
                    <w:rPr>
                      <w:rFonts w:hint="eastAsia" w:ascii="宋体" w:hAnsi="宋体" w:eastAsia="宋体" w:cs="宋体"/>
                      <w:i w:val="0"/>
                      <w:iCs w:val="0"/>
                      <w:color w:val="000000"/>
                      <w:kern w:val="0"/>
                      <w:sz w:val="21"/>
                      <w:szCs w:val="21"/>
                      <w:u w:val="none"/>
                      <w:lang w:val="en-US" w:eastAsia="zh-CN" w:bidi="ar"/>
                    </w:rPr>
                    <w:t>640000</w:t>
                  </w:r>
                </w:p>
              </w:tc>
            </w:tr>
            <w:tr w14:paraId="30934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41009F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硝基苯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74B213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0.09L</w:t>
                  </w:r>
                </w:p>
              </w:tc>
              <w:tc>
                <w:tcPr>
                  <w:tcW w:w="753" w:type="pct"/>
                  <w:tcBorders>
                    <w:tl2br w:val="nil"/>
                    <w:tr2bl w:val="nil"/>
                  </w:tcBorders>
                  <w:noWrap w:val="0"/>
                  <w:vAlign w:val="center"/>
                </w:tcPr>
                <w:p w14:paraId="1BAA5F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0.09L</w:t>
                  </w:r>
                </w:p>
              </w:tc>
              <w:tc>
                <w:tcPr>
                  <w:tcW w:w="512" w:type="pct"/>
                  <w:tcBorders>
                    <w:tl2br w:val="nil"/>
                    <w:tr2bl w:val="nil"/>
                  </w:tcBorders>
                  <w:noWrap w:val="0"/>
                  <w:vAlign w:val="center"/>
                </w:tcPr>
                <w:p w14:paraId="0C1AF8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0.09L</w:t>
                  </w:r>
                </w:p>
              </w:tc>
              <w:tc>
                <w:tcPr>
                  <w:tcW w:w="523" w:type="pct"/>
                  <w:tcBorders>
                    <w:tl2br w:val="nil"/>
                    <w:tr2bl w:val="nil"/>
                  </w:tcBorders>
                  <w:noWrap w:val="0"/>
                  <w:vAlign w:val="center"/>
                </w:tcPr>
                <w:p w14:paraId="44FCF69D">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02FF4E8D">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76</w:t>
                  </w:r>
                </w:p>
              </w:tc>
            </w:tr>
            <w:tr w14:paraId="0DD02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3ED6373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苯胺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2F35AA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753" w:type="pct"/>
                  <w:tcBorders>
                    <w:tl2br w:val="nil"/>
                    <w:tr2bl w:val="nil"/>
                  </w:tcBorders>
                  <w:noWrap w:val="0"/>
                  <w:vAlign w:val="center"/>
                </w:tcPr>
                <w:p w14:paraId="070800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12" w:type="pct"/>
                  <w:tcBorders>
                    <w:tl2br w:val="nil"/>
                    <w:tr2bl w:val="nil"/>
                  </w:tcBorders>
                  <w:noWrap w:val="0"/>
                  <w:vAlign w:val="center"/>
                </w:tcPr>
                <w:p w14:paraId="111BF7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23" w:type="pct"/>
                  <w:tcBorders>
                    <w:tl2br w:val="nil"/>
                    <w:tr2bl w:val="nil"/>
                  </w:tcBorders>
                  <w:noWrap w:val="0"/>
                  <w:vAlign w:val="center"/>
                </w:tcPr>
                <w:p w14:paraId="637EFE70">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57B32DE2">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260</w:t>
                  </w:r>
                </w:p>
              </w:tc>
            </w:tr>
            <w:tr w14:paraId="47E46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06D377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2-氯酚</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2469A0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0.06L</w:t>
                  </w:r>
                </w:p>
              </w:tc>
              <w:tc>
                <w:tcPr>
                  <w:tcW w:w="753" w:type="pct"/>
                  <w:tcBorders>
                    <w:tl2br w:val="nil"/>
                    <w:tr2bl w:val="nil"/>
                  </w:tcBorders>
                  <w:noWrap w:val="0"/>
                  <w:vAlign w:val="center"/>
                </w:tcPr>
                <w:p w14:paraId="2A74D7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0.06L</w:t>
                  </w:r>
                </w:p>
              </w:tc>
              <w:tc>
                <w:tcPr>
                  <w:tcW w:w="512" w:type="pct"/>
                  <w:tcBorders>
                    <w:tl2br w:val="nil"/>
                    <w:tr2bl w:val="nil"/>
                  </w:tcBorders>
                  <w:noWrap w:val="0"/>
                  <w:vAlign w:val="center"/>
                </w:tcPr>
                <w:p w14:paraId="2333FE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0.06L</w:t>
                  </w:r>
                </w:p>
              </w:tc>
              <w:tc>
                <w:tcPr>
                  <w:tcW w:w="523" w:type="pct"/>
                  <w:tcBorders>
                    <w:tl2br w:val="nil"/>
                    <w:tr2bl w:val="nil"/>
                  </w:tcBorders>
                  <w:noWrap w:val="0"/>
                  <w:vAlign w:val="center"/>
                </w:tcPr>
                <w:p w14:paraId="7FC66CA5">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5762B3B7">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2256</w:t>
                  </w:r>
                </w:p>
              </w:tc>
            </w:tr>
            <w:tr w14:paraId="3CEDC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33AAAD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苯并（a）蒽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26A1F7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753" w:type="pct"/>
                  <w:tcBorders>
                    <w:tl2br w:val="nil"/>
                    <w:tr2bl w:val="nil"/>
                  </w:tcBorders>
                  <w:noWrap w:val="0"/>
                  <w:vAlign w:val="center"/>
                </w:tcPr>
                <w:p w14:paraId="3269E6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12" w:type="pct"/>
                  <w:tcBorders>
                    <w:tl2br w:val="nil"/>
                    <w:tr2bl w:val="nil"/>
                  </w:tcBorders>
                  <w:noWrap w:val="0"/>
                  <w:vAlign w:val="center"/>
                </w:tcPr>
                <w:p w14:paraId="26CA48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23" w:type="pct"/>
                  <w:tcBorders>
                    <w:tl2br w:val="nil"/>
                    <w:tr2bl w:val="nil"/>
                  </w:tcBorders>
                  <w:noWrap w:val="0"/>
                  <w:vAlign w:val="center"/>
                </w:tcPr>
                <w:p w14:paraId="7AE02099">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4FFD6BE0">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15</w:t>
                  </w:r>
                </w:p>
              </w:tc>
            </w:tr>
            <w:tr w14:paraId="46B15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27E6C6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苯并（a）芘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0F0BB3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753" w:type="pct"/>
                  <w:tcBorders>
                    <w:tl2br w:val="nil"/>
                    <w:tr2bl w:val="nil"/>
                  </w:tcBorders>
                  <w:noWrap w:val="0"/>
                  <w:vAlign w:val="center"/>
                </w:tcPr>
                <w:p w14:paraId="73719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12" w:type="pct"/>
                  <w:tcBorders>
                    <w:tl2br w:val="nil"/>
                    <w:tr2bl w:val="nil"/>
                  </w:tcBorders>
                  <w:noWrap w:val="0"/>
                  <w:vAlign w:val="center"/>
                </w:tcPr>
                <w:p w14:paraId="529AF6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23" w:type="pct"/>
                  <w:tcBorders>
                    <w:tl2br w:val="nil"/>
                    <w:tr2bl w:val="nil"/>
                  </w:tcBorders>
                  <w:noWrap w:val="0"/>
                  <w:vAlign w:val="center"/>
                </w:tcPr>
                <w:p w14:paraId="00B72E63">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199B367B">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1.5</w:t>
                  </w:r>
                </w:p>
              </w:tc>
            </w:tr>
            <w:tr w14:paraId="0BA4D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6BC55A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苯并（b）荧蒽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4C67DD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0.2L</w:t>
                  </w:r>
                </w:p>
              </w:tc>
              <w:tc>
                <w:tcPr>
                  <w:tcW w:w="753" w:type="pct"/>
                  <w:tcBorders>
                    <w:tl2br w:val="nil"/>
                    <w:tr2bl w:val="nil"/>
                  </w:tcBorders>
                  <w:noWrap w:val="0"/>
                  <w:vAlign w:val="center"/>
                </w:tcPr>
                <w:p w14:paraId="4A936F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0.2L</w:t>
                  </w:r>
                </w:p>
              </w:tc>
              <w:tc>
                <w:tcPr>
                  <w:tcW w:w="512" w:type="pct"/>
                  <w:tcBorders>
                    <w:tl2br w:val="nil"/>
                    <w:tr2bl w:val="nil"/>
                  </w:tcBorders>
                  <w:noWrap w:val="0"/>
                  <w:vAlign w:val="center"/>
                </w:tcPr>
                <w:p w14:paraId="556F49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0.2L</w:t>
                  </w:r>
                </w:p>
              </w:tc>
              <w:tc>
                <w:tcPr>
                  <w:tcW w:w="523" w:type="pct"/>
                  <w:tcBorders>
                    <w:tl2br w:val="nil"/>
                    <w:tr2bl w:val="nil"/>
                  </w:tcBorders>
                  <w:noWrap w:val="0"/>
                  <w:vAlign w:val="center"/>
                </w:tcPr>
                <w:p w14:paraId="516835B8">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234C530C">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15</w:t>
                  </w:r>
                </w:p>
              </w:tc>
            </w:tr>
            <w:tr w14:paraId="00F02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24E017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苯并（k）荧蒽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523591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753" w:type="pct"/>
                  <w:tcBorders>
                    <w:tl2br w:val="nil"/>
                    <w:tr2bl w:val="nil"/>
                  </w:tcBorders>
                  <w:noWrap w:val="0"/>
                  <w:vAlign w:val="center"/>
                </w:tcPr>
                <w:p w14:paraId="4CDE9E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12" w:type="pct"/>
                  <w:tcBorders>
                    <w:tl2br w:val="nil"/>
                    <w:tr2bl w:val="nil"/>
                  </w:tcBorders>
                  <w:noWrap w:val="0"/>
                  <w:vAlign w:val="center"/>
                </w:tcPr>
                <w:p w14:paraId="7E933C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23" w:type="pct"/>
                  <w:tcBorders>
                    <w:tl2br w:val="nil"/>
                    <w:tr2bl w:val="nil"/>
                  </w:tcBorders>
                  <w:noWrap w:val="0"/>
                  <w:vAlign w:val="center"/>
                </w:tcPr>
                <w:p w14:paraId="47ADBFD6">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77E8B10E">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151</w:t>
                  </w:r>
                </w:p>
              </w:tc>
            </w:tr>
            <w:tr w14:paraId="0DD9A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5546BB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䓛</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41AF33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753" w:type="pct"/>
                  <w:tcBorders>
                    <w:tl2br w:val="nil"/>
                    <w:tr2bl w:val="nil"/>
                  </w:tcBorders>
                  <w:noWrap w:val="0"/>
                  <w:vAlign w:val="center"/>
                </w:tcPr>
                <w:p w14:paraId="664799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12" w:type="pct"/>
                  <w:tcBorders>
                    <w:tl2br w:val="nil"/>
                    <w:tr2bl w:val="nil"/>
                  </w:tcBorders>
                  <w:noWrap w:val="0"/>
                  <w:vAlign w:val="center"/>
                </w:tcPr>
                <w:p w14:paraId="39DA03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23" w:type="pct"/>
                  <w:tcBorders>
                    <w:tl2br w:val="nil"/>
                    <w:tr2bl w:val="nil"/>
                  </w:tcBorders>
                  <w:noWrap w:val="0"/>
                  <w:vAlign w:val="center"/>
                </w:tcPr>
                <w:p w14:paraId="03D4F110">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16345505">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l293</w:t>
                  </w:r>
                </w:p>
              </w:tc>
            </w:tr>
            <w:tr w14:paraId="28410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1A7F95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二苯并（a,h）蒽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44B0EE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753" w:type="pct"/>
                  <w:tcBorders>
                    <w:tl2br w:val="nil"/>
                    <w:tr2bl w:val="nil"/>
                  </w:tcBorders>
                  <w:noWrap w:val="0"/>
                  <w:vAlign w:val="center"/>
                </w:tcPr>
                <w:p w14:paraId="652223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12" w:type="pct"/>
                  <w:tcBorders>
                    <w:tl2br w:val="nil"/>
                    <w:tr2bl w:val="nil"/>
                  </w:tcBorders>
                  <w:noWrap w:val="0"/>
                  <w:vAlign w:val="center"/>
                </w:tcPr>
                <w:p w14:paraId="077950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23" w:type="pct"/>
                  <w:tcBorders>
                    <w:tl2br w:val="nil"/>
                    <w:tr2bl w:val="nil"/>
                  </w:tcBorders>
                  <w:noWrap w:val="0"/>
                  <w:vAlign w:val="center"/>
                </w:tcPr>
                <w:p w14:paraId="3BAB57F5">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7531D14C">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1.5</w:t>
                  </w:r>
                </w:p>
              </w:tc>
            </w:tr>
            <w:tr w14:paraId="4671E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55AD80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茚并（1,2,3-cd）芘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12A646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753" w:type="pct"/>
                  <w:tcBorders>
                    <w:tl2br w:val="nil"/>
                    <w:tr2bl w:val="nil"/>
                  </w:tcBorders>
                  <w:noWrap w:val="0"/>
                  <w:vAlign w:val="center"/>
                </w:tcPr>
                <w:p w14:paraId="1350AE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12" w:type="pct"/>
                  <w:tcBorders>
                    <w:tl2br w:val="nil"/>
                    <w:tr2bl w:val="nil"/>
                  </w:tcBorders>
                  <w:noWrap w:val="0"/>
                  <w:vAlign w:val="center"/>
                </w:tcPr>
                <w:p w14:paraId="37AAC3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0.1L</w:t>
                  </w:r>
                </w:p>
              </w:tc>
              <w:tc>
                <w:tcPr>
                  <w:tcW w:w="523" w:type="pct"/>
                  <w:tcBorders>
                    <w:tl2br w:val="nil"/>
                    <w:tr2bl w:val="nil"/>
                  </w:tcBorders>
                  <w:noWrap w:val="0"/>
                  <w:vAlign w:val="center"/>
                </w:tcPr>
                <w:p w14:paraId="434CC9E5">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21F142ED">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15</w:t>
                  </w:r>
                </w:p>
              </w:tc>
            </w:tr>
            <w:tr w14:paraId="4737F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1" w:type="pct"/>
                  <w:tcBorders>
                    <w:tl2br w:val="nil"/>
                    <w:tr2bl w:val="nil"/>
                  </w:tcBorders>
                  <w:noWrap w:val="0"/>
                  <w:vAlign w:val="center"/>
                </w:tcPr>
                <w:p w14:paraId="3523F50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mg/</w:t>
                  </w:r>
                  <w:r>
                    <w:rPr>
                      <w:rFonts w:hint="eastAsia" w:ascii="宋体" w:hAnsi="宋体" w:eastAsia="宋体" w:cs="宋体"/>
                      <w:bCs/>
                      <w:color w:val="auto"/>
                      <w:sz w:val="21"/>
                      <w:szCs w:val="21"/>
                      <w:highlight w:val="none"/>
                      <w:lang w:eastAsia="zh-CN"/>
                    </w:rPr>
                    <w:t>kg）</w:t>
                  </w:r>
                </w:p>
              </w:tc>
              <w:tc>
                <w:tcPr>
                  <w:tcW w:w="916" w:type="pct"/>
                  <w:tcBorders>
                    <w:tl2br w:val="nil"/>
                    <w:tr2bl w:val="nil"/>
                  </w:tcBorders>
                  <w:noWrap w:val="0"/>
                  <w:vAlign w:val="center"/>
                </w:tcPr>
                <w:p w14:paraId="35DEBA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0.09L</w:t>
                  </w:r>
                </w:p>
              </w:tc>
              <w:tc>
                <w:tcPr>
                  <w:tcW w:w="753" w:type="pct"/>
                  <w:tcBorders>
                    <w:tl2br w:val="nil"/>
                    <w:tr2bl w:val="nil"/>
                  </w:tcBorders>
                  <w:noWrap w:val="0"/>
                  <w:vAlign w:val="center"/>
                </w:tcPr>
                <w:p w14:paraId="5842ED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0.09L</w:t>
                  </w:r>
                </w:p>
              </w:tc>
              <w:tc>
                <w:tcPr>
                  <w:tcW w:w="512" w:type="pct"/>
                  <w:tcBorders>
                    <w:tl2br w:val="nil"/>
                    <w:tr2bl w:val="nil"/>
                  </w:tcBorders>
                  <w:noWrap w:val="0"/>
                  <w:vAlign w:val="center"/>
                </w:tcPr>
                <w:p w14:paraId="15C4E3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0.09L</w:t>
                  </w:r>
                </w:p>
              </w:tc>
              <w:tc>
                <w:tcPr>
                  <w:tcW w:w="523" w:type="pct"/>
                  <w:tcBorders>
                    <w:tl2br w:val="nil"/>
                    <w:tr2bl w:val="nil"/>
                  </w:tcBorders>
                  <w:noWrap w:val="0"/>
                  <w:vAlign w:val="center"/>
                </w:tcPr>
                <w:p w14:paraId="48E3A8AF">
                  <w:pPr>
                    <w:pStyle w:val="54"/>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auto"/>
                      <w:spacing w:val="-20"/>
                      <w:kern w:val="2"/>
                      <w:sz w:val="21"/>
                      <w:szCs w:val="21"/>
                      <w:u w:val="none"/>
                      <w:lang w:val="en-US" w:eastAsia="zh-CN" w:bidi="ar-SA"/>
                    </w:rPr>
                  </w:pPr>
                  <w:r>
                    <w:rPr>
                      <w:rFonts w:hint="eastAsia" w:ascii="宋体" w:hAnsi="宋体" w:eastAsia="宋体" w:cs="宋体"/>
                      <w:color w:val="auto"/>
                      <w:spacing w:val="-20"/>
                      <w:sz w:val="21"/>
                      <w:szCs w:val="21"/>
                      <w:u w:val="none"/>
                      <w:lang w:val="en-US" w:eastAsia="zh-CN"/>
                    </w:rPr>
                    <w:t>-</w:t>
                  </w:r>
                </w:p>
              </w:tc>
              <w:tc>
                <w:tcPr>
                  <w:tcW w:w="581" w:type="pct"/>
                  <w:tcBorders>
                    <w:tl2br w:val="nil"/>
                    <w:tr2bl w:val="nil"/>
                  </w:tcBorders>
                  <w:noWrap w:val="0"/>
                  <w:vAlign w:val="center"/>
                </w:tcPr>
                <w:p w14:paraId="03927011">
                  <w:pPr>
                    <w:pStyle w:val="54"/>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pacing w:val="-11"/>
                      <w:sz w:val="21"/>
                      <w:szCs w:val="21"/>
                      <w:u w:val="none"/>
                    </w:rPr>
                  </w:pPr>
                  <w:r>
                    <w:rPr>
                      <w:rFonts w:hint="eastAsia" w:ascii="宋体" w:hAnsi="宋体" w:eastAsia="宋体" w:cs="宋体"/>
                      <w:color w:val="auto"/>
                      <w:spacing w:val="-11"/>
                      <w:sz w:val="21"/>
                      <w:szCs w:val="21"/>
                      <w:u w:val="none"/>
                    </w:rPr>
                    <w:t>70</w:t>
                  </w:r>
                </w:p>
              </w:tc>
            </w:tr>
          </w:tbl>
          <w:p w14:paraId="481F69EA">
            <w:pPr>
              <w:pStyle w:val="21"/>
              <w:keepNext/>
              <w:keepLines w:val="0"/>
              <w:pageBreakBefore w:val="0"/>
              <w:widowControl w:val="0"/>
              <w:kinsoku/>
              <w:wordWrap/>
              <w:overflowPunct/>
              <w:topLinePunct w:val="0"/>
              <w:autoSpaceDE/>
              <w:autoSpaceDN/>
              <w:bidi w:val="0"/>
              <w:adjustRightInd/>
              <w:snapToGrid/>
              <w:spacing w:after="0"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由上表可知，评价范围内监测点位各监测因子均符合GB36600-2018《土壤环境质量 建设用地土壤污染风险管控标准（试行）》</w:t>
            </w:r>
            <w:r>
              <w:rPr>
                <w:rFonts w:hint="eastAsia" w:ascii="宋体" w:hAnsi="宋体" w:eastAsia="宋体" w:cs="宋体"/>
                <w:bCs/>
                <w:color w:val="auto"/>
                <w:kern w:val="2"/>
                <w:sz w:val="24"/>
                <w:szCs w:val="24"/>
                <w:highlight w:val="none"/>
              </w:rPr>
              <w:t>中第二类用地的筛选值标准，pH均符合5.5≤pH＜8.5标准，土壤无酸化或碱化，</w:t>
            </w:r>
            <w:r>
              <w:rPr>
                <w:rFonts w:hint="eastAsia" w:ascii="宋体" w:hAnsi="宋体" w:eastAsia="宋体" w:cs="宋体"/>
                <w:color w:val="auto"/>
                <w:sz w:val="24"/>
                <w:szCs w:val="24"/>
                <w:highlight w:val="none"/>
              </w:rPr>
              <w:t>区域土壤环境质量较好。</w:t>
            </w:r>
          </w:p>
          <w:p w14:paraId="1AD310A0">
            <w:pPr>
              <w:pStyle w:val="21"/>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5、地下水环境</w:t>
            </w:r>
          </w:p>
          <w:p w14:paraId="2443EDE3">
            <w:pPr>
              <w:pStyle w:val="21"/>
              <w:keepNext/>
              <w:keepLines w:val="0"/>
              <w:pageBreakBefore w:val="0"/>
              <w:widowControl w:val="0"/>
              <w:kinsoku/>
              <w:wordWrap/>
              <w:overflowPunct/>
              <w:topLinePunct w:val="0"/>
              <w:autoSpaceDE/>
              <w:autoSpaceDN/>
              <w:bidi w:val="0"/>
              <w:adjustRightInd/>
              <w:snapToGrid/>
              <w:spacing w:after="0"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（1）监测项目与监测单位</w:t>
            </w:r>
          </w:p>
          <w:p w14:paraId="08DED326">
            <w:pPr>
              <w:pStyle w:val="21"/>
              <w:keepNext/>
              <w:keepLines w:val="0"/>
              <w:pageBreakBefore w:val="0"/>
              <w:widowControl w:val="0"/>
              <w:kinsoku/>
              <w:wordWrap/>
              <w:overflowPunct/>
              <w:topLinePunct w:val="0"/>
              <w:autoSpaceDE/>
              <w:autoSpaceDN/>
              <w:bidi w:val="0"/>
              <w:adjustRightInd/>
              <w:snapToGrid/>
              <w:spacing w:after="0" w:line="360" w:lineRule="auto"/>
              <w:ind w:left="0" w:leftChars="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监测项目主要包括</w:t>
            </w:r>
            <w:r>
              <w:rPr>
                <w:rFonts w:hint="eastAsia" w:ascii="宋体" w:hAnsi="宋体" w:eastAsia="宋体" w:cs="宋体"/>
                <w:color w:val="auto"/>
                <w:sz w:val="24"/>
                <w:szCs w:val="24"/>
                <w:highlight w:val="none"/>
                <w:lang w:val="en-US" w:eastAsia="zh-CN"/>
              </w:rPr>
              <w:t>化学类型分析因子（8项）：K</w:t>
            </w:r>
            <w:r>
              <w:rPr>
                <w:rFonts w:hint="eastAsia" w:ascii="宋体" w:hAnsi="宋体" w:eastAsia="宋体" w:cs="宋体"/>
                <w:color w:val="auto"/>
                <w:sz w:val="24"/>
                <w:szCs w:val="24"/>
                <w:highlight w:val="none"/>
                <w:vertAlign w:val="superscript"/>
                <w:lang w:val="en-US" w:eastAsia="zh-CN"/>
              </w:rPr>
              <w:t>+</w:t>
            </w:r>
            <w:r>
              <w:rPr>
                <w:rFonts w:hint="eastAsia" w:ascii="宋体" w:hAnsi="宋体" w:eastAsia="宋体" w:cs="宋体"/>
                <w:color w:val="auto"/>
                <w:sz w:val="24"/>
                <w:szCs w:val="24"/>
                <w:highlight w:val="none"/>
                <w:lang w:val="en-US" w:eastAsia="zh-CN"/>
              </w:rPr>
              <w:t>、Na</w:t>
            </w:r>
            <w:r>
              <w:rPr>
                <w:rFonts w:hint="eastAsia" w:ascii="宋体" w:hAnsi="宋体" w:eastAsia="宋体" w:cs="宋体"/>
                <w:color w:val="auto"/>
                <w:sz w:val="24"/>
                <w:szCs w:val="24"/>
                <w:highlight w:val="none"/>
                <w:vertAlign w:val="superscript"/>
                <w:lang w:val="en-US" w:eastAsia="zh-CN"/>
              </w:rPr>
              <w:t>+</w:t>
            </w:r>
            <w:r>
              <w:rPr>
                <w:rFonts w:hint="eastAsia" w:ascii="宋体" w:hAnsi="宋体" w:eastAsia="宋体" w:cs="宋体"/>
                <w:color w:val="auto"/>
                <w:sz w:val="24"/>
                <w:szCs w:val="24"/>
                <w:highlight w:val="none"/>
                <w:lang w:val="en-US" w:eastAsia="zh-CN"/>
              </w:rPr>
              <w:t>、Ca</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、Mg</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、CO3</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、HCO3</w:t>
            </w:r>
            <w:r>
              <w:rPr>
                <w:rFonts w:hint="eastAsia" w:ascii="宋体" w:hAnsi="宋体" w:eastAsia="宋体" w:cs="宋体"/>
                <w:color w:val="auto"/>
                <w:sz w:val="24"/>
                <w:szCs w:val="24"/>
                <w:highlight w:val="none"/>
                <w:vertAlign w:val="superscript"/>
                <w:lang w:val="en-US" w:eastAsia="zh-CN"/>
              </w:rPr>
              <w:t>-</w:t>
            </w:r>
            <w:r>
              <w:rPr>
                <w:rFonts w:hint="eastAsia" w:ascii="宋体" w:hAnsi="宋体" w:eastAsia="宋体" w:cs="宋体"/>
                <w:color w:val="auto"/>
                <w:sz w:val="24"/>
                <w:szCs w:val="24"/>
                <w:highlight w:val="none"/>
                <w:lang w:val="en-US" w:eastAsia="zh-CN"/>
              </w:rPr>
              <w:t>、Cl</w:t>
            </w:r>
            <w:r>
              <w:rPr>
                <w:rFonts w:hint="eastAsia" w:ascii="宋体" w:hAnsi="宋体" w:eastAsia="宋体" w:cs="宋体"/>
                <w:color w:val="auto"/>
                <w:sz w:val="24"/>
                <w:szCs w:val="24"/>
                <w:highlight w:val="none"/>
                <w:vertAlign w:val="superscript"/>
                <w:lang w:val="en-US" w:eastAsia="zh-CN"/>
              </w:rPr>
              <w:t>-</w:t>
            </w:r>
            <w:r>
              <w:rPr>
                <w:rFonts w:hint="eastAsia" w:ascii="宋体" w:hAnsi="宋体" w:eastAsia="宋体" w:cs="宋体"/>
                <w:color w:val="auto"/>
                <w:sz w:val="24"/>
                <w:szCs w:val="24"/>
                <w:highlight w:val="none"/>
                <w:lang w:val="en-US" w:eastAsia="zh-CN"/>
              </w:rPr>
              <w:t>、SO4</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；污染因子</w:t>
            </w:r>
            <w:r>
              <w:rPr>
                <w:rFonts w:hint="eastAsia" w:ascii="宋体" w:hAnsi="宋体" w:eastAsia="宋体" w:cs="宋体"/>
                <w:color w:val="auto"/>
                <w:sz w:val="24"/>
                <w:szCs w:val="24"/>
                <w:highlight w:val="none"/>
              </w:rPr>
              <w:t>pH值、氨氮、硝酸盐、亚硝酸盐、挥发酚、氰化物、砷、汞、六价铬、总硬度、铅、氟、镉、铁、锰、溶解性固体、</w:t>
            </w:r>
            <w:r>
              <w:rPr>
                <w:rFonts w:hint="eastAsia" w:ascii="宋体" w:hAnsi="宋体" w:eastAsia="宋体" w:cs="宋体"/>
                <w:color w:val="auto"/>
                <w:sz w:val="24"/>
                <w:szCs w:val="24"/>
                <w:highlight w:val="none"/>
                <w:lang w:val="en-US" w:eastAsia="zh-CN"/>
              </w:rPr>
              <w:t>耗氧量</w:t>
            </w:r>
            <w:r>
              <w:rPr>
                <w:rFonts w:hint="eastAsia" w:ascii="宋体" w:hAnsi="宋体" w:eastAsia="宋体" w:cs="宋体"/>
                <w:color w:val="auto"/>
                <w:sz w:val="24"/>
                <w:szCs w:val="24"/>
                <w:highlight w:val="none"/>
              </w:rPr>
              <w:t>、硫酸盐、氯化物、总大肠菌落、细菌总数、氯离子、硫酸根离子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水位等。</w:t>
            </w:r>
          </w:p>
          <w:p w14:paraId="44661166">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（2）监测频次</w:t>
            </w:r>
          </w:p>
          <w:p w14:paraId="23906056">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yellow"/>
                <w:u w:val="none"/>
              </w:rPr>
            </w:pPr>
            <w:r>
              <w:rPr>
                <w:rFonts w:hint="eastAsia" w:ascii="宋体" w:hAnsi="宋体" w:eastAsia="宋体" w:cs="宋体"/>
                <w:iCs/>
                <w:color w:val="auto"/>
                <w:sz w:val="24"/>
                <w:szCs w:val="24"/>
                <w:u w:val="none"/>
                <w:lang w:val="en-US" w:eastAsia="zh-CN"/>
              </w:rPr>
              <w:t>利用《吉林四平经济开发区总体规划》（2025-2035年）环境影响评价报告书中相关数据，</w:t>
            </w:r>
            <w:r>
              <w:rPr>
                <w:rFonts w:hint="eastAsia" w:ascii="宋体" w:hAnsi="宋体" w:eastAsia="宋体" w:cs="宋体"/>
                <w:color w:val="auto"/>
                <w:sz w:val="24"/>
                <w:highlight w:val="none"/>
                <w:u w:val="none"/>
                <w:lang w:val="en-US" w:eastAsia="zh-CN"/>
              </w:rPr>
              <w:t>由吉林省同正检测技术有限公司</w:t>
            </w:r>
            <w:r>
              <w:rPr>
                <w:rFonts w:hint="eastAsia" w:ascii="宋体" w:hAnsi="宋体" w:eastAsia="宋体" w:cs="宋体"/>
                <w:color w:val="auto"/>
                <w:sz w:val="24"/>
                <w:szCs w:val="24"/>
                <w:highlight w:val="none"/>
                <w:u w:val="none"/>
              </w:rPr>
              <w:t>于202</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日进行监</w:t>
            </w:r>
            <w:r>
              <w:rPr>
                <w:rFonts w:hint="eastAsia" w:ascii="宋体" w:hAnsi="宋体" w:eastAsia="宋体" w:cs="宋体"/>
                <w:color w:val="auto"/>
                <w:sz w:val="24"/>
                <w:szCs w:val="24"/>
                <w:u w:val="none"/>
              </w:rPr>
              <w:t>测，</w:t>
            </w:r>
            <w:r>
              <w:rPr>
                <w:rFonts w:hint="eastAsia" w:ascii="宋体" w:hAnsi="宋体" w:eastAsia="宋体" w:cs="宋体"/>
                <w:color w:val="auto"/>
                <w:sz w:val="24"/>
                <w:u w:val="none"/>
              </w:rPr>
              <w:t>监测1天，监测1次。</w:t>
            </w:r>
          </w:p>
          <w:p w14:paraId="46089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rPr>
              <w:t>）监测点布置</w:t>
            </w:r>
          </w:p>
          <w:p w14:paraId="5F4BD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bCs/>
                <w:caps w:val="0"/>
                <w:color w:val="auto"/>
                <w:spacing w:val="0"/>
                <w:kern w:val="0"/>
                <w:sz w:val="21"/>
                <w:szCs w:val="21"/>
                <w:highlight w:val="none"/>
                <w:u w:val="none" w:color="auto"/>
                <w:lang w:val="zh-CN" w:eastAsia="zh-CN"/>
              </w:rPr>
            </w:pPr>
            <w:r>
              <w:rPr>
                <w:rFonts w:hint="eastAsia" w:ascii="宋体" w:hAnsi="宋体" w:eastAsia="宋体" w:cs="宋体"/>
                <w:sz w:val="24"/>
                <w:lang w:val="en-US" w:eastAsia="zh-CN"/>
              </w:rPr>
              <w:t>在厂区内设置1</w:t>
            </w:r>
            <w:r>
              <w:rPr>
                <w:rFonts w:hint="eastAsia" w:ascii="宋体" w:hAnsi="宋体" w:eastAsia="宋体" w:cs="宋体"/>
                <w:sz w:val="24"/>
              </w:rPr>
              <w:t>个地下水监测点位。</w:t>
            </w:r>
            <w:r>
              <w:rPr>
                <w:rFonts w:hint="eastAsia" w:ascii="宋体" w:hAnsi="宋体" w:eastAsia="宋体" w:cs="宋体"/>
                <w:color w:val="auto"/>
                <w:sz w:val="24"/>
                <w:szCs w:val="24"/>
                <w:u w:val="none"/>
              </w:rPr>
              <w:t>具体点位见下表</w:t>
            </w:r>
            <w:r>
              <w:rPr>
                <w:rFonts w:hint="eastAsia" w:ascii="宋体" w:hAnsi="宋体" w:eastAsia="宋体" w:cs="宋体"/>
                <w:color w:val="auto"/>
                <w:sz w:val="24"/>
                <w:szCs w:val="24"/>
                <w:highlight w:val="none"/>
                <w:u w:val="none"/>
              </w:rPr>
              <w:t>和</w:t>
            </w:r>
            <w:r>
              <w:rPr>
                <w:rFonts w:hint="eastAsia" w:ascii="宋体" w:hAnsi="宋体" w:eastAsia="宋体" w:cs="宋体"/>
                <w:color w:val="auto"/>
                <w:sz w:val="24"/>
                <w:szCs w:val="24"/>
                <w:highlight w:val="none"/>
                <w:u w:val="none"/>
                <w:lang w:eastAsia="zh-CN"/>
              </w:rPr>
              <w:t>附图</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w:t>
            </w:r>
          </w:p>
          <w:p w14:paraId="1D185AA3">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Times New Roman" w:hAnsi="Times New Roman" w:eastAsia="宋体" w:cs="Times New Roman"/>
                <w:b/>
                <w:bCs/>
                <w:color w:val="auto"/>
                <w:spacing w:val="0"/>
                <w:sz w:val="21"/>
                <w:szCs w:val="21"/>
                <w:u w:val="none"/>
              </w:rPr>
            </w:pPr>
            <w:r>
              <w:rPr>
                <w:rFonts w:hint="eastAsia" w:ascii="Times New Roman" w:hAnsi="Times New Roman" w:eastAsia="宋体" w:cs="Times New Roman"/>
                <w:b/>
                <w:bCs/>
                <w:caps w:val="0"/>
                <w:color w:val="auto"/>
                <w:spacing w:val="0"/>
                <w:kern w:val="0"/>
                <w:sz w:val="21"/>
                <w:szCs w:val="21"/>
                <w:highlight w:val="none"/>
                <w:u w:val="none" w:color="auto"/>
                <w:lang w:val="zh-CN" w:eastAsia="zh-CN"/>
              </w:rPr>
              <w:t>表</w:t>
            </w:r>
            <w:r>
              <w:rPr>
                <w:rFonts w:hint="eastAsia" w:ascii="Times New Roman" w:hAnsi="Times New Roman" w:eastAsia="宋体" w:cs="Times New Roman"/>
                <w:b/>
                <w:bCs/>
                <w:caps w:val="0"/>
                <w:color w:val="auto"/>
                <w:spacing w:val="0"/>
                <w:kern w:val="0"/>
                <w:sz w:val="21"/>
                <w:szCs w:val="21"/>
                <w:highlight w:val="none"/>
                <w:u w:val="none" w:color="auto"/>
                <w:lang w:val="en-US" w:eastAsia="zh-CN"/>
              </w:rPr>
              <w:t>3-</w:t>
            </w:r>
            <w:r>
              <w:rPr>
                <w:rFonts w:hint="eastAsia" w:cs="Times New Roman"/>
                <w:b/>
                <w:bCs/>
                <w:caps w:val="0"/>
                <w:color w:val="auto"/>
                <w:spacing w:val="0"/>
                <w:kern w:val="0"/>
                <w:sz w:val="21"/>
                <w:szCs w:val="21"/>
                <w:highlight w:val="none"/>
                <w:u w:val="none" w:color="auto"/>
                <w:lang w:val="en-US" w:eastAsia="zh-CN"/>
              </w:rPr>
              <w:t xml:space="preserve">7    </w:t>
            </w:r>
            <w:r>
              <w:rPr>
                <w:rFonts w:hint="eastAsia" w:ascii="Times New Roman" w:hAnsi="Times New Roman" w:eastAsia="宋体" w:cs="Times New Roman"/>
                <w:b/>
                <w:bCs/>
                <w:caps w:val="0"/>
                <w:color w:val="auto"/>
                <w:spacing w:val="0"/>
                <w:kern w:val="0"/>
                <w:sz w:val="21"/>
                <w:szCs w:val="21"/>
                <w:highlight w:val="none"/>
                <w:u w:val="none" w:color="auto"/>
                <w:lang w:val="zh-CN" w:eastAsia="zh-CN"/>
              </w:rPr>
              <w:t>地下水</w:t>
            </w:r>
            <w:r>
              <w:rPr>
                <w:rFonts w:hint="eastAsia" w:ascii="Times New Roman" w:hAnsi="Times New Roman" w:eastAsia="宋体" w:cs="Times New Roman"/>
                <w:b/>
                <w:bCs/>
                <w:color w:val="auto"/>
                <w:spacing w:val="0"/>
                <w:sz w:val="21"/>
                <w:szCs w:val="21"/>
                <w:u w:val="none"/>
              </w:rPr>
              <w:t>监测点布设情况</w:t>
            </w:r>
          </w:p>
          <w:tbl>
            <w:tblPr>
              <w:tblStyle w:val="24"/>
              <w:tblW w:w="4998" w:type="pct"/>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Layout w:type="autofit"/>
              <w:tblCellMar>
                <w:top w:w="0" w:type="dxa"/>
                <w:left w:w="108" w:type="dxa"/>
                <w:bottom w:w="0" w:type="dxa"/>
                <w:right w:w="108" w:type="dxa"/>
              </w:tblCellMar>
            </w:tblPr>
            <w:tblGrid>
              <w:gridCol w:w="985"/>
              <w:gridCol w:w="3804"/>
              <w:gridCol w:w="1848"/>
              <w:gridCol w:w="1611"/>
            </w:tblGrid>
            <w:tr w14:paraId="022C8367">
              <w:tblPrEx>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CellMar>
                  <w:top w:w="0" w:type="dxa"/>
                  <w:left w:w="108" w:type="dxa"/>
                  <w:bottom w:w="0" w:type="dxa"/>
                  <w:right w:w="108" w:type="dxa"/>
                </w:tblCellMar>
              </w:tblPrEx>
              <w:tc>
                <w:tcPr>
                  <w:tcW w:w="597" w:type="pct"/>
                  <w:tcBorders>
                    <w:tl2br w:val="nil"/>
                    <w:tr2bl w:val="nil"/>
                  </w:tcBorders>
                  <w:shd w:val="clear" w:color="auto" w:fill="auto"/>
                  <w:noWrap w:val="0"/>
                  <w:vAlign w:val="center"/>
                </w:tcPr>
                <w:p w14:paraId="6F1B668D">
                  <w:pPr>
                    <w:jc w:val="center"/>
                    <w:rPr>
                      <w:rFonts w:ascii="宋体" w:hAnsi="宋体" w:eastAsia="宋体"/>
                      <w:szCs w:val="21"/>
                    </w:rPr>
                  </w:pPr>
                  <w:r>
                    <w:rPr>
                      <w:rFonts w:ascii="宋体" w:hAnsi="宋体" w:eastAsia="宋体"/>
                      <w:szCs w:val="21"/>
                    </w:rPr>
                    <w:t>编号</w:t>
                  </w:r>
                </w:p>
              </w:tc>
              <w:tc>
                <w:tcPr>
                  <w:tcW w:w="2305" w:type="pct"/>
                  <w:tcBorders>
                    <w:tl2br w:val="nil"/>
                    <w:tr2bl w:val="nil"/>
                  </w:tcBorders>
                  <w:shd w:val="clear" w:color="auto" w:fill="auto"/>
                  <w:noWrap w:val="0"/>
                  <w:vAlign w:val="center"/>
                </w:tcPr>
                <w:p w14:paraId="15740D98">
                  <w:pPr>
                    <w:jc w:val="center"/>
                    <w:rPr>
                      <w:rFonts w:ascii="宋体" w:hAnsi="宋体" w:eastAsia="宋体"/>
                      <w:szCs w:val="21"/>
                    </w:rPr>
                  </w:pPr>
                  <w:r>
                    <w:rPr>
                      <w:rFonts w:ascii="宋体" w:hAnsi="宋体" w:eastAsia="宋体"/>
                      <w:szCs w:val="21"/>
                    </w:rPr>
                    <w:t>监测点</w:t>
                  </w:r>
                </w:p>
              </w:tc>
              <w:tc>
                <w:tcPr>
                  <w:tcW w:w="1120" w:type="pct"/>
                  <w:tcBorders>
                    <w:tl2br w:val="nil"/>
                    <w:tr2bl w:val="nil"/>
                  </w:tcBorders>
                  <w:shd w:val="clear" w:color="auto" w:fill="auto"/>
                  <w:noWrap w:val="0"/>
                  <w:vAlign w:val="center"/>
                </w:tcPr>
                <w:p w14:paraId="64F060DD">
                  <w:pPr>
                    <w:jc w:val="center"/>
                    <w:rPr>
                      <w:rFonts w:hint="eastAsia" w:ascii="宋体" w:hAnsi="宋体" w:eastAsia="宋体"/>
                      <w:szCs w:val="21"/>
                      <w:lang w:val="en-US" w:eastAsia="zh-CN"/>
                    </w:rPr>
                  </w:pPr>
                  <w:r>
                    <w:rPr>
                      <w:rFonts w:hint="eastAsia" w:ascii="宋体" w:hAnsi="宋体" w:eastAsia="宋体"/>
                      <w:szCs w:val="21"/>
                      <w:lang w:val="en-US" w:eastAsia="zh-CN"/>
                    </w:rPr>
                    <w:t>监测项目</w:t>
                  </w:r>
                </w:p>
              </w:tc>
              <w:tc>
                <w:tcPr>
                  <w:tcW w:w="976" w:type="pct"/>
                  <w:tcBorders>
                    <w:tl2br w:val="nil"/>
                    <w:tr2bl w:val="nil"/>
                  </w:tcBorders>
                  <w:shd w:val="clear" w:color="auto" w:fill="auto"/>
                  <w:noWrap w:val="0"/>
                  <w:vAlign w:val="center"/>
                </w:tcPr>
                <w:p w14:paraId="5C93A306">
                  <w:pPr>
                    <w:jc w:val="center"/>
                    <w:rPr>
                      <w:rFonts w:hint="eastAsia" w:ascii="宋体" w:hAnsi="宋体" w:eastAsia="宋体"/>
                      <w:szCs w:val="21"/>
                    </w:rPr>
                  </w:pPr>
                  <w:r>
                    <w:rPr>
                      <w:rFonts w:hint="eastAsia" w:ascii="宋体" w:hAnsi="宋体" w:eastAsia="宋体"/>
                      <w:szCs w:val="21"/>
                    </w:rPr>
                    <w:t>备  注</w:t>
                  </w:r>
                </w:p>
              </w:tc>
            </w:tr>
            <w:tr w14:paraId="66B9800F">
              <w:tblPrEx>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CellMar>
                  <w:top w:w="0" w:type="dxa"/>
                  <w:left w:w="108" w:type="dxa"/>
                  <w:bottom w:w="0" w:type="dxa"/>
                  <w:right w:w="108" w:type="dxa"/>
                </w:tblCellMar>
              </w:tblPrEx>
              <w:tc>
                <w:tcPr>
                  <w:tcW w:w="597" w:type="pct"/>
                  <w:tcBorders>
                    <w:tl2br w:val="nil"/>
                    <w:tr2bl w:val="nil"/>
                  </w:tcBorders>
                  <w:shd w:val="clear" w:color="auto" w:fill="auto"/>
                  <w:noWrap w:val="0"/>
                  <w:vAlign w:val="center"/>
                </w:tcPr>
                <w:p w14:paraId="09E8468B">
                  <w:pPr>
                    <w:jc w:val="center"/>
                    <w:rPr>
                      <w:rFonts w:hint="eastAsia" w:ascii="宋体" w:hAnsi="宋体" w:eastAsia="宋体"/>
                      <w:szCs w:val="21"/>
                    </w:rPr>
                  </w:pPr>
                  <w:r>
                    <w:rPr>
                      <w:rFonts w:hint="eastAsia" w:ascii="宋体" w:hAnsi="宋体" w:eastAsia="宋体"/>
                      <w:szCs w:val="21"/>
                    </w:rPr>
                    <w:t>1#</w:t>
                  </w:r>
                </w:p>
              </w:tc>
              <w:tc>
                <w:tcPr>
                  <w:tcW w:w="2305" w:type="pct"/>
                  <w:tcBorders>
                    <w:tl2br w:val="nil"/>
                    <w:tr2bl w:val="nil"/>
                  </w:tcBorders>
                  <w:shd w:val="clear" w:color="auto" w:fill="auto"/>
                  <w:noWrap w:val="0"/>
                  <w:vAlign w:val="center"/>
                </w:tcPr>
                <w:p w14:paraId="5CE91DFB">
                  <w:pPr>
                    <w:spacing w:line="300" w:lineRule="exact"/>
                    <w:jc w:val="center"/>
                    <w:rPr>
                      <w:rFonts w:hint="default"/>
                      <w:lang w:val="en-US" w:eastAsia="zh-CN"/>
                    </w:rPr>
                  </w:pPr>
                  <w:r>
                    <w:rPr>
                      <w:rFonts w:hint="eastAsia" w:ascii="宋体" w:hAnsi="宋体"/>
                      <w:szCs w:val="21"/>
                      <w:lang w:val="en-US" w:eastAsia="zh-CN"/>
                    </w:rPr>
                    <w:t>塔山村（5社）厂区西北侧500m</w:t>
                  </w:r>
                </w:p>
              </w:tc>
              <w:tc>
                <w:tcPr>
                  <w:tcW w:w="1120" w:type="pct"/>
                  <w:tcBorders>
                    <w:tl2br w:val="nil"/>
                    <w:tr2bl w:val="nil"/>
                  </w:tcBorders>
                  <w:shd w:val="clear" w:color="auto" w:fill="auto"/>
                  <w:noWrap w:val="0"/>
                  <w:vAlign w:val="center"/>
                </w:tcPr>
                <w:p w14:paraId="176CD015">
                  <w:pPr>
                    <w:jc w:val="center"/>
                    <w:rPr>
                      <w:rFonts w:hint="eastAsia" w:ascii="宋体" w:hAnsi="宋体" w:eastAsia="宋体"/>
                      <w:szCs w:val="21"/>
                      <w:lang w:val="en-US" w:eastAsia="zh-CN"/>
                    </w:rPr>
                  </w:pPr>
                  <w:r>
                    <w:rPr>
                      <w:rFonts w:hint="eastAsia" w:ascii="宋体" w:hAnsi="宋体" w:eastAsia="宋体"/>
                      <w:szCs w:val="21"/>
                      <w:lang w:val="en-US" w:eastAsia="zh-CN"/>
                    </w:rPr>
                    <w:t>水质、井深</w:t>
                  </w:r>
                </w:p>
              </w:tc>
              <w:tc>
                <w:tcPr>
                  <w:tcW w:w="976" w:type="pct"/>
                  <w:tcBorders>
                    <w:tl2br w:val="nil"/>
                    <w:tr2bl w:val="nil"/>
                  </w:tcBorders>
                  <w:shd w:val="clear" w:color="auto" w:fill="auto"/>
                  <w:noWrap w:val="0"/>
                  <w:vAlign w:val="center"/>
                </w:tcPr>
                <w:p w14:paraId="1D3C215B">
                  <w:pPr>
                    <w:jc w:val="center"/>
                    <w:rPr>
                      <w:rFonts w:hint="eastAsia" w:ascii="宋体" w:hAnsi="宋体" w:eastAsia="宋体"/>
                      <w:szCs w:val="21"/>
                      <w:lang w:val="en-US" w:eastAsia="zh-CN"/>
                    </w:rPr>
                  </w:pPr>
                  <w:r>
                    <w:rPr>
                      <w:rFonts w:hint="eastAsia" w:ascii="宋体" w:hAnsi="宋体" w:eastAsia="宋体"/>
                      <w:szCs w:val="21"/>
                      <w:lang w:val="en-US" w:eastAsia="zh-CN"/>
                    </w:rPr>
                    <w:t>潜层水</w:t>
                  </w:r>
                </w:p>
              </w:tc>
            </w:tr>
          </w:tbl>
          <w:p w14:paraId="0F68FE18">
            <w:pPr>
              <w:spacing w:line="500" w:lineRule="exact"/>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w:t>
            </w:r>
            <w:r>
              <w:rPr>
                <w:rFonts w:hint="eastAsia" w:ascii="宋体" w:hAnsi="宋体" w:cs="宋体"/>
                <w:color w:val="auto"/>
                <w:sz w:val="24"/>
                <w:u w:val="none"/>
                <w:lang w:val="en-US" w:eastAsia="zh-CN"/>
              </w:rPr>
              <w:t>4</w:t>
            </w:r>
            <w:r>
              <w:rPr>
                <w:rFonts w:hint="eastAsia" w:ascii="宋体" w:hAnsi="宋体" w:eastAsia="宋体" w:cs="宋体"/>
                <w:color w:val="auto"/>
                <w:sz w:val="24"/>
                <w:u w:val="none"/>
              </w:rPr>
              <w:t>）评价方法</w:t>
            </w:r>
          </w:p>
          <w:p w14:paraId="417F09DF">
            <w:pPr>
              <w:spacing w:line="500" w:lineRule="exact"/>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按照导则规定地下水现状评价采用单项标准指数法。</w:t>
            </w:r>
          </w:p>
          <w:p w14:paraId="2A0EACAC">
            <w:pPr>
              <w:spacing w:line="500" w:lineRule="exact"/>
              <w:ind w:firstLine="482"/>
              <w:rPr>
                <w:rFonts w:hint="eastAsia" w:ascii="宋体" w:hAnsi="宋体" w:eastAsia="宋体" w:cs="宋体"/>
                <w:color w:val="auto"/>
                <w:sz w:val="24"/>
                <w:u w:val="none"/>
              </w:rPr>
            </w:pPr>
            <w:r>
              <w:rPr>
                <w:rFonts w:hint="eastAsia" w:ascii="宋体" w:hAnsi="宋体" w:eastAsia="宋体" w:cs="宋体"/>
                <w:color w:val="auto"/>
                <w:sz w:val="24"/>
                <w:u w:val="none"/>
              </w:rPr>
              <w:t>（</w:t>
            </w:r>
            <w:r>
              <w:rPr>
                <w:rFonts w:hint="eastAsia" w:ascii="宋体" w:hAnsi="宋体" w:cs="宋体"/>
                <w:color w:val="auto"/>
                <w:sz w:val="24"/>
                <w:u w:val="none"/>
                <w:lang w:val="en-US" w:eastAsia="zh-CN"/>
              </w:rPr>
              <w:t>5</w:t>
            </w:r>
            <w:r>
              <w:rPr>
                <w:rFonts w:hint="eastAsia" w:ascii="宋体" w:hAnsi="宋体" w:eastAsia="宋体" w:cs="宋体"/>
                <w:color w:val="auto"/>
                <w:sz w:val="24"/>
                <w:u w:val="none"/>
              </w:rPr>
              <w:t>）</w:t>
            </w:r>
            <w:r>
              <w:rPr>
                <w:rFonts w:hint="eastAsia" w:ascii="宋体" w:hAnsi="宋体" w:eastAsia="宋体" w:cs="宋体"/>
                <w:color w:val="auto"/>
                <w:sz w:val="24"/>
                <w:u w:val="none"/>
                <w:lang w:val="en-US" w:eastAsia="zh-CN"/>
              </w:rPr>
              <w:t>监测与</w:t>
            </w:r>
            <w:r>
              <w:rPr>
                <w:rFonts w:hint="eastAsia" w:ascii="宋体" w:hAnsi="宋体" w:eastAsia="宋体" w:cs="宋体"/>
                <w:color w:val="auto"/>
                <w:sz w:val="24"/>
                <w:u w:val="none"/>
              </w:rPr>
              <w:t>评价结果</w:t>
            </w:r>
          </w:p>
          <w:p w14:paraId="17A481DA">
            <w:pPr>
              <w:spacing w:line="500" w:lineRule="exact"/>
              <w:ind w:firstLine="482"/>
              <w:rPr>
                <w:rFonts w:hint="eastAsia" w:ascii="宋体" w:hAnsi="宋体" w:eastAsia="宋体" w:cs="宋体"/>
                <w:color w:val="auto"/>
                <w:sz w:val="24"/>
                <w:u w:val="none"/>
              </w:rPr>
            </w:pPr>
            <w:r>
              <w:rPr>
                <w:rFonts w:hint="eastAsia" w:ascii="宋体" w:hAnsi="宋体" w:eastAsia="宋体" w:cs="宋体"/>
                <w:color w:val="auto"/>
                <w:sz w:val="24"/>
                <w:u w:val="none"/>
              </w:rPr>
              <w:t>评价标准采用《地下水质量标准》（GB/T14848－</w:t>
            </w:r>
            <w:r>
              <w:rPr>
                <w:rFonts w:hint="eastAsia" w:ascii="宋体" w:hAnsi="宋体" w:eastAsia="宋体" w:cs="宋体"/>
                <w:color w:val="auto"/>
                <w:sz w:val="24"/>
                <w:u w:val="none"/>
                <w:lang w:val="en-US" w:eastAsia="zh-CN"/>
              </w:rPr>
              <w:t>2017</w:t>
            </w:r>
            <w:r>
              <w:rPr>
                <w:rFonts w:hint="eastAsia" w:ascii="宋体" w:hAnsi="宋体" w:eastAsia="宋体" w:cs="宋体"/>
                <w:color w:val="auto"/>
                <w:sz w:val="24"/>
                <w:u w:val="none"/>
              </w:rPr>
              <w:t>）中Ⅲ类标准。本次地下水评价结果见</w:t>
            </w:r>
            <w:r>
              <w:rPr>
                <w:rFonts w:hint="eastAsia" w:ascii="宋体" w:hAnsi="宋体" w:eastAsia="宋体" w:cs="宋体"/>
                <w:color w:val="auto"/>
                <w:sz w:val="24"/>
                <w:u w:val="none"/>
                <w:lang w:eastAsia="zh-CN"/>
              </w:rPr>
              <w:t>下表</w:t>
            </w:r>
            <w:r>
              <w:rPr>
                <w:rFonts w:hint="eastAsia" w:ascii="宋体" w:hAnsi="宋体" w:eastAsia="宋体" w:cs="宋体"/>
                <w:color w:val="auto"/>
                <w:sz w:val="24"/>
                <w:u w:val="none"/>
              </w:rPr>
              <w:t>。</w:t>
            </w:r>
          </w:p>
          <w:p w14:paraId="60A8045C">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center"/>
              <w:textAlignment w:val="auto"/>
              <w:rPr>
                <w:rFonts w:hint="eastAsia" w:ascii="宋体" w:hAnsi="宋体" w:eastAsia="宋体" w:cs="宋体"/>
                <w:b/>
                <w:color w:val="auto"/>
                <w:szCs w:val="21"/>
                <w:highlight w:val="none"/>
                <w:u w:val="none"/>
              </w:rPr>
            </w:pPr>
            <w:r>
              <w:rPr>
                <w:rFonts w:hint="eastAsia" w:ascii="宋体" w:hAnsi="宋体" w:eastAsia="宋体" w:cs="宋体"/>
                <w:b/>
                <w:color w:val="auto"/>
                <w:szCs w:val="21"/>
                <w:u w:val="none"/>
                <w:lang w:eastAsia="zh-CN"/>
              </w:rPr>
              <w:t>表</w:t>
            </w:r>
            <w:r>
              <w:rPr>
                <w:rFonts w:hint="eastAsia" w:ascii="Times New Roman" w:hAnsi="Times New Roman" w:eastAsia="宋体" w:cs="Times New Roman"/>
                <w:b/>
                <w:bCs/>
                <w:caps w:val="0"/>
                <w:color w:val="auto"/>
                <w:spacing w:val="0"/>
                <w:kern w:val="0"/>
                <w:sz w:val="21"/>
                <w:szCs w:val="21"/>
                <w:highlight w:val="none"/>
                <w:u w:val="none" w:color="auto"/>
                <w:lang w:val="en-US" w:eastAsia="zh-CN"/>
              </w:rPr>
              <w:t>3-</w:t>
            </w:r>
            <w:r>
              <w:rPr>
                <w:rFonts w:hint="eastAsia" w:cs="Times New Roman"/>
                <w:b/>
                <w:bCs/>
                <w:caps w:val="0"/>
                <w:color w:val="auto"/>
                <w:spacing w:val="0"/>
                <w:kern w:val="0"/>
                <w:sz w:val="21"/>
                <w:szCs w:val="21"/>
                <w:highlight w:val="none"/>
                <w:u w:val="none" w:color="auto"/>
                <w:lang w:val="en-US" w:eastAsia="zh-CN"/>
              </w:rPr>
              <w:t>8</w:t>
            </w:r>
            <w:r>
              <w:rPr>
                <w:rFonts w:hint="eastAsia" w:ascii="宋体" w:hAnsi="宋体" w:cs="宋体"/>
                <w:b/>
                <w:color w:val="auto"/>
                <w:szCs w:val="21"/>
                <w:highlight w:val="none"/>
                <w:u w:val="none"/>
                <w:lang w:val="en-US" w:eastAsia="zh-CN"/>
              </w:rPr>
              <w:t xml:space="preserve">    </w:t>
            </w:r>
            <w:r>
              <w:rPr>
                <w:rFonts w:hint="eastAsia" w:ascii="宋体" w:hAnsi="宋体" w:eastAsia="宋体" w:cs="宋体"/>
                <w:b/>
                <w:color w:val="auto"/>
                <w:szCs w:val="21"/>
                <w:highlight w:val="none"/>
                <w:u w:val="none"/>
              </w:rPr>
              <w:t>地下水水质监测结果  单位mg/L(PH除外)</w:t>
            </w:r>
          </w:p>
          <w:tbl>
            <w:tblPr>
              <w:tblStyle w:val="22"/>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79"/>
              <w:gridCol w:w="2870"/>
              <w:gridCol w:w="2177"/>
              <w:gridCol w:w="2122"/>
            </w:tblGrid>
            <w:tr w14:paraId="7B7923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7" w:hRule="atLeast"/>
                <w:tblHeader/>
              </w:trPr>
              <w:tc>
                <w:tcPr>
                  <w:tcW w:w="2393" w:type="pct"/>
                  <w:gridSpan w:val="2"/>
                  <w:tcBorders>
                    <w:tl2br w:val="nil"/>
                    <w:tr2bl w:val="nil"/>
                  </w:tcBorders>
                  <w:noWrap w:val="0"/>
                  <w:vAlign w:val="center"/>
                </w:tcPr>
                <w:p w14:paraId="25721140">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监测点位</w:t>
                  </w:r>
                </w:p>
              </w:tc>
              <w:tc>
                <w:tcPr>
                  <w:tcW w:w="1319" w:type="pct"/>
                  <w:tcBorders>
                    <w:tl2br w:val="nil"/>
                    <w:tr2bl w:val="nil"/>
                  </w:tcBorders>
                  <w:noWrap w:val="0"/>
                  <w:vAlign w:val="top"/>
                </w:tcPr>
                <w:p w14:paraId="103F1AF5">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color w:val="auto"/>
                      <w:sz w:val="18"/>
                      <w:szCs w:val="18"/>
                      <w:highlight w:val="none"/>
                      <w:u w:val="none"/>
                      <w:lang w:val="en-US" w:eastAsia="zh-CN"/>
                    </w:rPr>
                    <w:t>1#</w:t>
                  </w:r>
                  <w:r>
                    <w:rPr>
                      <w:rFonts w:hint="default" w:ascii="Times New Roman" w:hAnsi="Times New Roman" w:eastAsia="宋体" w:cs="Times New Roman"/>
                      <w:sz w:val="18"/>
                      <w:szCs w:val="18"/>
                      <w:highlight w:val="none"/>
                      <w:lang w:val="en-US" w:eastAsia="zh-CN"/>
                    </w:rPr>
                    <w:t>河夹信子村三社</w:t>
                  </w:r>
                </w:p>
              </w:tc>
              <w:tc>
                <w:tcPr>
                  <w:tcW w:w="1286" w:type="pct"/>
                  <w:tcBorders>
                    <w:tl2br w:val="nil"/>
                    <w:tr2bl w:val="nil"/>
                  </w:tcBorders>
                  <w:noWrap w:val="0"/>
                  <w:vAlign w:val="top"/>
                </w:tcPr>
                <w:p w14:paraId="539720BB">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ascii="Times New Roman" w:hAnsi="Times New Roman" w:eastAsia="宋体" w:cs="Times New Roman"/>
                      <w:color w:val="auto"/>
                      <w:sz w:val="18"/>
                      <w:szCs w:val="18"/>
                      <w:highlight w:val="none"/>
                      <w:u w:val="none"/>
                      <w:lang w:val="en-US" w:eastAsia="zh-CN"/>
                    </w:rPr>
                    <w:t>标准指数</w:t>
                  </w:r>
                </w:p>
              </w:tc>
            </w:tr>
            <w:tr w14:paraId="271BAB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restart"/>
                  <w:tcBorders>
                    <w:tl2br w:val="nil"/>
                    <w:tr2bl w:val="nil"/>
                  </w:tcBorders>
                  <w:noWrap w:val="0"/>
                  <w:vAlign w:val="center"/>
                </w:tcPr>
                <w:p w14:paraId="24A304F5">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sz w:val="18"/>
                      <w:szCs w:val="18"/>
                      <w:highlight w:val="none"/>
                      <w:u w:val="none"/>
                    </w:rPr>
                    <w:t>监测项目</w:t>
                  </w:r>
                </w:p>
              </w:tc>
              <w:tc>
                <w:tcPr>
                  <w:tcW w:w="1739" w:type="pct"/>
                  <w:tcBorders>
                    <w:tl2br w:val="nil"/>
                    <w:tr2bl w:val="nil"/>
                  </w:tcBorders>
                  <w:noWrap w:val="0"/>
                  <w:vAlign w:val="center"/>
                </w:tcPr>
                <w:p w14:paraId="691ED0C8">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PH</w:t>
                  </w:r>
                </w:p>
              </w:tc>
              <w:tc>
                <w:tcPr>
                  <w:tcW w:w="1319" w:type="pct"/>
                  <w:tcBorders>
                    <w:tl2br w:val="nil"/>
                    <w:tr2bl w:val="nil"/>
                  </w:tcBorders>
                  <w:shd w:val="clear" w:color="auto" w:fill="auto"/>
                  <w:noWrap w:val="0"/>
                  <w:vAlign w:val="center"/>
                </w:tcPr>
                <w:p w14:paraId="77FE835F">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8.</w:t>
                  </w:r>
                  <w:r>
                    <w:rPr>
                      <w:rFonts w:hint="eastAsia" w:cs="Times New Roman"/>
                      <w:i w:val="0"/>
                      <w:iCs w:val="0"/>
                      <w:color w:val="000000"/>
                      <w:kern w:val="0"/>
                      <w:sz w:val="18"/>
                      <w:szCs w:val="18"/>
                      <w:highlight w:val="none"/>
                      <w:u w:val="none"/>
                      <w:lang w:val="en-US" w:eastAsia="zh-CN" w:bidi="ar"/>
                    </w:rPr>
                    <w:t>4</w:t>
                  </w:r>
                </w:p>
              </w:tc>
              <w:tc>
                <w:tcPr>
                  <w:tcW w:w="1286" w:type="pct"/>
                  <w:tcBorders>
                    <w:tl2br w:val="nil"/>
                    <w:tr2bl w:val="nil"/>
                  </w:tcBorders>
                  <w:shd w:val="clear" w:color="auto" w:fill="auto"/>
                  <w:noWrap w:val="0"/>
                  <w:vAlign w:val="center"/>
                </w:tcPr>
                <w:p w14:paraId="5713D111">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w:t>
                  </w:r>
                  <w:r>
                    <w:rPr>
                      <w:rFonts w:hint="eastAsia" w:cs="Times New Roman"/>
                      <w:i w:val="0"/>
                      <w:iCs w:val="0"/>
                      <w:color w:val="000000"/>
                      <w:kern w:val="0"/>
                      <w:sz w:val="18"/>
                      <w:szCs w:val="18"/>
                      <w:highlight w:val="none"/>
                      <w:u w:val="none"/>
                      <w:lang w:val="en-US" w:eastAsia="zh-CN" w:bidi="ar"/>
                    </w:rPr>
                    <w:t>93</w:t>
                  </w:r>
                </w:p>
              </w:tc>
            </w:tr>
            <w:tr w14:paraId="4B86FC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4" w:type="pct"/>
                  <w:vMerge w:val="continue"/>
                  <w:tcBorders>
                    <w:tl2br w:val="nil"/>
                    <w:tr2bl w:val="nil"/>
                  </w:tcBorders>
                  <w:noWrap w:val="0"/>
                  <w:vAlign w:val="center"/>
                </w:tcPr>
                <w:p w14:paraId="71BBCA3E">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6997E25D">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氨氮</w:t>
                  </w:r>
                </w:p>
              </w:tc>
              <w:tc>
                <w:tcPr>
                  <w:tcW w:w="1319" w:type="pct"/>
                  <w:tcBorders>
                    <w:tl2br w:val="nil"/>
                    <w:tr2bl w:val="nil"/>
                  </w:tcBorders>
                  <w:shd w:val="clear" w:color="auto" w:fill="auto"/>
                  <w:noWrap w:val="0"/>
                  <w:vAlign w:val="center"/>
                </w:tcPr>
                <w:p w14:paraId="387EBA7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0.025L</w:t>
                  </w:r>
                </w:p>
              </w:tc>
              <w:tc>
                <w:tcPr>
                  <w:tcW w:w="1286" w:type="pct"/>
                  <w:tcBorders>
                    <w:tl2br w:val="nil"/>
                    <w:tr2bl w:val="nil"/>
                  </w:tcBorders>
                  <w:shd w:val="clear" w:color="auto" w:fill="auto"/>
                  <w:noWrap w:val="0"/>
                  <w:vAlign w:val="center"/>
                </w:tcPr>
                <w:p w14:paraId="791ADB2A">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4C1A94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2E1FD4D3">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2D9FA3C6">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硝酸盐氮</w:t>
                  </w:r>
                </w:p>
              </w:tc>
              <w:tc>
                <w:tcPr>
                  <w:tcW w:w="1319" w:type="pct"/>
                  <w:tcBorders>
                    <w:tl2br w:val="nil"/>
                    <w:tr2bl w:val="nil"/>
                  </w:tcBorders>
                  <w:shd w:val="clear" w:color="auto" w:fill="auto"/>
                  <w:noWrap w:val="0"/>
                  <w:vAlign w:val="center"/>
                </w:tcPr>
                <w:p w14:paraId="708837CE">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000000"/>
                      <w:kern w:val="0"/>
                      <w:sz w:val="18"/>
                      <w:szCs w:val="18"/>
                      <w:highlight w:val="none"/>
                      <w:u w:val="none"/>
                      <w:lang w:val="en-US" w:eastAsia="zh-CN" w:bidi="ar"/>
                    </w:rPr>
                    <w:t>7.29</w:t>
                  </w:r>
                </w:p>
              </w:tc>
              <w:tc>
                <w:tcPr>
                  <w:tcW w:w="1286" w:type="pct"/>
                  <w:tcBorders>
                    <w:tl2br w:val="nil"/>
                    <w:tr2bl w:val="nil"/>
                  </w:tcBorders>
                  <w:shd w:val="clear" w:color="auto" w:fill="auto"/>
                  <w:noWrap w:val="0"/>
                  <w:vAlign w:val="center"/>
                </w:tcPr>
                <w:p w14:paraId="03956B08">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000000"/>
                      <w:kern w:val="0"/>
                      <w:sz w:val="18"/>
                      <w:szCs w:val="18"/>
                      <w:highlight w:val="none"/>
                      <w:u w:val="none"/>
                      <w:lang w:val="en-US" w:eastAsia="zh-CN" w:bidi="ar"/>
                    </w:rPr>
                    <w:t>0.36</w:t>
                  </w:r>
                </w:p>
              </w:tc>
            </w:tr>
            <w:tr w14:paraId="680295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3EA637B4">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38F987AC">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spacing w:val="-11"/>
                      <w:kern w:val="0"/>
                      <w:sz w:val="18"/>
                      <w:szCs w:val="18"/>
                      <w:highlight w:val="none"/>
                      <w:u w:val="none"/>
                      <w:lang w:bidi="ar"/>
                    </w:rPr>
                    <w:t>亚硝酸盐氮</w:t>
                  </w:r>
                </w:p>
              </w:tc>
              <w:tc>
                <w:tcPr>
                  <w:tcW w:w="1319" w:type="pct"/>
                  <w:tcBorders>
                    <w:tl2br w:val="nil"/>
                    <w:tr2bl w:val="nil"/>
                  </w:tcBorders>
                  <w:shd w:val="clear" w:color="auto" w:fill="auto"/>
                  <w:noWrap w:val="0"/>
                  <w:vAlign w:val="center"/>
                </w:tcPr>
                <w:p w14:paraId="11332042">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0.005L</w:t>
                  </w:r>
                </w:p>
              </w:tc>
              <w:tc>
                <w:tcPr>
                  <w:tcW w:w="1286" w:type="pct"/>
                  <w:tcBorders>
                    <w:tl2br w:val="nil"/>
                    <w:tr2bl w:val="nil"/>
                  </w:tcBorders>
                  <w:shd w:val="clear" w:color="auto" w:fill="auto"/>
                  <w:noWrap w:val="0"/>
                  <w:vAlign w:val="center"/>
                </w:tcPr>
                <w:p w14:paraId="13F0F8FB">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0.08</w:t>
                  </w:r>
                </w:p>
              </w:tc>
            </w:tr>
            <w:tr w14:paraId="2B1252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654" w:type="pct"/>
                  <w:vMerge w:val="continue"/>
                  <w:tcBorders>
                    <w:tl2br w:val="nil"/>
                    <w:tr2bl w:val="nil"/>
                  </w:tcBorders>
                  <w:noWrap w:val="0"/>
                  <w:vAlign w:val="center"/>
                </w:tcPr>
                <w:p w14:paraId="1CA13132">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7ED81568">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挥发酚</w:t>
                  </w:r>
                </w:p>
              </w:tc>
              <w:tc>
                <w:tcPr>
                  <w:tcW w:w="1319" w:type="pct"/>
                  <w:tcBorders>
                    <w:tl2br w:val="nil"/>
                    <w:tr2bl w:val="nil"/>
                  </w:tcBorders>
                  <w:shd w:val="clear" w:color="auto" w:fill="auto"/>
                  <w:noWrap w:val="0"/>
                  <w:vAlign w:val="center"/>
                </w:tcPr>
                <w:p w14:paraId="7B7213EA">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0.0003L</w:t>
                  </w:r>
                </w:p>
              </w:tc>
              <w:tc>
                <w:tcPr>
                  <w:tcW w:w="1286" w:type="pct"/>
                  <w:tcBorders>
                    <w:tl2br w:val="nil"/>
                    <w:tr2bl w:val="nil"/>
                  </w:tcBorders>
                  <w:shd w:val="clear" w:color="auto" w:fill="auto"/>
                  <w:noWrap w:val="0"/>
                  <w:vAlign w:val="center"/>
                </w:tcPr>
                <w:p w14:paraId="45415F5D">
                  <w:pPr>
                    <w:jc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7EC119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2847388B">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71C4D9B1">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氰化物</w:t>
                  </w:r>
                </w:p>
              </w:tc>
              <w:tc>
                <w:tcPr>
                  <w:tcW w:w="1319" w:type="pct"/>
                  <w:tcBorders>
                    <w:tl2br w:val="nil"/>
                    <w:tr2bl w:val="nil"/>
                  </w:tcBorders>
                  <w:shd w:val="clear" w:color="auto" w:fill="auto"/>
                  <w:noWrap w:val="0"/>
                  <w:vAlign w:val="center"/>
                </w:tcPr>
                <w:p w14:paraId="7790034D">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＜0.002</w:t>
                  </w:r>
                </w:p>
              </w:tc>
              <w:tc>
                <w:tcPr>
                  <w:tcW w:w="1286" w:type="pct"/>
                  <w:tcBorders>
                    <w:tl2br w:val="nil"/>
                    <w:tr2bl w:val="nil"/>
                  </w:tcBorders>
                  <w:shd w:val="clear" w:color="auto" w:fill="auto"/>
                  <w:noWrap w:val="0"/>
                  <w:vAlign w:val="center"/>
                </w:tcPr>
                <w:p w14:paraId="4FC39C8A">
                  <w:pPr>
                    <w:jc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3E05BE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3B8058F5">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577E49D3">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砷</w:t>
                  </w:r>
                </w:p>
              </w:tc>
              <w:tc>
                <w:tcPr>
                  <w:tcW w:w="1319" w:type="pct"/>
                  <w:tcBorders>
                    <w:tl2br w:val="nil"/>
                    <w:tr2bl w:val="nil"/>
                  </w:tcBorders>
                  <w:shd w:val="clear" w:color="auto" w:fill="auto"/>
                  <w:noWrap w:val="0"/>
                  <w:vAlign w:val="center"/>
                </w:tcPr>
                <w:p w14:paraId="77D471F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8.0×10</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-4</w:t>
                  </w:r>
                </w:p>
              </w:tc>
              <w:tc>
                <w:tcPr>
                  <w:tcW w:w="1286" w:type="pct"/>
                  <w:tcBorders>
                    <w:tl2br w:val="nil"/>
                    <w:tr2bl w:val="nil"/>
                  </w:tcBorders>
                  <w:shd w:val="clear" w:color="auto" w:fill="auto"/>
                  <w:noWrap w:val="0"/>
                  <w:vAlign w:val="center"/>
                </w:tcPr>
                <w:p w14:paraId="71E6043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0.08</w:t>
                  </w:r>
                </w:p>
              </w:tc>
            </w:tr>
            <w:tr w14:paraId="3D7822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46648273">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044CE50A">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汞</w:t>
                  </w:r>
                </w:p>
              </w:tc>
              <w:tc>
                <w:tcPr>
                  <w:tcW w:w="1319" w:type="pct"/>
                  <w:tcBorders>
                    <w:tl2br w:val="nil"/>
                    <w:tr2bl w:val="nil"/>
                  </w:tcBorders>
                  <w:shd w:val="clear" w:color="auto" w:fill="auto"/>
                  <w:noWrap w:val="0"/>
                  <w:vAlign w:val="center"/>
                </w:tcPr>
                <w:p w14:paraId="3E12DD5C">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4.0×10</w:t>
                  </w:r>
                  <w:r>
                    <w:rPr>
                      <w:rFonts w:hint="default" w:ascii="Times New Roman" w:hAnsi="Times New Roman" w:eastAsia="宋体" w:cs="Times New Roman"/>
                      <w:i w:val="0"/>
                      <w:iCs w:val="0"/>
                      <w:color w:val="000000"/>
                      <w:kern w:val="0"/>
                      <w:sz w:val="18"/>
                      <w:szCs w:val="18"/>
                      <w:highlight w:val="none"/>
                      <w:u w:val="none"/>
                      <w:vertAlign w:val="superscript"/>
                      <w:lang w:val="en-US" w:eastAsia="zh-CN" w:bidi="ar"/>
                    </w:rPr>
                    <w:t>-5</w:t>
                  </w:r>
                  <w:r>
                    <w:rPr>
                      <w:rFonts w:hint="default" w:ascii="Times New Roman" w:hAnsi="Times New Roman" w:eastAsia="宋体" w:cs="Times New Roman"/>
                      <w:i w:val="0"/>
                      <w:iCs w:val="0"/>
                      <w:color w:val="000000"/>
                      <w:kern w:val="0"/>
                      <w:sz w:val="18"/>
                      <w:szCs w:val="18"/>
                      <w:highlight w:val="none"/>
                      <w:u w:val="none"/>
                      <w:lang w:val="en-US" w:eastAsia="zh-CN" w:bidi="ar"/>
                    </w:rPr>
                    <w:t>L</w:t>
                  </w:r>
                </w:p>
              </w:tc>
              <w:tc>
                <w:tcPr>
                  <w:tcW w:w="1286" w:type="pct"/>
                  <w:tcBorders>
                    <w:tl2br w:val="nil"/>
                    <w:tr2bl w:val="nil"/>
                  </w:tcBorders>
                  <w:shd w:val="clear" w:color="auto" w:fill="auto"/>
                  <w:noWrap w:val="0"/>
                  <w:vAlign w:val="center"/>
                </w:tcPr>
                <w:p w14:paraId="3E60EC70">
                  <w:pPr>
                    <w:jc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2E138B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654" w:type="pct"/>
                  <w:vMerge w:val="continue"/>
                  <w:tcBorders>
                    <w:tl2br w:val="nil"/>
                    <w:tr2bl w:val="nil"/>
                  </w:tcBorders>
                  <w:noWrap w:val="0"/>
                  <w:vAlign w:val="center"/>
                </w:tcPr>
                <w:p w14:paraId="6218AB4F">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6ADC4B5D">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六价铬</w:t>
                  </w:r>
                </w:p>
              </w:tc>
              <w:tc>
                <w:tcPr>
                  <w:tcW w:w="1319" w:type="pct"/>
                  <w:tcBorders>
                    <w:tl2br w:val="nil"/>
                    <w:tr2bl w:val="nil"/>
                  </w:tcBorders>
                  <w:shd w:val="clear" w:color="auto" w:fill="auto"/>
                  <w:noWrap w:val="0"/>
                  <w:vAlign w:val="center"/>
                </w:tcPr>
                <w:p w14:paraId="1B9EF6EB">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＜0.004</w:t>
                  </w:r>
                </w:p>
              </w:tc>
              <w:tc>
                <w:tcPr>
                  <w:tcW w:w="1286" w:type="pct"/>
                  <w:tcBorders>
                    <w:tl2br w:val="nil"/>
                    <w:tr2bl w:val="nil"/>
                  </w:tcBorders>
                  <w:shd w:val="clear" w:color="auto" w:fill="auto"/>
                  <w:noWrap w:val="0"/>
                  <w:vAlign w:val="center"/>
                </w:tcPr>
                <w:p w14:paraId="492CC381">
                  <w:pPr>
                    <w:jc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1F78D5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5D865928">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3438552A">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总硬度</w:t>
                  </w:r>
                </w:p>
              </w:tc>
              <w:tc>
                <w:tcPr>
                  <w:tcW w:w="1319" w:type="pct"/>
                  <w:tcBorders>
                    <w:tl2br w:val="nil"/>
                    <w:tr2bl w:val="nil"/>
                  </w:tcBorders>
                  <w:shd w:val="clear" w:color="auto" w:fill="auto"/>
                  <w:noWrap w:val="0"/>
                  <w:vAlign w:val="center"/>
                </w:tcPr>
                <w:p w14:paraId="4B4EDB2B">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000000"/>
                      <w:kern w:val="0"/>
                      <w:sz w:val="18"/>
                      <w:szCs w:val="18"/>
                      <w:highlight w:val="none"/>
                      <w:u w:val="none"/>
                      <w:lang w:val="en-US" w:eastAsia="zh-CN" w:bidi="ar"/>
                    </w:rPr>
                    <w:t>356</w:t>
                  </w:r>
                </w:p>
              </w:tc>
              <w:tc>
                <w:tcPr>
                  <w:tcW w:w="1286" w:type="pct"/>
                  <w:tcBorders>
                    <w:tl2br w:val="nil"/>
                    <w:tr2bl w:val="nil"/>
                  </w:tcBorders>
                  <w:shd w:val="clear" w:color="auto" w:fill="auto"/>
                  <w:noWrap w:val="0"/>
                  <w:vAlign w:val="center"/>
                </w:tcPr>
                <w:p w14:paraId="5C2E639D">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000000"/>
                      <w:kern w:val="0"/>
                      <w:sz w:val="18"/>
                      <w:szCs w:val="18"/>
                      <w:highlight w:val="none"/>
                      <w:u w:val="none"/>
                      <w:lang w:val="en-US" w:eastAsia="zh-CN" w:bidi="ar"/>
                    </w:rPr>
                    <w:t>0.79</w:t>
                  </w:r>
                </w:p>
              </w:tc>
            </w:tr>
            <w:tr w14:paraId="500DD0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1DE41454">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1812D316">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铅</w:t>
                  </w:r>
                </w:p>
              </w:tc>
              <w:tc>
                <w:tcPr>
                  <w:tcW w:w="1319" w:type="pct"/>
                  <w:tcBorders>
                    <w:tl2br w:val="nil"/>
                    <w:tr2bl w:val="nil"/>
                  </w:tcBorders>
                  <w:shd w:val="clear" w:color="auto" w:fill="auto"/>
                  <w:noWrap w:val="0"/>
                  <w:vAlign w:val="center"/>
                </w:tcPr>
                <w:p w14:paraId="51BADDC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0.010L</w:t>
                  </w:r>
                </w:p>
              </w:tc>
              <w:tc>
                <w:tcPr>
                  <w:tcW w:w="1286" w:type="pct"/>
                  <w:tcBorders>
                    <w:tl2br w:val="nil"/>
                    <w:tr2bl w:val="nil"/>
                  </w:tcBorders>
                  <w:shd w:val="clear" w:color="auto" w:fill="auto"/>
                  <w:noWrap w:val="0"/>
                  <w:vAlign w:val="center"/>
                </w:tcPr>
                <w:p w14:paraId="745C5802">
                  <w:pPr>
                    <w:jc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67C02C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62A99980">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19558343">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氟化物</w:t>
                  </w:r>
                </w:p>
              </w:tc>
              <w:tc>
                <w:tcPr>
                  <w:tcW w:w="1319" w:type="pct"/>
                  <w:tcBorders>
                    <w:tl2br w:val="nil"/>
                    <w:tr2bl w:val="nil"/>
                  </w:tcBorders>
                  <w:shd w:val="clear" w:color="auto" w:fill="auto"/>
                  <w:noWrap w:val="0"/>
                  <w:vAlign w:val="center"/>
                </w:tcPr>
                <w:p w14:paraId="0AC1F04B">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w:t>
                  </w:r>
                  <w:r>
                    <w:rPr>
                      <w:rFonts w:hint="eastAsia" w:cs="Times New Roman"/>
                      <w:i w:val="0"/>
                      <w:iCs w:val="0"/>
                      <w:color w:val="000000"/>
                      <w:kern w:val="0"/>
                      <w:sz w:val="18"/>
                      <w:szCs w:val="18"/>
                      <w:highlight w:val="none"/>
                      <w:u w:val="none"/>
                      <w:lang w:val="en-US" w:eastAsia="zh-CN" w:bidi="ar"/>
                    </w:rPr>
                    <w:t>227</w:t>
                  </w:r>
                </w:p>
              </w:tc>
              <w:tc>
                <w:tcPr>
                  <w:tcW w:w="1286" w:type="pct"/>
                  <w:tcBorders>
                    <w:tl2br w:val="nil"/>
                    <w:tr2bl w:val="nil"/>
                  </w:tcBorders>
                  <w:shd w:val="clear" w:color="auto" w:fill="auto"/>
                  <w:noWrap w:val="0"/>
                  <w:vAlign w:val="center"/>
                </w:tcPr>
                <w:p w14:paraId="07DC8F68">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w:t>
                  </w:r>
                  <w:r>
                    <w:rPr>
                      <w:rFonts w:hint="eastAsia" w:cs="Times New Roman"/>
                      <w:i w:val="0"/>
                      <w:iCs w:val="0"/>
                      <w:color w:val="000000"/>
                      <w:kern w:val="0"/>
                      <w:sz w:val="18"/>
                      <w:szCs w:val="18"/>
                      <w:highlight w:val="none"/>
                      <w:u w:val="none"/>
                      <w:lang w:val="en-US" w:eastAsia="zh-CN" w:bidi="ar"/>
                    </w:rPr>
                    <w:t>23</w:t>
                  </w:r>
                </w:p>
              </w:tc>
            </w:tr>
            <w:tr w14:paraId="7847D4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54" w:type="pct"/>
                  <w:vMerge w:val="continue"/>
                  <w:tcBorders>
                    <w:tl2br w:val="nil"/>
                    <w:tr2bl w:val="nil"/>
                  </w:tcBorders>
                  <w:noWrap w:val="0"/>
                  <w:vAlign w:val="center"/>
                </w:tcPr>
                <w:p w14:paraId="23366EDC">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0EF1272B">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镉</w:t>
                  </w:r>
                </w:p>
              </w:tc>
              <w:tc>
                <w:tcPr>
                  <w:tcW w:w="1319" w:type="pct"/>
                  <w:tcBorders>
                    <w:tl2br w:val="nil"/>
                    <w:tr2bl w:val="nil"/>
                  </w:tcBorders>
                  <w:shd w:val="clear" w:color="auto" w:fill="auto"/>
                  <w:noWrap w:val="0"/>
                  <w:vAlign w:val="center"/>
                </w:tcPr>
                <w:p w14:paraId="68FA9C6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0.002L</w:t>
                  </w:r>
                </w:p>
              </w:tc>
              <w:tc>
                <w:tcPr>
                  <w:tcW w:w="1286" w:type="pct"/>
                  <w:tcBorders>
                    <w:tl2br w:val="nil"/>
                    <w:tr2bl w:val="nil"/>
                  </w:tcBorders>
                  <w:shd w:val="clear" w:color="auto" w:fill="auto"/>
                  <w:noWrap w:val="0"/>
                  <w:vAlign w:val="center"/>
                </w:tcPr>
                <w:p w14:paraId="77236902">
                  <w:pPr>
                    <w:jc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1BA94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6F357D33">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4032D3D7">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铁</w:t>
                  </w:r>
                </w:p>
              </w:tc>
              <w:tc>
                <w:tcPr>
                  <w:tcW w:w="1319" w:type="pct"/>
                  <w:tcBorders>
                    <w:tl2br w:val="nil"/>
                    <w:tr2bl w:val="nil"/>
                  </w:tcBorders>
                  <w:shd w:val="clear" w:color="auto" w:fill="auto"/>
                  <w:noWrap w:val="0"/>
                  <w:vAlign w:val="center"/>
                </w:tcPr>
                <w:p w14:paraId="290AF079">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0.03L</w:t>
                  </w:r>
                </w:p>
              </w:tc>
              <w:tc>
                <w:tcPr>
                  <w:tcW w:w="1286" w:type="pct"/>
                  <w:tcBorders>
                    <w:tl2br w:val="nil"/>
                    <w:tr2bl w:val="nil"/>
                  </w:tcBorders>
                  <w:shd w:val="clear" w:color="auto" w:fill="auto"/>
                  <w:noWrap w:val="0"/>
                  <w:vAlign w:val="center"/>
                </w:tcPr>
                <w:p w14:paraId="64057DA0">
                  <w:pPr>
                    <w:jc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7AFE70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5DDC423A">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494013E4">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锰</w:t>
                  </w:r>
                </w:p>
              </w:tc>
              <w:tc>
                <w:tcPr>
                  <w:tcW w:w="1319" w:type="pct"/>
                  <w:tcBorders>
                    <w:tl2br w:val="nil"/>
                    <w:tr2bl w:val="nil"/>
                  </w:tcBorders>
                  <w:shd w:val="clear" w:color="auto" w:fill="auto"/>
                  <w:noWrap w:val="0"/>
                  <w:vAlign w:val="center"/>
                </w:tcPr>
                <w:p w14:paraId="0B48F9CA">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0.01L</w:t>
                  </w:r>
                </w:p>
              </w:tc>
              <w:tc>
                <w:tcPr>
                  <w:tcW w:w="1286" w:type="pct"/>
                  <w:tcBorders>
                    <w:tl2br w:val="nil"/>
                    <w:tr2bl w:val="nil"/>
                  </w:tcBorders>
                  <w:shd w:val="clear" w:color="auto" w:fill="auto"/>
                  <w:noWrap w:val="0"/>
                  <w:vAlign w:val="center"/>
                </w:tcPr>
                <w:p w14:paraId="7A078D99">
                  <w:pPr>
                    <w:jc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007121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4" w:type="pct"/>
                  <w:vMerge w:val="continue"/>
                  <w:tcBorders>
                    <w:tl2br w:val="nil"/>
                    <w:tr2bl w:val="nil"/>
                  </w:tcBorders>
                  <w:noWrap w:val="0"/>
                  <w:vAlign w:val="center"/>
                </w:tcPr>
                <w:p w14:paraId="43E4389C">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7930ECA1">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spacing w:val="-23"/>
                      <w:kern w:val="0"/>
                      <w:sz w:val="18"/>
                      <w:szCs w:val="18"/>
                      <w:highlight w:val="none"/>
                      <w:u w:val="none"/>
                      <w:lang w:bidi="ar"/>
                    </w:rPr>
                    <w:t>溶解性总固体</w:t>
                  </w:r>
                </w:p>
              </w:tc>
              <w:tc>
                <w:tcPr>
                  <w:tcW w:w="1319" w:type="pct"/>
                  <w:tcBorders>
                    <w:tl2br w:val="nil"/>
                    <w:tr2bl w:val="nil"/>
                  </w:tcBorders>
                  <w:shd w:val="clear" w:color="auto" w:fill="auto"/>
                  <w:noWrap w:val="0"/>
                  <w:vAlign w:val="center"/>
                </w:tcPr>
                <w:p w14:paraId="0C2D69EA">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000000"/>
                      <w:kern w:val="0"/>
                      <w:sz w:val="18"/>
                      <w:szCs w:val="18"/>
                      <w:highlight w:val="none"/>
                      <w:u w:val="none"/>
                      <w:lang w:val="en-US" w:eastAsia="zh-CN" w:bidi="ar"/>
                    </w:rPr>
                    <w:t>672</w:t>
                  </w:r>
                </w:p>
              </w:tc>
              <w:tc>
                <w:tcPr>
                  <w:tcW w:w="1286" w:type="pct"/>
                  <w:tcBorders>
                    <w:tl2br w:val="nil"/>
                    <w:tr2bl w:val="nil"/>
                  </w:tcBorders>
                  <w:shd w:val="clear" w:color="auto" w:fill="auto"/>
                  <w:noWrap w:val="0"/>
                  <w:vAlign w:val="center"/>
                </w:tcPr>
                <w:p w14:paraId="0B31D6EB">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w:t>
                  </w:r>
                  <w:r>
                    <w:rPr>
                      <w:rFonts w:hint="eastAsia" w:cs="Times New Roman"/>
                      <w:i w:val="0"/>
                      <w:iCs w:val="0"/>
                      <w:color w:val="000000"/>
                      <w:kern w:val="0"/>
                      <w:sz w:val="18"/>
                      <w:szCs w:val="18"/>
                      <w:highlight w:val="none"/>
                      <w:u w:val="none"/>
                      <w:lang w:val="en-US" w:eastAsia="zh-CN" w:bidi="ar"/>
                    </w:rPr>
                    <w:t>67</w:t>
                  </w:r>
                </w:p>
              </w:tc>
            </w:tr>
            <w:tr w14:paraId="134A8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20FC7B47">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27DC6AD4">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sz w:val="18"/>
                      <w:szCs w:val="18"/>
                      <w:highlight w:val="none"/>
                      <w:u w:val="none"/>
                    </w:rPr>
                  </w:pPr>
                  <w:r>
                    <w:rPr>
                      <w:rFonts w:hint="default" w:ascii="Times New Roman" w:hAnsi="Times New Roman" w:eastAsia="宋体" w:cs="Times New Roman"/>
                      <w:color w:val="auto"/>
                      <w:kern w:val="0"/>
                      <w:sz w:val="18"/>
                      <w:szCs w:val="18"/>
                      <w:highlight w:val="none"/>
                      <w:u w:val="none"/>
                      <w:lang w:bidi="ar"/>
                    </w:rPr>
                    <w:t>耗氧量</w:t>
                  </w:r>
                </w:p>
              </w:tc>
              <w:tc>
                <w:tcPr>
                  <w:tcW w:w="1319" w:type="pct"/>
                  <w:tcBorders>
                    <w:tl2br w:val="nil"/>
                    <w:tr2bl w:val="nil"/>
                  </w:tcBorders>
                  <w:shd w:val="clear" w:color="auto" w:fill="auto"/>
                  <w:noWrap w:val="0"/>
                  <w:vAlign w:val="center"/>
                </w:tcPr>
                <w:p w14:paraId="288DB829">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000000"/>
                      <w:kern w:val="0"/>
                      <w:sz w:val="18"/>
                      <w:szCs w:val="18"/>
                      <w:highlight w:val="none"/>
                      <w:u w:val="none"/>
                      <w:lang w:val="en-US" w:eastAsia="zh-CN" w:bidi="ar"/>
                    </w:rPr>
                    <w:t>2.87</w:t>
                  </w:r>
                </w:p>
              </w:tc>
              <w:tc>
                <w:tcPr>
                  <w:tcW w:w="1286" w:type="pct"/>
                  <w:tcBorders>
                    <w:tl2br w:val="nil"/>
                    <w:tr2bl w:val="nil"/>
                  </w:tcBorders>
                  <w:shd w:val="clear" w:color="auto" w:fill="auto"/>
                  <w:noWrap w:val="0"/>
                  <w:vAlign w:val="center"/>
                </w:tcPr>
                <w:p w14:paraId="68574BA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0.</w:t>
                  </w:r>
                  <w:r>
                    <w:rPr>
                      <w:rFonts w:hint="eastAsia" w:cs="Times New Roman"/>
                      <w:i w:val="0"/>
                      <w:iCs w:val="0"/>
                      <w:color w:val="000000"/>
                      <w:kern w:val="0"/>
                      <w:sz w:val="18"/>
                      <w:szCs w:val="18"/>
                      <w:highlight w:val="none"/>
                      <w:u w:val="none"/>
                      <w:lang w:val="en-US" w:eastAsia="zh-CN" w:bidi="ar"/>
                    </w:rPr>
                    <w:t>96</w:t>
                  </w:r>
                </w:p>
              </w:tc>
            </w:tr>
            <w:tr w14:paraId="0AB96C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0FC05A4A">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2001649B">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spacing w:val="-11"/>
                      <w:kern w:val="0"/>
                      <w:sz w:val="18"/>
                      <w:szCs w:val="18"/>
                      <w:highlight w:val="none"/>
                      <w:u w:val="none"/>
                      <w:lang w:bidi="ar"/>
                    </w:rPr>
                    <w:t>总大肠菌群</w:t>
                  </w:r>
                </w:p>
              </w:tc>
              <w:tc>
                <w:tcPr>
                  <w:tcW w:w="1319" w:type="pct"/>
                  <w:tcBorders>
                    <w:tl2br w:val="nil"/>
                    <w:tr2bl w:val="nil"/>
                  </w:tcBorders>
                  <w:shd w:val="clear" w:color="auto" w:fill="auto"/>
                  <w:noWrap w:val="0"/>
                  <w:vAlign w:val="center"/>
                </w:tcPr>
                <w:p w14:paraId="1099466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286" w:type="pct"/>
                  <w:tcBorders>
                    <w:tl2br w:val="nil"/>
                    <w:tr2bl w:val="nil"/>
                  </w:tcBorders>
                  <w:shd w:val="clear" w:color="auto" w:fill="auto"/>
                  <w:noWrap w:val="0"/>
                  <w:vAlign w:val="center"/>
                </w:tcPr>
                <w:p w14:paraId="1802902A">
                  <w:pPr>
                    <w:jc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color w:val="auto"/>
                      <w:sz w:val="18"/>
                      <w:szCs w:val="18"/>
                      <w:highlight w:val="none"/>
                      <w:u w:val="none"/>
                      <w:lang w:val="en-US" w:eastAsia="zh-CN"/>
                    </w:rPr>
                    <w:t>/</w:t>
                  </w:r>
                </w:p>
              </w:tc>
            </w:tr>
            <w:tr w14:paraId="19BE13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3064BBD0">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6F3B818C">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0"/>
                      <w:sz w:val="18"/>
                      <w:szCs w:val="18"/>
                      <w:highlight w:val="none"/>
                      <w:u w:val="none"/>
                      <w:lang w:bidi="ar"/>
                    </w:rPr>
                    <w:t>细菌总数</w:t>
                  </w:r>
                </w:p>
              </w:tc>
              <w:tc>
                <w:tcPr>
                  <w:tcW w:w="1319" w:type="pct"/>
                  <w:tcBorders>
                    <w:tl2br w:val="nil"/>
                    <w:tr2bl w:val="nil"/>
                  </w:tcBorders>
                  <w:shd w:val="clear" w:color="auto" w:fill="auto"/>
                  <w:noWrap w:val="0"/>
                  <w:vAlign w:val="center"/>
                </w:tcPr>
                <w:p w14:paraId="57A879B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000000"/>
                      <w:kern w:val="0"/>
                      <w:sz w:val="18"/>
                      <w:szCs w:val="18"/>
                      <w:highlight w:val="none"/>
                      <w:u w:val="none"/>
                      <w:lang w:val="en-US" w:eastAsia="zh-CN" w:bidi="ar"/>
                    </w:rPr>
                    <w:t>37</w:t>
                  </w:r>
                </w:p>
              </w:tc>
              <w:tc>
                <w:tcPr>
                  <w:tcW w:w="1286" w:type="pct"/>
                  <w:tcBorders>
                    <w:tl2br w:val="nil"/>
                    <w:tr2bl w:val="nil"/>
                  </w:tcBorders>
                  <w:shd w:val="clear" w:color="auto" w:fill="auto"/>
                  <w:noWrap w:val="0"/>
                  <w:vAlign w:val="center"/>
                </w:tcPr>
                <w:p w14:paraId="54BBCF01">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highlight w:val="none"/>
                      <w:u w:val="none" w:color="auto"/>
                      <w:lang w:val="en-US" w:eastAsia="zh-CN" w:bidi="ar-SA"/>
                    </w:rPr>
                  </w:pPr>
                  <w:r>
                    <w:rPr>
                      <w:rFonts w:hint="default" w:ascii="Times New Roman" w:hAnsi="Times New Roman" w:eastAsia="宋体" w:cs="Times New Roman"/>
                      <w:i w:val="0"/>
                      <w:iCs w:val="0"/>
                      <w:color w:val="000000"/>
                      <w:kern w:val="0"/>
                      <w:sz w:val="18"/>
                      <w:szCs w:val="18"/>
                      <w:highlight w:val="none"/>
                      <w:u w:val="none" w:color="auto"/>
                      <w:lang w:val="en-US" w:eastAsia="zh-CN" w:bidi="ar"/>
                    </w:rPr>
                    <w:t>0.37</w:t>
                  </w:r>
                </w:p>
              </w:tc>
            </w:tr>
            <w:tr w14:paraId="460E19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654" w:type="pct"/>
                  <w:vMerge w:val="continue"/>
                  <w:tcBorders>
                    <w:tl2br w:val="nil"/>
                    <w:tr2bl w:val="nil"/>
                  </w:tcBorders>
                  <w:noWrap w:val="0"/>
                  <w:vAlign w:val="center"/>
                </w:tcPr>
                <w:p w14:paraId="59DC9698">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066A9DF5">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0"/>
                      <w:sz w:val="18"/>
                      <w:szCs w:val="18"/>
                      <w:highlight w:val="none"/>
                      <w:u w:val="none"/>
                      <w:lang w:bidi="ar"/>
                    </w:rPr>
                    <w:t>硫酸盐</w:t>
                  </w:r>
                </w:p>
              </w:tc>
              <w:tc>
                <w:tcPr>
                  <w:tcW w:w="1319" w:type="pct"/>
                  <w:tcBorders>
                    <w:tl2br w:val="nil"/>
                    <w:tr2bl w:val="nil"/>
                  </w:tcBorders>
                  <w:shd w:val="clear" w:color="auto" w:fill="auto"/>
                  <w:noWrap w:val="0"/>
                  <w:vAlign w:val="center"/>
                </w:tcPr>
                <w:p w14:paraId="3D211416">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000000"/>
                      <w:kern w:val="2"/>
                      <w:sz w:val="18"/>
                      <w:szCs w:val="18"/>
                      <w:highlight w:val="none"/>
                      <w:u w:val="none" w:color="auto"/>
                      <w:lang w:val="en-US" w:eastAsia="zh-CN" w:bidi="ar-SA"/>
                    </w:rPr>
                  </w:pPr>
                  <w:r>
                    <w:rPr>
                      <w:rFonts w:hint="eastAsia" w:ascii="Times New Roman" w:hAnsi="Times New Roman" w:eastAsia="宋体" w:cs="Times New Roman"/>
                      <w:color w:val="000000"/>
                      <w:sz w:val="18"/>
                      <w:szCs w:val="18"/>
                      <w:highlight w:val="none"/>
                      <w:u w:val="none" w:color="auto"/>
                      <w:lang w:val="en-US" w:eastAsia="zh-CN"/>
                    </w:rPr>
                    <w:t>9.65</w:t>
                  </w:r>
                </w:p>
              </w:tc>
              <w:tc>
                <w:tcPr>
                  <w:tcW w:w="1286" w:type="pct"/>
                  <w:tcBorders>
                    <w:tl2br w:val="nil"/>
                    <w:tr2bl w:val="nil"/>
                  </w:tcBorders>
                  <w:shd w:val="clear" w:color="auto" w:fill="auto"/>
                  <w:noWrap w:val="0"/>
                  <w:vAlign w:val="center"/>
                </w:tcPr>
                <w:p w14:paraId="3CDF5B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color="auto"/>
                      <w:lang w:val="en-US" w:eastAsia="zh-CN" w:bidi="ar"/>
                    </w:rPr>
                  </w:pPr>
                  <w:r>
                    <w:rPr>
                      <w:rFonts w:hint="eastAsia" w:ascii="Times New Roman" w:hAnsi="Times New Roman" w:eastAsia="宋体" w:cs="Times New Roman"/>
                      <w:i w:val="0"/>
                      <w:iCs w:val="0"/>
                      <w:color w:val="000000"/>
                      <w:kern w:val="0"/>
                      <w:sz w:val="18"/>
                      <w:szCs w:val="18"/>
                      <w:highlight w:val="none"/>
                      <w:u w:val="none" w:color="auto"/>
                      <w:lang w:val="en-US" w:eastAsia="zh-CN" w:bidi="ar"/>
                    </w:rPr>
                    <w:t xml:space="preserve">0.039 </w:t>
                  </w:r>
                </w:p>
              </w:tc>
            </w:tr>
            <w:tr w14:paraId="1803AE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54" w:type="pct"/>
                  <w:vMerge w:val="continue"/>
                  <w:tcBorders>
                    <w:tl2br w:val="nil"/>
                    <w:tr2bl w:val="nil"/>
                  </w:tcBorders>
                  <w:noWrap w:val="0"/>
                  <w:vAlign w:val="center"/>
                </w:tcPr>
                <w:p w14:paraId="21C41D8B">
                  <w:pPr>
                    <w:keepNext w:val="0"/>
                    <w:keepLines w:val="0"/>
                    <w:pageBreakBefore w:val="0"/>
                    <w:kinsoku/>
                    <w:wordWrap/>
                    <w:overflowPunct/>
                    <w:topLinePunct w:val="0"/>
                    <w:autoSpaceDE/>
                    <w:autoSpaceDN/>
                    <w:bidi w:val="0"/>
                    <w:adjustRightInd/>
                    <w:snapToGrid/>
                    <w:spacing w:line="300" w:lineRule="atLeast"/>
                    <w:jc w:val="center"/>
                    <w:rPr>
                      <w:rFonts w:hint="default" w:ascii="Times New Roman" w:hAnsi="Times New Roman" w:eastAsia="宋体" w:cs="Times New Roman"/>
                      <w:color w:val="auto"/>
                      <w:sz w:val="18"/>
                      <w:szCs w:val="18"/>
                      <w:highlight w:val="none"/>
                      <w:u w:val="none"/>
                    </w:rPr>
                  </w:pPr>
                </w:p>
              </w:tc>
              <w:tc>
                <w:tcPr>
                  <w:tcW w:w="1739" w:type="pct"/>
                  <w:tcBorders>
                    <w:tl2br w:val="nil"/>
                    <w:tr2bl w:val="nil"/>
                  </w:tcBorders>
                  <w:noWrap w:val="0"/>
                  <w:vAlign w:val="center"/>
                </w:tcPr>
                <w:p w14:paraId="7F9698B5">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0"/>
                      <w:sz w:val="18"/>
                      <w:szCs w:val="18"/>
                      <w:highlight w:val="none"/>
                      <w:u w:val="none"/>
                      <w:lang w:bidi="ar"/>
                    </w:rPr>
                    <w:t>氯化物</w:t>
                  </w:r>
                </w:p>
              </w:tc>
              <w:tc>
                <w:tcPr>
                  <w:tcW w:w="1319" w:type="pct"/>
                  <w:tcBorders>
                    <w:tl2br w:val="nil"/>
                    <w:tr2bl w:val="nil"/>
                  </w:tcBorders>
                  <w:shd w:val="clear" w:color="auto" w:fill="auto"/>
                  <w:noWrap w:val="0"/>
                  <w:vAlign w:val="center"/>
                </w:tcPr>
                <w:p w14:paraId="380A8847">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Times New Roman" w:hAnsi="Times New Roman" w:eastAsia="宋体" w:cs="Times New Roman"/>
                      <w:color w:val="000000"/>
                      <w:kern w:val="2"/>
                      <w:sz w:val="18"/>
                      <w:szCs w:val="18"/>
                      <w:highlight w:val="none"/>
                      <w:u w:val="none" w:color="auto"/>
                      <w:lang w:val="en-US" w:eastAsia="zh-CN" w:bidi="ar-SA"/>
                    </w:rPr>
                  </w:pPr>
                  <w:r>
                    <w:rPr>
                      <w:rFonts w:hint="eastAsia" w:ascii="Times New Roman" w:hAnsi="Times New Roman" w:eastAsia="宋体" w:cs="Times New Roman"/>
                      <w:color w:val="000000"/>
                      <w:sz w:val="18"/>
                      <w:szCs w:val="18"/>
                      <w:highlight w:val="none"/>
                      <w:u w:val="none" w:color="auto"/>
                      <w:lang w:val="en-US" w:eastAsia="zh-CN"/>
                    </w:rPr>
                    <w:t>12.7</w:t>
                  </w:r>
                </w:p>
              </w:tc>
              <w:tc>
                <w:tcPr>
                  <w:tcW w:w="1286" w:type="pct"/>
                  <w:tcBorders>
                    <w:tl2br w:val="nil"/>
                    <w:tr2bl w:val="nil"/>
                  </w:tcBorders>
                  <w:shd w:val="clear" w:color="auto" w:fill="auto"/>
                  <w:noWrap w:val="0"/>
                  <w:vAlign w:val="center"/>
                </w:tcPr>
                <w:p w14:paraId="5C2C03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color="auto"/>
                      <w:lang w:val="en-US" w:eastAsia="zh-CN" w:bidi="ar"/>
                    </w:rPr>
                  </w:pPr>
                  <w:r>
                    <w:rPr>
                      <w:rFonts w:hint="eastAsia" w:ascii="Times New Roman" w:hAnsi="Times New Roman" w:eastAsia="宋体" w:cs="Times New Roman"/>
                      <w:i w:val="0"/>
                      <w:iCs w:val="0"/>
                      <w:color w:val="000000"/>
                      <w:kern w:val="0"/>
                      <w:sz w:val="18"/>
                      <w:szCs w:val="18"/>
                      <w:highlight w:val="none"/>
                      <w:u w:val="none" w:color="auto"/>
                      <w:lang w:val="en-US" w:eastAsia="zh-CN" w:bidi="ar"/>
                    </w:rPr>
                    <w:t xml:space="preserve">0.051 </w:t>
                  </w:r>
                </w:p>
              </w:tc>
            </w:tr>
          </w:tbl>
          <w:p w14:paraId="17FF36A0">
            <w:pPr>
              <w:keepNext w:val="0"/>
              <w:keepLines w:val="0"/>
              <w:pageBreakBefore w:val="0"/>
              <w:widowControl w:val="0"/>
              <w:kinsoku/>
              <w:wordWrap/>
              <w:overflowPunct/>
              <w:topLinePunct w:val="0"/>
              <w:autoSpaceDE/>
              <w:autoSpaceDN/>
              <w:bidi w:val="0"/>
              <w:adjustRightInd/>
              <w:snapToGrid w:val="0"/>
              <w:spacing w:line="500" w:lineRule="exact"/>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color="auto"/>
              </w:rPr>
              <w:t>评价区域内地下水现状监测点位所有监测指标</w:t>
            </w:r>
            <w:r>
              <w:rPr>
                <w:rFonts w:hint="eastAsia" w:ascii="宋体" w:hAnsi="宋体" w:eastAsia="宋体" w:cs="宋体"/>
                <w:color w:val="auto"/>
                <w:sz w:val="24"/>
                <w:szCs w:val="24"/>
                <w:u w:val="none" w:color="auto"/>
                <w:lang w:val="en-US" w:eastAsia="zh-CN"/>
              </w:rPr>
              <w:t>均</w:t>
            </w:r>
            <w:r>
              <w:rPr>
                <w:rFonts w:hint="eastAsia" w:ascii="宋体" w:hAnsi="宋体" w:eastAsia="宋体" w:cs="宋体"/>
                <w:color w:val="auto"/>
                <w:sz w:val="24"/>
                <w:szCs w:val="24"/>
                <w:u w:val="none" w:color="auto"/>
              </w:rPr>
              <w:t>满足《地下水环境质量》</w:t>
            </w:r>
            <w:r>
              <w:rPr>
                <w:rFonts w:hint="eastAsia" w:ascii="宋体" w:hAnsi="宋体" w:eastAsia="宋体" w:cs="宋体"/>
                <w:color w:val="auto"/>
                <w:sz w:val="24"/>
                <w:szCs w:val="24"/>
                <w:lang w:val="en-US" w:eastAsia="zh-CN"/>
              </w:rPr>
              <w:t>（GB/T14848－2017）中Ⅲ类水体功能要求。</w:t>
            </w:r>
          </w:p>
        </w:tc>
      </w:tr>
      <w:tr w14:paraId="3046D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14:paraId="4282CEC3">
            <w:pPr>
              <w:adjustRightInd w:val="0"/>
              <w:snapToGrid w:val="0"/>
              <w:jc w:val="center"/>
              <w:rPr>
                <w:rFonts w:hint="eastAsia" w:ascii="宋体" w:hAnsi="宋体" w:cs="宋体"/>
                <w:kern w:val="0"/>
                <w:szCs w:val="21"/>
              </w:rPr>
            </w:pPr>
            <w:r>
              <w:rPr>
                <w:rFonts w:hint="eastAsia" w:ascii="宋体" w:hAnsi="宋体" w:cs="宋体"/>
                <w:kern w:val="0"/>
                <w:szCs w:val="21"/>
              </w:rPr>
              <w:t>环境</w:t>
            </w:r>
          </w:p>
          <w:p w14:paraId="49784D49">
            <w:pPr>
              <w:adjustRightInd w:val="0"/>
              <w:snapToGrid w:val="0"/>
              <w:jc w:val="center"/>
              <w:rPr>
                <w:rFonts w:hint="eastAsia" w:ascii="宋体" w:hAnsi="宋体" w:cs="宋体"/>
                <w:kern w:val="0"/>
                <w:szCs w:val="21"/>
              </w:rPr>
            </w:pPr>
            <w:r>
              <w:rPr>
                <w:rFonts w:hint="eastAsia" w:ascii="宋体" w:hAnsi="宋体" w:cs="宋体"/>
                <w:kern w:val="0"/>
                <w:szCs w:val="21"/>
              </w:rPr>
              <w:t>保护</w:t>
            </w:r>
          </w:p>
          <w:p w14:paraId="59D1F30E">
            <w:pPr>
              <w:adjustRightInd w:val="0"/>
              <w:snapToGrid w:val="0"/>
              <w:jc w:val="center"/>
              <w:rPr>
                <w:rFonts w:hint="eastAsia" w:ascii="宋体" w:hAnsi="宋体" w:cs="宋体"/>
                <w:kern w:val="0"/>
                <w:szCs w:val="21"/>
              </w:rPr>
            </w:pPr>
            <w:r>
              <w:rPr>
                <w:rFonts w:hint="eastAsia" w:ascii="宋体" w:hAnsi="宋体" w:cs="宋体"/>
                <w:kern w:val="0"/>
                <w:szCs w:val="21"/>
              </w:rPr>
              <w:t>目标</w:t>
            </w:r>
          </w:p>
        </w:tc>
        <w:tc>
          <w:tcPr>
            <w:tcW w:w="8190" w:type="dxa"/>
            <w:noWrap w:val="0"/>
            <w:vAlign w:val="center"/>
          </w:tcPr>
          <w:p w14:paraId="0DB99F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 w:val="0"/>
                <w:bCs/>
                <w:caps w:val="0"/>
                <w:color w:val="auto"/>
                <w:sz w:val="24"/>
                <w:szCs w:val="24"/>
                <w:highlight w:val="none"/>
                <w:u w:val="none" w:color="auto"/>
                <w:lang w:val="en-US" w:eastAsia="zh-CN"/>
              </w:rPr>
            </w:pPr>
            <w:r>
              <w:rPr>
                <w:rFonts w:hint="eastAsia" w:ascii="宋体" w:hAnsi="宋体" w:eastAsia="宋体" w:cs="宋体"/>
                <w:b w:val="0"/>
                <w:bCs/>
                <w:caps w:val="0"/>
                <w:color w:val="auto"/>
                <w:sz w:val="24"/>
                <w:szCs w:val="24"/>
                <w:highlight w:val="none"/>
                <w:u w:val="none" w:color="auto"/>
                <w:lang w:val="en-US" w:eastAsia="zh-CN"/>
              </w:rPr>
              <w:t>根据《建设项目环境影响报告表编制技术指南（污染影响类）</w:t>
            </w:r>
            <w:r>
              <w:rPr>
                <w:rFonts w:hint="eastAsia" w:ascii="宋体" w:hAnsi="宋体" w:cs="宋体"/>
                <w:b w:val="0"/>
                <w:bCs/>
                <w:caps w:val="0"/>
                <w:color w:val="auto"/>
                <w:sz w:val="24"/>
                <w:szCs w:val="24"/>
                <w:highlight w:val="none"/>
                <w:u w:val="none" w:color="auto"/>
                <w:lang w:val="en-US" w:eastAsia="zh-CN"/>
              </w:rPr>
              <w:t>（试行）》</w:t>
            </w:r>
            <w:r>
              <w:rPr>
                <w:rFonts w:hint="eastAsia" w:ascii="宋体" w:hAnsi="宋体" w:eastAsia="宋体" w:cs="宋体"/>
                <w:b w:val="0"/>
                <w:bCs/>
                <w:caps w:val="0"/>
                <w:color w:val="auto"/>
                <w:sz w:val="24"/>
                <w:szCs w:val="24"/>
                <w:highlight w:val="none"/>
                <w:u w:val="none" w:color="auto"/>
                <w:lang w:val="en-US" w:eastAsia="zh-CN"/>
              </w:rPr>
              <w:t>，大气环境保护目标为厂界外500范围内；厂界外50m范围内无声环境</w:t>
            </w:r>
            <w:r>
              <w:rPr>
                <w:rFonts w:hint="eastAsia" w:ascii="宋体" w:hAnsi="宋体" w:cs="宋体"/>
                <w:b w:val="0"/>
                <w:bCs/>
                <w:caps w:val="0"/>
                <w:color w:val="auto"/>
                <w:sz w:val="24"/>
                <w:szCs w:val="24"/>
                <w:highlight w:val="none"/>
                <w:u w:val="none" w:color="auto"/>
                <w:lang w:val="en-US" w:eastAsia="zh-CN"/>
              </w:rPr>
              <w:t>敏感点</w:t>
            </w:r>
            <w:r>
              <w:rPr>
                <w:rFonts w:hint="eastAsia" w:ascii="宋体" w:hAnsi="宋体" w:eastAsia="宋体" w:cs="宋体"/>
                <w:b w:val="0"/>
                <w:bCs/>
                <w:caps w:val="0"/>
                <w:color w:val="auto"/>
                <w:sz w:val="24"/>
                <w:szCs w:val="24"/>
                <w:highlight w:val="none"/>
                <w:u w:val="none" w:color="auto"/>
                <w:lang w:val="en-US" w:eastAsia="zh-CN"/>
              </w:rPr>
              <w:t>。本项目</w:t>
            </w:r>
            <w:r>
              <w:rPr>
                <w:rFonts w:hint="eastAsia" w:ascii="宋体" w:hAnsi="宋体" w:cs="宋体"/>
                <w:b w:val="0"/>
                <w:bCs/>
                <w:caps w:val="0"/>
                <w:color w:val="auto"/>
                <w:sz w:val="24"/>
                <w:szCs w:val="24"/>
                <w:highlight w:val="none"/>
                <w:u w:val="none" w:color="auto"/>
                <w:lang w:val="en-US" w:eastAsia="zh-CN"/>
              </w:rPr>
              <w:t>下游</w:t>
            </w:r>
            <w:r>
              <w:rPr>
                <w:rFonts w:hint="eastAsia" w:ascii="宋体" w:hAnsi="宋体" w:eastAsia="宋体" w:cs="宋体"/>
                <w:b w:val="0"/>
                <w:bCs/>
                <w:caps w:val="0"/>
                <w:color w:val="auto"/>
                <w:sz w:val="24"/>
                <w:szCs w:val="24"/>
                <w:highlight w:val="none"/>
                <w:u w:val="none" w:color="auto"/>
                <w:lang w:val="en-US" w:eastAsia="zh-CN"/>
              </w:rPr>
              <w:t>500m范围内无地下水集中式饮用水水源和热水，因此确定环境敏感点分布如下：</w:t>
            </w:r>
          </w:p>
          <w:p w14:paraId="12F4A2E5">
            <w:pPr>
              <w:adjustRightInd w:val="0"/>
              <w:snapToGrid w:val="0"/>
              <w:jc w:val="center"/>
              <w:rPr>
                <w:rFonts w:hint="eastAsia" w:ascii="宋体" w:hAnsi="宋体" w:cs="宋体"/>
                <w:b/>
                <w:bCs w:val="0"/>
                <w:color w:val="auto"/>
                <w:szCs w:val="21"/>
                <w:u w:val="single"/>
                <w:lang w:val="en-US" w:eastAsia="zh-CN"/>
              </w:rPr>
            </w:pPr>
            <w:r>
              <w:rPr>
                <w:rFonts w:hint="eastAsia" w:ascii="Times New Roman" w:hAnsi="Times New Roman" w:eastAsia="宋体" w:cs="Times New Roman"/>
                <w:b/>
                <w:bCs/>
                <w:caps w:val="0"/>
                <w:color w:val="auto"/>
                <w:spacing w:val="0"/>
                <w:kern w:val="0"/>
                <w:sz w:val="21"/>
                <w:szCs w:val="21"/>
                <w:highlight w:val="none"/>
                <w:u w:val="none" w:color="auto"/>
                <w:lang w:val="en-US" w:eastAsia="zh-CN"/>
              </w:rPr>
              <w:t>表3-</w:t>
            </w:r>
            <w:r>
              <w:rPr>
                <w:rFonts w:hint="eastAsia" w:cs="Times New Roman"/>
                <w:b/>
                <w:bCs/>
                <w:caps w:val="0"/>
                <w:color w:val="auto"/>
                <w:spacing w:val="0"/>
                <w:kern w:val="0"/>
                <w:sz w:val="21"/>
                <w:szCs w:val="21"/>
                <w:highlight w:val="none"/>
                <w:u w:val="none" w:color="auto"/>
                <w:lang w:val="en-US" w:eastAsia="zh-CN"/>
              </w:rPr>
              <w:t>8</w:t>
            </w:r>
            <w:r>
              <w:rPr>
                <w:rFonts w:hint="eastAsia" w:ascii="Times New Roman" w:hAnsi="Times New Roman" w:eastAsia="宋体" w:cs="Times New Roman"/>
                <w:b/>
                <w:bCs/>
                <w:caps w:val="0"/>
                <w:color w:val="auto"/>
                <w:spacing w:val="0"/>
                <w:kern w:val="0"/>
                <w:sz w:val="21"/>
                <w:szCs w:val="21"/>
                <w:highlight w:val="none"/>
                <w:u w:val="none" w:color="auto"/>
                <w:lang w:val="en-US" w:eastAsia="zh-CN"/>
              </w:rPr>
              <w:t xml:space="preserve">  评价范围内环境敏感点</w:t>
            </w:r>
            <w:r>
              <w:rPr>
                <w:rFonts w:hint="eastAsia" w:ascii="宋体" w:hAnsi="宋体" w:cs="宋体"/>
                <w:b/>
                <w:bCs w:val="0"/>
                <w:color w:val="auto"/>
                <w:szCs w:val="21"/>
                <w:u w:val="none"/>
                <w:lang w:val="en-US" w:eastAsia="zh-CN"/>
              </w:rPr>
              <w:t>分布情况一览表</w:t>
            </w:r>
          </w:p>
          <w:tbl>
            <w:tblPr>
              <w:tblStyle w:val="22"/>
              <w:tblW w:w="4997" w:type="pct"/>
              <w:jc w:val="center"/>
              <w:tblBorders>
                <w:top w:val="single" w:color="000000" w:sz="12" w:space="0"/>
                <w:left w:val="single" w:color="auto" w:sz="12" w:space="0"/>
                <w:bottom w:val="single" w:color="000000" w:sz="12" w:space="0"/>
                <w:right w:val="single" w:color="auto" w:sz="12" w:space="0"/>
                <w:insideH w:val="single" w:color="000000" w:sz="6" w:space="0"/>
                <w:insideV w:val="single" w:color="auto" w:sz="4" w:space="0"/>
              </w:tblBorders>
              <w:tblLayout w:type="autofit"/>
              <w:tblCellMar>
                <w:top w:w="0" w:type="dxa"/>
                <w:left w:w="108" w:type="dxa"/>
                <w:bottom w:w="0" w:type="dxa"/>
                <w:right w:w="108" w:type="dxa"/>
              </w:tblCellMar>
            </w:tblPr>
            <w:tblGrid>
              <w:gridCol w:w="1144"/>
              <w:gridCol w:w="1192"/>
              <w:gridCol w:w="938"/>
              <w:gridCol w:w="1109"/>
              <w:gridCol w:w="1269"/>
              <w:gridCol w:w="1226"/>
              <w:gridCol w:w="1368"/>
            </w:tblGrid>
            <w:tr w14:paraId="5F6B0BDC">
              <w:tblPrEx>
                <w:tblBorders>
                  <w:top w:val="single" w:color="000000" w:sz="12" w:space="0"/>
                  <w:left w:val="single" w:color="auto" w:sz="12" w:space="0"/>
                  <w:bottom w:val="single" w:color="000000" w:sz="12" w:space="0"/>
                  <w:right w:val="single" w:color="auto" w:sz="12" w:space="0"/>
                  <w:insideH w:val="single" w:color="000000" w:sz="6" w:space="0"/>
                  <w:insideV w:val="single" w:color="auto" w:sz="4" w:space="0"/>
                </w:tblBorders>
                <w:tblCellMar>
                  <w:top w:w="0" w:type="dxa"/>
                  <w:left w:w="108" w:type="dxa"/>
                  <w:bottom w:w="0" w:type="dxa"/>
                  <w:right w:w="108" w:type="dxa"/>
                </w:tblCellMar>
              </w:tblPrEx>
              <w:trPr>
                <w:trHeight w:val="312" w:hRule="atLeast"/>
                <w:jc w:val="center"/>
              </w:trPr>
              <w:tc>
                <w:tcPr>
                  <w:tcW w:w="694" w:type="pct"/>
                  <w:vMerge w:val="restart"/>
                  <w:noWrap w:val="0"/>
                  <w:vAlign w:val="center"/>
                </w:tcPr>
                <w:p w14:paraId="2A675BB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序号</w:t>
                  </w:r>
                </w:p>
              </w:tc>
              <w:tc>
                <w:tcPr>
                  <w:tcW w:w="723" w:type="pct"/>
                  <w:vMerge w:val="restart"/>
                  <w:noWrap w:val="0"/>
                  <w:vAlign w:val="center"/>
                </w:tcPr>
                <w:p w14:paraId="793335F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名称</w:t>
                  </w:r>
                </w:p>
              </w:tc>
              <w:tc>
                <w:tcPr>
                  <w:tcW w:w="569" w:type="pct"/>
                  <w:vMerge w:val="restart"/>
                  <w:noWrap w:val="0"/>
                  <w:vAlign w:val="center"/>
                </w:tcPr>
                <w:p w14:paraId="6DB3EAE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保护</w:t>
                  </w:r>
                </w:p>
                <w:p w14:paraId="7A6D9F6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eastAsia="zh-CN"/>
                    </w:rPr>
                  </w:pPr>
                  <w:r>
                    <w:rPr>
                      <w:rFonts w:hint="eastAsia" w:ascii="宋体" w:hAnsi="宋体" w:eastAsia="宋体" w:cs="宋体"/>
                      <w:caps w:val="0"/>
                      <w:color w:val="auto"/>
                      <w:sz w:val="21"/>
                      <w:szCs w:val="21"/>
                      <w:highlight w:val="none"/>
                      <w:u w:val="none" w:color="auto"/>
                      <w:lang w:val="en-US" w:eastAsia="zh-CN"/>
                    </w:rPr>
                    <w:t>对象</w:t>
                  </w:r>
                </w:p>
              </w:tc>
              <w:tc>
                <w:tcPr>
                  <w:tcW w:w="672" w:type="pct"/>
                  <w:vMerge w:val="restart"/>
                  <w:noWrap w:val="0"/>
                  <w:vAlign w:val="center"/>
                </w:tcPr>
                <w:p w14:paraId="5168FB4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保护内容</w:t>
                  </w:r>
                </w:p>
              </w:tc>
              <w:tc>
                <w:tcPr>
                  <w:tcW w:w="769" w:type="pct"/>
                  <w:vMerge w:val="restart"/>
                  <w:noWrap w:val="0"/>
                  <w:vAlign w:val="center"/>
                </w:tcPr>
                <w:p w14:paraId="7A3B3C1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环境功能区</w:t>
                  </w:r>
                </w:p>
              </w:tc>
              <w:tc>
                <w:tcPr>
                  <w:tcW w:w="743" w:type="pct"/>
                  <w:vMerge w:val="restart"/>
                  <w:noWrap w:val="0"/>
                  <w:vAlign w:val="center"/>
                </w:tcPr>
                <w:p w14:paraId="45FBB6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相对厂址方位</w:t>
                  </w:r>
                </w:p>
              </w:tc>
              <w:tc>
                <w:tcPr>
                  <w:tcW w:w="826" w:type="pct"/>
                  <w:vMerge w:val="restart"/>
                  <w:noWrap w:val="0"/>
                  <w:vAlign w:val="center"/>
                </w:tcPr>
                <w:p w14:paraId="65E44F1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相对污染源距离/m</w:t>
                  </w:r>
                </w:p>
              </w:tc>
            </w:tr>
            <w:tr w14:paraId="373C82AA">
              <w:tblPrEx>
                <w:tblBorders>
                  <w:top w:val="single" w:color="000000" w:sz="12" w:space="0"/>
                  <w:left w:val="single" w:color="auto" w:sz="12" w:space="0"/>
                  <w:bottom w:val="single" w:color="000000" w:sz="12" w:space="0"/>
                  <w:right w:val="single" w:color="auto" w:sz="12" w:space="0"/>
                  <w:insideH w:val="single" w:color="000000" w:sz="6" w:space="0"/>
                  <w:insideV w:val="single" w:color="auto" w:sz="4" w:space="0"/>
                </w:tblBorders>
                <w:tblCellMar>
                  <w:top w:w="0" w:type="dxa"/>
                  <w:left w:w="108" w:type="dxa"/>
                  <w:bottom w:w="0" w:type="dxa"/>
                  <w:right w:w="108" w:type="dxa"/>
                </w:tblCellMar>
              </w:tblPrEx>
              <w:trPr>
                <w:trHeight w:val="312" w:hRule="atLeast"/>
                <w:jc w:val="center"/>
              </w:trPr>
              <w:tc>
                <w:tcPr>
                  <w:tcW w:w="694" w:type="pct"/>
                  <w:vMerge w:val="continue"/>
                  <w:noWrap w:val="0"/>
                  <w:vAlign w:val="center"/>
                </w:tcPr>
                <w:p w14:paraId="7992A12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c>
                <w:tcPr>
                  <w:tcW w:w="723" w:type="pct"/>
                  <w:vMerge w:val="continue"/>
                  <w:noWrap w:val="0"/>
                  <w:vAlign w:val="center"/>
                </w:tcPr>
                <w:p w14:paraId="1C126D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c>
                <w:tcPr>
                  <w:tcW w:w="569" w:type="pct"/>
                  <w:vMerge w:val="continue"/>
                  <w:noWrap w:val="0"/>
                  <w:vAlign w:val="center"/>
                </w:tcPr>
                <w:p w14:paraId="1551EEB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c>
                <w:tcPr>
                  <w:tcW w:w="672" w:type="pct"/>
                  <w:vMerge w:val="continue"/>
                  <w:noWrap w:val="0"/>
                  <w:vAlign w:val="center"/>
                </w:tcPr>
                <w:p w14:paraId="40D312C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c>
                <w:tcPr>
                  <w:tcW w:w="769" w:type="pct"/>
                  <w:vMerge w:val="continue"/>
                  <w:noWrap w:val="0"/>
                  <w:vAlign w:val="center"/>
                </w:tcPr>
                <w:p w14:paraId="512FD14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c>
                <w:tcPr>
                  <w:tcW w:w="743" w:type="pct"/>
                  <w:vMerge w:val="continue"/>
                  <w:noWrap w:val="0"/>
                  <w:vAlign w:val="center"/>
                </w:tcPr>
                <w:p w14:paraId="4A95369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c>
                <w:tcPr>
                  <w:tcW w:w="826" w:type="pct"/>
                  <w:vMerge w:val="continue"/>
                  <w:noWrap w:val="0"/>
                  <w:vAlign w:val="center"/>
                </w:tcPr>
                <w:p w14:paraId="7F98FAB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r>
            <w:tr w14:paraId="2E3A1159">
              <w:tblPrEx>
                <w:tblBorders>
                  <w:top w:val="single" w:color="000000" w:sz="12" w:space="0"/>
                  <w:left w:val="single" w:color="auto" w:sz="12" w:space="0"/>
                  <w:bottom w:val="single" w:color="000000" w:sz="12" w:space="0"/>
                  <w:right w:val="single" w:color="auto" w:sz="12" w:space="0"/>
                  <w:insideH w:val="single" w:color="000000" w:sz="6" w:space="0"/>
                  <w:insideV w:val="single" w:color="auto" w:sz="4" w:space="0"/>
                </w:tblBorders>
                <w:tblCellMar>
                  <w:top w:w="0" w:type="dxa"/>
                  <w:left w:w="108" w:type="dxa"/>
                  <w:bottom w:w="0" w:type="dxa"/>
                  <w:right w:w="108" w:type="dxa"/>
                </w:tblCellMar>
              </w:tblPrEx>
              <w:trPr>
                <w:trHeight w:val="230" w:hRule="atLeast"/>
                <w:jc w:val="center"/>
              </w:trPr>
              <w:tc>
                <w:tcPr>
                  <w:tcW w:w="694" w:type="pct"/>
                  <w:noWrap w:val="0"/>
                  <w:vAlign w:val="center"/>
                </w:tcPr>
                <w:p w14:paraId="5C43381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1</w:t>
                  </w:r>
                </w:p>
              </w:tc>
              <w:tc>
                <w:tcPr>
                  <w:tcW w:w="723" w:type="pct"/>
                  <w:noWrap w:val="0"/>
                  <w:vAlign w:val="center"/>
                </w:tcPr>
                <w:p w14:paraId="52AE921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aps w:val="0"/>
                      <w:color w:val="auto"/>
                      <w:kern w:val="2"/>
                      <w:sz w:val="21"/>
                      <w:szCs w:val="21"/>
                      <w:highlight w:val="none"/>
                      <w:u w:val="none" w:color="auto"/>
                      <w:lang w:val="en-US" w:eastAsia="zh-CN" w:bidi="ar-SA"/>
                    </w:rPr>
                  </w:pPr>
                  <w:r>
                    <w:rPr>
                      <w:rFonts w:hint="eastAsia" w:ascii="宋体" w:hAnsi="宋体" w:cs="宋体"/>
                      <w:caps w:val="0"/>
                      <w:color w:val="auto"/>
                      <w:sz w:val="21"/>
                      <w:szCs w:val="21"/>
                      <w:highlight w:val="none"/>
                      <w:u w:val="none" w:color="auto"/>
                      <w:lang w:val="en-US" w:eastAsia="zh-CN"/>
                    </w:rPr>
                    <w:t>小老爷庙</w:t>
                  </w:r>
                </w:p>
              </w:tc>
              <w:tc>
                <w:tcPr>
                  <w:tcW w:w="569" w:type="pct"/>
                  <w:vMerge w:val="restart"/>
                  <w:noWrap w:val="0"/>
                  <w:vAlign w:val="center"/>
                </w:tcPr>
                <w:p w14:paraId="647D87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居住区</w:t>
                  </w:r>
                </w:p>
              </w:tc>
              <w:tc>
                <w:tcPr>
                  <w:tcW w:w="672" w:type="pct"/>
                  <w:vMerge w:val="restart"/>
                  <w:noWrap w:val="0"/>
                  <w:vAlign w:val="center"/>
                </w:tcPr>
                <w:p w14:paraId="712B3C0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大气环境</w:t>
                  </w:r>
                </w:p>
              </w:tc>
              <w:tc>
                <w:tcPr>
                  <w:tcW w:w="769" w:type="pct"/>
                  <w:vMerge w:val="restart"/>
                  <w:noWrap w:val="0"/>
                  <w:vAlign w:val="center"/>
                </w:tcPr>
                <w:p w14:paraId="5477419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二类区</w:t>
                  </w:r>
                </w:p>
              </w:tc>
              <w:tc>
                <w:tcPr>
                  <w:tcW w:w="743" w:type="pct"/>
                  <w:noWrap w:val="0"/>
                  <w:vAlign w:val="center"/>
                </w:tcPr>
                <w:p w14:paraId="442F42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西北侧</w:t>
                  </w:r>
                </w:p>
              </w:tc>
              <w:tc>
                <w:tcPr>
                  <w:tcW w:w="826" w:type="pct"/>
                  <w:noWrap w:val="0"/>
                  <w:vAlign w:val="center"/>
                </w:tcPr>
                <w:p w14:paraId="40BF982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hAnsi="宋体" w:eastAsia="宋体" w:cs="宋体"/>
                      <w:caps w:val="0"/>
                      <w:color w:val="auto"/>
                      <w:sz w:val="21"/>
                      <w:szCs w:val="21"/>
                      <w:highlight w:val="none"/>
                      <w:u w:val="none" w:color="auto"/>
                      <w:lang w:val="en-US" w:eastAsia="zh-CN"/>
                    </w:rPr>
                  </w:pPr>
                  <w:r>
                    <w:rPr>
                      <w:rFonts w:hint="eastAsia" w:ascii="宋体" w:hAnsi="宋体" w:cs="宋体"/>
                      <w:caps w:val="0"/>
                      <w:color w:val="auto"/>
                      <w:sz w:val="21"/>
                      <w:szCs w:val="21"/>
                      <w:highlight w:val="none"/>
                      <w:u w:val="none" w:color="auto"/>
                      <w:lang w:val="en-US" w:eastAsia="zh-CN"/>
                    </w:rPr>
                    <w:t>317</w:t>
                  </w:r>
                </w:p>
              </w:tc>
            </w:tr>
            <w:tr w14:paraId="6A480AED">
              <w:tblPrEx>
                <w:tblBorders>
                  <w:top w:val="single" w:color="000000" w:sz="12" w:space="0"/>
                  <w:left w:val="single" w:color="auto" w:sz="12" w:space="0"/>
                  <w:bottom w:val="single" w:color="000000" w:sz="12" w:space="0"/>
                  <w:right w:val="single" w:color="auto" w:sz="12" w:space="0"/>
                  <w:insideH w:val="single" w:color="000000" w:sz="6" w:space="0"/>
                  <w:insideV w:val="single" w:color="auto" w:sz="4" w:space="0"/>
                </w:tblBorders>
                <w:tblCellMar>
                  <w:top w:w="0" w:type="dxa"/>
                  <w:left w:w="108" w:type="dxa"/>
                  <w:bottom w:w="0" w:type="dxa"/>
                  <w:right w:w="108" w:type="dxa"/>
                </w:tblCellMar>
              </w:tblPrEx>
              <w:trPr>
                <w:trHeight w:val="90" w:hRule="atLeast"/>
                <w:jc w:val="center"/>
              </w:trPr>
              <w:tc>
                <w:tcPr>
                  <w:tcW w:w="694" w:type="pct"/>
                  <w:noWrap w:val="0"/>
                  <w:vAlign w:val="center"/>
                </w:tcPr>
                <w:p w14:paraId="58B0968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aps w:val="0"/>
                      <w:color w:val="auto"/>
                      <w:sz w:val="21"/>
                      <w:szCs w:val="21"/>
                      <w:highlight w:val="none"/>
                      <w:u w:val="none" w:color="auto"/>
                      <w:lang w:val="en-US" w:eastAsia="zh-CN"/>
                    </w:rPr>
                  </w:pPr>
                  <w:r>
                    <w:rPr>
                      <w:rFonts w:hint="eastAsia" w:ascii="宋体" w:hAnsi="宋体" w:eastAsia="宋体" w:cs="宋体"/>
                      <w:caps w:val="0"/>
                      <w:color w:val="auto"/>
                      <w:sz w:val="21"/>
                      <w:szCs w:val="21"/>
                      <w:highlight w:val="none"/>
                      <w:u w:val="none" w:color="auto"/>
                      <w:lang w:val="en-US" w:eastAsia="zh-CN"/>
                    </w:rPr>
                    <w:t>2</w:t>
                  </w:r>
                </w:p>
              </w:tc>
              <w:tc>
                <w:tcPr>
                  <w:tcW w:w="723" w:type="pct"/>
                  <w:noWrap w:val="0"/>
                  <w:vAlign w:val="center"/>
                </w:tcPr>
                <w:p w14:paraId="3AEF91B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aps w:val="0"/>
                      <w:color w:val="auto"/>
                      <w:kern w:val="2"/>
                      <w:sz w:val="21"/>
                      <w:szCs w:val="21"/>
                      <w:highlight w:val="none"/>
                      <w:u w:val="none" w:color="auto"/>
                      <w:lang w:val="en-US" w:eastAsia="zh-CN" w:bidi="ar-SA"/>
                    </w:rPr>
                  </w:pPr>
                  <w:r>
                    <w:rPr>
                      <w:rFonts w:hint="eastAsia" w:ascii="宋体" w:hAnsi="宋体" w:eastAsia="宋体" w:cs="宋体"/>
                      <w:caps w:val="0"/>
                      <w:color w:val="auto"/>
                      <w:kern w:val="2"/>
                      <w:sz w:val="21"/>
                      <w:szCs w:val="21"/>
                      <w:highlight w:val="none"/>
                      <w:u w:val="none" w:color="auto"/>
                      <w:lang w:val="en-US" w:eastAsia="zh-CN" w:bidi="ar-SA"/>
                    </w:rPr>
                    <w:t>塔山四社</w:t>
                  </w:r>
                </w:p>
              </w:tc>
              <w:tc>
                <w:tcPr>
                  <w:tcW w:w="569" w:type="pct"/>
                  <w:vMerge w:val="continue"/>
                  <w:noWrap w:val="0"/>
                  <w:vAlign w:val="center"/>
                </w:tcPr>
                <w:p w14:paraId="2EE0B46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c>
                <w:tcPr>
                  <w:tcW w:w="672" w:type="pct"/>
                  <w:vMerge w:val="continue"/>
                  <w:noWrap w:val="0"/>
                  <w:vAlign w:val="center"/>
                </w:tcPr>
                <w:p w14:paraId="239B2E2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c>
                <w:tcPr>
                  <w:tcW w:w="769" w:type="pct"/>
                  <w:vMerge w:val="continue"/>
                  <w:noWrap w:val="0"/>
                  <w:vAlign w:val="center"/>
                </w:tcPr>
                <w:p w14:paraId="38124C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aps w:val="0"/>
                      <w:color w:val="auto"/>
                      <w:sz w:val="21"/>
                      <w:szCs w:val="21"/>
                      <w:highlight w:val="none"/>
                      <w:u w:val="none" w:color="auto"/>
                      <w:lang w:val="en-US" w:eastAsia="zh-CN"/>
                    </w:rPr>
                  </w:pPr>
                </w:p>
              </w:tc>
              <w:tc>
                <w:tcPr>
                  <w:tcW w:w="743" w:type="pct"/>
                  <w:noWrap w:val="0"/>
                  <w:vAlign w:val="center"/>
                </w:tcPr>
                <w:p w14:paraId="488A458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hAnsi="宋体" w:eastAsia="宋体" w:cs="宋体"/>
                      <w:caps w:val="0"/>
                      <w:color w:val="auto"/>
                      <w:kern w:val="2"/>
                      <w:sz w:val="21"/>
                      <w:szCs w:val="21"/>
                      <w:highlight w:val="none"/>
                      <w:u w:val="none" w:color="auto"/>
                      <w:lang w:val="en-US" w:eastAsia="zh-CN" w:bidi="ar-SA"/>
                    </w:rPr>
                  </w:pPr>
                  <w:r>
                    <w:rPr>
                      <w:rFonts w:hint="eastAsia" w:ascii="宋体" w:hAnsi="宋体" w:eastAsia="宋体" w:cs="宋体"/>
                      <w:caps w:val="0"/>
                      <w:color w:val="auto"/>
                      <w:sz w:val="21"/>
                      <w:szCs w:val="21"/>
                      <w:highlight w:val="none"/>
                      <w:u w:val="none" w:color="auto"/>
                      <w:lang w:val="en-US" w:eastAsia="zh-CN"/>
                    </w:rPr>
                    <w:t>南侧</w:t>
                  </w:r>
                </w:p>
              </w:tc>
              <w:tc>
                <w:tcPr>
                  <w:tcW w:w="826" w:type="pct"/>
                  <w:noWrap w:val="0"/>
                  <w:vAlign w:val="center"/>
                </w:tcPr>
                <w:p w14:paraId="7D4FC74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hAnsi="宋体" w:eastAsia="宋体" w:cs="宋体"/>
                      <w:caps w:val="0"/>
                      <w:color w:val="auto"/>
                      <w:kern w:val="2"/>
                      <w:sz w:val="21"/>
                      <w:szCs w:val="21"/>
                      <w:highlight w:val="none"/>
                      <w:u w:val="none" w:color="auto"/>
                      <w:lang w:val="en-US" w:eastAsia="zh-CN" w:bidi="ar-SA"/>
                    </w:rPr>
                  </w:pPr>
                  <w:r>
                    <w:rPr>
                      <w:rFonts w:hint="eastAsia" w:ascii="宋体" w:hAnsi="宋体" w:cs="宋体"/>
                      <w:caps w:val="0"/>
                      <w:color w:val="auto"/>
                      <w:sz w:val="21"/>
                      <w:szCs w:val="21"/>
                      <w:highlight w:val="none"/>
                      <w:u w:val="none" w:color="auto"/>
                      <w:lang w:val="en-US" w:eastAsia="zh-CN"/>
                    </w:rPr>
                    <w:t>375</w:t>
                  </w:r>
                </w:p>
              </w:tc>
            </w:tr>
            <w:tr w14:paraId="0E7C943D">
              <w:tblPrEx>
                <w:tblBorders>
                  <w:top w:val="single" w:color="000000" w:sz="12" w:space="0"/>
                  <w:left w:val="single" w:color="auto" w:sz="12" w:space="0"/>
                  <w:bottom w:val="single" w:color="000000" w:sz="12" w:space="0"/>
                  <w:right w:val="single" w:color="auto" w:sz="12" w:space="0"/>
                  <w:insideH w:val="single" w:color="000000" w:sz="6" w:space="0"/>
                  <w:insideV w:val="single" w:color="auto" w:sz="4" w:space="0"/>
                </w:tblBorders>
                <w:tblCellMar>
                  <w:top w:w="0" w:type="dxa"/>
                  <w:left w:w="108" w:type="dxa"/>
                  <w:bottom w:w="0" w:type="dxa"/>
                  <w:right w:w="108" w:type="dxa"/>
                </w:tblCellMar>
              </w:tblPrEx>
              <w:trPr>
                <w:trHeight w:val="230" w:hRule="atLeast"/>
                <w:jc w:val="center"/>
              </w:trPr>
              <w:tc>
                <w:tcPr>
                  <w:tcW w:w="694" w:type="pct"/>
                  <w:noWrap w:val="0"/>
                  <w:vAlign w:val="center"/>
                </w:tcPr>
                <w:p w14:paraId="4BD4D7E4">
                  <w:pPr>
                    <w:spacing w:line="3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声环境</w:t>
                  </w:r>
                </w:p>
              </w:tc>
              <w:tc>
                <w:tcPr>
                  <w:tcW w:w="4305" w:type="pct"/>
                  <w:gridSpan w:val="6"/>
                  <w:noWrap w:val="0"/>
                  <w:vAlign w:val="center"/>
                </w:tcPr>
                <w:p w14:paraId="63B3BF19">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厂界周边50m范围内无声环境敏感点</w:t>
                  </w:r>
                </w:p>
              </w:tc>
            </w:tr>
            <w:tr w14:paraId="15CF542E">
              <w:tblPrEx>
                <w:tblBorders>
                  <w:top w:val="single" w:color="000000" w:sz="12" w:space="0"/>
                  <w:left w:val="single" w:color="auto" w:sz="12" w:space="0"/>
                  <w:bottom w:val="single" w:color="000000" w:sz="12" w:space="0"/>
                  <w:right w:val="single" w:color="auto" w:sz="12" w:space="0"/>
                  <w:insideH w:val="single" w:color="000000" w:sz="6" w:space="0"/>
                  <w:insideV w:val="single" w:color="auto" w:sz="4" w:space="0"/>
                </w:tblBorders>
                <w:tblCellMar>
                  <w:top w:w="0" w:type="dxa"/>
                  <w:left w:w="108" w:type="dxa"/>
                  <w:bottom w:w="0" w:type="dxa"/>
                  <w:right w:w="108" w:type="dxa"/>
                </w:tblCellMar>
              </w:tblPrEx>
              <w:trPr>
                <w:trHeight w:val="230" w:hRule="atLeast"/>
                <w:jc w:val="center"/>
              </w:trPr>
              <w:tc>
                <w:tcPr>
                  <w:tcW w:w="694" w:type="pct"/>
                  <w:noWrap w:val="0"/>
                  <w:vAlign w:val="center"/>
                </w:tcPr>
                <w:p w14:paraId="5D570D6A">
                  <w:pPr>
                    <w:spacing w:line="300" w:lineRule="exact"/>
                    <w:jc w:val="center"/>
                    <w:rPr>
                      <w:rFonts w:hint="eastAsia" w:ascii="宋体" w:hAnsi="宋体" w:eastAsia="宋体" w:cs="宋体"/>
                      <w:caps w:val="0"/>
                      <w:color w:val="auto"/>
                      <w:sz w:val="21"/>
                      <w:szCs w:val="21"/>
                      <w:highlight w:val="none"/>
                      <w:u w:val="none" w:color="auto"/>
                      <w:lang w:val="en-US" w:eastAsia="zh-CN"/>
                    </w:rPr>
                  </w:pPr>
                  <w:r>
                    <w:rPr>
                      <w:rFonts w:hint="eastAsia" w:ascii="宋体" w:hAnsi="宋体" w:cs="宋体"/>
                      <w:color w:val="auto"/>
                      <w:szCs w:val="21"/>
                      <w:highlight w:val="none"/>
                    </w:rPr>
                    <w:t>地下水</w:t>
                  </w:r>
                </w:p>
              </w:tc>
              <w:tc>
                <w:tcPr>
                  <w:tcW w:w="4305" w:type="pct"/>
                  <w:gridSpan w:val="6"/>
                  <w:noWrap w:val="0"/>
                  <w:vAlign w:val="center"/>
                </w:tcPr>
                <w:p w14:paraId="404312B0">
                  <w:pPr>
                    <w:spacing w:line="300" w:lineRule="exact"/>
                    <w:jc w:val="center"/>
                    <w:rPr>
                      <w:rFonts w:hint="eastAsia" w:ascii="宋体" w:hAnsi="宋体" w:cs="宋体"/>
                      <w:caps w:val="0"/>
                      <w:color w:val="auto"/>
                      <w:sz w:val="21"/>
                      <w:szCs w:val="21"/>
                      <w:highlight w:val="none"/>
                      <w:u w:val="none" w:color="auto"/>
                      <w:lang w:val="en-US" w:eastAsia="zh-CN"/>
                    </w:rPr>
                  </w:pPr>
                  <w:r>
                    <w:rPr>
                      <w:rFonts w:hint="eastAsia" w:ascii="宋体" w:hAnsi="宋体" w:cs="宋体"/>
                      <w:color w:val="auto"/>
                      <w:szCs w:val="21"/>
                      <w:highlight w:val="none"/>
                    </w:rPr>
                    <w:t>厂界外</w:t>
                  </w:r>
                  <w:r>
                    <w:rPr>
                      <w:rFonts w:hint="eastAsia" w:ascii="宋体" w:hAnsi="宋体" w:cs="宋体"/>
                      <w:color w:val="auto"/>
                      <w:szCs w:val="21"/>
                      <w:highlight w:val="none"/>
                      <w:lang w:val="en-US" w:eastAsia="zh-CN"/>
                    </w:rPr>
                    <w:t>下游</w:t>
                  </w:r>
                  <w:r>
                    <w:rPr>
                      <w:rFonts w:hint="eastAsia" w:ascii="宋体" w:hAnsi="宋体" w:cs="宋体"/>
                      <w:color w:val="auto"/>
                      <w:szCs w:val="21"/>
                      <w:highlight w:val="none"/>
                    </w:rPr>
                    <w:t>500m范围内无地下水集中式饮用水水源和热水、矿泉水、温泉等特殊地下水资源。</w:t>
                  </w:r>
                </w:p>
              </w:tc>
            </w:tr>
            <w:tr w14:paraId="7CFEF81B">
              <w:tblPrEx>
                <w:tblBorders>
                  <w:top w:val="single" w:color="000000" w:sz="12" w:space="0"/>
                  <w:left w:val="single" w:color="auto" w:sz="12" w:space="0"/>
                  <w:bottom w:val="single" w:color="000000" w:sz="12" w:space="0"/>
                  <w:right w:val="single" w:color="auto" w:sz="12" w:space="0"/>
                  <w:insideH w:val="single" w:color="000000" w:sz="6" w:space="0"/>
                  <w:insideV w:val="single" w:color="auto" w:sz="4" w:space="0"/>
                </w:tblBorders>
                <w:tblCellMar>
                  <w:top w:w="0" w:type="dxa"/>
                  <w:left w:w="108" w:type="dxa"/>
                  <w:bottom w:w="0" w:type="dxa"/>
                  <w:right w:w="108" w:type="dxa"/>
                </w:tblCellMar>
              </w:tblPrEx>
              <w:trPr>
                <w:trHeight w:val="230" w:hRule="atLeast"/>
                <w:jc w:val="center"/>
              </w:trPr>
              <w:tc>
                <w:tcPr>
                  <w:tcW w:w="694" w:type="pct"/>
                  <w:noWrap w:val="0"/>
                  <w:vAlign w:val="center"/>
                </w:tcPr>
                <w:p w14:paraId="01D2D5DE">
                  <w:pPr>
                    <w:spacing w:line="300" w:lineRule="exact"/>
                    <w:jc w:val="both"/>
                    <w:rPr>
                      <w:rFonts w:hint="eastAsia" w:ascii="宋体" w:hAnsi="宋体" w:eastAsia="宋体" w:cs="宋体"/>
                      <w:caps w:val="0"/>
                      <w:color w:val="auto"/>
                      <w:sz w:val="21"/>
                      <w:szCs w:val="21"/>
                      <w:highlight w:val="none"/>
                      <w:u w:val="none" w:color="auto"/>
                      <w:lang w:val="en-US" w:eastAsia="zh-CN"/>
                    </w:rPr>
                  </w:pPr>
                  <w:r>
                    <w:rPr>
                      <w:rFonts w:hint="eastAsia" w:ascii="宋体" w:hAnsi="宋体" w:cs="宋体"/>
                      <w:color w:val="auto"/>
                      <w:szCs w:val="21"/>
                    </w:rPr>
                    <w:t>生态环境</w:t>
                  </w:r>
                </w:p>
              </w:tc>
              <w:tc>
                <w:tcPr>
                  <w:tcW w:w="4305" w:type="pct"/>
                  <w:gridSpan w:val="6"/>
                  <w:noWrap w:val="0"/>
                  <w:vAlign w:val="center"/>
                </w:tcPr>
                <w:p w14:paraId="03CB1E36">
                  <w:pPr>
                    <w:spacing w:line="300" w:lineRule="exact"/>
                    <w:jc w:val="center"/>
                    <w:rPr>
                      <w:rFonts w:hint="eastAsia" w:ascii="宋体" w:hAnsi="宋体" w:cs="宋体"/>
                      <w:caps w:val="0"/>
                      <w:color w:val="auto"/>
                      <w:sz w:val="21"/>
                      <w:szCs w:val="21"/>
                      <w:highlight w:val="none"/>
                      <w:u w:val="none" w:color="auto"/>
                      <w:lang w:val="en-US" w:eastAsia="zh-CN"/>
                    </w:rPr>
                  </w:pPr>
                  <w:r>
                    <w:rPr>
                      <w:rFonts w:hint="eastAsia" w:ascii="宋体" w:hAnsi="宋体" w:cs="宋体"/>
                      <w:color w:val="auto"/>
                      <w:szCs w:val="21"/>
                      <w:lang w:val="en-US" w:eastAsia="zh-CN"/>
                    </w:rPr>
                    <w:t>位于工业开发区，利用</w:t>
                  </w:r>
                  <w:r>
                    <w:rPr>
                      <w:rFonts w:hint="eastAsia" w:ascii="宋体" w:hAnsi="宋体" w:cs="宋体"/>
                      <w:color w:val="auto"/>
                      <w:szCs w:val="21"/>
                    </w:rPr>
                    <w:t>现有厂区，不新增用地。</w:t>
                  </w:r>
                </w:p>
              </w:tc>
            </w:tr>
          </w:tbl>
          <w:p w14:paraId="4E1CB91F">
            <w:pPr>
              <w:adjustRightInd w:val="0"/>
              <w:snapToGrid w:val="0"/>
              <w:jc w:val="center"/>
              <w:rPr>
                <w:rFonts w:ascii="宋体" w:hAnsi="宋体" w:cs="宋体"/>
                <w:kern w:val="0"/>
                <w:szCs w:val="21"/>
              </w:rPr>
            </w:pPr>
          </w:p>
        </w:tc>
      </w:tr>
      <w:tr w14:paraId="5BFD8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5" w:hRule="atLeast"/>
          <w:jc w:val="center"/>
        </w:trPr>
        <w:tc>
          <w:tcPr>
            <w:tcW w:w="800" w:type="dxa"/>
            <w:noWrap w:val="0"/>
            <w:tcMar>
              <w:left w:w="28" w:type="dxa"/>
              <w:right w:w="28" w:type="dxa"/>
            </w:tcMar>
            <w:vAlign w:val="center"/>
          </w:tcPr>
          <w:p w14:paraId="4A85769F">
            <w:pPr>
              <w:adjustRightInd w:val="0"/>
              <w:snapToGrid w:val="0"/>
              <w:jc w:val="center"/>
              <w:rPr>
                <w:rFonts w:hint="eastAsia" w:ascii="宋体" w:hAnsi="宋体" w:cs="宋体"/>
                <w:kern w:val="0"/>
                <w:szCs w:val="21"/>
              </w:rPr>
            </w:pPr>
            <w:r>
              <w:rPr>
                <w:rFonts w:hint="eastAsia" w:ascii="宋体" w:hAnsi="宋体" w:cs="宋体"/>
                <w:kern w:val="0"/>
                <w:szCs w:val="21"/>
              </w:rPr>
              <w:t>污染</w:t>
            </w:r>
          </w:p>
          <w:p w14:paraId="3DF8DAE8">
            <w:pPr>
              <w:adjustRightInd w:val="0"/>
              <w:snapToGrid w:val="0"/>
              <w:jc w:val="center"/>
              <w:rPr>
                <w:rFonts w:hint="eastAsia" w:ascii="宋体" w:hAnsi="宋体" w:cs="宋体"/>
                <w:kern w:val="0"/>
                <w:szCs w:val="21"/>
              </w:rPr>
            </w:pPr>
            <w:r>
              <w:rPr>
                <w:rFonts w:hint="eastAsia" w:ascii="宋体" w:hAnsi="宋体" w:cs="宋体"/>
                <w:kern w:val="0"/>
                <w:szCs w:val="21"/>
              </w:rPr>
              <w:t>物排</w:t>
            </w:r>
          </w:p>
          <w:p w14:paraId="0AC3D7B8">
            <w:pPr>
              <w:adjustRightInd w:val="0"/>
              <w:snapToGrid w:val="0"/>
              <w:jc w:val="center"/>
              <w:rPr>
                <w:rFonts w:hint="eastAsia" w:ascii="宋体" w:hAnsi="宋体" w:cs="宋体"/>
                <w:kern w:val="0"/>
                <w:szCs w:val="21"/>
              </w:rPr>
            </w:pPr>
            <w:r>
              <w:rPr>
                <w:rFonts w:hint="eastAsia" w:ascii="宋体" w:hAnsi="宋体" w:cs="宋体"/>
                <w:kern w:val="0"/>
                <w:szCs w:val="21"/>
              </w:rPr>
              <w:t>放控</w:t>
            </w:r>
          </w:p>
          <w:p w14:paraId="2DE167D6">
            <w:pPr>
              <w:adjustRightInd w:val="0"/>
              <w:snapToGrid w:val="0"/>
              <w:jc w:val="center"/>
              <w:rPr>
                <w:rFonts w:hint="eastAsia" w:ascii="宋体" w:hAnsi="宋体" w:cs="宋体"/>
                <w:kern w:val="0"/>
                <w:szCs w:val="21"/>
              </w:rPr>
            </w:pPr>
            <w:r>
              <w:rPr>
                <w:rFonts w:hint="eastAsia" w:ascii="宋体" w:hAnsi="宋体" w:cs="宋体"/>
                <w:kern w:val="0"/>
                <w:szCs w:val="21"/>
              </w:rPr>
              <w:t>制标</w:t>
            </w:r>
          </w:p>
          <w:p w14:paraId="76726E0A">
            <w:pPr>
              <w:adjustRightInd w:val="0"/>
              <w:snapToGrid w:val="0"/>
              <w:jc w:val="center"/>
              <w:rPr>
                <w:rFonts w:ascii="宋体" w:hAnsi="宋体" w:cs="宋体"/>
                <w:kern w:val="0"/>
                <w:szCs w:val="21"/>
              </w:rPr>
            </w:pPr>
            <w:r>
              <w:rPr>
                <w:rFonts w:hint="eastAsia" w:ascii="宋体" w:hAnsi="宋体" w:cs="宋体"/>
                <w:kern w:val="0"/>
                <w:szCs w:val="21"/>
              </w:rPr>
              <w:t>准</w:t>
            </w:r>
          </w:p>
        </w:tc>
        <w:tc>
          <w:tcPr>
            <w:tcW w:w="8190" w:type="dxa"/>
            <w:noWrap w:val="0"/>
            <w:vAlign w:val="center"/>
          </w:tcPr>
          <w:p w14:paraId="35B48FA0">
            <w:pPr>
              <w:spacing w:line="360" w:lineRule="auto"/>
              <w:ind w:firstLine="420" w:firstLineChars="200"/>
              <w:rPr>
                <w:rFonts w:hint="eastAsia" w:ascii="宋体" w:hAnsi="宋体" w:eastAsia="宋体" w:cs="宋体"/>
                <w:b/>
                <w:i/>
                <w:sz w:val="21"/>
                <w:szCs w:val="21"/>
                <w:u w:val="single"/>
              </w:rPr>
            </w:pPr>
            <w:r>
              <w:rPr>
                <w:rFonts w:hint="eastAsia" w:ascii="宋体" w:hAnsi="宋体" w:eastAsia="宋体" w:cs="宋体"/>
                <w:iCs/>
                <w:sz w:val="21"/>
                <w:szCs w:val="21"/>
              </w:rPr>
              <w:t>本项目人员生活污水直接经市政污水管网排入</w:t>
            </w:r>
            <w:r>
              <w:rPr>
                <w:rFonts w:hint="eastAsia" w:ascii="宋体" w:hAnsi="宋体" w:eastAsia="宋体" w:cs="宋体"/>
                <w:iCs/>
                <w:sz w:val="21"/>
                <w:szCs w:val="21"/>
                <w:lang w:val="en-US" w:eastAsia="zh-CN"/>
              </w:rPr>
              <w:t>四平市</w:t>
            </w:r>
            <w:r>
              <w:rPr>
                <w:rFonts w:hint="eastAsia" w:ascii="宋体" w:hAnsi="宋体" w:eastAsia="宋体" w:cs="宋体"/>
                <w:iCs/>
                <w:sz w:val="21"/>
                <w:szCs w:val="21"/>
              </w:rPr>
              <w:t>污水处理厂；生产废水经中和+沉淀处理后部分回用至水洗环节，部分经市政污水管网排入</w:t>
            </w:r>
            <w:r>
              <w:rPr>
                <w:rFonts w:hint="eastAsia" w:ascii="宋体" w:hAnsi="宋体" w:eastAsia="宋体" w:cs="宋体"/>
                <w:iCs/>
                <w:sz w:val="21"/>
                <w:szCs w:val="21"/>
                <w:lang w:val="en-US" w:eastAsia="zh-CN"/>
              </w:rPr>
              <w:t>四平市</w:t>
            </w:r>
            <w:r>
              <w:rPr>
                <w:rFonts w:hint="eastAsia" w:ascii="宋体" w:hAnsi="宋体" w:eastAsia="宋体" w:cs="宋体"/>
                <w:iCs/>
                <w:sz w:val="21"/>
                <w:szCs w:val="21"/>
              </w:rPr>
              <w:t>污水处理厂</w:t>
            </w:r>
            <w:r>
              <w:rPr>
                <w:rFonts w:hint="eastAsia" w:ascii="宋体" w:hAnsi="宋体" w:eastAsia="宋体" w:cs="宋体"/>
                <w:iCs/>
                <w:sz w:val="21"/>
                <w:szCs w:val="21"/>
                <w:lang w:eastAsia="zh-CN"/>
              </w:rPr>
              <w:t>，</w:t>
            </w:r>
            <w:r>
              <w:rPr>
                <w:rFonts w:hint="eastAsia" w:ascii="宋体" w:hAnsi="宋体" w:eastAsia="宋体" w:cs="宋体"/>
                <w:iCs/>
                <w:sz w:val="21"/>
                <w:szCs w:val="21"/>
                <w:lang w:val="en-US" w:eastAsia="zh-CN"/>
              </w:rPr>
              <w:t>本项目执行《污水排入城镇下水道水质标准》GB/T31962-2015</w:t>
            </w:r>
            <w:r>
              <w:rPr>
                <w:rFonts w:hint="eastAsia" w:ascii="宋体" w:hAnsi="宋体" w:eastAsia="宋体" w:cs="宋体"/>
                <w:iCs/>
                <w:sz w:val="21"/>
                <w:szCs w:val="21"/>
              </w:rPr>
              <w:t>。</w:t>
            </w:r>
            <w:r>
              <w:rPr>
                <w:rFonts w:hint="eastAsia" w:ascii="宋体" w:hAnsi="宋体" w:eastAsia="宋体" w:cs="宋体"/>
                <w:iCs/>
                <w:sz w:val="21"/>
                <w:szCs w:val="21"/>
                <w:lang w:val="en-US" w:eastAsia="zh-CN"/>
              </w:rPr>
              <w:t>四平</w:t>
            </w:r>
            <w:r>
              <w:rPr>
                <w:rFonts w:hint="eastAsia" w:ascii="宋体" w:hAnsi="宋体" w:eastAsia="宋体" w:cs="宋体"/>
                <w:iCs/>
                <w:sz w:val="21"/>
                <w:szCs w:val="21"/>
              </w:rPr>
              <w:t>市污水处理厂将污水</w:t>
            </w:r>
            <w:r>
              <w:rPr>
                <w:rFonts w:hint="eastAsia" w:ascii="宋体" w:hAnsi="宋体" w:eastAsia="宋体" w:cs="宋体"/>
                <w:sz w:val="21"/>
                <w:szCs w:val="21"/>
              </w:rPr>
              <w:t>处理达到《城镇污水处理厂污染物排放标准》（GB18918-20</w:t>
            </w:r>
            <w:r>
              <w:rPr>
                <w:rFonts w:hint="eastAsia" w:ascii="宋体" w:hAnsi="宋体" w:eastAsia="宋体" w:cs="宋体"/>
                <w:sz w:val="21"/>
                <w:szCs w:val="21"/>
                <w:lang w:val="en-US" w:eastAsia="zh-CN"/>
              </w:rPr>
              <w:t>25</w:t>
            </w:r>
            <w:r>
              <w:rPr>
                <w:rFonts w:hint="eastAsia" w:ascii="宋体" w:hAnsi="宋体" w:eastAsia="宋体" w:cs="宋体"/>
                <w:sz w:val="21"/>
                <w:szCs w:val="21"/>
              </w:rPr>
              <w:t>）中一级A标准（氨氮≤2 mg/L）后排入</w:t>
            </w:r>
            <w:r>
              <w:rPr>
                <w:rFonts w:hint="eastAsia" w:ascii="宋体" w:hAnsi="宋体" w:eastAsia="宋体" w:cs="宋体"/>
                <w:sz w:val="21"/>
                <w:szCs w:val="21"/>
                <w:lang w:val="en-US" w:eastAsia="zh-CN"/>
              </w:rPr>
              <w:t>条子</w:t>
            </w:r>
            <w:r>
              <w:rPr>
                <w:rFonts w:hint="eastAsia" w:ascii="宋体" w:hAnsi="宋体" w:eastAsia="宋体" w:cs="宋体"/>
                <w:sz w:val="21"/>
                <w:szCs w:val="21"/>
              </w:rPr>
              <w:t>河，标准限值详见下表。</w:t>
            </w:r>
          </w:p>
          <w:p w14:paraId="7263DED3">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表3-</w:t>
            </w:r>
            <w:r>
              <w:rPr>
                <w:rFonts w:hint="eastAsia" w:ascii="宋体" w:hAnsi="宋体" w:cs="宋体"/>
                <w:b/>
                <w:sz w:val="21"/>
                <w:szCs w:val="21"/>
                <w:lang w:val="en-US" w:eastAsia="zh-CN"/>
              </w:rPr>
              <w:t>9</w:t>
            </w:r>
            <w:r>
              <w:rPr>
                <w:rFonts w:hint="eastAsia" w:ascii="宋体" w:hAnsi="宋体" w:eastAsia="宋体" w:cs="宋体"/>
                <w:b/>
                <w:sz w:val="21"/>
                <w:szCs w:val="21"/>
              </w:rPr>
              <w:t xml:space="preserve">    </w:t>
            </w:r>
            <w:r>
              <w:rPr>
                <w:rFonts w:hint="eastAsia" w:ascii="宋体" w:hAnsi="宋体" w:eastAsia="宋体" w:cs="宋体"/>
                <w:b/>
                <w:sz w:val="21"/>
                <w:szCs w:val="21"/>
                <w:lang w:eastAsia="zh-CN"/>
              </w:rPr>
              <w:t xml:space="preserve">  </w:t>
            </w:r>
            <w:r>
              <w:rPr>
                <w:rFonts w:hint="eastAsia" w:ascii="宋体" w:hAnsi="宋体" w:eastAsia="宋体" w:cs="宋体"/>
                <w:b/>
                <w:sz w:val="21"/>
                <w:szCs w:val="21"/>
                <w:lang w:val="en-US" w:eastAsia="zh-CN"/>
              </w:rPr>
              <w:t>污水排入城镇下水道水质标准</w:t>
            </w:r>
            <w:r>
              <w:rPr>
                <w:rFonts w:hint="eastAsia" w:ascii="宋体" w:hAnsi="宋体" w:eastAsia="宋体" w:cs="宋体"/>
                <w:b/>
                <w:sz w:val="21"/>
                <w:szCs w:val="21"/>
              </w:rPr>
              <w:t>一览表（mg/L）</w:t>
            </w:r>
          </w:p>
          <w:tbl>
            <w:tblPr>
              <w:tblStyle w:val="22"/>
              <w:tblW w:w="4997"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351"/>
              <w:gridCol w:w="1354"/>
              <w:gridCol w:w="1350"/>
              <w:gridCol w:w="1350"/>
              <w:gridCol w:w="1640"/>
            </w:tblGrid>
            <w:tr w14:paraId="2CF74A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8" w:type="pct"/>
                  <w:tcBorders>
                    <w:tl2br w:val="nil"/>
                    <w:tr2bl w:val="nil"/>
                  </w:tcBorders>
                  <w:noWrap w:val="0"/>
                  <w:vAlign w:val="center"/>
                </w:tcPr>
                <w:p w14:paraId="3470C1EB">
                  <w:pPr>
                    <w:jc w:val="center"/>
                    <w:rPr>
                      <w:rFonts w:hint="eastAsia" w:ascii="宋体" w:hAnsi="宋体" w:eastAsia="宋体" w:cs="宋体"/>
                      <w:sz w:val="21"/>
                      <w:szCs w:val="21"/>
                      <w:lang w:bidi="zh-CN"/>
                    </w:rPr>
                  </w:pPr>
                  <w:r>
                    <w:rPr>
                      <w:rFonts w:hint="eastAsia" w:ascii="宋体" w:hAnsi="宋体" w:eastAsia="宋体" w:cs="宋体"/>
                      <w:sz w:val="21"/>
                      <w:szCs w:val="21"/>
                      <w:lang w:bidi="zh-CN"/>
                    </w:rPr>
                    <w:t>COD</w:t>
                  </w:r>
                </w:p>
              </w:tc>
              <w:tc>
                <w:tcPr>
                  <w:tcW w:w="819" w:type="pct"/>
                  <w:tcBorders>
                    <w:tl2br w:val="nil"/>
                    <w:tr2bl w:val="nil"/>
                  </w:tcBorders>
                  <w:noWrap w:val="0"/>
                  <w:vAlign w:val="center"/>
                </w:tcPr>
                <w:p w14:paraId="07BC382A">
                  <w:pPr>
                    <w:jc w:val="center"/>
                    <w:rPr>
                      <w:rFonts w:hint="eastAsia" w:ascii="宋体" w:hAnsi="宋体" w:eastAsia="宋体" w:cs="宋体"/>
                      <w:sz w:val="21"/>
                      <w:szCs w:val="21"/>
                      <w:lang w:bidi="zh-CN"/>
                    </w:rPr>
                  </w:pPr>
                  <w:r>
                    <w:rPr>
                      <w:rFonts w:hint="eastAsia" w:ascii="宋体" w:hAnsi="宋体" w:eastAsia="宋体" w:cs="宋体"/>
                      <w:sz w:val="21"/>
                      <w:szCs w:val="21"/>
                      <w:lang w:bidi="zh-CN"/>
                    </w:rPr>
                    <w:t>BOD</w:t>
                  </w:r>
                  <w:r>
                    <w:rPr>
                      <w:rFonts w:hint="eastAsia" w:ascii="宋体" w:hAnsi="宋体" w:eastAsia="宋体" w:cs="宋体"/>
                      <w:sz w:val="21"/>
                      <w:szCs w:val="21"/>
                      <w:vertAlign w:val="subscript"/>
                      <w:lang w:bidi="zh-CN"/>
                    </w:rPr>
                    <w:t>5</w:t>
                  </w:r>
                </w:p>
              </w:tc>
              <w:tc>
                <w:tcPr>
                  <w:tcW w:w="821" w:type="pct"/>
                  <w:tcBorders>
                    <w:tl2br w:val="nil"/>
                    <w:tr2bl w:val="nil"/>
                  </w:tcBorders>
                  <w:noWrap w:val="0"/>
                  <w:vAlign w:val="center"/>
                </w:tcPr>
                <w:p w14:paraId="55C25A59">
                  <w:pPr>
                    <w:jc w:val="center"/>
                    <w:rPr>
                      <w:rFonts w:hint="eastAsia" w:ascii="宋体" w:hAnsi="宋体" w:eastAsia="宋体" w:cs="宋体"/>
                      <w:sz w:val="21"/>
                      <w:szCs w:val="21"/>
                      <w:lang w:bidi="zh-CN"/>
                    </w:rPr>
                  </w:pPr>
                  <w:r>
                    <w:rPr>
                      <w:rFonts w:hint="eastAsia" w:ascii="宋体" w:hAnsi="宋体" w:eastAsia="宋体" w:cs="宋体"/>
                      <w:sz w:val="21"/>
                      <w:szCs w:val="21"/>
                      <w:lang w:bidi="zh-CN"/>
                    </w:rPr>
                    <w:t>NH</w:t>
                  </w:r>
                  <w:r>
                    <w:rPr>
                      <w:rFonts w:hint="eastAsia" w:ascii="宋体" w:hAnsi="宋体" w:eastAsia="宋体" w:cs="宋体"/>
                      <w:sz w:val="21"/>
                      <w:szCs w:val="21"/>
                      <w:vertAlign w:val="subscript"/>
                      <w:lang w:bidi="zh-CN"/>
                    </w:rPr>
                    <w:t>3</w:t>
                  </w:r>
                  <w:r>
                    <w:rPr>
                      <w:rFonts w:hint="eastAsia" w:ascii="宋体" w:hAnsi="宋体" w:eastAsia="宋体" w:cs="宋体"/>
                      <w:sz w:val="21"/>
                      <w:szCs w:val="21"/>
                      <w:lang w:bidi="zh-CN"/>
                    </w:rPr>
                    <w:t>-N</w:t>
                  </w:r>
                </w:p>
              </w:tc>
              <w:tc>
                <w:tcPr>
                  <w:tcW w:w="818" w:type="pct"/>
                  <w:tcBorders>
                    <w:tl2br w:val="nil"/>
                    <w:tr2bl w:val="nil"/>
                  </w:tcBorders>
                  <w:noWrap w:val="0"/>
                  <w:vAlign w:val="center"/>
                </w:tcPr>
                <w:p w14:paraId="4AC4F4AC">
                  <w:pPr>
                    <w:jc w:val="center"/>
                    <w:rPr>
                      <w:rFonts w:hint="eastAsia" w:ascii="宋体" w:hAnsi="宋体" w:eastAsia="宋体" w:cs="宋体"/>
                      <w:sz w:val="21"/>
                      <w:szCs w:val="21"/>
                      <w:lang w:bidi="zh-CN"/>
                    </w:rPr>
                  </w:pPr>
                  <w:r>
                    <w:rPr>
                      <w:rFonts w:hint="eastAsia" w:ascii="宋体" w:hAnsi="宋体" w:eastAsia="宋体" w:cs="宋体"/>
                      <w:sz w:val="21"/>
                      <w:szCs w:val="21"/>
                      <w:lang w:val="en-US" w:bidi="zh-CN"/>
                    </w:rPr>
                    <w:t>PH</w:t>
                  </w:r>
                </w:p>
              </w:tc>
              <w:tc>
                <w:tcPr>
                  <w:tcW w:w="818" w:type="pct"/>
                  <w:tcBorders>
                    <w:tl2br w:val="nil"/>
                    <w:tr2bl w:val="nil"/>
                  </w:tcBorders>
                  <w:noWrap w:val="0"/>
                  <w:vAlign w:val="center"/>
                </w:tcPr>
                <w:p w14:paraId="27B632F6">
                  <w:pPr>
                    <w:jc w:val="center"/>
                    <w:rPr>
                      <w:rFonts w:hint="eastAsia" w:ascii="宋体" w:hAnsi="宋体" w:eastAsia="宋体" w:cs="宋体"/>
                      <w:sz w:val="21"/>
                      <w:szCs w:val="21"/>
                      <w:lang w:val="en-US" w:bidi="zh-CN"/>
                    </w:rPr>
                  </w:pPr>
                  <w:r>
                    <w:rPr>
                      <w:rFonts w:hint="eastAsia" w:ascii="宋体" w:hAnsi="宋体" w:eastAsia="宋体" w:cs="宋体"/>
                      <w:sz w:val="21"/>
                      <w:szCs w:val="21"/>
                      <w:lang w:val="en-US" w:bidi="zh-CN"/>
                    </w:rPr>
                    <w:t>硫酸盐</w:t>
                  </w:r>
                </w:p>
              </w:tc>
              <w:tc>
                <w:tcPr>
                  <w:tcW w:w="994" w:type="pct"/>
                  <w:tcBorders>
                    <w:tl2br w:val="nil"/>
                    <w:tr2bl w:val="nil"/>
                  </w:tcBorders>
                  <w:noWrap w:val="0"/>
                  <w:vAlign w:val="center"/>
                </w:tcPr>
                <w:p w14:paraId="48459A43">
                  <w:pPr>
                    <w:jc w:val="center"/>
                    <w:rPr>
                      <w:rFonts w:hint="eastAsia" w:ascii="宋体" w:hAnsi="宋体" w:eastAsia="宋体" w:cs="宋体"/>
                      <w:sz w:val="21"/>
                      <w:szCs w:val="21"/>
                      <w:lang w:bidi="zh-CN"/>
                    </w:rPr>
                  </w:pPr>
                  <w:r>
                    <w:rPr>
                      <w:rFonts w:hint="eastAsia" w:ascii="宋体" w:hAnsi="宋体" w:eastAsia="宋体" w:cs="宋体"/>
                      <w:sz w:val="21"/>
                      <w:szCs w:val="21"/>
                      <w:lang w:bidi="zh-CN"/>
                    </w:rPr>
                    <w:t>SS</w:t>
                  </w:r>
                </w:p>
              </w:tc>
            </w:tr>
            <w:tr w14:paraId="587E3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8" w:type="pct"/>
                  <w:tcBorders>
                    <w:tl2br w:val="nil"/>
                    <w:tr2bl w:val="nil"/>
                  </w:tcBorders>
                  <w:noWrap w:val="0"/>
                  <w:vAlign w:val="center"/>
                </w:tcPr>
                <w:p w14:paraId="4D89DE91">
                  <w:pPr>
                    <w:jc w:val="center"/>
                    <w:rPr>
                      <w:rFonts w:hint="eastAsia" w:ascii="宋体" w:hAnsi="宋体" w:eastAsia="宋体" w:cs="宋体"/>
                      <w:sz w:val="21"/>
                      <w:szCs w:val="21"/>
                      <w:lang w:val="en-US" w:bidi="zh-CN"/>
                    </w:rPr>
                  </w:pPr>
                  <w:r>
                    <w:rPr>
                      <w:rFonts w:hint="eastAsia" w:ascii="宋体" w:hAnsi="宋体" w:eastAsia="宋体" w:cs="宋体"/>
                      <w:sz w:val="21"/>
                      <w:szCs w:val="21"/>
                      <w:lang w:val="en-US" w:bidi="zh-CN"/>
                    </w:rPr>
                    <w:t>500</w:t>
                  </w:r>
                </w:p>
              </w:tc>
              <w:tc>
                <w:tcPr>
                  <w:tcW w:w="819" w:type="pct"/>
                  <w:tcBorders>
                    <w:tl2br w:val="nil"/>
                    <w:tr2bl w:val="nil"/>
                  </w:tcBorders>
                  <w:noWrap w:val="0"/>
                  <w:vAlign w:val="center"/>
                </w:tcPr>
                <w:p w14:paraId="3CD79CA6">
                  <w:pPr>
                    <w:jc w:val="center"/>
                    <w:rPr>
                      <w:rFonts w:hint="eastAsia" w:ascii="宋体" w:hAnsi="宋体" w:eastAsia="宋体" w:cs="宋体"/>
                      <w:sz w:val="21"/>
                      <w:szCs w:val="21"/>
                      <w:lang w:val="en-US" w:bidi="zh-CN"/>
                    </w:rPr>
                  </w:pPr>
                  <w:r>
                    <w:rPr>
                      <w:rFonts w:hint="eastAsia" w:ascii="宋体" w:hAnsi="宋体" w:eastAsia="宋体" w:cs="宋体"/>
                      <w:sz w:val="21"/>
                      <w:szCs w:val="21"/>
                      <w:lang w:val="en-US" w:bidi="zh-CN"/>
                    </w:rPr>
                    <w:t>350</w:t>
                  </w:r>
                </w:p>
              </w:tc>
              <w:tc>
                <w:tcPr>
                  <w:tcW w:w="821" w:type="pct"/>
                  <w:tcBorders>
                    <w:tl2br w:val="nil"/>
                    <w:tr2bl w:val="nil"/>
                  </w:tcBorders>
                  <w:noWrap w:val="0"/>
                  <w:vAlign w:val="center"/>
                </w:tcPr>
                <w:p w14:paraId="078F1B98">
                  <w:pPr>
                    <w:jc w:val="center"/>
                    <w:rPr>
                      <w:rFonts w:hint="eastAsia" w:ascii="宋体" w:hAnsi="宋体" w:eastAsia="宋体" w:cs="宋体"/>
                      <w:sz w:val="21"/>
                      <w:szCs w:val="21"/>
                      <w:lang w:bidi="zh-CN"/>
                    </w:rPr>
                  </w:pPr>
                  <w:r>
                    <w:rPr>
                      <w:rFonts w:hint="eastAsia" w:ascii="宋体" w:hAnsi="宋体" w:eastAsia="宋体" w:cs="宋体"/>
                      <w:sz w:val="21"/>
                      <w:szCs w:val="21"/>
                      <w:lang w:val="en-US" w:bidi="zh-CN"/>
                    </w:rPr>
                    <w:t>45</w:t>
                  </w:r>
                  <w:r>
                    <w:rPr>
                      <w:rFonts w:hint="eastAsia" w:ascii="宋体" w:hAnsi="宋体" w:eastAsia="宋体" w:cs="宋体"/>
                      <w:sz w:val="21"/>
                      <w:szCs w:val="21"/>
                      <w:lang w:bidi="zh-CN"/>
                    </w:rPr>
                    <w:t xml:space="preserve"> </w:t>
                  </w:r>
                </w:p>
              </w:tc>
              <w:tc>
                <w:tcPr>
                  <w:tcW w:w="818" w:type="pct"/>
                  <w:tcBorders>
                    <w:tl2br w:val="nil"/>
                    <w:tr2bl w:val="nil"/>
                  </w:tcBorders>
                  <w:noWrap w:val="0"/>
                  <w:vAlign w:val="center"/>
                </w:tcPr>
                <w:p w14:paraId="42D75A66">
                  <w:pPr>
                    <w:jc w:val="center"/>
                    <w:rPr>
                      <w:rFonts w:hint="eastAsia" w:ascii="宋体" w:hAnsi="宋体" w:eastAsia="宋体" w:cs="宋体"/>
                      <w:sz w:val="21"/>
                      <w:szCs w:val="21"/>
                      <w:lang w:val="en-US" w:bidi="zh-CN"/>
                    </w:rPr>
                  </w:pPr>
                  <w:r>
                    <w:rPr>
                      <w:rFonts w:hint="eastAsia" w:ascii="宋体" w:hAnsi="宋体" w:eastAsia="宋体" w:cs="宋体"/>
                      <w:sz w:val="21"/>
                      <w:szCs w:val="21"/>
                      <w:lang w:val="en-US" w:bidi="zh-CN"/>
                    </w:rPr>
                    <w:t>6.5-9.5</w:t>
                  </w:r>
                </w:p>
              </w:tc>
              <w:tc>
                <w:tcPr>
                  <w:tcW w:w="818" w:type="pct"/>
                  <w:tcBorders>
                    <w:tl2br w:val="nil"/>
                    <w:tr2bl w:val="nil"/>
                  </w:tcBorders>
                  <w:noWrap w:val="0"/>
                  <w:vAlign w:val="center"/>
                </w:tcPr>
                <w:p w14:paraId="75D39B3B">
                  <w:pPr>
                    <w:jc w:val="center"/>
                    <w:rPr>
                      <w:rFonts w:hint="eastAsia" w:ascii="宋体" w:hAnsi="宋体" w:eastAsia="宋体" w:cs="宋体"/>
                      <w:sz w:val="21"/>
                      <w:szCs w:val="21"/>
                      <w:lang w:val="en-US" w:bidi="zh-CN"/>
                    </w:rPr>
                  </w:pPr>
                  <w:r>
                    <w:rPr>
                      <w:rFonts w:hint="eastAsia" w:ascii="宋体" w:hAnsi="宋体" w:eastAsia="宋体" w:cs="宋体"/>
                      <w:sz w:val="21"/>
                      <w:szCs w:val="21"/>
                      <w:lang w:val="en-US" w:bidi="zh-CN"/>
                    </w:rPr>
                    <w:t>600</w:t>
                  </w:r>
                </w:p>
              </w:tc>
              <w:tc>
                <w:tcPr>
                  <w:tcW w:w="994" w:type="pct"/>
                  <w:tcBorders>
                    <w:tl2br w:val="nil"/>
                    <w:tr2bl w:val="nil"/>
                  </w:tcBorders>
                  <w:noWrap w:val="0"/>
                  <w:vAlign w:val="center"/>
                </w:tcPr>
                <w:p w14:paraId="231DBD4A">
                  <w:pPr>
                    <w:jc w:val="center"/>
                    <w:rPr>
                      <w:rFonts w:hint="eastAsia" w:ascii="宋体" w:hAnsi="宋体" w:eastAsia="宋体" w:cs="宋体"/>
                      <w:sz w:val="21"/>
                      <w:szCs w:val="21"/>
                      <w:lang w:val="en-US" w:bidi="zh-CN"/>
                    </w:rPr>
                  </w:pPr>
                  <w:r>
                    <w:rPr>
                      <w:rFonts w:hint="eastAsia" w:ascii="宋体" w:hAnsi="宋体" w:eastAsia="宋体" w:cs="宋体"/>
                      <w:sz w:val="21"/>
                      <w:szCs w:val="21"/>
                      <w:lang w:val="en-US" w:bidi="zh-CN"/>
                    </w:rPr>
                    <w:t>400</w:t>
                  </w:r>
                </w:p>
              </w:tc>
            </w:tr>
          </w:tbl>
          <w:p w14:paraId="562A07A1">
            <w:pPr>
              <w:pStyle w:val="9"/>
              <w:ind w:left="422" w:leftChars="0" w:hanging="482"/>
              <w:jc w:val="center"/>
              <w:rPr>
                <w:rFonts w:hint="eastAsia" w:ascii="宋体" w:hAnsi="宋体" w:eastAsia="宋体" w:cs="宋体"/>
                <w:b/>
                <w:sz w:val="21"/>
                <w:szCs w:val="21"/>
              </w:rPr>
            </w:pPr>
            <w:r>
              <w:rPr>
                <w:rFonts w:hint="eastAsia" w:ascii="宋体" w:hAnsi="宋体" w:eastAsia="宋体" w:cs="宋体"/>
                <w:b/>
                <w:sz w:val="21"/>
                <w:szCs w:val="21"/>
              </w:rPr>
              <w:t>表3-</w:t>
            </w:r>
            <w:r>
              <w:rPr>
                <w:rFonts w:hint="eastAsia" w:ascii="宋体" w:hAnsi="宋体" w:cs="宋体"/>
                <w:b/>
                <w:sz w:val="21"/>
                <w:szCs w:val="21"/>
                <w:lang w:val="en-US" w:eastAsia="zh-CN"/>
              </w:rPr>
              <w:t>10</w:t>
            </w:r>
            <w:r>
              <w:rPr>
                <w:rFonts w:hint="eastAsia" w:ascii="宋体" w:hAnsi="宋体" w:eastAsia="宋体" w:cs="宋体"/>
                <w:b/>
                <w:sz w:val="21"/>
                <w:szCs w:val="21"/>
              </w:rPr>
              <w:t xml:space="preserve">   城镇污水处理厂废水排放标准 （摘录） 单位：mg/L（pH无量纲）</w:t>
            </w:r>
          </w:p>
          <w:tbl>
            <w:tblPr>
              <w:tblStyle w:val="2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750"/>
              <w:gridCol w:w="2249"/>
              <w:gridCol w:w="2249"/>
            </w:tblGrid>
            <w:tr w14:paraId="5124D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73" w:type="pct"/>
                  <w:tcBorders>
                    <w:tl2br w:val="nil"/>
                    <w:tr2bl w:val="nil"/>
                  </w:tcBorders>
                  <w:noWrap w:val="0"/>
                  <w:vAlign w:val="center"/>
                </w:tcPr>
                <w:p w14:paraId="5234F65C">
                  <w:pPr>
                    <w:spacing w:line="260" w:lineRule="exact"/>
                    <w:ind w:firstLine="1470" w:firstLineChars="700"/>
                    <w:rPr>
                      <w:rFonts w:hint="eastAsia" w:ascii="宋体" w:hAnsi="宋体" w:eastAsia="宋体" w:cs="宋体"/>
                      <w:snapToGrid w:val="0"/>
                      <w:sz w:val="21"/>
                      <w:szCs w:val="21"/>
                    </w:rPr>
                  </w:pPr>
                  <w:r>
                    <w:rPr>
                      <w:rFonts w:hint="eastAsia" w:ascii="宋体" w:hAnsi="宋体" w:eastAsia="宋体" w:cs="宋体"/>
                      <w:snapToGrid w:val="0"/>
                      <w:sz w:val="21"/>
                      <w:szCs w:val="21"/>
                    </w:rPr>
                    <w:t>项目</w:t>
                  </w:r>
                </w:p>
              </w:tc>
              <w:tc>
                <w:tcPr>
                  <w:tcW w:w="1363" w:type="pct"/>
                  <w:tcBorders>
                    <w:tl2br w:val="nil"/>
                    <w:tr2bl w:val="nil"/>
                  </w:tcBorders>
                  <w:noWrap w:val="0"/>
                  <w:vAlign w:val="center"/>
                </w:tcPr>
                <w:p w14:paraId="476AD9AD">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一级A标准</w:t>
                  </w:r>
                </w:p>
              </w:tc>
              <w:tc>
                <w:tcPr>
                  <w:tcW w:w="1363" w:type="pct"/>
                  <w:tcBorders>
                    <w:tl2br w:val="nil"/>
                    <w:tr2bl w:val="nil"/>
                  </w:tcBorders>
                  <w:noWrap w:val="0"/>
                  <w:vAlign w:val="center"/>
                </w:tcPr>
                <w:p w14:paraId="6A1A60ED">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标准来源</w:t>
                  </w:r>
                </w:p>
              </w:tc>
            </w:tr>
            <w:tr w14:paraId="268CE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73" w:type="pct"/>
                  <w:tcBorders>
                    <w:tl2br w:val="nil"/>
                    <w:tr2bl w:val="nil"/>
                  </w:tcBorders>
                  <w:noWrap w:val="0"/>
                  <w:vAlign w:val="center"/>
                </w:tcPr>
                <w:p w14:paraId="5FA52516">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pH</w:t>
                  </w:r>
                </w:p>
              </w:tc>
              <w:tc>
                <w:tcPr>
                  <w:tcW w:w="1363" w:type="pct"/>
                  <w:tcBorders>
                    <w:tl2br w:val="nil"/>
                    <w:tr2bl w:val="nil"/>
                  </w:tcBorders>
                  <w:noWrap w:val="0"/>
                  <w:vAlign w:val="center"/>
                </w:tcPr>
                <w:p w14:paraId="33A45C50">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6-9</w:t>
                  </w:r>
                </w:p>
              </w:tc>
              <w:tc>
                <w:tcPr>
                  <w:tcW w:w="1363" w:type="pct"/>
                  <w:vMerge w:val="restart"/>
                  <w:tcBorders>
                    <w:tl2br w:val="nil"/>
                    <w:tr2bl w:val="nil"/>
                  </w:tcBorders>
                  <w:noWrap w:val="0"/>
                  <w:vAlign w:val="center"/>
                </w:tcPr>
                <w:p w14:paraId="1081CF3F">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《城镇污水处理厂污染物排放标准》（GB18918-2002）中一级A标准，</w:t>
                  </w:r>
                </w:p>
              </w:tc>
            </w:tr>
            <w:tr w14:paraId="5000B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273" w:type="pct"/>
                  <w:tcBorders>
                    <w:tl2br w:val="nil"/>
                    <w:tr2bl w:val="nil"/>
                  </w:tcBorders>
                  <w:noWrap w:val="0"/>
                  <w:vAlign w:val="center"/>
                </w:tcPr>
                <w:p w14:paraId="3CE2F2C9">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COD</w:t>
                  </w:r>
                </w:p>
              </w:tc>
              <w:tc>
                <w:tcPr>
                  <w:tcW w:w="1363" w:type="pct"/>
                  <w:tcBorders>
                    <w:tl2br w:val="nil"/>
                    <w:tr2bl w:val="nil"/>
                  </w:tcBorders>
                  <w:noWrap w:val="0"/>
                  <w:vAlign w:val="center"/>
                </w:tcPr>
                <w:p w14:paraId="6CAFC805">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50</w:t>
                  </w:r>
                </w:p>
              </w:tc>
              <w:tc>
                <w:tcPr>
                  <w:tcW w:w="1363" w:type="pct"/>
                  <w:vMerge w:val="continue"/>
                  <w:tcBorders>
                    <w:tl2br w:val="nil"/>
                    <w:tr2bl w:val="nil"/>
                  </w:tcBorders>
                  <w:noWrap w:val="0"/>
                  <w:vAlign w:val="center"/>
                </w:tcPr>
                <w:p w14:paraId="4B87218D">
                  <w:pPr>
                    <w:spacing w:line="260" w:lineRule="exact"/>
                    <w:jc w:val="center"/>
                    <w:rPr>
                      <w:rFonts w:hint="eastAsia" w:ascii="宋体" w:hAnsi="宋体" w:eastAsia="宋体" w:cs="宋体"/>
                      <w:snapToGrid w:val="0"/>
                      <w:sz w:val="21"/>
                      <w:szCs w:val="21"/>
                    </w:rPr>
                  </w:pPr>
                </w:p>
              </w:tc>
            </w:tr>
            <w:tr w14:paraId="0A477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273" w:type="pct"/>
                  <w:tcBorders>
                    <w:tl2br w:val="nil"/>
                    <w:tr2bl w:val="nil"/>
                  </w:tcBorders>
                  <w:noWrap w:val="0"/>
                  <w:vAlign w:val="center"/>
                </w:tcPr>
                <w:p w14:paraId="5B32F3DF">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BOD</w:t>
                  </w:r>
                  <w:r>
                    <w:rPr>
                      <w:rFonts w:hint="eastAsia" w:ascii="宋体" w:hAnsi="宋体" w:eastAsia="宋体" w:cs="宋体"/>
                      <w:snapToGrid w:val="0"/>
                      <w:sz w:val="21"/>
                      <w:szCs w:val="21"/>
                      <w:vertAlign w:val="subscript"/>
                    </w:rPr>
                    <w:t>5</w:t>
                  </w:r>
                </w:p>
              </w:tc>
              <w:tc>
                <w:tcPr>
                  <w:tcW w:w="1363" w:type="pct"/>
                  <w:tcBorders>
                    <w:tl2br w:val="nil"/>
                    <w:tr2bl w:val="nil"/>
                  </w:tcBorders>
                  <w:noWrap w:val="0"/>
                  <w:vAlign w:val="center"/>
                </w:tcPr>
                <w:p w14:paraId="7726F024">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10</w:t>
                  </w:r>
                </w:p>
              </w:tc>
              <w:tc>
                <w:tcPr>
                  <w:tcW w:w="1363" w:type="pct"/>
                  <w:vMerge w:val="continue"/>
                  <w:tcBorders>
                    <w:tl2br w:val="nil"/>
                    <w:tr2bl w:val="nil"/>
                  </w:tcBorders>
                  <w:noWrap w:val="0"/>
                  <w:vAlign w:val="center"/>
                </w:tcPr>
                <w:p w14:paraId="547A975D">
                  <w:pPr>
                    <w:spacing w:line="260" w:lineRule="exact"/>
                    <w:jc w:val="center"/>
                    <w:rPr>
                      <w:rFonts w:hint="eastAsia" w:ascii="宋体" w:hAnsi="宋体" w:eastAsia="宋体" w:cs="宋体"/>
                      <w:snapToGrid w:val="0"/>
                      <w:sz w:val="21"/>
                      <w:szCs w:val="21"/>
                    </w:rPr>
                  </w:pPr>
                </w:p>
              </w:tc>
            </w:tr>
            <w:tr w14:paraId="4F323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273" w:type="pct"/>
                  <w:tcBorders>
                    <w:tl2br w:val="nil"/>
                    <w:tr2bl w:val="nil"/>
                  </w:tcBorders>
                  <w:noWrap w:val="0"/>
                  <w:vAlign w:val="center"/>
                </w:tcPr>
                <w:p w14:paraId="594F2399">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氨氮</w:t>
                  </w:r>
                </w:p>
              </w:tc>
              <w:tc>
                <w:tcPr>
                  <w:tcW w:w="1363" w:type="pct"/>
                  <w:tcBorders>
                    <w:tl2br w:val="nil"/>
                    <w:tr2bl w:val="nil"/>
                  </w:tcBorders>
                  <w:noWrap w:val="0"/>
                  <w:vAlign w:val="center"/>
                </w:tcPr>
                <w:p w14:paraId="278454F8">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2.0</w:t>
                  </w:r>
                </w:p>
              </w:tc>
              <w:tc>
                <w:tcPr>
                  <w:tcW w:w="1363" w:type="pct"/>
                  <w:vMerge w:val="continue"/>
                  <w:tcBorders>
                    <w:tl2br w:val="nil"/>
                    <w:tr2bl w:val="nil"/>
                  </w:tcBorders>
                  <w:noWrap w:val="0"/>
                  <w:vAlign w:val="center"/>
                </w:tcPr>
                <w:p w14:paraId="16EA7C6B">
                  <w:pPr>
                    <w:spacing w:line="260" w:lineRule="exact"/>
                    <w:jc w:val="center"/>
                    <w:rPr>
                      <w:rFonts w:hint="eastAsia" w:ascii="宋体" w:hAnsi="宋体" w:eastAsia="宋体" w:cs="宋体"/>
                      <w:snapToGrid w:val="0"/>
                      <w:sz w:val="21"/>
                      <w:szCs w:val="21"/>
                    </w:rPr>
                  </w:pPr>
                </w:p>
              </w:tc>
            </w:tr>
            <w:tr w14:paraId="70DB6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273" w:type="pct"/>
                  <w:tcBorders>
                    <w:tl2br w:val="nil"/>
                    <w:tr2bl w:val="nil"/>
                  </w:tcBorders>
                  <w:noWrap w:val="0"/>
                  <w:vAlign w:val="center"/>
                </w:tcPr>
                <w:p w14:paraId="68303FEA">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TP</w:t>
                  </w:r>
                </w:p>
              </w:tc>
              <w:tc>
                <w:tcPr>
                  <w:tcW w:w="1363" w:type="pct"/>
                  <w:tcBorders>
                    <w:tl2br w:val="nil"/>
                    <w:tr2bl w:val="nil"/>
                  </w:tcBorders>
                  <w:noWrap w:val="0"/>
                  <w:vAlign w:val="center"/>
                </w:tcPr>
                <w:p w14:paraId="304A7033">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0.5</w:t>
                  </w:r>
                </w:p>
              </w:tc>
              <w:tc>
                <w:tcPr>
                  <w:tcW w:w="1363" w:type="pct"/>
                  <w:vMerge w:val="continue"/>
                  <w:tcBorders>
                    <w:tl2br w:val="nil"/>
                    <w:tr2bl w:val="nil"/>
                  </w:tcBorders>
                  <w:noWrap w:val="0"/>
                  <w:vAlign w:val="center"/>
                </w:tcPr>
                <w:p w14:paraId="202252ED">
                  <w:pPr>
                    <w:spacing w:line="260" w:lineRule="exact"/>
                    <w:jc w:val="center"/>
                    <w:rPr>
                      <w:rFonts w:hint="eastAsia" w:ascii="宋体" w:hAnsi="宋体" w:eastAsia="宋体" w:cs="宋体"/>
                      <w:snapToGrid w:val="0"/>
                      <w:sz w:val="21"/>
                      <w:szCs w:val="21"/>
                    </w:rPr>
                  </w:pPr>
                </w:p>
              </w:tc>
            </w:tr>
            <w:tr w14:paraId="6BD38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73" w:type="pct"/>
                  <w:tcBorders>
                    <w:tl2br w:val="nil"/>
                    <w:tr2bl w:val="nil"/>
                  </w:tcBorders>
                  <w:noWrap w:val="0"/>
                  <w:vAlign w:val="center"/>
                </w:tcPr>
                <w:p w14:paraId="65B8369B">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SS</w:t>
                  </w:r>
                </w:p>
              </w:tc>
              <w:tc>
                <w:tcPr>
                  <w:tcW w:w="1363" w:type="pct"/>
                  <w:tcBorders>
                    <w:tl2br w:val="nil"/>
                    <w:tr2bl w:val="nil"/>
                  </w:tcBorders>
                  <w:noWrap w:val="0"/>
                  <w:vAlign w:val="center"/>
                </w:tcPr>
                <w:p w14:paraId="5F109C71">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10</w:t>
                  </w:r>
                </w:p>
              </w:tc>
              <w:tc>
                <w:tcPr>
                  <w:tcW w:w="1363" w:type="pct"/>
                  <w:vMerge w:val="continue"/>
                  <w:tcBorders>
                    <w:tl2br w:val="nil"/>
                    <w:tr2bl w:val="nil"/>
                  </w:tcBorders>
                  <w:noWrap w:val="0"/>
                  <w:vAlign w:val="center"/>
                </w:tcPr>
                <w:p w14:paraId="663500C9">
                  <w:pPr>
                    <w:spacing w:line="260" w:lineRule="exact"/>
                    <w:jc w:val="center"/>
                    <w:rPr>
                      <w:rFonts w:hint="eastAsia" w:ascii="宋体" w:hAnsi="宋体" w:eastAsia="宋体" w:cs="宋体"/>
                      <w:snapToGrid w:val="0"/>
                      <w:sz w:val="21"/>
                      <w:szCs w:val="21"/>
                    </w:rPr>
                  </w:pPr>
                </w:p>
              </w:tc>
            </w:tr>
            <w:tr w14:paraId="40F1B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73" w:type="pct"/>
                  <w:tcBorders>
                    <w:tl2br w:val="nil"/>
                    <w:tr2bl w:val="nil"/>
                  </w:tcBorders>
                  <w:noWrap w:val="0"/>
                  <w:vAlign w:val="center"/>
                </w:tcPr>
                <w:p w14:paraId="56B98341">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TN</w:t>
                  </w:r>
                </w:p>
              </w:tc>
              <w:tc>
                <w:tcPr>
                  <w:tcW w:w="1363" w:type="pct"/>
                  <w:tcBorders>
                    <w:tl2br w:val="nil"/>
                    <w:tr2bl w:val="nil"/>
                  </w:tcBorders>
                  <w:noWrap w:val="0"/>
                  <w:vAlign w:val="center"/>
                </w:tcPr>
                <w:p w14:paraId="3045CCAE">
                  <w:pPr>
                    <w:spacing w:line="260" w:lineRule="exact"/>
                    <w:jc w:val="center"/>
                    <w:rPr>
                      <w:rFonts w:hint="eastAsia" w:ascii="宋体" w:hAnsi="宋体" w:eastAsia="宋体" w:cs="宋体"/>
                      <w:snapToGrid w:val="0"/>
                      <w:sz w:val="21"/>
                      <w:szCs w:val="21"/>
                    </w:rPr>
                  </w:pPr>
                  <w:r>
                    <w:rPr>
                      <w:rFonts w:hint="eastAsia" w:ascii="宋体" w:hAnsi="宋体" w:eastAsia="宋体" w:cs="宋体"/>
                      <w:snapToGrid w:val="0"/>
                      <w:sz w:val="21"/>
                      <w:szCs w:val="21"/>
                    </w:rPr>
                    <w:t>15</w:t>
                  </w:r>
                </w:p>
              </w:tc>
              <w:tc>
                <w:tcPr>
                  <w:tcW w:w="1363" w:type="pct"/>
                  <w:vMerge w:val="continue"/>
                  <w:tcBorders>
                    <w:tl2br w:val="nil"/>
                    <w:tr2bl w:val="nil"/>
                  </w:tcBorders>
                  <w:noWrap w:val="0"/>
                  <w:vAlign w:val="center"/>
                </w:tcPr>
                <w:p w14:paraId="77D5C92A">
                  <w:pPr>
                    <w:spacing w:line="260" w:lineRule="exact"/>
                    <w:jc w:val="center"/>
                    <w:rPr>
                      <w:rFonts w:hint="eastAsia" w:ascii="宋体" w:hAnsi="宋体" w:eastAsia="宋体" w:cs="宋体"/>
                      <w:snapToGrid w:val="0"/>
                      <w:sz w:val="21"/>
                      <w:szCs w:val="21"/>
                    </w:rPr>
                  </w:pPr>
                </w:p>
              </w:tc>
            </w:tr>
          </w:tbl>
          <w:p w14:paraId="5462EE81">
            <w:pPr>
              <w:pStyle w:val="52"/>
              <w:spacing w:before="162" w:line="377" w:lineRule="auto"/>
              <w:ind w:right="49" w:firstLine="464" w:firstLineChars="200"/>
              <w:jc w:val="both"/>
              <w:rPr>
                <w:rFonts w:hint="eastAsia" w:ascii="宋体" w:hAnsi="宋体" w:eastAsia="宋体" w:cs="宋体"/>
                <w:sz w:val="21"/>
                <w:szCs w:val="21"/>
              </w:rPr>
            </w:pPr>
            <w:r>
              <w:rPr>
                <w:rFonts w:hint="eastAsia" w:ascii="宋体" w:hAnsi="宋体" w:eastAsia="宋体" w:cs="宋体"/>
                <w:spacing w:val="11"/>
                <w:sz w:val="21"/>
                <w:szCs w:val="21"/>
              </w:rPr>
              <w:t>各项水污染物浓</w:t>
            </w:r>
            <w:r>
              <w:rPr>
                <w:rFonts w:hint="eastAsia" w:ascii="宋体" w:hAnsi="宋体" w:eastAsia="宋体" w:cs="宋体"/>
                <w:spacing w:val="4"/>
                <w:sz w:val="21"/>
                <w:szCs w:val="21"/>
              </w:rPr>
              <w:t>度执行《城市污水再生利用  工业用水水质》（</w:t>
            </w:r>
            <w:r>
              <w:rPr>
                <w:rFonts w:hint="eastAsia" w:ascii="宋体" w:hAnsi="宋体" w:eastAsia="宋体" w:cs="宋体"/>
                <w:sz w:val="21"/>
                <w:szCs w:val="21"/>
              </w:rPr>
              <w:t>GB</w:t>
            </w:r>
            <w:r>
              <w:rPr>
                <w:rFonts w:hint="eastAsia" w:ascii="宋体" w:hAnsi="宋体" w:eastAsia="宋体" w:cs="宋体"/>
                <w:spacing w:val="4"/>
                <w:sz w:val="21"/>
                <w:szCs w:val="21"/>
              </w:rPr>
              <w:t>/T19923-20</w:t>
            </w:r>
            <w:r>
              <w:rPr>
                <w:rFonts w:hint="eastAsia" w:ascii="宋体" w:hAnsi="宋体" w:eastAsia="宋体" w:cs="宋体"/>
                <w:spacing w:val="4"/>
                <w:sz w:val="21"/>
                <w:szCs w:val="21"/>
                <w:lang w:val="en-US" w:eastAsia="zh-CN"/>
              </w:rPr>
              <w:t>24</w:t>
            </w:r>
            <w:r>
              <w:rPr>
                <w:rFonts w:hint="eastAsia" w:ascii="宋体" w:hAnsi="宋体" w:eastAsia="宋体" w:cs="宋体"/>
                <w:spacing w:val="4"/>
                <w:sz w:val="21"/>
                <w:szCs w:val="21"/>
              </w:rPr>
              <w:t>）中工艺用水-原水标准，</w:t>
            </w:r>
            <w:r>
              <w:rPr>
                <w:rFonts w:hint="eastAsia" w:ascii="宋体" w:hAnsi="宋体" w:eastAsia="宋体" w:cs="宋体"/>
                <w:spacing w:val="8"/>
                <w:sz w:val="21"/>
                <w:szCs w:val="21"/>
              </w:rPr>
              <w:t>部分回用于水洗工序，回用水标准详见下表</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3</w:t>
            </w:r>
            <w:r>
              <w:rPr>
                <w:rFonts w:hint="eastAsia" w:ascii="宋体" w:hAnsi="宋体" w:eastAsia="宋体" w:cs="宋体"/>
                <w:spacing w:val="7"/>
                <w:sz w:val="21"/>
                <w:szCs w:val="21"/>
              </w:rPr>
              <w:t>-1</w:t>
            </w:r>
            <w:r>
              <w:rPr>
                <w:rFonts w:hint="eastAsia" w:cs="宋体"/>
                <w:spacing w:val="7"/>
                <w:sz w:val="21"/>
                <w:szCs w:val="21"/>
                <w:lang w:val="en-US" w:eastAsia="zh-CN"/>
              </w:rPr>
              <w:t>1</w:t>
            </w:r>
            <w:r>
              <w:rPr>
                <w:rFonts w:hint="eastAsia" w:ascii="宋体" w:hAnsi="宋体" w:eastAsia="宋体" w:cs="宋体"/>
                <w:spacing w:val="7"/>
                <w:sz w:val="21"/>
                <w:szCs w:val="21"/>
              </w:rPr>
              <w:t>。</w:t>
            </w:r>
          </w:p>
          <w:p w14:paraId="614BA7DC">
            <w:pPr>
              <w:keepNext w:val="0"/>
              <w:keepLines w:val="0"/>
              <w:pageBreakBefore w:val="0"/>
              <w:widowControl w:val="0"/>
              <w:kinsoku/>
              <w:wordWrap/>
              <w:overflowPunct/>
              <w:topLinePunct w:val="0"/>
              <w:autoSpaceDE/>
              <w:autoSpaceDN/>
              <w:bidi w:val="0"/>
              <w:adjustRightInd/>
              <w:snapToGrid/>
              <w:spacing w:line="240" w:lineRule="atLeast"/>
              <w:ind w:left="482" w:firstLine="1546" w:firstLineChars="700"/>
              <w:textAlignment w:val="auto"/>
              <w:rPr>
                <w:rFonts w:hint="eastAsia" w:asciiTheme="minorEastAsia" w:hAnsiTheme="minorEastAsia" w:eastAsiaTheme="minorEastAsia" w:cstheme="minorEastAsia"/>
                <w:b/>
                <w:bCs/>
                <w:spacing w:val="5"/>
                <w:sz w:val="21"/>
                <w:szCs w:val="21"/>
              </w:rPr>
            </w:pPr>
          </w:p>
          <w:p w14:paraId="32FB1A97">
            <w:pPr>
              <w:keepNext w:val="0"/>
              <w:keepLines w:val="0"/>
              <w:pageBreakBefore w:val="0"/>
              <w:widowControl w:val="0"/>
              <w:kinsoku/>
              <w:wordWrap/>
              <w:overflowPunct/>
              <w:topLinePunct w:val="0"/>
              <w:autoSpaceDE/>
              <w:autoSpaceDN/>
              <w:bidi w:val="0"/>
              <w:adjustRightInd/>
              <w:snapToGrid/>
              <w:spacing w:line="240" w:lineRule="atLeast"/>
              <w:ind w:left="482" w:firstLine="1546" w:firstLineChars="700"/>
              <w:textAlignment w:val="auto"/>
              <w:rPr>
                <w:rFonts w:hint="eastAsia" w:asciiTheme="minorEastAsia" w:hAnsiTheme="minorEastAsia" w:eastAsiaTheme="minorEastAsia" w:cstheme="minorEastAsia"/>
                <w:b/>
                <w:bCs/>
                <w:spacing w:val="5"/>
              </w:rPr>
            </w:pPr>
          </w:p>
          <w:p w14:paraId="23F236A1">
            <w:pPr>
              <w:keepNext w:val="0"/>
              <w:keepLines w:val="0"/>
              <w:pageBreakBefore w:val="0"/>
              <w:widowControl w:val="0"/>
              <w:kinsoku/>
              <w:wordWrap/>
              <w:overflowPunct/>
              <w:topLinePunct w:val="0"/>
              <w:autoSpaceDE/>
              <w:autoSpaceDN/>
              <w:bidi w:val="0"/>
              <w:adjustRightInd/>
              <w:snapToGrid/>
              <w:spacing w:line="240" w:lineRule="atLeast"/>
              <w:ind w:left="482" w:firstLine="1546" w:firstLineChars="700"/>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bCs/>
                <w:spacing w:val="5"/>
              </w:rPr>
              <w:t>表</w:t>
            </w:r>
            <w:r>
              <w:rPr>
                <w:rFonts w:hint="eastAsia" w:asciiTheme="minorEastAsia" w:hAnsiTheme="minorEastAsia" w:eastAsiaTheme="minorEastAsia" w:cstheme="minorEastAsia"/>
                <w:spacing w:val="-45"/>
              </w:rPr>
              <w:t xml:space="preserve"> </w:t>
            </w:r>
            <w:r>
              <w:rPr>
                <w:rFonts w:hint="eastAsia" w:asciiTheme="minorEastAsia" w:hAnsiTheme="minorEastAsia" w:eastAsiaTheme="minorEastAsia" w:cstheme="minorEastAsia"/>
                <w:b/>
                <w:bCs/>
                <w:spacing w:val="5"/>
              </w:rPr>
              <w:t>3-1</w:t>
            </w:r>
            <w:r>
              <w:rPr>
                <w:rFonts w:hint="eastAsia" w:asciiTheme="minorEastAsia" w:hAnsiTheme="minorEastAsia" w:eastAsiaTheme="minorEastAsia" w:cstheme="minorEastAsia"/>
                <w:b/>
                <w:bCs/>
                <w:spacing w:val="5"/>
                <w:lang w:val="en-US" w:eastAsia="zh-CN"/>
              </w:rPr>
              <w:t>1</w:t>
            </w:r>
            <w:r>
              <w:rPr>
                <w:rFonts w:hint="eastAsia" w:asciiTheme="minorEastAsia" w:hAnsiTheme="minorEastAsia" w:eastAsiaTheme="minorEastAsia" w:cstheme="minorEastAsia"/>
                <w:b/>
                <w:bCs/>
                <w:spacing w:val="5"/>
              </w:rPr>
              <w:t xml:space="preserve">    本项目废水回用标准值</w:t>
            </w:r>
          </w:p>
          <w:tbl>
            <w:tblPr>
              <w:tblStyle w:val="53"/>
              <w:tblW w:w="8251" w:type="dxa"/>
              <w:tblInd w:w="-6"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853"/>
              <w:gridCol w:w="3473"/>
              <w:gridCol w:w="1432"/>
              <w:gridCol w:w="2493"/>
            </w:tblGrid>
            <w:tr w14:paraId="7BB15B2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853" w:type="dxa"/>
                  <w:tcBorders>
                    <w:tl2br w:val="nil"/>
                    <w:tr2bl w:val="nil"/>
                  </w:tcBorders>
                  <w:noWrap w:val="0"/>
                  <w:vAlign w:val="top"/>
                </w:tcPr>
                <w:p w14:paraId="5C56DC3B">
                  <w:pPr>
                    <w:pStyle w:val="52"/>
                    <w:keepNext w:val="0"/>
                    <w:keepLines w:val="0"/>
                    <w:pageBreakBefore w:val="0"/>
                    <w:widowControl w:val="0"/>
                    <w:kinsoku/>
                    <w:wordWrap/>
                    <w:overflowPunct/>
                    <w:topLinePunct w:val="0"/>
                    <w:autoSpaceDE/>
                    <w:autoSpaceDN/>
                    <w:bidi w:val="0"/>
                    <w:adjustRightInd/>
                    <w:snapToGrid/>
                    <w:spacing w:line="240" w:lineRule="atLeast"/>
                    <w:ind w:left="269"/>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序号</w:t>
                  </w:r>
                </w:p>
              </w:tc>
              <w:tc>
                <w:tcPr>
                  <w:tcW w:w="3473" w:type="dxa"/>
                  <w:tcBorders>
                    <w:tl2br w:val="nil"/>
                    <w:tr2bl w:val="nil"/>
                  </w:tcBorders>
                  <w:noWrap w:val="0"/>
                  <w:vAlign w:val="top"/>
                </w:tcPr>
                <w:p w14:paraId="5CCDA923">
                  <w:pPr>
                    <w:pStyle w:val="52"/>
                    <w:keepNext w:val="0"/>
                    <w:keepLines w:val="0"/>
                    <w:pageBreakBefore w:val="0"/>
                    <w:widowControl w:val="0"/>
                    <w:kinsoku/>
                    <w:wordWrap/>
                    <w:overflowPunct/>
                    <w:topLinePunct w:val="0"/>
                    <w:autoSpaceDE/>
                    <w:autoSpaceDN/>
                    <w:bidi w:val="0"/>
                    <w:adjustRightInd/>
                    <w:snapToGrid/>
                    <w:spacing w:line="240" w:lineRule="atLeast"/>
                    <w:ind w:left="142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污染物</w:t>
                  </w:r>
                </w:p>
              </w:tc>
              <w:tc>
                <w:tcPr>
                  <w:tcW w:w="1432" w:type="dxa"/>
                  <w:tcBorders>
                    <w:tl2br w:val="nil"/>
                    <w:tr2bl w:val="nil"/>
                  </w:tcBorders>
                  <w:noWrap w:val="0"/>
                  <w:vAlign w:val="top"/>
                </w:tcPr>
                <w:p w14:paraId="72CD380A">
                  <w:pPr>
                    <w:pStyle w:val="52"/>
                    <w:keepNext w:val="0"/>
                    <w:keepLines w:val="0"/>
                    <w:pageBreakBefore w:val="0"/>
                    <w:widowControl w:val="0"/>
                    <w:kinsoku/>
                    <w:wordWrap/>
                    <w:overflowPunct/>
                    <w:topLinePunct w:val="0"/>
                    <w:autoSpaceDE/>
                    <w:autoSpaceDN/>
                    <w:bidi w:val="0"/>
                    <w:adjustRightInd/>
                    <w:snapToGrid/>
                    <w:spacing w:line="240" w:lineRule="atLeast"/>
                    <w:ind w:left="409"/>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单位是</w:t>
                  </w:r>
                </w:p>
              </w:tc>
              <w:tc>
                <w:tcPr>
                  <w:tcW w:w="2493" w:type="dxa"/>
                  <w:tcBorders>
                    <w:tl2br w:val="nil"/>
                    <w:tr2bl w:val="nil"/>
                  </w:tcBorders>
                  <w:noWrap w:val="0"/>
                  <w:vAlign w:val="top"/>
                </w:tcPr>
                <w:p w14:paraId="24921ACC">
                  <w:pPr>
                    <w:pStyle w:val="52"/>
                    <w:keepNext w:val="0"/>
                    <w:keepLines w:val="0"/>
                    <w:pageBreakBefore w:val="0"/>
                    <w:widowControl w:val="0"/>
                    <w:kinsoku/>
                    <w:wordWrap/>
                    <w:overflowPunct/>
                    <w:topLinePunct w:val="0"/>
                    <w:autoSpaceDE/>
                    <w:autoSpaceDN/>
                    <w:bidi w:val="0"/>
                    <w:adjustRightInd/>
                    <w:snapToGrid/>
                    <w:spacing w:line="240" w:lineRule="atLeast"/>
                    <w:ind w:left="46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工艺与产品用水</w:t>
                  </w:r>
                </w:p>
              </w:tc>
            </w:tr>
            <w:tr w14:paraId="740C7CE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53" w:type="dxa"/>
                  <w:tcBorders>
                    <w:tl2br w:val="nil"/>
                    <w:tr2bl w:val="nil"/>
                  </w:tcBorders>
                  <w:noWrap w:val="0"/>
                  <w:vAlign w:val="top"/>
                </w:tcPr>
                <w:p w14:paraId="3FCE9AC8">
                  <w:pPr>
                    <w:spacing w:before="66" w:line="195" w:lineRule="auto"/>
                    <w:ind w:left="444"/>
                    <w:rPr>
                      <w:rFonts w:hint="eastAsia" w:ascii="宋体" w:hAnsi="宋体" w:eastAsia="宋体" w:cs="宋体"/>
                      <w:sz w:val="21"/>
                      <w:szCs w:val="21"/>
                    </w:rPr>
                  </w:pPr>
                  <w:r>
                    <w:rPr>
                      <w:rFonts w:hint="eastAsia" w:ascii="宋体" w:hAnsi="宋体" w:eastAsia="宋体" w:cs="宋体"/>
                      <w:sz w:val="21"/>
                      <w:szCs w:val="21"/>
                    </w:rPr>
                    <w:t>1</w:t>
                  </w:r>
                </w:p>
              </w:tc>
              <w:tc>
                <w:tcPr>
                  <w:tcW w:w="3473" w:type="dxa"/>
                  <w:tcBorders>
                    <w:tl2br w:val="nil"/>
                    <w:tr2bl w:val="nil"/>
                  </w:tcBorders>
                  <w:noWrap w:val="0"/>
                  <w:vAlign w:val="top"/>
                </w:tcPr>
                <w:p w14:paraId="421CA2BF">
                  <w:pPr>
                    <w:pStyle w:val="52"/>
                    <w:spacing w:before="47" w:line="203" w:lineRule="auto"/>
                    <w:ind w:left="1472"/>
                    <w:rPr>
                      <w:rFonts w:hint="eastAsia" w:ascii="宋体" w:hAnsi="宋体" w:eastAsia="宋体" w:cs="宋体"/>
                      <w:sz w:val="21"/>
                      <w:szCs w:val="21"/>
                    </w:rPr>
                  </w:pPr>
                  <w:r>
                    <w:rPr>
                      <w:rFonts w:hint="eastAsia" w:ascii="宋体" w:hAnsi="宋体" w:eastAsia="宋体" w:cs="宋体"/>
                      <w:sz w:val="21"/>
                      <w:szCs w:val="21"/>
                    </w:rPr>
                    <w:t>pH</w:t>
                  </w:r>
                  <w:r>
                    <w:rPr>
                      <w:rFonts w:hint="eastAsia" w:ascii="宋体" w:hAnsi="宋体" w:eastAsia="宋体" w:cs="宋体"/>
                      <w:spacing w:val="11"/>
                      <w:sz w:val="21"/>
                      <w:szCs w:val="21"/>
                    </w:rPr>
                    <w:t xml:space="preserve"> </w:t>
                  </w:r>
                  <w:r>
                    <w:rPr>
                      <w:rFonts w:hint="eastAsia" w:ascii="宋体" w:hAnsi="宋体" w:eastAsia="宋体" w:cs="宋体"/>
                      <w:spacing w:val="13"/>
                      <w:sz w:val="21"/>
                      <w:szCs w:val="21"/>
                    </w:rPr>
                    <w:t>值</w:t>
                  </w:r>
                </w:p>
              </w:tc>
              <w:tc>
                <w:tcPr>
                  <w:tcW w:w="1432" w:type="dxa"/>
                  <w:tcBorders>
                    <w:tl2br w:val="nil"/>
                    <w:tr2bl w:val="nil"/>
                  </w:tcBorders>
                  <w:noWrap w:val="0"/>
                  <w:vAlign w:val="top"/>
                </w:tcPr>
                <w:p w14:paraId="0D1B9E38">
                  <w:pPr>
                    <w:pStyle w:val="52"/>
                    <w:spacing w:before="47" w:line="203" w:lineRule="auto"/>
                    <w:ind w:left="409"/>
                    <w:rPr>
                      <w:rFonts w:hint="eastAsia" w:ascii="宋体" w:hAnsi="宋体" w:eastAsia="宋体" w:cs="宋体"/>
                      <w:sz w:val="21"/>
                      <w:szCs w:val="21"/>
                    </w:rPr>
                  </w:pPr>
                  <w:r>
                    <w:rPr>
                      <w:rFonts w:hint="eastAsia" w:ascii="宋体" w:hAnsi="宋体" w:eastAsia="宋体" w:cs="宋体"/>
                      <w:spacing w:val="6"/>
                      <w:sz w:val="21"/>
                      <w:szCs w:val="21"/>
                    </w:rPr>
                    <w:t>无量纲</w:t>
                  </w:r>
                </w:p>
              </w:tc>
              <w:tc>
                <w:tcPr>
                  <w:tcW w:w="2493" w:type="dxa"/>
                  <w:tcBorders>
                    <w:tl2br w:val="nil"/>
                    <w:tr2bl w:val="nil"/>
                  </w:tcBorders>
                  <w:noWrap w:val="0"/>
                  <w:vAlign w:val="top"/>
                </w:tcPr>
                <w:p w14:paraId="59806CF7">
                  <w:pPr>
                    <w:spacing w:before="66" w:line="195" w:lineRule="auto"/>
                    <w:ind w:left="899"/>
                    <w:rPr>
                      <w:rFonts w:hint="eastAsia" w:ascii="宋体" w:hAnsi="宋体" w:eastAsia="宋体" w:cs="宋体"/>
                      <w:sz w:val="21"/>
                      <w:szCs w:val="21"/>
                      <w:lang w:val="en-US" w:eastAsia="zh-CN"/>
                    </w:rPr>
                  </w:pPr>
                  <w:r>
                    <w:rPr>
                      <w:rFonts w:hint="eastAsia" w:ascii="宋体" w:hAnsi="宋体" w:eastAsia="宋体" w:cs="宋体"/>
                      <w:spacing w:val="2"/>
                      <w:sz w:val="21"/>
                      <w:szCs w:val="21"/>
                    </w:rPr>
                    <w:t>6.</w:t>
                  </w:r>
                  <w:r>
                    <w:rPr>
                      <w:rFonts w:hint="eastAsia" w:ascii="宋体" w:hAnsi="宋体" w:eastAsia="宋体" w:cs="宋体"/>
                      <w:spacing w:val="2"/>
                      <w:sz w:val="21"/>
                      <w:szCs w:val="21"/>
                      <w:lang w:val="en-US" w:eastAsia="zh-CN"/>
                    </w:rPr>
                    <w:t>0</w:t>
                  </w: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9.0</w:t>
                  </w:r>
                </w:p>
              </w:tc>
            </w:tr>
            <w:tr w14:paraId="1C97F1F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853" w:type="dxa"/>
                  <w:tcBorders>
                    <w:tl2br w:val="nil"/>
                    <w:tr2bl w:val="nil"/>
                  </w:tcBorders>
                  <w:noWrap w:val="0"/>
                  <w:vAlign w:val="top"/>
                </w:tcPr>
                <w:p w14:paraId="7D675411">
                  <w:pPr>
                    <w:spacing w:before="67" w:line="195" w:lineRule="auto"/>
                    <w:ind w:left="424"/>
                    <w:rPr>
                      <w:rFonts w:hint="eastAsia" w:ascii="宋体" w:hAnsi="宋体" w:eastAsia="宋体" w:cs="宋体"/>
                      <w:sz w:val="21"/>
                      <w:szCs w:val="21"/>
                    </w:rPr>
                  </w:pPr>
                  <w:r>
                    <w:rPr>
                      <w:rFonts w:hint="eastAsia" w:ascii="宋体" w:hAnsi="宋体" w:eastAsia="宋体" w:cs="宋体"/>
                      <w:sz w:val="21"/>
                      <w:szCs w:val="21"/>
                    </w:rPr>
                    <w:t>2</w:t>
                  </w:r>
                </w:p>
              </w:tc>
              <w:tc>
                <w:tcPr>
                  <w:tcW w:w="3473" w:type="dxa"/>
                  <w:tcBorders>
                    <w:tl2br w:val="nil"/>
                    <w:tr2bl w:val="nil"/>
                  </w:tcBorders>
                  <w:noWrap w:val="0"/>
                  <w:vAlign w:val="top"/>
                </w:tcPr>
                <w:p w14:paraId="05754021">
                  <w:pPr>
                    <w:pStyle w:val="52"/>
                    <w:spacing w:before="46" w:line="216" w:lineRule="auto"/>
                    <w:ind w:left="1426"/>
                    <w:rPr>
                      <w:rFonts w:hint="eastAsia" w:ascii="宋体" w:hAnsi="宋体" w:eastAsia="宋体" w:cs="宋体"/>
                      <w:sz w:val="21"/>
                      <w:szCs w:val="21"/>
                    </w:rPr>
                  </w:pPr>
                  <w:r>
                    <w:rPr>
                      <w:rFonts w:hint="eastAsia" w:ascii="宋体" w:hAnsi="宋体" w:eastAsia="宋体" w:cs="宋体"/>
                      <w:spacing w:val="6"/>
                      <w:sz w:val="21"/>
                      <w:szCs w:val="21"/>
                    </w:rPr>
                    <w:t>悬浮物</w:t>
                  </w:r>
                </w:p>
              </w:tc>
              <w:tc>
                <w:tcPr>
                  <w:tcW w:w="1432" w:type="dxa"/>
                  <w:tcBorders>
                    <w:tl2br w:val="nil"/>
                    <w:tr2bl w:val="nil"/>
                  </w:tcBorders>
                  <w:noWrap w:val="0"/>
                  <w:vAlign w:val="top"/>
                </w:tcPr>
                <w:p w14:paraId="0C683D87">
                  <w:pPr>
                    <w:spacing w:before="63" w:line="201" w:lineRule="auto"/>
                    <w:ind w:left="488"/>
                    <w:rPr>
                      <w:rFonts w:hint="eastAsia" w:ascii="宋体" w:hAnsi="宋体" w:eastAsia="宋体" w:cs="宋体"/>
                      <w:sz w:val="21"/>
                      <w:szCs w:val="21"/>
                    </w:rPr>
                  </w:pPr>
                  <w:r>
                    <w:rPr>
                      <w:rFonts w:hint="eastAsia" w:ascii="宋体" w:hAnsi="宋体" w:eastAsia="宋体" w:cs="宋体"/>
                      <w:sz w:val="21"/>
                      <w:szCs w:val="21"/>
                    </w:rPr>
                    <w:t>mg</w:t>
                  </w:r>
                  <w:r>
                    <w:rPr>
                      <w:rFonts w:hint="eastAsia" w:ascii="宋体" w:hAnsi="宋体" w:eastAsia="宋体" w:cs="宋体"/>
                      <w:spacing w:val="9"/>
                      <w:sz w:val="21"/>
                      <w:szCs w:val="21"/>
                    </w:rPr>
                    <w:t>/L</w:t>
                  </w:r>
                </w:p>
              </w:tc>
              <w:tc>
                <w:tcPr>
                  <w:tcW w:w="2493" w:type="dxa"/>
                  <w:tcBorders>
                    <w:tl2br w:val="nil"/>
                    <w:tr2bl w:val="nil"/>
                  </w:tcBorders>
                  <w:noWrap w:val="0"/>
                  <w:vAlign w:val="top"/>
                </w:tcPr>
                <w:p w14:paraId="594F5AAE">
                  <w:pPr>
                    <w:spacing w:before="155" w:line="97" w:lineRule="exact"/>
                    <w:jc w:val="center"/>
                    <w:rPr>
                      <w:rFonts w:hint="eastAsia" w:ascii="宋体" w:hAnsi="宋体" w:eastAsia="宋体" w:cs="宋体"/>
                      <w:sz w:val="21"/>
                      <w:szCs w:val="21"/>
                    </w:rPr>
                  </w:pPr>
                  <w:r>
                    <w:rPr>
                      <w:rFonts w:hint="eastAsia" w:ascii="宋体" w:hAnsi="宋体" w:eastAsia="宋体" w:cs="宋体"/>
                      <w:position w:val="-2"/>
                      <w:sz w:val="21"/>
                      <w:szCs w:val="21"/>
                    </w:rPr>
                    <w:t>-</w:t>
                  </w:r>
                </w:p>
              </w:tc>
            </w:tr>
            <w:tr w14:paraId="51685DC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853" w:type="dxa"/>
                  <w:tcBorders>
                    <w:tl2br w:val="nil"/>
                    <w:tr2bl w:val="nil"/>
                  </w:tcBorders>
                  <w:noWrap w:val="0"/>
                  <w:vAlign w:val="top"/>
                </w:tcPr>
                <w:p w14:paraId="283EB742">
                  <w:pPr>
                    <w:spacing w:before="78" w:line="195" w:lineRule="auto"/>
                    <w:ind w:left="428"/>
                    <w:rPr>
                      <w:rFonts w:hint="eastAsia" w:ascii="宋体" w:hAnsi="宋体" w:eastAsia="宋体" w:cs="宋体"/>
                      <w:sz w:val="21"/>
                      <w:szCs w:val="21"/>
                    </w:rPr>
                  </w:pPr>
                  <w:r>
                    <w:rPr>
                      <w:rFonts w:hint="eastAsia" w:ascii="宋体" w:hAnsi="宋体" w:eastAsia="宋体" w:cs="宋体"/>
                      <w:sz w:val="21"/>
                      <w:szCs w:val="21"/>
                    </w:rPr>
                    <w:t>3</w:t>
                  </w:r>
                </w:p>
              </w:tc>
              <w:tc>
                <w:tcPr>
                  <w:tcW w:w="3473" w:type="dxa"/>
                  <w:tcBorders>
                    <w:tl2br w:val="nil"/>
                    <w:tr2bl w:val="nil"/>
                  </w:tcBorders>
                  <w:noWrap w:val="0"/>
                  <w:vAlign w:val="top"/>
                </w:tcPr>
                <w:p w14:paraId="260B962D">
                  <w:pPr>
                    <w:pStyle w:val="52"/>
                    <w:spacing w:before="56" w:line="216" w:lineRule="auto"/>
                    <w:ind w:left="1531"/>
                    <w:rPr>
                      <w:rFonts w:hint="eastAsia" w:ascii="宋体" w:hAnsi="宋体" w:eastAsia="宋体" w:cs="宋体"/>
                      <w:sz w:val="21"/>
                      <w:szCs w:val="21"/>
                    </w:rPr>
                  </w:pPr>
                  <w:r>
                    <w:rPr>
                      <w:rFonts w:hint="eastAsia" w:ascii="宋体" w:hAnsi="宋体" w:eastAsia="宋体" w:cs="宋体"/>
                      <w:spacing w:val="3"/>
                      <w:sz w:val="21"/>
                      <w:szCs w:val="21"/>
                    </w:rPr>
                    <w:t>浊度</w:t>
                  </w:r>
                </w:p>
              </w:tc>
              <w:tc>
                <w:tcPr>
                  <w:tcW w:w="1432" w:type="dxa"/>
                  <w:tcBorders>
                    <w:tl2br w:val="nil"/>
                    <w:tr2bl w:val="nil"/>
                  </w:tcBorders>
                  <w:noWrap w:val="0"/>
                  <w:vAlign w:val="top"/>
                </w:tcPr>
                <w:p w14:paraId="331AC535">
                  <w:pPr>
                    <w:spacing w:before="81" w:line="192" w:lineRule="auto"/>
                    <w:ind w:left="495"/>
                    <w:rPr>
                      <w:rFonts w:hint="eastAsia" w:ascii="宋体" w:hAnsi="宋体" w:eastAsia="宋体" w:cs="宋体"/>
                      <w:sz w:val="21"/>
                      <w:szCs w:val="21"/>
                    </w:rPr>
                  </w:pPr>
                  <w:r>
                    <w:rPr>
                      <w:rFonts w:hint="eastAsia" w:ascii="宋体" w:hAnsi="宋体" w:eastAsia="宋体" w:cs="宋体"/>
                      <w:spacing w:val="6"/>
                      <w:sz w:val="21"/>
                      <w:szCs w:val="21"/>
                    </w:rPr>
                    <w:t>NTU</w:t>
                  </w:r>
                </w:p>
              </w:tc>
              <w:tc>
                <w:tcPr>
                  <w:tcW w:w="2493" w:type="dxa"/>
                  <w:tcBorders>
                    <w:tl2br w:val="nil"/>
                    <w:tr2bl w:val="nil"/>
                  </w:tcBorders>
                  <w:noWrap w:val="0"/>
                  <w:vAlign w:val="top"/>
                </w:tcPr>
                <w:p w14:paraId="2E997CEC">
                  <w:pPr>
                    <w:pStyle w:val="52"/>
                    <w:spacing w:before="56" w:line="216" w:lineRule="auto"/>
                    <w:jc w:val="center"/>
                    <w:rPr>
                      <w:rFonts w:hint="eastAsia" w:ascii="宋体" w:hAnsi="宋体" w:eastAsia="宋体" w:cs="宋体"/>
                      <w:sz w:val="21"/>
                      <w:szCs w:val="21"/>
                    </w:rPr>
                  </w:pPr>
                  <w:r>
                    <w:rPr>
                      <w:rFonts w:hint="eastAsia" w:ascii="宋体" w:hAnsi="宋体" w:eastAsia="宋体" w:cs="宋体"/>
                      <w:position w:val="-2"/>
                      <w:sz w:val="21"/>
                      <w:szCs w:val="21"/>
                    </w:rPr>
                    <w:t>-</w:t>
                  </w:r>
                </w:p>
              </w:tc>
            </w:tr>
            <w:tr w14:paraId="5E5DA30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53" w:type="dxa"/>
                  <w:tcBorders>
                    <w:tl2br w:val="nil"/>
                    <w:tr2bl w:val="nil"/>
                  </w:tcBorders>
                  <w:noWrap w:val="0"/>
                  <w:vAlign w:val="top"/>
                </w:tcPr>
                <w:p w14:paraId="1DA131B1">
                  <w:pPr>
                    <w:spacing w:before="53" w:line="195" w:lineRule="auto"/>
                    <w:ind w:left="423"/>
                    <w:rPr>
                      <w:rFonts w:hint="eastAsia" w:ascii="宋体" w:hAnsi="宋体" w:eastAsia="宋体" w:cs="宋体"/>
                      <w:sz w:val="21"/>
                      <w:szCs w:val="21"/>
                    </w:rPr>
                  </w:pPr>
                  <w:r>
                    <w:rPr>
                      <w:rFonts w:hint="eastAsia" w:ascii="宋体" w:hAnsi="宋体" w:eastAsia="宋体" w:cs="宋体"/>
                      <w:spacing w:val="1"/>
                      <w:sz w:val="21"/>
                      <w:szCs w:val="21"/>
                    </w:rPr>
                    <w:t>4</w:t>
                  </w:r>
                </w:p>
              </w:tc>
              <w:tc>
                <w:tcPr>
                  <w:tcW w:w="3473" w:type="dxa"/>
                  <w:tcBorders>
                    <w:tl2br w:val="nil"/>
                    <w:tr2bl w:val="nil"/>
                  </w:tcBorders>
                  <w:noWrap w:val="0"/>
                  <w:vAlign w:val="top"/>
                </w:tcPr>
                <w:p w14:paraId="683CC9BB">
                  <w:pPr>
                    <w:pStyle w:val="52"/>
                    <w:spacing w:before="31" w:line="218" w:lineRule="auto"/>
                    <w:ind w:left="1531"/>
                    <w:rPr>
                      <w:rFonts w:hint="eastAsia" w:ascii="宋体" w:hAnsi="宋体" w:eastAsia="宋体" w:cs="宋体"/>
                      <w:sz w:val="21"/>
                      <w:szCs w:val="21"/>
                    </w:rPr>
                  </w:pPr>
                  <w:r>
                    <w:rPr>
                      <w:rFonts w:hint="eastAsia" w:ascii="宋体" w:hAnsi="宋体" w:eastAsia="宋体" w:cs="宋体"/>
                      <w:spacing w:val="3"/>
                      <w:sz w:val="21"/>
                      <w:szCs w:val="21"/>
                    </w:rPr>
                    <w:t>色度</w:t>
                  </w:r>
                </w:p>
              </w:tc>
              <w:tc>
                <w:tcPr>
                  <w:tcW w:w="1432" w:type="dxa"/>
                  <w:tcBorders>
                    <w:tl2br w:val="nil"/>
                    <w:tr2bl w:val="nil"/>
                  </w:tcBorders>
                  <w:noWrap w:val="0"/>
                  <w:vAlign w:val="top"/>
                </w:tcPr>
                <w:p w14:paraId="42C2F7CA">
                  <w:pPr>
                    <w:pStyle w:val="52"/>
                    <w:spacing w:before="31" w:line="218" w:lineRule="auto"/>
                    <w:ind w:left="618"/>
                    <w:rPr>
                      <w:rFonts w:hint="eastAsia" w:ascii="宋体" w:hAnsi="宋体" w:eastAsia="宋体" w:cs="宋体"/>
                      <w:sz w:val="21"/>
                      <w:szCs w:val="21"/>
                    </w:rPr>
                  </w:pPr>
                  <w:r>
                    <w:rPr>
                      <w:rFonts w:hint="eastAsia" w:ascii="宋体" w:hAnsi="宋体" w:eastAsia="宋体" w:cs="宋体"/>
                      <w:spacing w:val="1"/>
                      <w:sz w:val="21"/>
                      <w:szCs w:val="21"/>
                    </w:rPr>
                    <w:t>度</w:t>
                  </w:r>
                </w:p>
              </w:tc>
              <w:tc>
                <w:tcPr>
                  <w:tcW w:w="2493" w:type="dxa"/>
                  <w:tcBorders>
                    <w:tl2br w:val="nil"/>
                    <w:tr2bl w:val="nil"/>
                  </w:tcBorders>
                  <w:noWrap w:val="0"/>
                  <w:vAlign w:val="top"/>
                </w:tcPr>
                <w:p w14:paraId="42C7ACA0">
                  <w:pPr>
                    <w:pStyle w:val="52"/>
                    <w:spacing w:before="31" w:line="218" w:lineRule="auto"/>
                    <w:ind w:left="1002"/>
                    <w:rPr>
                      <w:rFonts w:hint="eastAsia" w:ascii="宋体" w:hAnsi="宋体" w:eastAsia="宋体" w:cs="宋体"/>
                      <w:sz w:val="21"/>
                      <w:szCs w:val="21"/>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2</w:t>
                  </w:r>
                  <w:r>
                    <w:rPr>
                      <w:rFonts w:hint="eastAsia" w:ascii="宋体" w:hAnsi="宋体" w:eastAsia="宋体" w:cs="宋体"/>
                      <w:spacing w:val="-2"/>
                      <w:sz w:val="21"/>
                      <w:szCs w:val="21"/>
                    </w:rPr>
                    <w:t>0</w:t>
                  </w:r>
                </w:p>
              </w:tc>
            </w:tr>
            <w:tr w14:paraId="787CFB3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53" w:type="dxa"/>
                  <w:tcBorders>
                    <w:tl2br w:val="nil"/>
                    <w:tr2bl w:val="nil"/>
                  </w:tcBorders>
                  <w:noWrap w:val="0"/>
                  <w:vAlign w:val="top"/>
                </w:tcPr>
                <w:p w14:paraId="0B54AE9D">
                  <w:pPr>
                    <w:spacing w:before="56" w:line="192" w:lineRule="auto"/>
                    <w:ind w:left="430"/>
                    <w:rPr>
                      <w:rFonts w:hint="eastAsia" w:ascii="宋体" w:hAnsi="宋体" w:eastAsia="宋体" w:cs="宋体"/>
                      <w:sz w:val="21"/>
                      <w:szCs w:val="21"/>
                    </w:rPr>
                  </w:pPr>
                  <w:r>
                    <w:rPr>
                      <w:rFonts w:hint="eastAsia" w:ascii="宋体" w:hAnsi="宋体" w:eastAsia="宋体" w:cs="宋体"/>
                      <w:sz w:val="21"/>
                      <w:szCs w:val="21"/>
                    </w:rPr>
                    <w:t>5</w:t>
                  </w:r>
                </w:p>
              </w:tc>
              <w:tc>
                <w:tcPr>
                  <w:tcW w:w="3473" w:type="dxa"/>
                  <w:tcBorders>
                    <w:tl2br w:val="nil"/>
                    <w:tr2bl w:val="nil"/>
                  </w:tcBorders>
                  <w:noWrap w:val="0"/>
                  <w:vAlign w:val="top"/>
                </w:tcPr>
                <w:p w14:paraId="2932E611">
                  <w:pPr>
                    <w:pStyle w:val="52"/>
                    <w:spacing w:before="31" w:line="217" w:lineRule="auto"/>
                    <w:ind w:left="543"/>
                    <w:rPr>
                      <w:rFonts w:hint="eastAsia" w:ascii="宋体" w:hAnsi="宋体" w:eastAsia="宋体" w:cs="宋体"/>
                      <w:sz w:val="21"/>
                      <w:szCs w:val="21"/>
                    </w:rPr>
                  </w:pPr>
                  <w:r>
                    <w:rPr>
                      <w:rFonts w:hint="eastAsia" w:ascii="宋体" w:hAnsi="宋体" w:eastAsia="宋体" w:cs="宋体"/>
                      <w:spacing w:val="9"/>
                      <w:sz w:val="21"/>
                      <w:szCs w:val="21"/>
                    </w:rPr>
                    <w:t>五日生化需氧量（</w:t>
                  </w:r>
                  <w:r>
                    <w:rPr>
                      <w:rFonts w:hint="eastAsia" w:ascii="宋体" w:hAnsi="宋体" w:eastAsia="宋体" w:cs="宋体"/>
                      <w:sz w:val="21"/>
                      <w:szCs w:val="21"/>
                    </w:rPr>
                    <w:t>BOD</w:t>
                  </w:r>
                  <w:r>
                    <w:rPr>
                      <w:rFonts w:hint="eastAsia" w:ascii="宋体" w:hAnsi="宋体" w:eastAsia="宋体" w:cs="宋体"/>
                      <w:spacing w:val="9"/>
                      <w:position w:val="-1"/>
                      <w:sz w:val="21"/>
                      <w:szCs w:val="21"/>
                    </w:rPr>
                    <w:t>5</w:t>
                  </w:r>
                  <w:r>
                    <w:rPr>
                      <w:rFonts w:hint="eastAsia" w:ascii="宋体" w:hAnsi="宋体" w:eastAsia="宋体" w:cs="宋体"/>
                      <w:spacing w:val="9"/>
                      <w:sz w:val="21"/>
                      <w:szCs w:val="21"/>
                    </w:rPr>
                    <w:t>）</w:t>
                  </w:r>
                </w:p>
              </w:tc>
              <w:tc>
                <w:tcPr>
                  <w:tcW w:w="1432" w:type="dxa"/>
                  <w:tcBorders>
                    <w:tl2br w:val="nil"/>
                    <w:tr2bl w:val="nil"/>
                  </w:tcBorders>
                  <w:noWrap w:val="0"/>
                  <w:vAlign w:val="top"/>
                </w:tcPr>
                <w:p w14:paraId="42C8ACF9">
                  <w:pPr>
                    <w:spacing w:before="49" w:line="201" w:lineRule="auto"/>
                    <w:ind w:left="488"/>
                    <w:rPr>
                      <w:rFonts w:hint="eastAsia" w:ascii="宋体" w:hAnsi="宋体" w:eastAsia="宋体" w:cs="宋体"/>
                      <w:sz w:val="21"/>
                      <w:szCs w:val="21"/>
                    </w:rPr>
                  </w:pPr>
                  <w:r>
                    <w:rPr>
                      <w:rFonts w:hint="eastAsia" w:ascii="宋体" w:hAnsi="宋体" w:eastAsia="宋体" w:cs="宋体"/>
                      <w:sz w:val="21"/>
                      <w:szCs w:val="21"/>
                    </w:rPr>
                    <w:t>mg</w:t>
                  </w:r>
                  <w:r>
                    <w:rPr>
                      <w:rFonts w:hint="eastAsia" w:ascii="宋体" w:hAnsi="宋体" w:eastAsia="宋体" w:cs="宋体"/>
                      <w:spacing w:val="9"/>
                      <w:sz w:val="21"/>
                      <w:szCs w:val="21"/>
                    </w:rPr>
                    <w:t>/L</w:t>
                  </w:r>
                </w:p>
              </w:tc>
              <w:tc>
                <w:tcPr>
                  <w:tcW w:w="2493" w:type="dxa"/>
                  <w:tcBorders>
                    <w:tl2br w:val="nil"/>
                    <w:tr2bl w:val="nil"/>
                  </w:tcBorders>
                  <w:noWrap w:val="0"/>
                  <w:vAlign w:val="top"/>
                </w:tcPr>
                <w:p w14:paraId="13723932">
                  <w:pPr>
                    <w:pStyle w:val="52"/>
                    <w:spacing w:before="31" w:line="217" w:lineRule="auto"/>
                    <w:ind w:left="1002"/>
                    <w:rPr>
                      <w:rFonts w:hint="eastAsia" w:ascii="宋体" w:hAnsi="宋体" w:eastAsia="宋体" w:cs="宋体"/>
                      <w:sz w:val="21"/>
                      <w:szCs w:val="21"/>
                    </w:rPr>
                  </w:pPr>
                  <w:r>
                    <w:rPr>
                      <w:rFonts w:hint="eastAsia" w:ascii="宋体" w:hAnsi="宋体" w:eastAsia="宋体" w:cs="宋体"/>
                      <w:spacing w:val="-2"/>
                      <w:sz w:val="21"/>
                      <w:szCs w:val="21"/>
                    </w:rPr>
                    <w:t>≤10</w:t>
                  </w:r>
                </w:p>
              </w:tc>
            </w:tr>
            <w:tr w14:paraId="11CCBA0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53" w:type="dxa"/>
                  <w:tcBorders>
                    <w:tl2br w:val="nil"/>
                    <w:tr2bl w:val="nil"/>
                  </w:tcBorders>
                  <w:noWrap w:val="0"/>
                  <w:vAlign w:val="top"/>
                </w:tcPr>
                <w:p w14:paraId="1CAE51B9">
                  <w:pPr>
                    <w:spacing w:before="54" w:line="195" w:lineRule="auto"/>
                    <w:ind w:left="429"/>
                    <w:rPr>
                      <w:rFonts w:hint="eastAsia" w:ascii="宋体" w:hAnsi="宋体" w:eastAsia="宋体" w:cs="宋体"/>
                      <w:sz w:val="21"/>
                      <w:szCs w:val="21"/>
                    </w:rPr>
                  </w:pPr>
                  <w:r>
                    <w:rPr>
                      <w:rFonts w:hint="eastAsia" w:ascii="宋体" w:hAnsi="宋体" w:eastAsia="宋体" w:cs="宋体"/>
                      <w:sz w:val="21"/>
                      <w:szCs w:val="21"/>
                    </w:rPr>
                    <w:t>6</w:t>
                  </w:r>
                </w:p>
              </w:tc>
              <w:tc>
                <w:tcPr>
                  <w:tcW w:w="3473" w:type="dxa"/>
                  <w:tcBorders>
                    <w:tl2br w:val="nil"/>
                    <w:tr2bl w:val="nil"/>
                  </w:tcBorders>
                  <w:noWrap w:val="0"/>
                  <w:vAlign w:val="top"/>
                </w:tcPr>
                <w:p w14:paraId="62D60124">
                  <w:pPr>
                    <w:pStyle w:val="52"/>
                    <w:spacing w:before="32" w:line="216" w:lineRule="auto"/>
                    <w:ind w:left="730"/>
                    <w:rPr>
                      <w:rFonts w:hint="eastAsia" w:ascii="宋体" w:hAnsi="宋体" w:eastAsia="宋体" w:cs="宋体"/>
                      <w:sz w:val="21"/>
                      <w:szCs w:val="21"/>
                    </w:rPr>
                  </w:pPr>
                  <w:r>
                    <w:rPr>
                      <w:rFonts w:hint="eastAsia" w:ascii="宋体" w:hAnsi="宋体" w:eastAsia="宋体" w:cs="宋体"/>
                      <w:spacing w:val="11"/>
                      <w:sz w:val="21"/>
                      <w:szCs w:val="21"/>
                    </w:rPr>
                    <w:t>化学需氧量（</w:t>
                  </w:r>
                  <w:r>
                    <w:rPr>
                      <w:rFonts w:hint="eastAsia" w:ascii="宋体" w:hAnsi="宋体" w:eastAsia="宋体" w:cs="宋体"/>
                      <w:sz w:val="21"/>
                      <w:szCs w:val="21"/>
                    </w:rPr>
                    <w:t>COD</w:t>
                  </w:r>
                  <w:r>
                    <w:rPr>
                      <w:rFonts w:hint="eastAsia" w:ascii="宋体" w:hAnsi="宋体" w:eastAsia="宋体" w:cs="宋体"/>
                      <w:spacing w:val="11"/>
                      <w:sz w:val="21"/>
                      <w:szCs w:val="21"/>
                    </w:rPr>
                    <w:t>）</w:t>
                  </w:r>
                </w:p>
              </w:tc>
              <w:tc>
                <w:tcPr>
                  <w:tcW w:w="1432" w:type="dxa"/>
                  <w:tcBorders>
                    <w:tl2br w:val="nil"/>
                    <w:tr2bl w:val="nil"/>
                  </w:tcBorders>
                  <w:noWrap w:val="0"/>
                  <w:vAlign w:val="top"/>
                </w:tcPr>
                <w:p w14:paraId="0B961E96">
                  <w:pPr>
                    <w:spacing w:before="50" w:line="201" w:lineRule="auto"/>
                    <w:ind w:left="488"/>
                    <w:rPr>
                      <w:rFonts w:hint="eastAsia" w:ascii="宋体" w:hAnsi="宋体" w:eastAsia="宋体" w:cs="宋体"/>
                      <w:sz w:val="21"/>
                      <w:szCs w:val="21"/>
                    </w:rPr>
                  </w:pPr>
                  <w:r>
                    <w:rPr>
                      <w:rFonts w:hint="eastAsia" w:ascii="宋体" w:hAnsi="宋体" w:eastAsia="宋体" w:cs="宋体"/>
                      <w:sz w:val="21"/>
                      <w:szCs w:val="21"/>
                    </w:rPr>
                    <w:t>mg</w:t>
                  </w:r>
                  <w:r>
                    <w:rPr>
                      <w:rFonts w:hint="eastAsia" w:ascii="宋体" w:hAnsi="宋体" w:eastAsia="宋体" w:cs="宋体"/>
                      <w:spacing w:val="9"/>
                      <w:sz w:val="21"/>
                      <w:szCs w:val="21"/>
                    </w:rPr>
                    <w:t>/L</w:t>
                  </w:r>
                </w:p>
              </w:tc>
              <w:tc>
                <w:tcPr>
                  <w:tcW w:w="2493" w:type="dxa"/>
                  <w:tcBorders>
                    <w:tl2br w:val="nil"/>
                    <w:tr2bl w:val="nil"/>
                  </w:tcBorders>
                  <w:noWrap w:val="0"/>
                  <w:vAlign w:val="top"/>
                </w:tcPr>
                <w:p w14:paraId="0BE169FB">
                  <w:pPr>
                    <w:pStyle w:val="52"/>
                    <w:spacing w:before="32" w:line="216" w:lineRule="auto"/>
                    <w:ind w:left="1002"/>
                    <w:rPr>
                      <w:rFonts w:hint="eastAsia" w:ascii="宋体" w:hAnsi="宋体" w:eastAsia="宋体" w:cs="宋体"/>
                      <w:sz w:val="21"/>
                      <w:szCs w:val="21"/>
                      <w:lang w:val="en-US" w:eastAsia="zh-CN"/>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50</w:t>
                  </w:r>
                </w:p>
              </w:tc>
            </w:tr>
            <w:tr w14:paraId="6773CCA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53" w:type="dxa"/>
                  <w:tcBorders>
                    <w:tl2br w:val="nil"/>
                    <w:tr2bl w:val="nil"/>
                  </w:tcBorders>
                  <w:noWrap w:val="0"/>
                  <w:vAlign w:val="top"/>
                </w:tcPr>
                <w:p w14:paraId="5B75F5BE">
                  <w:pPr>
                    <w:spacing w:before="53" w:line="195" w:lineRule="auto"/>
                    <w:ind w:left="392"/>
                    <w:rPr>
                      <w:rFonts w:hint="eastAsia" w:ascii="宋体" w:hAnsi="宋体" w:eastAsia="宋体" w:cs="宋体"/>
                      <w:sz w:val="21"/>
                      <w:szCs w:val="21"/>
                      <w:lang w:eastAsia="zh-CN"/>
                    </w:rPr>
                  </w:pPr>
                  <w:r>
                    <w:rPr>
                      <w:rFonts w:hint="eastAsia" w:ascii="宋体" w:hAnsi="宋体" w:eastAsia="宋体" w:cs="宋体"/>
                      <w:spacing w:val="-8"/>
                      <w:sz w:val="21"/>
                      <w:szCs w:val="21"/>
                      <w:lang w:val="en-US" w:eastAsia="zh-CN"/>
                    </w:rPr>
                    <w:t>7</w:t>
                  </w:r>
                </w:p>
              </w:tc>
              <w:tc>
                <w:tcPr>
                  <w:tcW w:w="3473" w:type="dxa"/>
                  <w:tcBorders>
                    <w:tl2br w:val="nil"/>
                    <w:tr2bl w:val="nil"/>
                  </w:tcBorders>
                  <w:noWrap w:val="0"/>
                  <w:vAlign w:val="top"/>
                </w:tcPr>
                <w:p w14:paraId="21308AB6">
                  <w:pPr>
                    <w:pStyle w:val="52"/>
                    <w:spacing w:before="31" w:line="218" w:lineRule="auto"/>
                    <w:ind w:left="1422"/>
                    <w:rPr>
                      <w:rFonts w:hint="eastAsia" w:ascii="宋体" w:hAnsi="宋体" w:eastAsia="宋体" w:cs="宋体"/>
                      <w:sz w:val="21"/>
                      <w:szCs w:val="21"/>
                    </w:rPr>
                  </w:pPr>
                  <w:r>
                    <w:rPr>
                      <w:rFonts w:hint="eastAsia" w:ascii="宋体" w:hAnsi="宋体" w:eastAsia="宋体" w:cs="宋体"/>
                      <w:spacing w:val="7"/>
                      <w:sz w:val="21"/>
                      <w:szCs w:val="21"/>
                    </w:rPr>
                    <w:t>硫酸盐</w:t>
                  </w:r>
                </w:p>
              </w:tc>
              <w:tc>
                <w:tcPr>
                  <w:tcW w:w="1432" w:type="dxa"/>
                  <w:tcBorders>
                    <w:tl2br w:val="nil"/>
                    <w:tr2bl w:val="nil"/>
                  </w:tcBorders>
                  <w:noWrap w:val="0"/>
                  <w:vAlign w:val="top"/>
                </w:tcPr>
                <w:p w14:paraId="58B420C2">
                  <w:pPr>
                    <w:spacing w:before="49" w:line="201" w:lineRule="auto"/>
                    <w:ind w:left="488"/>
                    <w:rPr>
                      <w:rFonts w:hint="eastAsia" w:ascii="宋体" w:hAnsi="宋体" w:eastAsia="宋体" w:cs="宋体"/>
                      <w:sz w:val="21"/>
                      <w:szCs w:val="21"/>
                    </w:rPr>
                  </w:pPr>
                  <w:r>
                    <w:rPr>
                      <w:rFonts w:hint="eastAsia" w:ascii="宋体" w:hAnsi="宋体" w:eastAsia="宋体" w:cs="宋体"/>
                      <w:sz w:val="21"/>
                      <w:szCs w:val="21"/>
                    </w:rPr>
                    <w:t>mg</w:t>
                  </w:r>
                  <w:r>
                    <w:rPr>
                      <w:rFonts w:hint="eastAsia" w:ascii="宋体" w:hAnsi="宋体" w:eastAsia="宋体" w:cs="宋体"/>
                      <w:spacing w:val="9"/>
                      <w:sz w:val="21"/>
                      <w:szCs w:val="21"/>
                    </w:rPr>
                    <w:t>/L</w:t>
                  </w:r>
                </w:p>
              </w:tc>
              <w:tc>
                <w:tcPr>
                  <w:tcW w:w="2493" w:type="dxa"/>
                  <w:tcBorders>
                    <w:tl2br w:val="nil"/>
                    <w:tr2bl w:val="nil"/>
                  </w:tcBorders>
                  <w:noWrap w:val="0"/>
                  <w:vAlign w:val="top"/>
                </w:tcPr>
                <w:p w14:paraId="60980AAA">
                  <w:pPr>
                    <w:pStyle w:val="52"/>
                    <w:spacing w:before="31" w:line="218" w:lineRule="auto"/>
                    <w:ind w:left="950"/>
                    <w:rPr>
                      <w:rFonts w:hint="eastAsia" w:ascii="宋体" w:hAnsi="宋体" w:eastAsia="宋体" w:cs="宋体"/>
                      <w:sz w:val="21"/>
                      <w:szCs w:val="21"/>
                    </w:rPr>
                  </w:pPr>
                  <w:r>
                    <w:rPr>
                      <w:rFonts w:hint="eastAsia" w:ascii="宋体" w:hAnsi="宋体" w:eastAsia="宋体" w:cs="宋体"/>
                      <w:spacing w:val="1"/>
                      <w:sz w:val="21"/>
                      <w:szCs w:val="21"/>
                    </w:rPr>
                    <w:t>≤</w:t>
                  </w:r>
                  <w:r>
                    <w:rPr>
                      <w:rFonts w:hint="eastAsia" w:cs="宋体"/>
                      <w:spacing w:val="1"/>
                      <w:sz w:val="21"/>
                      <w:szCs w:val="21"/>
                      <w:lang w:val="en-US" w:eastAsia="zh-CN"/>
                    </w:rPr>
                    <w:t>60</w:t>
                  </w:r>
                  <w:r>
                    <w:rPr>
                      <w:rFonts w:hint="eastAsia" w:ascii="宋体" w:hAnsi="宋体" w:eastAsia="宋体" w:cs="宋体"/>
                      <w:spacing w:val="1"/>
                      <w:sz w:val="21"/>
                      <w:szCs w:val="21"/>
                    </w:rPr>
                    <w:t>0</w:t>
                  </w:r>
                </w:p>
              </w:tc>
            </w:tr>
          </w:tbl>
          <w:p w14:paraId="7825A36A">
            <w:pPr>
              <w:spacing w:line="360" w:lineRule="auto"/>
              <w:rPr>
                <w:bCs/>
              </w:rPr>
            </w:pPr>
            <w:r>
              <w:rPr>
                <w:rFonts w:hint="eastAsia"/>
                <w:b/>
              </w:rPr>
              <w:t>2、废气</w:t>
            </w:r>
          </w:p>
          <w:p w14:paraId="7444B5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工艺废气</w:t>
            </w:r>
          </w:p>
          <w:p w14:paraId="03DD851F">
            <w:pPr>
              <w:keepNext w:val="0"/>
              <w:keepLines w:val="0"/>
              <w:pageBreakBefore w:val="0"/>
              <w:widowControl w:val="0"/>
              <w:kinsoku/>
              <w:wordWrap/>
              <w:overflowPunct/>
              <w:topLinePunct w:val="0"/>
              <w:autoSpaceDE/>
              <w:autoSpaceDN/>
              <w:bidi w:val="0"/>
              <w:adjustRightInd w:val="0"/>
              <w:snapToGrid w:val="0"/>
              <w:spacing w:line="360" w:lineRule="auto"/>
              <w:ind w:firstLine="408" w:firstLineChars="200"/>
              <w:textAlignment w:val="auto"/>
              <w:rPr>
                <w:rFonts w:hint="eastAsia" w:eastAsia="宋体"/>
                <w:lang w:val="en-US" w:eastAsia="zh-CN"/>
              </w:rPr>
            </w:pPr>
            <w:r>
              <w:rPr>
                <w:rFonts w:hint="eastAsia" w:ascii="宋体" w:hAnsi="宋体" w:eastAsia="宋体" w:cs="宋体"/>
                <w:spacing w:val="-3"/>
                <w:sz w:val="21"/>
                <w:szCs w:val="21"/>
              </w:rPr>
              <w:t>有组织废气颗粒物、硫酸雾执行《大气污染物综</w:t>
            </w:r>
            <w:r>
              <w:rPr>
                <w:rFonts w:hint="eastAsia" w:ascii="宋体" w:hAnsi="宋体" w:eastAsia="宋体" w:cs="宋体"/>
                <w:spacing w:val="-4"/>
                <w:sz w:val="21"/>
                <w:szCs w:val="21"/>
              </w:rPr>
              <w:t>合排放标准》（GB16297-1996）</w:t>
            </w:r>
            <w:r>
              <w:rPr>
                <w:rFonts w:hint="eastAsia" w:ascii="宋体" w:hAnsi="宋体" w:eastAsia="宋体" w:cs="宋体"/>
                <w:sz w:val="21"/>
                <w:szCs w:val="21"/>
              </w:rPr>
              <w:t xml:space="preserve"> </w:t>
            </w:r>
            <w:r>
              <w:rPr>
                <w:rFonts w:hint="eastAsia" w:ascii="宋体" w:hAnsi="宋体" w:eastAsia="宋体" w:cs="宋体"/>
                <w:spacing w:val="10"/>
                <w:sz w:val="21"/>
                <w:szCs w:val="21"/>
              </w:rPr>
              <w:t>新污染源大气污染物二级排放标准；项目运营期无组织废气颗粒物</w:t>
            </w:r>
            <w:r>
              <w:rPr>
                <w:rFonts w:hint="eastAsia" w:ascii="宋体" w:hAnsi="宋体" w:eastAsia="宋体" w:cs="宋体"/>
                <w:spacing w:val="9"/>
                <w:sz w:val="21"/>
                <w:szCs w:val="21"/>
              </w:rPr>
              <w:t>、硫酸雾执行《大气</w:t>
            </w:r>
            <w:r>
              <w:rPr>
                <w:rFonts w:hint="eastAsia" w:ascii="宋体" w:hAnsi="宋体" w:eastAsia="宋体" w:cs="宋体"/>
                <w:spacing w:val="8"/>
                <w:sz w:val="21"/>
                <w:szCs w:val="21"/>
              </w:rPr>
              <w:t>污染物综合排放标准》（</w:t>
            </w:r>
            <w:r>
              <w:rPr>
                <w:rFonts w:hint="eastAsia" w:ascii="宋体" w:hAnsi="宋体" w:eastAsia="宋体" w:cs="宋体"/>
                <w:sz w:val="21"/>
                <w:szCs w:val="21"/>
              </w:rPr>
              <w:t>GB</w:t>
            </w:r>
            <w:r>
              <w:rPr>
                <w:rFonts w:hint="eastAsia" w:ascii="宋体" w:hAnsi="宋体" w:eastAsia="宋体" w:cs="宋体"/>
                <w:spacing w:val="8"/>
                <w:sz w:val="21"/>
                <w:szCs w:val="21"/>
              </w:rPr>
              <w:t>16297-1996）表</w:t>
            </w:r>
            <w:r>
              <w:rPr>
                <w:rFonts w:hint="eastAsia" w:ascii="宋体" w:hAnsi="宋体" w:eastAsia="宋体" w:cs="宋体"/>
                <w:spacing w:val="-25"/>
                <w:sz w:val="21"/>
                <w:szCs w:val="21"/>
              </w:rPr>
              <w:t xml:space="preserve"> </w:t>
            </w:r>
            <w:r>
              <w:rPr>
                <w:rFonts w:hint="eastAsia" w:ascii="宋体" w:hAnsi="宋体" w:eastAsia="宋体" w:cs="宋体"/>
                <w:spacing w:val="8"/>
                <w:sz w:val="21"/>
                <w:szCs w:val="21"/>
              </w:rPr>
              <w:t>2无组织排放监控浓度限值</w:t>
            </w:r>
            <w:r>
              <w:rPr>
                <w:rFonts w:hint="eastAsia" w:ascii="宋体" w:hAnsi="宋体" w:cs="宋体"/>
                <w:spacing w:val="8"/>
                <w:sz w:val="21"/>
                <w:szCs w:val="21"/>
                <w:lang w:eastAsia="zh-CN"/>
              </w:rPr>
              <w:t>。</w:t>
            </w:r>
          </w:p>
          <w:p w14:paraId="79E3E65F">
            <w:pPr>
              <w:jc w:val="center"/>
              <w:rPr>
                <w:b/>
                <w:sz w:val="24"/>
              </w:rPr>
            </w:pPr>
            <w:r>
              <w:rPr>
                <w:b/>
                <w:sz w:val="21"/>
                <w:szCs w:val="21"/>
              </w:rPr>
              <w:t>表3-</w:t>
            </w:r>
            <w:r>
              <w:rPr>
                <w:rFonts w:hint="eastAsia"/>
                <w:b/>
                <w:sz w:val="21"/>
                <w:szCs w:val="21"/>
                <w:lang w:val="en-US" w:eastAsia="zh-CN"/>
              </w:rPr>
              <w:t>12</w:t>
            </w:r>
            <w:r>
              <w:rPr>
                <w:b/>
                <w:sz w:val="21"/>
                <w:szCs w:val="21"/>
              </w:rPr>
              <w:t xml:space="preserve">    大气污染物</w:t>
            </w:r>
            <w:r>
              <w:rPr>
                <w:rFonts w:hint="eastAsia"/>
                <w:b/>
                <w:sz w:val="21"/>
                <w:szCs w:val="21"/>
              </w:rPr>
              <w:t>综合</w:t>
            </w:r>
            <w:r>
              <w:rPr>
                <w:b/>
                <w:sz w:val="21"/>
                <w:szCs w:val="21"/>
              </w:rPr>
              <w:t>排放标准</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878"/>
              <w:gridCol w:w="1378"/>
              <w:gridCol w:w="1041"/>
              <w:gridCol w:w="1923"/>
              <w:gridCol w:w="992"/>
            </w:tblGrid>
            <w:tr w14:paraId="40CA6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14" w:hRule="atLeast"/>
                <w:jc w:val="center"/>
              </w:trPr>
              <w:tc>
                <w:tcPr>
                  <w:tcW w:w="1039" w:type="dxa"/>
                  <w:vMerge w:val="restart"/>
                  <w:tcBorders>
                    <w:tl2br w:val="nil"/>
                    <w:tr2bl w:val="nil"/>
                  </w:tcBorders>
                  <w:noWrap w:val="0"/>
                  <w:vAlign w:val="center"/>
                </w:tcPr>
                <w:p w14:paraId="3B88D0E7">
                  <w:pPr>
                    <w:jc w:val="center"/>
                    <w:rPr>
                      <w:sz w:val="21"/>
                      <w:szCs w:val="21"/>
                    </w:rPr>
                  </w:pPr>
                  <w:r>
                    <w:rPr>
                      <w:sz w:val="21"/>
                      <w:szCs w:val="21"/>
                    </w:rPr>
                    <w:t>污染物</w:t>
                  </w:r>
                </w:p>
              </w:tc>
              <w:tc>
                <w:tcPr>
                  <w:tcW w:w="1878" w:type="dxa"/>
                  <w:vMerge w:val="restart"/>
                  <w:tcBorders>
                    <w:tl2br w:val="nil"/>
                    <w:tr2bl w:val="nil"/>
                  </w:tcBorders>
                  <w:noWrap w:val="0"/>
                  <w:vAlign w:val="center"/>
                </w:tcPr>
                <w:p w14:paraId="74F5DBA1">
                  <w:pPr>
                    <w:jc w:val="center"/>
                    <w:rPr>
                      <w:sz w:val="21"/>
                      <w:szCs w:val="21"/>
                    </w:rPr>
                  </w:pPr>
                  <w:r>
                    <w:rPr>
                      <w:sz w:val="21"/>
                      <w:szCs w:val="21"/>
                    </w:rPr>
                    <w:t>最高允许排放浓度(mg/m</w:t>
                  </w:r>
                  <w:r>
                    <w:rPr>
                      <w:sz w:val="21"/>
                      <w:szCs w:val="21"/>
                      <w:vertAlign w:val="superscript"/>
                    </w:rPr>
                    <w:t>3</w:t>
                  </w:r>
                  <w:r>
                    <w:rPr>
                      <w:sz w:val="21"/>
                      <w:szCs w:val="21"/>
                    </w:rPr>
                    <w:t>)</w:t>
                  </w:r>
                </w:p>
              </w:tc>
              <w:tc>
                <w:tcPr>
                  <w:tcW w:w="2419" w:type="dxa"/>
                  <w:gridSpan w:val="2"/>
                  <w:tcBorders>
                    <w:tl2br w:val="nil"/>
                    <w:tr2bl w:val="nil"/>
                  </w:tcBorders>
                  <w:noWrap w:val="0"/>
                  <w:vAlign w:val="center"/>
                </w:tcPr>
                <w:p w14:paraId="23E4317A">
                  <w:pPr>
                    <w:jc w:val="center"/>
                    <w:rPr>
                      <w:sz w:val="21"/>
                      <w:szCs w:val="21"/>
                    </w:rPr>
                  </w:pPr>
                  <w:r>
                    <w:rPr>
                      <w:sz w:val="21"/>
                      <w:szCs w:val="21"/>
                    </w:rPr>
                    <w:t>最高允许排放速率（kg/h）</w:t>
                  </w:r>
                </w:p>
              </w:tc>
              <w:tc>
                <w:tcPr>
                  <w:tcW w:w="2915" w:type="dxa"/>
                  <w:gridSpan w:val="2"/>
                  <w:tcBorders>
                    <w:tl2br w:val="nil"/>
                    <w:tr2bl w:val="nil"/>
                  </w:tcBorders>
                  <w:noWrap w:val="0"/>
                  <w:vAlign w:val="center"/>
                </w:tcPr>
                <w:p w14:paraId="5A873DEE">
                  <w:pPr>
                    <w:jc w:val="center"/>
                    <w:rPr>
                      <w:sz w:val="21"/>
                      <w:szCs w:val="21"/>
                    </w:rPr>
                  </w:pPr>
                  <w:r>
                    <w:rPr>
                      <w:sz w:val="21"/>
                      <w:szCs w:val="21"/>
                    </w:rPr>
                    <w:t>无组织排放浓度限值</w:t>
                  </w:r>
                </w:p>
              </w:tc>
            </w:tr>
            <w:tr w14:paraId="0791C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039" w:type="dxa"/>
                  <w:vMerge w:val="continue"/>
                  <w:tcBorders>
                    <w:tl2br w:val="nil"/>
                    <w:tr2bl w:val="nil"/>
                  </w:tcBorders>
                  <w:noWrap w:val="0"/>
                  <w:vAlign w:val="top"/>
                </w:tcPr>
                <w:p w14:paraId="4814BFB1">
                  <w:pPr>
                    <w:jc w:val="center"/>
                    <w:rPr>
                      <w:sz w:val="21"/>
                      <w:szCs w:val="21"/>
                    </w:rPr>
                  </w:pPr>
                </w:p>
              </w:tc>
              <w:tc>
                <w:tcPr>
                  <w:tcW w:w="1878" w:type="dxa"/>
                  <w:vMerge w:val="continue"/>
                  <w:tcBorders>
                    <w:tl2br w:val="nil"/>
                    <w:tr2bl w:val="nil"/>
                  </w:tcBorders>
                  <w:noWrap w:val="0"/>
                  <w:vAlign w:val="center"/>
                </w:tcPr>
                <w:p w14:paraId="016786C6">
                  <w:pPr>
                    <w:jc w:val="center"/>
                    <w:rPr>
                      <w:rFonts w:ascii="Times New Roman" w:hAnsi="Times New Roman" w:eastAsia="宋体" w:cs="Times New Roman"/>
                      <w:sz w:val="21"/>
                      <w:szCs w:val="21"/>
                      <w:lang w:val="en-US" w:eastAsia="zh-CN" w:bidi="ar-SA"/>
                    </w:rPr>
                  </w:pPr>
                </w:p>
              </w:tc>
              <w:tc>
                <w:tcPr>
                  <w:tcW w:w="1378" w:type="dxa"/>
                  <w:tcBorders>
                    <w:tl2br w:val="nil"/>
                    <w:tr2bl w:val="nil"/>
                  </w:tcBorders>
                  <w:noWrap w:val="0"/>
                  <w:vAlign w:val="center"/>
                </w:tcPr>
                <w:p w14:paraId="584C930B">
                  <w:pPr>
                    <w:jc w:val="center"/>
                    <w:rPr>
                      <w:rFonts w:ascii="Times New Roman" w:hAnsi="Times New Roman" w:eastAsia="宋体" w:cs="Times New Roman"/>
                      <w:sz w:val="21"/>
                      <w:szCs w:val="21"/>
                      <w:lang w:val="en-US" w:eastAsia="zh-CN" w:bidi="ar-SA"/>
                    </w:rPr>
                  </w:pPr>
                  <w:r>
                    <w:rPr>
                      <w:sz w:val="21"/>
                      <w:szCs w:val="21"/>
                    </w:rPr>
                    <w:t>排气筒</w:t>
                  </w:r>
                </w:p>
              </w:tc>
              <w:tc>
                <w:tcPr>
                  <w:tcW w:w="1041" w:type="dxa"/>
                  <w:tcBorders>
                    <w:tl2br w:val="nil"/>
                    <w:tr2bl w:val="nil"/>
                  </w:tcBorders>
                  <w:noWrap w:val="0"/>
                  <w:vAlign w:val="center"/>
                </w:tcPr>
                <w:p w14:paraId="10747E06">
                  <w:pPr>
                    <w:jc w:val="center"/>
                    <w:rPr>
                      <w:sz w:val="21"/>
                      <w:szCs w:val="21"/>
                    </w:rPr>
                  </w:pPr>
                  <w:r>
                    <w:rPr>
                      <w:sz w:val="21"/>
                      <w:szCs w:val="21"/>
                    </w:rPr>
                    <w:t>二级</w:t>
                  </w:r>
                </w:p>
              </w:tc>
              <w:tc>
                <w:tcPr>
                  <w:tcW w:w="1923" w:type="dxa"/>
                  <w:tcBorders>
                    <w:tl2br w:val="nil"/>
                    <w:tr2bl w:val="nil"/>
                  </w:tcBorders>
                  <w:noWrap w:val="0"/>
                  <w:vAlign w:val="center"/>
                </w:tcPr>
                <w:p w14:paraId="0925FC39">
                  <w:pPr>
                    <w:jc w:val="center"/>
                    <w:rPr>
                      <w:rFonts w:ascii="Times New Roman" w:hAnsi="Times New Roman" w:eastAsia="宋体" w:cs="Times New Roman"/>
                      <w:sz w:val="21"/>
                      <w:szCs w:val="21"/>
                      <w:lang w:val="en-US" w:eastAsia="zh-CN" w:bidi="ar-SA"/>
                    </w:rPr>
                  </w:pPr>
                  <w:r>
                    <w:rPr>
                      <w:sz w:val="21"/>
                      <w:szCs w:val="21"/>
                    </w:rPr>
                    <w:t>监控点</w:t>
                  </w:r>
                </w:p>
              </w:tc>
              <w:tc>
                <w:tcPr>
                  <w:tcW w:w="992" w:type="dxa"/>
                  <w:tcBorders>
                    <w:tl2br w:val="nil"/>
                    <w:tr2bl w:val="nil"/>
                  </w:tcBorders>
                  <w:noWrap w:val="0"/>
                  <w:vAlign w:val="top"/>
                </w:tcPr>
                <w:p w14:paraId="6F0550B0">
                  <w:pPr>
                    <w:jc w:val="center"/>
                    <w:rPr>
                      <w:rFonts w:ascii="Times New Roman" w:hAnsi="Times New Roman" w:eastAsia="宋体" w:cs="Times New Roman"/>
                      <w:sz w:val="21"/>
                      <w:szCs w:val="21"/>
                      <w:lang w:val="en-US" w:eastAsia="zh-CN" w:bidi="ar-SA"/>
                    </w:rPr>
                  </w:pPr>
                  <w:r>
                    <w:rPr>
                      <w:sz w:val="21"/>
                      <w:szCs w:val="21"/>
                    </w:rPr>
                    <w:t>浓度(mg/m</w:t>
                  </w:r>
                  <w:r>
                    <w:rPr>
                      <w:sz w:val="21"/>
                      <w:szCs w:val="21"/>
                      <w:vertAlign w:val="superscript"/>
                    </w:rPr>
                    <w:t>3</w:t>
                  </w:r>
                  <w:r>
                    <w:rPr>
                      <w:sz w:val="21"/>
                      <w:szCs w:val="21"/>
                    </w:rPr>
                    <w:t>)</w:t>
                  </w:r>
                </w:p>
              </w:tc>
            </w:tr>
            <w:tr w14:paraId="7C018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1039" w:type="dxa"/>
                  <w:tcBorders>
                    <w:tl2br w:val="nil"/>
                    <w:tr2bl w:val="nil"/>
                  </w:tcBorders>
                  <w:noWrap w:val="0"/>
                  <w:vAlign w:val="center"/>
                </w:tcPr>
                <w:p w14:paraId="61728D34">
                  <w:pPr>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颗粒物</w:t>
                  </w:r>
                </w:p>
              </w:tc>
              <w:tc>
                <w:tcPr>
                  <w:tcW w:w="1878" w:type="dxa"/>
                  <w:tcBorders>
                    <w:tl2br w:val="nil"/>
                    <w:tr2bl w:val="nil"/>
                  </w:tcBorders>
                  <w:noWrap w:val="0"/>
                  <w:vAlign w:val="center"/>
                </w:tcPr>
                <w:p w14:paraId="104F4022">
                  <w:pPr>
                    <w:jc w:val="center"/>
                    <w:rPr>
                      <w:rFonts w:ascii="Times New Roman" w:hAnsi="Times New Roman" w:eastAsia="宋体" w:cs="Times New Roman"/>
                      <w:sz w:val="21"/>
                      <w:szCs w:val="21"/>
                      <w:lang w:val="en-US" w:eastAsia="zh-CN" w:bidi="ar-SA"/>
                    </w:rPr>
                  </w:pPr>
                  <w:r>
                    <w:rPr>
                      <w:sz w:val="21"/>
                      <w:szCs w:val="21"/>
                    </w:rPr>
                    <w:t>120</w:t>
                  </w:r>
                </w:p>
              </w:tc>
              <w:tc>
                <w:tcPr>
                  <w:tcW w:w="1378" w:type="dxa"/>
                  <w:tcBorders>
                    <w:tl2br w:val="nil"/>
                    <w:tr2bl w:val="nil"/>
                  </w:tcBorders>
                  <w:noWrap w:val="0"/>
                  <w:vAlign w:val="center"/>
                </w:tcPr>
                <w:p w14:paraId="2656CE00">
                  <w:pPr>
                    <w:jc w:val="center"/>
                    <w:rPr>
                      <w:rFonts w:ascii="Times New Roman" w:hAnsi="Times New Roman" w:eastAsia="宋体" w:cs="Times New Roman"/>
                      <w:sz w:val="21"/>
                      <w:szCs w:val="21"/>
                      <w:lang w:val="en-US" w:eastAsia="zh-CN" w:bidi="ar-SA"/>
                    </w:rPr>
                  </w:pPr>
                  <w:r>
                    <w:rPr>
                      <w:sz w:val="21"/>
                      <w:szCs w:val="21"/>
                    </w:rPr>
                    <w:t>15m</w:t>
                  </w:r>
                </w:p>
              </w:tc>
              <w:tc>
                <w:tcPr>
                  <w:tcW w:w="1041" w:type="dxa"/>
                  <w:tcBorders>
                    <w:tl2br w:val="nil"/>
                    <w:tr2bl w:val="nil"/>
                  </w:tcBorders>
                  <w:noWrap w:val="0"/>
                  <w:vAlign w:val="center"/>
                </w:tcPr>
                <w:p w14:paraId="5A6439D2">
                  <w:pPr>
                    <w:jc w:val="center"/>
                    <w:rPr>
                      <w:rFonts w:hint="default" w:eastAsia="宋体"/>
                      <w:sz w:val="21"/>
                      <w:szCs w:val="21"/>
                      <w:lang w:val="en-US" w:eastAsia="zh-CN"/>
                    </w:rPr>
                  </w:pPr>
                  <w:r>
                    <w:rPr>
                      <w:rFonts w:hint="eastAsia"/>
                      <w:sz w:val="21"/>
                      <w:szCs w:val="21"/>
                      <w:lang w:val="en-US" w:eastAsia="zh-CN"/>
                    </w:rPr>
                    <w:t>3.5</w:t>
                  </w:r>
                </w:p>
              </w:tc>
              <w:tc>
                <w:tcPr>
                  <w:tcW w:w="1923" w:type="dxa"/>
                  <w:tcBorders>
                    <w:tl2br w:val="nil"/>
                    <w:tr2bl w:val="nil"/>
                  </w:tcBorders>
                  <w:noWrap w:val="0"/>
                  <w:vAlign w:val="center"/>
                </w:tcPr>
                <w:p w14:paraId="23597022">
                  <w:pPr>
                    <w:jc w:val="center"/>
                    <w:rPr>
                      <w:rFonts w:ascii="Times New Roman" w:hAnsi="Times New Roman" w:eastAsia="宋体" w:cs="Times New Roman"/>
                      <w:sz w:val="21"/>
                      <w:szCs w:val="21"/>
                      <w:lang w:val="en-US" w:eastAsia="zh-CN" w:bidi="ar-SA"/>
                    </w:rPr>
                  </w:pPr>
                  <w:r>
                    <w:rPr>
                      <w:sz w:val="21"/>
                      <w:szCs w:val="21"/>
                    </w:rPr>
                    <w:t>周界外</w:t>
                  </w:r>
                  <w:r>
                    <w:rPr>
                      <w:rFonts w:hint="eastAsia"/>
                      <w:sz w:val="21"/>
                      <w:szCs w:val="21"/>
                    </w:rPr>
                    <w:t>浓</w:t>
                  </w:r>
                  <w:r>
                    <w:rPr>
                      <w:sz w:val="21"/>
                      <w:szCs w:val="21"/>
                    </w:rPr>
                    <w:t>度最高点</w:t>
                  </w:r>
                </w:p>
              </w:tc>
              <w:tc>
                <w:tcPr>
                  <w:tcW w:w="992" w:type="dxa"/>
                  <w:tcBorders>
                    <w:tl2br w:val="nil"/>
                    <w:tr2bl w:val="nil"/>
                  </w:tcBorders>
                  <w:noWrap w:val="0"/>
                  <w:vAlign w:val="top"/>
                </w:tcPr>
                <w:p w14:paraId="097D1013">
                  <w:pPr>
                    <w:jc w:val="center"/>
                    <w:rPr>
                      <w:rFonts w:ascii="Times New Roman" w:hAnsi="Times New Roman" w:eastAsia="宋体" w:cs="Times New Roman"/>
                      <w:sz w:val="21"/>
                      <w:szCs w:val="21"/>
                      <w:lang w:val="en-US" w:eastAsia="zh-CN" w:bidi="ar-SA"/>
                    </w:rPr>
                  </w:pPr>
                  <w:r>
                    <w:rPr>
                      <w:sz w:val="21"/>
                      <w:szCs w:val="21"/>
                    </w:rPr>
                    <w:t>1.0</w:t>
                  </w:r>
                </w:p>
              </w:tc>
            </w:tr>
            <w:tr w14:paraId="5C23D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9" w:type="dxa"/>
                  <w:tcBorders>
                    <w:tl2br w:val="nil"/>
                    <w:tr2bl w:val="nil"/>
                  </w:tcBorders>
                  <w:noWrap w:val="0"/>
                  <w:vAlign w:val="center"/>
                </w:tcPr>
                <w:p w14:paraId="418501C7">
                  <w:pPr>
                    <w:jc w:val="center"/>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bidi="ar-SA"/>
                    </w:rPr>
                    <w:t>硫酸雾</w:t>
                  </w:r>
                </w:p>
              </w:tc>
              <w:tc>
                <w:tcPr>
                  <w:tcW w:w="1878" w:type="dxa"/>
                  <w:tcBorders>
                    <w:tl2br w:val="nil"/>
                    <w:tr2bl w:val="nil"/>
                  </w:tcBorders>
                  <w:noWrap w:val="0"/>
                  <w:vAlign w:val="center"/>
                </w:tcPr>
                <w:p w14:paraId="405CF84D">
                  <w:pPr>
                    <w:jc w:val="center"/>
                    <w:rPr>
                      <w:rFonts w:ascii="Times New Roman" w:hAnsi="Times New Roman" w:eastAsia="宋体" w:cs="Times New Roman"/>
                      <w:sz w:val="21"/>
                      <w:szCs w:val="21"/>
                      <w:lang w:val="en-US" w:eastAsia="zh-CN" w:bidi="ar-SA"/>
                    </w:rPr>
                  </w:pPr>
                  <w:r>
                    <w:rPr>
                      <w:sz w:val="21"/>
                      <w:szCs w:val="21"/>
                    </w:rPr>
                    <w:t>45</w:t>
                  </w:r>
                </w:p>
              </w:tc>
              <w:tc>
                <w:tcPr>
                  <w:tcW w:w="1378" w:type="dxa"/>
                  <w:tcBorders>
                    <w:tl2br w:val="nil"/>
                    <w:tr2bl w:val="nil"/>
                  </w:tcBorders>
                  <w:noWrap w:val="0"/>
                  <w:vAlign w:val="center"/>
                </w:tcPr>
                <w:p w14:paraId="55F7C586">
                  <w:pPr>
                    <w:jc w:val="center"/>
                    <w:rPr>
                      <w:rFonts w:ascii="Times New Roman" w:hAnsi="Times New Roman" w:eastAsia="宋体" w:cs="Times New Roman"/>
                      <w:sz w:val="21"/>
                      <w:szCs w:val="21"/>
                      <w:lang w:val="en-US" w:eastAsia="zh-CN" w:bidi="ar-SA"/>
                    </w:rPr>
                  </w:pPr>
                  <w:r>
                    <w:rPr>
                      <w:sz w:val="21"/>
                      <w:szCs w:val="21"/>
                    </w:rPr>
                    <w:t>15m</w:t>
                  </w:r>
                </w:p>
              </w:tc>
              <w:tc>
                <w:tcPr>
                  <w:tcW w:w="1041" w:type="dxa"/>
                  <w:tcBorders>
                    <w:tl2br w:val="nil"/>
                    <w:tr2bl w:val="nil"/>
                  </w:tcBorders>
                  <w:noWrap w:val="0"/>
                  <w:vAlign w:val="center"/>
                </w:tcPr>
                <w:p w14:paraId="1DB0BEC9">
                  <w:pPr>
                    <w:jc w:val="center"/>
                    <w:rPr>
                      <w:rFonts w:hint="default" w:eastAsia="宋体"/>
                      <w:sz w:val="21"/>
                      <w:szCs w:val="21"/>
                      <w:lang w:val="en-US" w:eastAsia="zh-CN"/>
                    </w:rPr>
                  </w:pPr>
                  <w:r>
                    <w:rPr>
                      <w:rFonts w:hint="eastAsia"/>
                      <w:sz w:val="21"/>
                      <w:szCs w:val="21"/>
                      <w:lang w:val="en-US" w:eastAsia="zh-CN"/>
                    </w:rPr>
                    <w:t>1.5</w:t>
                  </w:r>
                </w:p>
              </w:tc>
              <w:tc>
                <w:tcPr>
                  <w:tcW w:w="1923" w:type="dxa"/>
                  <w:tcBorders>
                    <w:tl2br w:val="nil"/>
                    <w:tr2bl w:val="nil"/>
                  </w:tcBorders>
                  <w:noWrap w:val="0"/>
                  <w:vAlign w:val="center"/>
                </w:tcPr>
                <w:p w14:paraId="22841F65">
                  <w:pPr>
                    <w:jc w:val="center"/>
                    <w:rPr>
                      <w:rFonts w:ascii="Times New Roman" w:hAnsi="Times New Roman" w:eastAsia="宋体" w:cs="Times New Roman"/>
                      <w:sz w:val="21"/>
                      <w:szCs w:val="21"/>
                      <w:lang w:val="en-US" w:eastAsia="zh-CN" w:bidi="ar-SA"/>
                    </w:rPr>
                  </w:pPr>
                  <w:r>
                    <w:rPr>
                      <w:sz w:val="21"/>
                      <w:szCs w:val="21"/>
                    </w:rPr>
                    <w:t>周界外浓度最高点</w:t>
                  </w:r>
                </w:p>
              </w:tc>
              <w:tc>
                <w:tcPr>
                  <w:tcW w:w="992" w:type="dxa"/>
                  <w:tcBorders>
                    <w:tl2br w:val="nil"/>
                    <w:tr2bl w:val="nil"/>
                  </w:tcBorders>
                  <w:noWrap w:val="0"/>
                  <w:vAlign w:val="top"/>
                </w:tcPr>
                <w:p w14:paraId="7EA766CF">
                  <w:pPr>
                    <w:jc w:val="center"/>
                    <w:rPr>
                      <w:rFonts w:ascii="Times New Roman" w:hAnsi="Times New Roman" w:eastAsia="宋体" w:cs="Times New Roman"/>
                      <w:sz w:val="21"/>
                      <w:szCs w:val="21"/>
                      <w:lang w:val="en-US" w:eastAsia="zh-CN" w:bidi="ar-SA"/>
                    </w:rPr>
                  </w:pPr>
                  <w:r>
                    <w:rPr>
                      <w:sz w:val="21"/>
                      <w:szCs w:val="21"/>
                    </w:rPr>
                    <w:t>1.2</w:t>
                  </w:r>
                </w:p>
              </w:tc>
            </w:tr>
          </w:tbl>
          <w:p w14:paraId="1E0AFA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宋体"/>
                <w:color w:val="000000"/>
                <w:sz w:val="24"/>
                <w:szCs w:val="24"/>
                <w:highlight w:val="none"/>
                <w:lang w:val="en-US" w:eastAsia="zh-CN"/>
              </w:rPr>
            </w:pPr>
            <w:r>
              <w:rPr>
                <w:rFonts w:hint="eastAsia" w:cs="宋体"/>
                <w:color w:val="0000FF"/>
                <w:sz w:val="24"/>
                <w:szCs w:val="24"/>
                <w:highlight w:val="none"/>
                <w:u w:val="single"/>
                <w:lang w:val="en-US" w:eastAsia="zh-CN"/>
              </w:rPr>
              <w:t>本项目烘干工序的烟气中</w:t>
            </w:r>
            <w:r>
              <w:rPr>
                <w:rFonts w:hint="eastAsia" w:ascii="Times New Roman" w:hAnsi="Times New Roman" w:eastAsia="宋体" w:cs="Times New Roman"/>
                <w:color w:val="0000FF"/>
                <w:sz w:val="24"/>
                <w:highlight w:val="none"/>
                <w:u w:val="single"/>
                <w:lang w:val="en-US" w:eastAsia="zh-CN"/>
              </w:rPr>
              <w:t>颗粒物、二氧化硫、烟气黑度执行《工业炉窑大气污染物排放标准》（GB9078-1996）表2标准要求，氮氧化物执行《大气污染物综合排放标准》（GB16297-1996）中二级标准要求</w:t>
            </w:r>
            <w:r>
              <w:rPr>
                <w:rFonts w:hint="eastAsia" w:ascii="Times New Roman" w:hAnsi="Times New Roman" w:eastAsia="宋体" w:cs="Times New Roman"/>
                <w:color w:val="000000"/>
                <w:sz w:val="24"/>
                <w:highlight w:val="none"/>
                <w:lang w:val="en-US" w:eastAsia="zh-CN"/>
              </w:rPr>
              <w:t>，详见下表。</w:t>
            </w:r>
          </w:p>
          <w:p w14:paraId="6BB834A1">
            <w:pPr>
              <w:jc w:val="center"/>
              <w:rPr>
                <w:rFonts w:ascii="Times New Roman" w:hAnsi="Times New Roman" w:eastAsia="宋体" w:cs="Times New Roman"/>
                <w:b/>
                <w:color w:val="000000"/>
                <w:sz w:val="21"/>
                <w:szCs w:val="21"/>
                <w:highlight w:val="none"/>
              </w:rPr>
            </w:pPr>
            <w:r>
              <w:rPr>
                <w:rFonts w:ascii="Times New Roman" w:hAnsi="Times New Roman" w:eastAsia="宋体" w:cs="Times New Roman"/>
                <w:b/>
                <w:color w:val="000000"/>
                <w:sz w:val="21"/>
                <w:szCs w:val="21"/>
                <w:highlight w:val="none"/>
              </w:rPr>
              <w:t>表</w:t>
            </w:r>
            <w:r>
              <w:rPr>
                <w:rFonts w:hint="eastAsia" w:ascii="Times New Roman" w:hAnsi="Times New Roman" w:eastAsia="宋体" w:cs="Times New Roman"/>
                <w:b/>
                <w:color w:val="000000"/>
                <w:sz w:val="21"/>
                <w:szCs w:val="21"/>
                <w:highlight w:val="none"/>
                <w:lang w:val="en-US" w:eastAsia="zh-CN"/>
              </w:rPr>
              <w:t>3-</w:t>
            </w:r>
            <w:r>
              <w:rPr>
                <w:rFonts w:hint="eastAsia" w:cs="Times New Roman"/>
                <w:b/>
                <w:color w:val="000000"/>
                <w:sz w:val="21"/>
                <w:szCs w:val="21"/>
                <w:highlight w:val="none"/>
                <w:lang w:val="en-US" w:eastAsia="zh-CN"/>
              </w:rPr>
              <w:t>13</w:t>
            </w:r>
            <w:r>
              <w:rPr>
                <w:rFonts w:hint="eastAsia" w:ascii="Times New Roman" w:hAnsi="Times New Roman" w:eastAsia="宋体" w:cs="Times New Roman"/>
                <w:b/>
                <w:color w:val="000000"/>
                <w:sz w:val="21"/>
                <w:szCs w:val="21"/>
                <w:highlight w:val="none"/>
                <w:lang w:val="en-US" w:eastAsia="zh-CN"/>
              </w:rPr>
              <w:t xml:space="preserve"> </w:t>
            </w:r>
            <w:r>
              <w:rPr>
                <w:rFonts w:ascii="Times New Roman" w:hAnsi="Times New Roman" w:eastAsia="宋体" w:cs="Times New Roman"/>
                <w:b/>
                <w:color w:val="000000"/>
                <w:sz w:val="21"/>
                <w:szCs w:val="21"/>
                <w:highlight w:val="none"/>
              </w:rPr>
              <w:t xml:space="preserve"> </w:t>
            </w:r>
            <w:r>
              <w:rPr>
                <w:rFonts w:hint="eastAsia" w:ascii="Times New Roman" w:hAnsi="Times New Roman" w:eastAsia="宋体" w:cs="Times New Roman"/>
                <w:b/>
                <w:color w:val="000000"/>
                <w:sz w:val="21"/>
                <w:szCs w:val="21"/>
                <w:highlight w:val="none"/>
                <w:lang w:eastAsia="zh-CN"/>
              </w:rPr>
              <w:t>工业炉窑大气污染物排放标准限值</w:t>
            </w:r>
            <w:r>
              <w:rPr>
                <w:rFonts w:ascii="Times New Roman" w:hAnsi="Times New Roman" w:eastAsia="宋体" w:cs="Times New Roman"/>
                <w:b/>
                <w:color w:val="000000"/>
                <w:sz w:val="21"/>
                <w:szCs w:val="21"/>
                <w:highlight w:val="none"/>
              </w:rPr>
              <w:t xml:space="preserve">  单位：mg/m</w:t>
            </w:r>
            <w:r>
              <w:rPr>
                <w:rFonts w:ascii="Times New Roman" w:hAnsi="Times New Roman" w:eastAsia="宋体" w:cs="Times New Roman"/>
                <w:b/>
                <w:color w:val="000000"/>
                <w:sz w:val="21"/>
                <w:szCs w:val="21"/>
                <w:highlight w:val="none"/>
                <w:vertAlign w:val="superscript"/>
              </w:rPr>
              <w:t>3</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2698"/>
              <w:gridCol w:w="3400"/>
            </w:tblGrid>
            <w:tr w14:paraId="6E4AC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tcBorders>
                    <w:tl2br w:val="nil"/>
                    <w:tr2bl w:val="nil"/>
                  </w:tcBorders>
                  <w:noWrap w:val="0"/>
                  <w:vAlign w:val="center"/>
                </w:tcPr>
                <w:p w14:paraId="12CE9F06">
                  <w:pPr>
                    <w:snapToGrid w:val="0"/>
                    <w:ind w:left="-105" w:leftChars="-50" w:right="-105" w:rightChars="-50"/>
                    <w:jc w:val="center"/>
                    <w:rPr>
                      <w:rFonts w:hint="eastAsia" w:ascii="Times New Roman" w:hAnsi="Times New Roman" w:eastAsia="宋体" w:cs="Times New Roman"/>
                      <w:color w:val="000000"/>
                      <w:szCs w:val="21"/>
                      <w:highlight w:val="none"/>
                      <w:lang w:eastAsia="zh-CN"/>
                    </w:rPr>
                  </w:pPr>
                  <w:r>
                    <w:rPr>
                      <w:rFonts w:ascii="Times New Roman" w:hAnsi="Times New Roman" w:eastAsia="宋体" w:cs="Times New Roman"/>
                      <w:color w:val="000000"/>
                      <w:szCs w:val="21"/>
                      <w:highlight w:val="none"/>
                    </w:rPr>
                    <w:t>污染物</w:t>
                  </w:r>
                  <w:r>
                    <w:rPr>
                      <w:rFonts w:hint="eastAsia" w:ascii="Times New Roman" w:hAnsi="Times New Roman" w:eastAsia="宋体" w:cs="Times New Roman"/>
                      <w:color w:val="000000"/>
                      <w:szCs w:val="21"/>
                      <w:highlight w:val="none"/>
                      <w:lang w:eastAsia="zh-CN"/>
                    </w:rPr>
                    <w:t>名称</w:t>
                  </w:r>
                </w:p>
              </w:tc>
              <w:tc>
                <w:tcPr>
                  <w:tcW w:w="1635" w:type="pct"/>
                  <w:tcBorders>
                    <w:tl2br w:val="nil"/>
                    <w:tr2bl w:val="nil"/>
                  </w:tcBorders>
                  <w:noWrap w:val="0"/>
                  <w:vAlign w:val="center"/>
                </w:tcPr>
                <w:p w14:paraId="5323DBB3">
                  <w:pPr>
                    <w:snapToGrid w:val="0"/>
                    <w:ind w:left="-105" w:leftChars="-50" w:right="-105" w:rightChars="-50"/>
                    <w:jc w:val="center"/>
                    <w:rPr>
                      <w:rFonts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lang w:eastAsia="zh-CN"/>
                    </w:rPr>
                    <w:t>最高允许排放浓度</w:t>
                  </w:r>
                </w:p>
              </w:tc>
              <w:tc>
                <w:tcPr>
                  <w:tcW w:w="2060" w:type="pct"/>
                  <w:tcBorders>
                    <w:tl2br w:val="nil"/>
                    <w:tr2bl w:val="nil"/>
                  </w:tcBorders>
                  <w:noWrap w:val="0"/>
                  <w:vAlign w:val="center"/>
                </w:tcPr>
                <w:p w14:paraId="418B5CF7">
                  <w:pPr>
                    <w:snapToGrid w:val="0"/>
                    <w:ind w:left="-105" w:leftChars="-50" w:right="-105" w:rightChars="-50"/>
                    <w:jc w:val="center"/>
                    <w:rPr>
                      <w:rFonts w:hint="eastAsia" w:ascii="Times New Roman" w:hAnsi="Times New Roman" w:eastAsia="宋体" w:cs="Times New Roman"/>
                      <w:color w:val="000000"/>
                      <w:szCs w:val="21"/>
                      <w:highlight w:val="none"/>
                      <w:lang w:eastAsia="zh-CN"/>
                    </w:rPr>
                  </w:pPr>
                  <w:r>
                    <w:rPr>
                      <w:rFonts w:hint="eastAsia" w:ascii="Times New Roman" w:hAnsi="Times New Roman" w:eastAsia="宋体" w:cs="Times New Roman"/>
                      <w:color w:val="000000"/>
                      <w:szCs w:val="21"/>
                      <w:highlight w:val="none"/>
                      <w:lang w:eastAsia="zh-CN"/>
                    </w:rPr>
                    <w:t>依据</w:t>
                  </w:r>
                </w:p>
              </w:tc>
            </w:tr>
            <w:tr w14:paraId="6A5EC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tcBorders>
                    <w:tl2br w:val="nil"/>
                    <w:tr2bl w:val="nil"/>
                  </w:tcBorders>
                  <w:noWrap w:val="0"/>
                  <w:vAlign w:val="center"/>
                </w:tcPr>
                <w:p w14:paraId="2D887840">
                  <w:pPr>
                    <w:snapToGrid w:val="0"/>
                    <w:ind w:left="-105" w:leftChars="-50" w:right="-105" w:rightChars="-50"/>
                    <w:jc w:val="center"/>
                    <w:rPr>
                      <w:rFonts w:hint="eastAsia" w:ascii="Times New Roman" w:hAnsi="Times New Roman" w:eastAsia="宋体" w:cs="Times New Roman"/>
                      <w:color w:val="000000"/>
                      <w:szCs w:val="21"/>
                      <w:highlight w:val="none"/>
                      <w:lang w:eastAsia="zh-CN"/>
                    </w:rPr>
                  </w:pPr>
                  <w:r>
                    <w:rPr>
                      <w:rFonts w:hint="eastAsia" w:ascii="Times New Roman" w:hAnsi="Times New Roman" w:eastAsia="宋体" w:cs="Times New Roman"/>
                      <w:color w:val="000000"/>
                      <w:szCs w:val="21"/>
                      <w:highlight w:val="none"/>
                      <w:lang w:eastAsia="zh-CN"/>
                    </w:rPr>
                    <w:t>烟尘</w:t>
                  </w:r>
                </w:p>
              </w:tc>
              <w:tc>
                <w:tcPr>
                  <w:tcW w:w="1635" w:type="pct"/>
                  <w:tcBorders>
                    <w:tl2br w:val="nil"/>
                    <w:tr2bl w:val="nil"/>
                  </w:tcBorders>
                  <w:noWrap w:val="0"/>
                  <w:vAlign w:val="center"/>
                </w:tcPr>
                <w:p w14:paraId="5A480175">
                  <w:pPr>
                    <w:snapToGrid w:val="0"/>
                    <w:ind w:left="-105" w:leftChars="-50" w:right="-105" w:rightChars="-50"/>
                    <w:jc w:val="center"/>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200</w:t>
                  </w:r>
                </w:p>
              </w:tc>
              <w:tc>
                <w:tcPr>
                  <w:tcW w:w="2060" w:type="pct"/>
                  <w:vMerge w:val="restart"/>
                  <w:tcBorders>
                    <w:tl2br w:val="nil"/>
                    <w:tr2bl w:val="nil"/>
                  </w:tcBorders>
                  <w:noWrap w:val="0"/>
                  <w:vAlign w:val="center"/>
                </w:tcPr>
                <w:p w14:paraId="2D18E2BA">
                  <w:pPr>
                    <w:snapToGrid w:val="0"/>
                    <w:ind w:left="-105" w:leftChars="-50" w:right="-105" w:rightChars="-50"/>
                    <w:jc w:val="center"/>
                    <w:rPr>
                      <w:rFonts w:hint="eastAsia" w:ascii="Times New Roman" w:hAnsi="Times New Roman" w:eastAsia="宋体" w:cs="Times New Roman"/>
                      <w:color w:val="000000"/>
                      <w:szCs w:val="21"/>
                      <w:highlight w:val="none"/>
                      <w:lang w:eastAsia="zh-CN"/>
                    </w:rPr>
                  </w:pPr>
                  <w:r>
                    <w:rPr>
                      <w:rFonts w:hint="eastAsia" w:ascii="Times New Roman" w:hAnsi="Times New Roman" w:eastAsia="宋体" w:cs="Times New Roman"/>
                      <w:color w:val="000000"/>
                      <w:szCs w:val="21"/>
                      <w:highlight w:val="none"/>
                      <w:lang w:eastAsia="zh-CN"/>
                    </w:rPr>
                    <w:t>《工业炉窑大气污染物排放标准》（GB9078-1996）表2</w:t>
                  </w:r>
                  <w:r>
                    <w:rPr>
                      <w:rFonts w:hint="eastAsia" w:ascii="Times New Roman" w:hAnsi="Times New Roman" w:eastAsia="宋体" w:cs="Times New Roman"/>
                      <w:color w:val="000000"/>
                      <w:szCs w:val="21"/>
                      <w:highlight w:val="none"/>
                      <w:lang w:val="en-US" w:eastAsia="zh-CN"/>
                    </w:rPr>
                    <w:t>表4</w:t>
                  </w:r>
                  <w:r>
                    <w:rPr>
                      <w:rFonts w:hint="eastAsia" w:ascii="Times New Roman" w:hAnsi="Times New Roman" w:eastAsia="宋体" w:cs="Times New Roman"/>
                      <w:color w:val="000000"/>
                      <w:szCs w:val="21"/>
                      <w:highlight w:val="none"/>
                      <w:lang w:eastAsia="zh-CN"/>
                    </w:rPr>
                    <w:t>标准要求</w:t>
                  </w:r>
                </w:p>
              </w:tc>
            </w:tr>
            <w:tr w14:paraId="74B3F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tcBorders>
                    <w:tl2br w:val="nil"/>
                    <w:tr2bl w:val="nil"/>
                  </w:tcBorders>
                  <w:noWrap w:val="0"/>
                  <w:vAlign w:val="center"/>
                </w:tcPr>
                <w:p w14:paraId="5B3F3728">
                  <w:pPr>
                    <w:snapToGrid w:val="0"/>
                    <w:ind w:left="-105" w:leftChars="-50" w:right="-105" w:rightChars="-50"/>
                    <w:jc w:val="center"/>
                    <w:rPr>
                      <w:rFonts w:hint="eastAsia" w:ascii="Times New Roman" w:hAnsi="Times New Roman" w:eastAsia="宋体" w:cs="Times New Roman"/>
                      <w:color w:val="000000"/>
                      <w:szCs w:val="21"/>
                      <w:highlight w:val="none"/>
                      <w:lang w:eastAsia="zh-CN"/>
                    </w:rPr>
                  </w:pPr>
                  <w:r>
                    <w:rPr>
                      <w:rFonts w:hint="eastAsia" w:ascii="Times New Roman" w:hAnsi="Times New Roman" w:eastAsia="宋体" w:cs="Times New Roman"/>
                      <w:color w:val="000000"/>
                      <w:szCs w:val="21"/>
                      <w:highlight w:val="none"/>
                      <w:lang w:eastAsia="zh-CN"/>
                    </w:rPr>
                    <w:t>二氧化硫</w:t>
                  </w:r>
                </w:p>
              </w:tc>
              <w:tc>
                <w:tcPr>
                  <w:tcW w:w="1635" w:type="pct"/>
                  <w:tcBorders>
                    <w:tl2br w:val="nil"/>
                    <w:tr2bl w:val="nil"/>
                  </w:tcBorders>
                  <w:noWrap w:val="0"/>
                  <w:vAlign w:val="center"/>
                </w:tcPr>
                <w:p w14:paraId="4D195FBF">
                  <w:pPr>
                    <w:snapToGrid w:val="0"/>
                    <w:ind w:left="-105" w:leftChars="-50" w:right="-105" w:rightChars="-50"/>
                    <w:jc w:val="center"/>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850</w:t>
                  </w:r>
                </w:p>
              </w:tc>
              <w:tc>
                <w:tcPr>
                  <w:tcW w:w="2060" w:type="pct"/>
                  <w:vMerge w:val="continue"/>
                  <w:tcBorders>
                    <w:tl2br w:val="nil"/>
                    <w:tr2bl w:val="nil"/>
                  </w:tcBorders>
                  <w:noWrap w:val="0"/>
                  <w:vAlign w:val="center"/>
                </w:tcPr>
                <w:p w14:paraId="7164A5E6">
                  <w:pPr>
                    <w:snapToGrid w:val="0"/>
                    <w:ind w:left="-105" w:leftChars="-50" w:right="-105" w:rightChars="-50"/>
                    <w:jc w:val="center"/>
                    <w:rPr>
                      <w:rFonts w:ascii="Times New Roman" w:hAnsi="Times New Roman" w:eastAsia="宋体" w:cs="Times New Roman"/>
                      <w:color w:val="000000"/>
                      <w:szCs w:val="21"/>
                      <w:highlight w:val="none"/>
                    </w:rPr>
                  </w:pPr>
                </w:p>
              </w:tc>
            </w:tr>
            <w:tr w14:paraId="6CF07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03" w:type="pct"/>
                  <w:tcBorders>
                    <w:tl2br w:val="nil"/>
                    <w:tr2bl w:val="nil"/>
                  </w:tcBorders>
                  <w:noWrap w:val="0"/>
                  <w:vAlign w:val="center"/>
                </w:tcPr>
                <w:p w14:paraId="54C1A688">
                  <w:pPr>
                    <w:snapToGrid w:val="0"/>
                    <w:ind w:left="-105" w:leftChars="-50" w:right="-105" w:rightChars="-50"/>
                    <w:jc w:val="center"/>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烟气黑度</w:t>
                  </w:r>
                </w:p>
              </w:tc>
              <w:tc>
                <w:tcPr>
                  <w:tcW w:w="1635" w:type="pct"/>
                  <w:tcBorders>
                    <w:tl2br w:val="nil"/>
                    <w:tr2bl w:val="nil"/>
                  </w:tcBorders>
                  <w:noWrap w:val="0"/>
                  <w:vAlign w:val="center"/>
                </w:tcPr>
                <w:p w14:paraId="766B2EA6">
                  <w:pPr>
                    <w:snapToGrid w:val="0"/>
                    <w:ind w:left="-105" w:leftChars="-50" w:right="-105" w:rightChars="-50"/>
                    <w:jc w:val="center"/>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1级</w:t>
                  </w:r>
                </w:p>
              </w:tc>
              <w:tc>
                <w:tcPr>
                  <w:tcW w:w="2060" w:type="pct"/>
                  <w:vMerge w:val="continue"/>
                  <w:tcBorders>
                    <w:tl2br w:val="nil"/>
                    <w:tr2bl w:val="nil"/>
                  </w:tcBorders>
                  <w:noWrap w:val="0"/>
                  <w:vAlign w:val="center"/>
                </w:tcPr>
                <w:p w14:paraId="01652666">
                  <w:pPr>
                    <w:snapToGrid w:val="0"/>
                    <w:ind w:left="-105" w:leftChars="-50" w:right="-105" w:rightChars="-50"/>
                    <w:jc w:val="center"/>
                    <w:rPr>
                      <w:rFonts w:ascii="Times New Roman" w:hAnsi="Times New Roman" w:eastAsia="宋体" w:cs="Times New Roman"/>
                      <w:color w:val="000000"/>
                      <w:szCs w:val="21"/>
                      <w:highlight w:val="none"/>
                    </w:rPr>
                  </w:pPr>
                </w:p>
              </w:tc>
            </w:tr>
          </w:tbl>
          <w:p w14:paraId="670E9C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宋体" w:cs="Times New Roman"/>
                <w:b/>
                <w:bCs/>
                <w:color w:val="000000"/>
                <w:sz w:val="24"/>
                <w:highlight w:val="none"/>
              </w:rPr>
            </w:pPr>
          </w:p>
          <w:p w14:paraId="2520B53F">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ascii="Times New Roman" w:hAnsi="Times New Roman" w:eastAsia="宋体" w:cs="Times New Roman"/>
                <w:b/>
                <w:bCs/>
                <w:color w:val="000000"/>
                <w:sz w:val="21"/>
                <w:szCs w:val="21"/>
                <w:highlight w:val="none"/>
              </w:rPr>
            </w:pPr>
            <w:r>
              <w:rPr>
                <w:rFonts w:ascii="Times New Roman" w:hAnsi="Times New Roman" w:eastAsia="宋体" w:cs="Times New Roman"/>
                <w:b/>
                <w:bCs/>
                <w:color w:val="000000"/>
                <w:sz w:val="21"/>
                <w:szCs w:val="21"/>
                <w:highlight w:val="none"/>
              </w:rPr>
              <w:t>表</w:t>
            </w:r>
            <w:r>
              <w:rPr>
                <w:rFonts w:hint="eastAsia" w:ascii="Times New Roman" w:hAnsi="Times New Roman" w:eastAsia="宋体" w:cs="Times New Roman"/>
                <w:b/>
                <w:bCs/>
                <w:color w:val="000000"/>
                <w:sz w:val="21"/>
                <w:szCs w:val="21"/>
                <w:highlight w:val="none"/>
                <w:lang w:val="en-US" w:eastAsia="zh-CN"/>
              </w:rPr>
              <w:t>3-</w:t>
            </w:r>
            <w:r>
              <w:rPr>
                <w:rFonts w:hint="eastAsia" w:cs="Times New Roman"/>
                <w:b/>
                <w:bCs/>
                <w:color w:val="000000"/>
                <w:sz w:val="21"/>
                <w:szCs w:val="21"/>
                <w:highlight w:val="none"/>
                <w:lang w:val="en-US" w:eastAsia="zh-CN"/>
              </w:rPr>
              <w:t>14</w:t>
            </w:r>
            <w:r>
              <w:rPr>
                <w:rFonts w:hint="eastAsia" w:ascii="Times New Roman" w:hAnsi="Times New Roman" w:eastAsia="宋体" w:cs="Times New Roman"/>
                <w:b/>
                <w:bCs/>
                <w:color w:val="000000"/>
                <w:sz w:val="21"/>
                <w:szCs w:val="21"/>
                <w:highlight w:val="none"/>
                <w:lang w:val="en-US" w:eastAsia="zh-CN"/>
              </w:rPr>
              <w:t xml:space="preserve">  </w:t>
            </w:r>
            <w:r>
              <w:rPr>
                <w:rFonts w:ascii="Times New Roman" w:hAnsi="Times New Roman" w:eastAsia="宋体" w:cs="Times New Roman"/>
                <w:b/>
                <w:bCs/>
                <w:color w:val="000000"/>
                <w:sz w:val="21"/>
                <w:szCs w:val="21"/>
                <w:highlight w:val="none"/>
              </w:rPr>
              <w:t xml:space="preserve"> 大气污染物</w:t>
            </w:r>
            <w:r>
              <w:rPr>
                <w:rFonts w:hint="eastAsia" w:ascii="Times New Roman" w:hAnsi="Times New Roman" w:eastAsia="宋体" w:cs="Times New Roman"/>
                <w:b/>
                <w:bCs/>
                <w:color w:val="000000"/>
                <w:sz w:val="21"/>
                <w:szCs w:val="21"/>
                <w:highlight w:val="none"/>
                <w:lang w:eastAsia="zh-CN"/>
              </w:rPr>
              <w:t>综合</w:t>
            </w:r>
            <w:r>
              <w:rPr>
                <w:rFonts w:ascii="Times New Roman" w:hAnsi="Times New Roman" w:eastAsia="宋体" w:cs="Times New Roman"/>
                <w:b/>
                <w:bCs/>
                <w:color w:val="000000"/>
                <w:sz w:val="21"/>
                <w:szCs w:val="21"/>
                <w:highlight w:val="none"/>
              </w:rPr>
              <w:t>排放</w:t>
            </w:r>
            <w:r>
              <w:rPr>
                <w:rFonts w:hint="eastAsia" w:ascii="Times New Roman" w:hAnsi="Times New Roman" w:eastAsia="宋体" w:cs="Times New Roman"/>
                <w:b/>
                <w:bCs/>
                <w:color w:val="000000"/>
                <w:sz w:val="21"/>
                <w:szCs w:val="21"/>
                <w:highlight w:val="none"/>
                <w:lang w:eastAsia="zh-CN"/>
              </w:rPr>
              <w:t>标准</w:t>
            </w:r>
            <w:r>
              <w:rPr>
                <w:rFonts w:ascii="Times New Roman" w:hAnsi="Times New Roman" w:eastAsia="宋体" w:cs="Times New Roman"/>
                <w:b/>
                <w:bCs/>
                <w:color w:val="000000"/>
                <w:sz w:val="21"/>
                <w:szCs w:val="21"/>
                <w:highlight w:val="none"/>
              </w:rPr>
              <w:t>限值</w:t>
            </w:r>
          </w:p>
          <w:tbl>
            <w:tblPr>
              <w:tblStyle w:val="22"/>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168"/>
              <w:gridCol w:w="2257"/>
              <w:gridCol w:w="1520"/>
            </w:tblGrid>
            <w:tr w14:paraId="29150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1396" w:type="pct"/>
                  <w:vMerge w:val="restart"/>
                  <w:tcBorders>
                    <w:tl2br w:val="nil"/>
                    <w:tr2bl w:val="nil"/>
                  </w:tcBorders>
                  <w:noWrap w:val="0"/>
                  <w:vAlign w:val="center"/>
                </w:tcPr>
                <w:p w14:paraId="4A14F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4"/>
                      <w:highlight w:val="none"/>
                      <w:lang w:val="en-US" w:eastAsia="zh-CN" w:bidi="ar"/>
                    </w:rPr>
                  </w:pPr>
                  <w:r>
                    <w:rPr>
                      <w:rFonts w:hint="default" w:ascii="Times New Roman" w:hAnsi="Times New Roman" w:eastAsia="宋体" w:cs="Times New Roman"/>
                      <w:color w:val="000000"/>
                      <w:kern w:val="2"/>
                      <w:sz w:val="21"/>
                      <w:szCs w:val="24"/>
                      <w:highlight w:val="none"/>
                      <w:lang w:val="en-US" w:eastAsia="zh-CN" w:bidi="ar"/>
                    </w:rPr>
                    <w:t>污染物</w:t>
                  </w:r>
                </w:p>
              </w:tc>
              <w:tc>
                <w:tcPr>
                  <w:tcW w:w="3603" w:type="pct"/>
                  <w:gridSpan w:val="3"/>
                  <w:tcBorders>
                    <w:tl2br w:val="nil"/>
                    <w:tr2bl w:val="nil"/>
                  </w:tcBorders>
                  <w:noWrap w:val="0"/>
                  <w:vAlign w:val="center"/>
                </w:tcPr>
                <w:p w14:paraId="5C990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4"/>
                      <w:highlight w:val="none"/>
                      <w:lang w:val="en-US" w:eastAsia="zh-CN" w:bidi="ar"/>
                    </w:rPr>
                  </w:pPr>
                  <w:r>
                    <w:rPr>
                      <w:rFonts w:hint="default" w:ascii="Times New Roman" w:hAnsi="Times New Roman" w:eastAsia="宋体" w:cs="Times New Roman"/>
                      <w:color w:val="000000"/>
                      <w:kern w:val="2"/>
                      <w:sz w:val="21"/>
                      <w:szCs w:val="24"/>
                      <w:highlight w:val="none"/>
                      <w:lang w:val="en-US" w:eastAsia="zh-CN" w:bidi="ar"/>
                    </w:rPr>
                    <w:t>新污染源</w:t>
                  </w:r>
                </w:p>
              </w:tc>
            </w:tr>
            <w:tr w14:paraId="7A0FB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96" w:type="pct"/>
                  <w:vMerge w:val="continue"/>
                  <w:tcBorders>
                    <w:tl2br w:val="nil"/>
                    <w:tr2bl w:val="nil"/>
                  </w:tcBorders>
                  <w:noWrap w:val="0"/>
                  <w:vAlign w:val="center"/>
                </w:tcPr>
                <w:p w14:paraId="1F40B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4"/>
                      <w:highlight w:val="none"/>
                      <w:lang w:val="en-US" w:eastAsia="zh-CN" w:bidi="ar"/>
                    </w:rPr>
                  </w:pPr>
                </w:p>
              </w:tc>
              <w:tc>
                <w:tcPr>
                  <w:tcW w:w="1314" w:type="pct"/>
                  <w:vMerge w:val="restart"/>
                  <w:tcBorders>
                    <w:tl2br w:val="nil"/>
                    <w:tr2bl w:val="nil"/>
                  </w:tcBorders>
                  <w:noWrap w:val="0"/>
                  <w:vAlign w:val="center"/>
                </w:tcPr>
                <w:p w14:paraId="0214D8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4"/>
                      <w:highlight w:val="none"/>
                      <w:lang w:val="en-US" w:eastAsia="zh-CN" w:bidi="ar"/>
                    </w:rPr>
                  </w:pPr>
                  <w:r>
                    <w:rPr>
                      <w:rFonts w:hint="default" w:ascii="Times New Roman" w:hAnsi="Times New Roman" w:eastAsia="宋体" w:cs="Times New Roman"/>
                      <w:color w:val="000000"/>
                      <w:kern w:val="2"/>
                      <w:sz w:val="21"/>
                      <w:szCs w:val="24"/>
                      <w:highlight w:val="none"/>
                      <w:lang w:val="en-US" w:eastAsia="zh-CN" w:bidi="ar"/>
                    </w:rPr>
                    <w:t>最高允许排放浓度(mg/m</w:t>
                  </w:r>
                  <w:r>
                    <w:rPr>
                      <w:rFonts w:hint="default" w:ascii="Times New Roman" w:hAnsi="Times New Roman" w:eastAsia="宋体" w:cs="Times New Roman"/>
                      <w:color w:val="000000"/>
                      <w:kern w:val="2"/>
                      <w:sz w:val="21"/>
                      <w:szCs w:val="24"/>
                      <w:highlight w:val="none"/>
                      <w:vertAlign w:val="superscript"/>
                      <w:lang w:val="en-US" w:eastAsia="zh-CN" w:bidi="ar"/>
                    </w:rPr>
                    <w:t>3</w:t>
                  </w:r>
                  <w:r>
                    <w:rPr>
                      <w:rFonts w:hint="default" w:ascii="Times New Roman" w:hAnsi="Times New Roman" w:eastAsia="宋体" w:cs="Times New Roman"/>
                      <w:color w:val="000000"/>
                      <w:kern w:val="2"/>
                      <w:sz w:val="21"/>
                      <w:szCs w:val="24"/>
                      <w:highlight w:val="none"/>
                      <w:lang w:val="en-US" w:eastAsia="zh-CN" w:bidi="ar"/>
                    </w:rPr>
                    <w:t>)</w:t>
                  </w:r>
                </w:p>
              </w:tc>
              <w:tc>
                <w:tcPr>
                  <w:tcW w:w="2288" w:type="pct"/>
                  <w:gridSpan w:val="2"/>
                  <w:tcBorders>
                    <w:tl2br w:val="nil"/>
                    <w:tr2bl w:val="nil"/>
                  </w:tcBorders>
                  <w:noWrap w:val="0"/>
                  <w:vAlign w:val="center"/>
                </w:tcPr>
                <w:p w14:paraId="432BA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4"/>
                      <w:highlight w:val="none"/>
                      <w:lang w:val="en-US" w:eastAsia="zh-CN" w:bidi="ar"/>
                    </w:rPr>
                  </w:pPr>
                  <w:r>
                    <w:rPr>
                      <w:rFonts w:hint="default" w:ascii="Times New Roman" w:hAnsi="Times New Roman" w:eastAsia="宋体" w:cs="Times New Roman"/>
                      <w:color w:val="000000"/>
                      <w:kern w:val="2"/>
                      <w:sz w:val="21"/>
                      <w:szCs w:val="24"/>
                      <w:highlight w:val="none"/>
                      <w:lang w:val="en-US" w:eastAsia="zh-CN" w:bidi="ar"/>
                    </w:rPr>
                    <w:t>最高允许排放速率（kg/h）</w:t>
                  </w:r>
                </w:p>
              </w:tc>
            </w:tr>
            <w:tr w14:paraId="37E6A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1396" w:type="pct"/>
                  <w:vMerge w:val="continue"/>
                  <w:tcBorders>
                    <w:tl2br w:val="nil"/>
                    <w:tr2bl w:val="nil"/>
                  </w:tcBorders>
                  <w:noWrap w:val="0"/>
                  <w:vAlign w:val="center"/>
                </w:tcPr>
                <w:p w14:paraId="31C88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4"/>
                      <w:highlight w:val="none"/>
                      <w:lang w:val="en-US" w:eastAsia="zh-CN" w:bidi="ar"/>
                    </w:rPr>
                  </w:pPr>
                </w:p>
              </w:tc>
              <w:tc>
                <w:tcPr>
                  <w:tcW w:w="1314" w:type="pct"/>
                  <w:vMerge w:val="continue"/>
                  <w:tcBorders>
                    <w:tl2br w:val="nil"/>
                    <w:tr2bl w:val="nil"/>
                  </w:tcBorders>
                  <w:noWrap w:val="0"/>
                  <w:vAlign w:val="center"/>
                </w:tcPr>
                <w:p w14:paraId="66C92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4"/>
                      <w:highlight w:val="none"/>
                      <w:lang w:val="en-US" w:eastAsia="zh-CN" w:bidi="ar"/>
                    </w:rPr>
                  </w:pPr>
                </w:p>
              </w:tc>
              <w:tc>
                <w:tcPr>
                  <w:tcW w:w="1368" w:type="pct"/>
                  <w:tcBorders>
                    <w:tl2br w:val="nil"/>
                    <w:tr2bl w:val="nil"/>
                  </w:tcBorders>
                  <w:noWrap w:val="0"/>
                  <w:vAlign w:val="center"/>
                </w:tcPr>
                <w:p w14:paraId="2FB581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4"/>
                      <w:highlight w:val="none"/>
                      <w:lang w:val="en-US" w:eastAsia="zh-CN" w:bidi="ar"/>
                    </w:rPr>
                  </w:pPr>
                  <w:r>
                    <w:rPr>
                      <w:rFonts w:hint="default" w:ascii="Times New Roman" w:hAnsi="Times New Roman" w:eastAsia="宋体" w:cs="Times New Roman"/>
                      <w:color w:val="000000"/>
                      <w:kern w:val="2"/>
                      <w:sz w:val="21"/>
                      <w:szCs w:val="24"/>
                      <w:highlight w:val="none"/>
                      <w:lang w:val="en-US" w:eastAsia="zh-CN" w:bidi="ar"/>
                    </w:rPr>
                    <w:t>排气筒（m）</w:t>
                  </w:r>
                </w:p>
              </w:tc>
              <w:tc>
                <w:tcPr>
                  <w:tcW w:w="919" w:type="pct"/>
                  <w:tcBorders>
                    <w:tl2br w:val="nil"/>
                    <w:tr2bl w:val="nil"/>
                  </w:tcBorders>
                  <w:noWrap w:val="0"/>
                  <w:vAlign w:val="center"/>
                </w:tcPr>
                <w:p w14:paraId="06ED4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4"/>
                      <w:highlight w:val="none"/>
                      <w:lang w:val="en-US" w:eastAsia="zh-CN" w:bidi="ar"/>
                    </w:rPr>
                  </w:pPr>
                  <w:r>
                    <w:rPr>
                      <w:rFonts w:hint="default" w:ascii="Times New Roman" w:hAnsi="Times New Roman" w:eastAsia="宋体" w:cs="Times New Roman"/>
                      <w:color w:val="000000"/>
                      <w:kern w:val="2"/>
                      <w:sz w:val="21"/>
                      <w:szCs w:val="24"/>
                      <w:highlight w:val="none"/>
                      <w:lang w:val="en-US" w:eastAsia="zh-CN" w:bidi="ar"/>
                    </w:rPr>
                    <w:t>二级</w:t>
                  </w:r>
                </w:p>
              </w:tc>
            </w:tr>
            <w:tr w14:paraId="2C4FB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1396" w:type="pct"/>
                  <w:tcBorders>
                    <w:tl2br w:val="nil"/>
                    <w:tr2bl w:val="nil"/>
                  </w:tcBorders>
                  <w:noWrap w:val="0"/>
                  <w:vAlign w:val="center"/>
                </w:tcPr>
                <w:p w14:paraId="3CBADB44">
                  <w:pPr>
                    <w:snapToGrid w:val="0"/>
                    <w:jc w:val="center"/>
                    <w:rPr>
                      <w:rFonts w:hint="eastAsia" w:ascii="Times New Roman" w:hAnsi="Times New Roman" w:eastAsia="宋体"/>
                      <w:caps w:val="0"/>
                      <w:color w:val="000000"/>
                      <w:kern w:val="2"/>
                      <w:sz w:val="21"/>
                      <w:szCs w:val="21"/>
                      <w:highlight w:val="none"/>
                      <w:lang w:val="en-US" w:eastAsia="zh-CN" w:bidi="ar-SA"/>
                    </w:rPr>
                  </w:pPr>
                  <w:r>
                    <w:rPr>
                      <w:rFonts w:hint="eastAsia" w:ascii="Times New Roman" w:hAnsi="Times New Roman" w:eastAsia="宋体"/>
                      <w:caps w:val="0"/>
                      <w:color w:val="000000"/>
                      <w:szCs w:val="21"/>
                      <w:highlight w:val="none"/>
                      <w:lang w:eastAsia="zh-CN"/>
                    </w:rPr>
                    <w:t>氮氧化物</w:t>
                  </w:r>
                </w:p>
              </w:tc>
              <w:tc>
                <w:tcPr>
                  <w:tcW w:w="1314" w:type="pct"/>
                  <w:tcBorders>
                    <w:tl2br w:val="nil"/>
                    <w:tr2bl w:val="nil"/>
                  </w:tcBorders>
                  <w:noWrap w:val="0"/>
                  <w:vAlign w:val="center"/>
                </w:tcPr>
                <w:p w14:paraId="3F08FD2F">
                  <w:pPr>
                    <w:snapToGrid w:val="0"/>
                    <w:jc w:val="center"/>
                    <w:rPr>
                      <w:rFonts w:hint="eastAsia" w:ascii="Times New Roman" w:hAnsi="Times New Roman" w:eastAsia="宋体"/>
                      <w:caps w:val="0"/>
                      <w:color w:val="000000"/>
                      <w:kern w:val="2"/>
                      <w:sz w:val="21"/>
                      <w:szCs w:val="21"/>
                      <w:highlight w:val="none"/>
                      <w:lang w:val="en-US" w:eastAsia="zh-CN" w:bidi="ar-SA"/>
                    </w:rPr>
                  </w:pPr>
                  <w:r>
                    <w:rPr>
                      <w:rFonts w:hint="eastAsia" w:ascii="Times New Roman" w:hAnsi="Times New Roman" w:eastAsia="宋体"/>
                      <w:caps w:val="0"/>
                      <w:color w:val="000000"/>
                      <w:szCs w:val="21"/>
                      <w:highlight w:val="none"/>
                      <w:lang w:val="en-US" w:eastAsia="zh-CN"/>
                    </w:rPr>
                    <w:t>240</w:t>
                  </w:r>
                </w:p>
              </w:tc>
              <w:tc>
                <w:tcPr>
                  <w:tcW w:w="1368" w:type="pct"/>
                  <w:tcBorders>
                    <w:tl2br w:val="nil"/>
                    <w:tr2bl w:val="nil"/>
                  </w:tcBorders>
                  <w:noWrap w:val="0"/>
                  <w:vAlign w:val="center"/>
                </w:tcPr>
                <w:p w14:paraId="505F8CDF">
                  <w:pPr>
                    <w:snapToGrid w:val="0"/>
                    <w:jc w:val="center"/>
                    <w:rPr>
                      <w:rFonts w:hint="eastAsia" w:ascii="Times New Roman" w:hAnsi="Times New Roman" w:eastAsia="宋体"/>
                      <w:caps w:val="0"/>
                      <w:color w:val="000000"/>
                      <w:kern w:val="2"/>
                      <w:sz w:val="21"/>
                      <w:szCs w:val="21"/>
                      <w:highlight w:val="none"/>
                      <w:lang w:val="en-US" w:eastAsia="zh-CN" w:bidi="ar-SA"/>
                    </w:rPr>
                  </w:pPr>
                  <w:r>
                    <w:rPr>
                      <w:rFonts w:hint="eastAsia" w:ascii="Times New Roman" w:hAnsi="Times New Roman" w:eastAsia="宋体"/>
                      <w:caps w:val="0"/>
                      <w:color w:val="000000"/>
                      <w:szCs w:val="21"/>
                      <w:highlight w:val="none"/>
                      <w:lang w:val="en-US" w:eastAsia="zh-CN"/>
                    </w:rPr>
                    <w:t>15</w:t>
                  </w:r>
                </w:p>
              </w:tc>
              <w:tc>
                <w:tcPr>
                  <w:tcW w:w="919" w:type="pct"/>
                  <w:tcBorders>
                    <w:tl2br w:val="nil"/>
                    <w:tr2bl w:val="nil"/>
                  </w:tcBorders>
                  <w:noWrap w:val="0"/>
                  <w:vAlign w:val="center"/>
                </w:tcPr>
                <w:p w14:paraId="05DA249C">
                  <w:pPr>
                    <w:snapToGrid w:val="0"/>
                    <w:jc w:val="center"/>
                    <w:rPr>
                      <w:rFonts w:hint="eastAsia" w:ascii="Times New Roman" w:hAnsi="Times New Roman" w:eastAsia="宋体"/>
                      <w:caps w:val="0"/>
                      <w:color w:val="000000"/>
                      <w:kern w:val="2"/>
                      <w:sz w:val="21"/>
                      <w:szCs w:val="21"/>
                      <w:highlight w:val="none"/>
                      <w:lang w:val="en-US" w:eastAsia="zh-CN" w:bidi="ar-SA"/>
                    </w:rPr>
                  </w:pPr>
                  <w:r>
                    <w:rPr>
                      <w:rFonts w:hint="eastAsia" w:ascii="Times New Roman" w:hAnsi="Times New Roman" w:eastAsia="宋体"/>
                      <w:caps w:val="0"/>
                      <w:color w:val="000000"/>
                      <w:szCs w:val="21"/>
                      <w:highlight w:val="none"/>
                      <w:lang w:val="en-US" w:eastAsia="zh-CN"/>
                    </w:rPr>
                    <w:t>0.77</w:t>
                  </w:r>
                </w:p>
              </w:tc>
            </w:tr>
          </w:tbl>
          <w:p w14:paraId="545AE26B">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b/>
                <w:bCs/>
                <w:color w:val="000000"/>
                <w:sz w:val="24"/>
                <w:szCs w:val="24"/>
              </w:rPr>
            </w:pPr>
            <w:r>
              <w:rPr>
                <w:rFonts w:eastAsia="宋体"/>
                <w:b/>
                <w:bCs/>
                <w:color w:val="000000"/>
                <w:szCs w:val="21"/>
              </w:rPr>
              <w:t>3</w:t>
            </w:r>
            <w:r>
              <w:rPr>
                <w:rFonts w:eastAsia="宋体"/>
                <w:b/>
                <w:bCs/>
                <w:color w:val="000000"/>
                <w:sz w:val="24"/>
                <w:szCs w:val="24"/>
              </w:rPr>
              <w:t>、噪声排放标准</w:t>
            </w:r>
          </w:p>
          <w:p w14:paraId="7B51B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施工期噪声排放标准</w:t>
            </w:r>
          </w:p>
          <w:p w14:paraId="46F1F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FF"/>
                <w:sz w:val="24"/>
                <w:szCs w:val="24"/>
                <w:u w:val="single"/>
              </w:rPr>
            </w:pPr>
            <w:r>
              <w:rPr>
                <w:rFonts w:hint="eastAsia" w:ascii="宋体" w:hAnsi="宋体" w:eastAsia="宋体" w:cs="宋体"/>
                <w:color w:val="0000FF"/>
                <w:sz w:val="24"/>
                <w:szCs w:val="24"/>
                <w:u w:val="single"/>
              </w:rPr>
              <w:t>本项目施工期噪声排放执行《建筑施工场界环境噪声排放标准》（GB12523-20</w:t>
            </w:r>
            <w:r>
              <w:rPr>
                <w:rFonts w:hint="eastAsia" w:ascii="宋体" w:hAnsi="宋体" w:cs="宋体"/>
                <w:color w:val="0000FF"/>
                <w:sz w:val="24"/>
                <w:szCs w:val="24"/>
                <w:u w:val="single"/>
                <w:lang w:val="en-US" w:eastAsia="zh-CN"/>
              </w:rPr>
              <w:t>25</w:t>
            </w:r>
            <w:r>
              <w:rPr>
                <w:rFonts w:hint="eastAsia" w:ascii="宋体" w:hAnsi="宋体" w:eastAsia="宋体" w:cs="宋体"/>
                <w:color w:val="0000FF"/>
                <w:sz w:val="24"/>
                <w:szCs w:val="24"/>
                <w:u w:val="single"/>
              </w:rPr>
              <w:t>）中规定的建筑施工场界环境噪声排放限值，详见</w:t>
            </w:r>
            <w:r>
              <w:rPr>
                <w:rFonts w:hint="eastAsia" w:ascii="宋体" w:hAnsi="宋体" w:cs="宋体"/>
                <w:color w:val="0000FF"/>
                <w:sz w:val="24"/>
                <w:szCs w:val="24"/>
                <w:u w:val="single"/>
                <w:lang w:val="en-US" w:eastAsia="zh-CN"/>
              </w:rPr>
              <w:t>下表</w:t>
            </w:r>
            <w:r>
              <w:rPr>
                <w:rFonts w:hint="eastAsia" w:ascii="宋体" w:hAnsi="宋体" w:eastAsia="宋体" w:cs="宋体"/>
                <w:color w:val="0000FF"/>
                <w:sz w:val="24"/>
                <w:szCs w:val="24"/>
                <w:u w:val="single"/>
              </w:rPr>
              <w:t>。</w:t>
            </w:r>
          </w:p>
          <w:p w14:paraId="71FD64D9">
            <w:pPr>
              <w:jc w:val="center"/>
              <w:rPr>
                <w:rFonts w:hint="eastAsia" w:ascii="宋体" w:hAnsi="宋体" w:eastAsia="宋体" w:cs="宋体"/>
                <w:b/>
                <w:bCs/>
                <w:color w:val="0000FF"/>
                <w:szCs w:val="21"/>
                <w:u w:val="single"/>
              </w:rPr>
            </w:pPr>
            <w:r>
              <w:rPr>
                <w:rFonts w:hint="eastAsia" w:ascii="宋体" w:hAnsi="宋体" w:eastAsia="宋体" w:cs="宋体"/>
                <w:b/>
                <w:bCs/>
                <w:color w:val="0000FF"/>
                <w:szCs w:val="21"/>
                <w:u w:val="single"/>
              </w:rPr>
              <w:t>表3-</w:t>
            </w:r>
            <w:r>
              <w:rPr>
                <w:rFonts w:hint="eastAsia" w:ascii="宋体" w:hAnsi="宋体" w:cs="宋体"/>
                <w:b/>
                <w:bCs/>
                <w:color w:val="0000FF"/>
                <w:szCs w:val="21"/>
                <w:u w:val="single"/>
                <w:lang w:val="en-US" w:eastAsia="zh-CN"/>
              </w:rPr>
              <w:t>15</w:t>
            </w:r>
            <w:r>
              <w:rPr>
                <w:rFonts w:hint="eastAsia" w:ascii="宋体" w:hAnsi="宋体" w:eastAsia="宋体" w:cs="宋体"/>
                <w:b/>
                <w:bCs/>
                <w:color w:val="0000FF"/>
                <w:szCs w:val="21"/>
                <w:u w:val="single"/>
                <w:lang w:val="en-US" w:eastAsia="zh-CN"/>
              </w:rPr>
              <w:t xml:space="preserve">    </w:t>
            </w:r>
            <w:r>
              <w:rPr>
                <w:rFonts w:hint="eastAsia" w:ascii="宋体" w:hAnsi="宋体" w:eastAsia="宋体" w:cs="宋体"/>
                <w:b/>
                <w:bCs/>
                <w:color w:val="0000FF"/>
                <w:szCs w:val="21"/>
                <w:u w:val="single"/>
              </w:rPr>
              <w:t>建筑施工场界环境噪声排放限值</w:t>
            </w:r>
          </w:p>
          <w:tbl>
            <w:tblPr>
              <w:tblStyle w:val="22"/>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21"/>
              <w:gridCol w:w="4130"/>
            </w:tblGrid>
            <w:tr w14:paraId="10E62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7" w:type="pct"/>
                  <w:tcBorders>
                    <w:tl2br w:val="nil"/>
                    <w:tr2bl w:val="nil"/>
                  </w:tcBorders>
                  <w:noWrap w:val="0"/>
                  <w:vAlign w:val="center"/>
                </w:tcPr>
                <w:p w14:paraId="2242FCD2">
                  <w:pPr>
                    <w:jc w:val="center"/>
                    <w:rPr>
                      <w:rFonts w:eastAsia="宋体"/>
                      <w:color w:val="0000FF"/>
                      <w:sz w:val="18"/>
                      <w:szCs w:val="18"/>
                      <w:u w:val="single"/>
                    </w:rPr>
                  </w:pPr>
                  <w:r>
                    <w:rPr>
                      <w:rFonts w:eastAsia="宋体"/>
                      <w:color w:val="0000FF"/>
                      <w:sz w:val="18"/>
                      <w:szCs w:val="18"/>
                      <w:u w:val="single"/>
                    </w:rPr>
                    <w:t>昼间</w:t>
                  </w:r>
                </w:p>
              </w:tc>
              <w:tc>
                <w:tcPr>
                  <w:tcW w:w="2503" w:type="pct"/>
                  <w:tcBorders>
                    <w:tl2br w:val="nil"/>
                    <w:tr2bl w:val="nil"/>
                  </w:tcBorders>
                  <w:noWrap w:val="0"/>
                  <w:vAlign w:val="center"/>
                </w:tcPr>
                <w:p w14:paraId="56B1C1E1">
                  <w:pPr>
                    <w:jc w:val="center"/>
                    <w:rPr>
                      <w:rFonts w:eastAsia="宋体"/>
                      <w:color w:val="0000FF"/>
                      <w:sz w:val="18"/>
                      <w:szCs w:val="18"/>
                      <w:u w:val="single"/>
                    </w:rPr>
                  </w:pPr>
                  <w:r>
                    <w:rPr>
                      <w:rFonts w:eastAsia="宋体"/>
                      <w:color w:val="0000FF"/>
                      <w:sz w:val="18"/>
                      <w:szCs w:val="18"/>
                      <w:u w:val="single"/>
                    </w:rPr>
                    <w:t>夜间</w:t>
                  </w:r>
                </w:p>
              </w:tc>
            </w:tr>
            <w:tr w14:paraId="17DF4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7" w:type="pct"/>
                  <w:tcBorders>
                    <w:tl2br w:val="nil"/>
                    <w:tr2bl w:val="nil"/>
                  </w:tcBorders>
                  <w:noWrap w:val="0"/>
                  <w:vAlign w:val="center"/>
                </w:tcPr>
                <w:p w14:paraId="6C3FD49D">
                  <w:pPr>
                    <w:jc w:val="center"/>
                    <w:rPr>
                      <w:rFonts w:eastAsia="宋体"/>
                      <w:color w:val="0000FF"/>
                      <w:sz w:val="18"/>
                      <w:szCs w:val="18"/>
                      <w:u w:val="single"/>
                    </w:rPr>
                  </w:pPr>
                  <w:r>
                    <w:rPr>
                      <w:rFonts w:eastAsia="宋体"/>
                      <w:color w:val="0000FF"/>
                      <w:sz w:val="18"/>
                      <w:szCs w:val="18"/>
                      <w:u w:val="single"/>
                    </w:rPr>
                    <w:t>70</w:t>
                  </w:r>
                </w:p>
              </w:tc>
              <w:tc>
                <w:tcPr>
                  <w:tcW w:w="2503" w:type="pct"/>
                  <w:tcBorders>
                    <w:tl2br w:val="nil"/>
                    <w:tr2bl w:val="nil"/>
                  </w:tcBorders>
                  <w:noWrap w:val="0"/>
                  <w:vAlign w:val="center"/>
                </w:tcPr>
                <w:p w14:paraId="5CEDACE7">
                  <w:pPr>
                    <w:jc w:val="center"/>
                    <w:rPr>
                      <w:rFonts w:eastAsia="宋体"/>
                      <w:color w:val="0000FF"/>
                      <w:sz w:val="18"/>
                      <w:szCs w:val="18"/>
                      <w:u w:val="single"/>
                    </w:rPr>
                  </w:pPr>
                  <w:r>
                    <w:rPr>
                      <w:rFonts w:eastAsia="宋体"/>
                      <w:color w:val="0000FF"/>
                      <w:sz w:val="18"/>
                      <w:szCs w:val="18"/>
                      <w:u w:val="single"/>
                    </w:rPr>
                    <w:t>55</w:t>
                  </w:r>
                </w:p>
              </w:tc>
            </w:tr>
          </w:tbl>
          <w:p w14:paraId="40F7CC29">
            <w:pPr>
              <w:jc w:val="both"/>
              <w:rPr>
                <w:rFonts w:eastAsia="宋体"/>
                <w:b/>
                <w:bCs/>
                <w:color w:val="000000"/>
                <w:szCs w:val="21"/>
              </w:rPr>
            </w:pPr>
          </w:p>
          <w:p w14:paraId="5DCC44B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营运期噪声排放标准</w:t>
            </w:r>
          </w:p>
          <w:p w14:paraId="00DE7CB1">
            <w:pP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本项目营运期噪声排放执行《工业企业厂界环境噪声排放标准》（GB12348-2008）中</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类标准，详见下表。</w:t>
            </w:r>
          </w:p>
          <w:p w14:paraId="2F6191D1">
            <w:pPr>
              <w:jc w:val="center"/>
              <w:rPr>
                <w:rFonts w:hint="eastAsia" w:ascii="宋体" w:hAnsi="宋体" w:eastAsia="宋体" w:cs="宋体"/>
                <w:b/>
                <w:color w:val="000000"/>
                <w:szCs w:val="21"/>
              </w:rPr>
            </w:pPr>
            <w:r>
              <w:rPr>
                <w:rFonts w:hint="eastAsia" w:ascii="宋体" w:hAnsi="宋体" w:eastAsia="宋体" w:cs="宋体"/>
                <w:b/>
                <w:color w:val="000000"/>
                <w:szCs w:val="21"/>
              </w:rPr>
              <w:t>表3-</w:t>
            </w:r>
            <w:r>
              <w:rPr>
                <w:rFonts w:hint="eastAsia" w:ascii="宋体" w:hAnsi="宋体" w:cs="宋体"/>
                <w:b/>
                <w:color w:val="000000"/>
                <w:szCs w:val="21"/>
                <w:lang w:val="en-US" w:eastAsia="zh-CN"/>
              </w:rPr>
              <w:t>16</w:t>
            </w:r>
            <w:r>
              <w:rPr>
                <w:rFonts w:hint="eastAsia" w:ascii="宋体" w:hAnsi="宋体" w:eastAsia="宋体" w:cs="宋体"/>
                <w:b/>
                <w:color w:val="000000"/>
                <w:szCs w:val="21"/>
                <w:lang w:val="en-US" w:eastAsia="zh-CN"/>
              </w:rPr>
              <w:t xml:space="preserve"> </w:t>
            </w:r>
            <w:r>
              <w:rPr>
                <w:rFonts w:hint="eastAsia" w:ascii="宋体" w:hAnsi="宋体" w:eastAsia="宋体" w:cs="宋体"/>
                <w:b/>
                <w:color w:val="000000"/>
                <w:szCs w:val="21"/>
              </w:rPr>
              <w:t xml:space="preserve">  工业企业厂界环境噪声排放标准    单位：dB(A)</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35"/>
              <w:gridCol w:w="1439"/>
              <w:gridCol w:w="1046"/>
              <w:gridCol w:w="1406"/>
              <w:gridCol w:w="2922"/>
            </w:tblGrid>
            <w:tr w14:paraId="2F77B7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7" w:hRule="atLeast"/>
                <w:jc w:val="center"/>
              </w:trPr>
              <w:tc>
                <w:tcPr>
                  <w:tcW w:w="1742" w:type="pct"/>
                  <w:gridSpan w:val="2"/>
                  <w:vMerge w:val="restart"/>
                  <w:tcBorders>
                    <w:tl2br w:val="nil"/>
                    <w:tr2bl w:val="nil"/>
                  </w:tcBorders>
                  <w:noWrap w:val="0"/>
                  <w:vAlign w:val="center"/>
                </w:tcPr>
                <w:p w14:paraId="1C3C4D4C">
                  <w:pPr>
                    <w:pStyle w:val="66"/>
                    <w:rPr>
                      <w:rFonts w:eastAsia="宋体"/>
                      <w:color w:val="000000"/>
                      <w:sz w:val="21"/>
                      <w:szCs w:val="21"/>
                    </w:rPr>
                  </w:pPr>
                  <w:r>
                    <w:rPr>
                      <w:rFonts w:eastAsia="宋体"/>
                      <w:color w:val="000000"/>
                      <w:sz w:val="21"/>
                      <w:szCs w:val="21"/>
                    </w:rPr>
                    <w:t>类别</w:t>
                  </w:r>
                </w:p>
              </w:tc>
              <w:tc>
                <w:tcPr>
                  <w:tcW w:w="1486" w:type="pct"/>
                  <w:gridSpan w:val="2"/>
                  <w:tcBorders>
                    <w:tl2br w:val="nil"/>
                    <w:tr2bl w:val="nil"/>
                  </w:tcBorders>
                  <w:noWrap w:val="0"/>
                  <w:vAlign w:val="center"/>
                </w:tcPr>
                <w:p w14:paraId="06734E84">
                  <w:pPr>
                    <w:pStyle w:val="66"/>
                    <w:rPr>
                      <w:rFonts w:eastAsia="宋体"/>
                      <w:color w:val="000000"/>
                      <w:sz w:val="21"/>
                      <w:szCs w:val="21"/>
                    </w:rPr>
                  </w:pPr>
                  <w:r>
                    <w:rPr>
                      <w:rFonts w:eastAsia="宋体"/>
                      <w:color w:val="000000"/>
                      <w:sz w:val="21"/>
                      <w:szCs w:val="21"/>
                    </w:rPr>
                    <w:t>标准值</w:t>
                  </w:r>
                </w:p>
              </w:tc>
              <w:tc>
                <w:tcPr>
                  <w:tcW w:w="1771" w:type="pct"/>
                  <w:tcBorders>
                    <w:tl2br w:val="nil"/>
                    <w:tr2bl w:val="nil"/>
                  </w:tcBorders>
                  <w:noWrap w:val="0"/>
                  <w:vAlign w:val="center"/>
                </w:tcPr>
                <w:p w14:paraId="7127DE14">
                  <w:pPr>
                    <w:pStyle w:val="66"/>
                    <w:rPr>
                      <w:rFonts w:eastAsia="宋体"/>
                      <w:color w:val="000000"/>
                      <w:sz w:val="21"/>
                      <w:szCs w:val="21"/>
                    </w:rPr>
                  </w:pPr>
                  <w:r>
                    <w:rPr>
                      <w:rFonts w:eastAsia="宋体"/>
                      <w:color w:val="000000"/>
                      <w:sz w:val="21"/>
                      <w:szCs w:val="21"/>
                    </w:rPr>
                    <w:t>标准来源</w:t>
                  </w:r>
                </w:p>
              </w:tc>
            </w:tr>
            <w:tr w14:paraId="75738E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0" w:hRule="atLeast"/>
                <w:jc w:val="center"/>
              </w:trPr>
              <w:tc>
                <w:tcPr>
                  <w:tcW w:w="1742" w:type="pct"/>
                  <w:gridSpan w:val="2"/>
                  <w:vMerge w:val="continue"/>
                  <w:tcBorders>
                    <w:tl2br w:val="nil"/>
                    <w:tr2bl w:val="nil"/>
                  </w:tcBorders>
                  <w:noWrap w:val="0"/>
                  <w:vAlign w:val="center"/>
                </w:tcPr>
                <w:p w14:paraId="4DC4F976">
                  <w:pPr>
                    <w:pStyle w:val="66"/>
                    <w:rPr>
                      <w:rFonts w:eastAsia="宋体"/>
                      <w:color w:val="000000"/>
                      <w:sz w:val="21"/>
                      <w:szCs w:val="21"/>
                    </w:rPr>
                  </w:pPr>
                </w:p>
              </w:tc>
              <w:tc>
                <w:tcPr>
                  <w:tcW w:w="634" w:type="pct"/>
                  <w:tcBorders>
                    <w:tl2br w:val="nil"/>
                    <w:tr2bl w:val="nil"/>
                  </w:tcBorders>
                  <w:noWrap w:val="0"/>
                  <w:vAlign w:val="center"/>
                </w:tcPr>
                <w:p w14:paraId="70964075">
                  <w:pPr>
                    <w:pStyle w:val="66"/>
                    <w:rPr>
                      <w:rFonts w:eastAsia="宋体"/>
                      <w:color w:val="000000"/>
                      <w:sz w:val="21"/>
                      <w:szCs w:val="21"/>
                    </w:rPr>
                  </w:pPr>
                  <w:r>
                    <w:rPr>
                      <w:rFonts w:eastAsia="宋体"/>
                      <w:color w:val="000000"/>
                      <w:sz w:val="21"/>
                      <w:szCs w:val="21"/>
                    </w:rPr>
                    <w:t>昼间</w:t>
                  </w:r>
                </w:p>
              </w:tc>
              <w:tc>
                <w:tcPr>
                  <w:tcW w:w="852" w:type="pct"/>
                  <w:tcBorders>
                    <w:tl2br w:val="nil"/>
                    <w:tr2bl w:val="nil"/>
                  </w:tcBorders>
                  <w:noWrap w:val="0"/>
                  <w:vAlign w:val="center"/>
                </w:tcPr>
                <w:p w14:paraId="016C12D6">
                  <w:pPr>
                    <w:pStyle w:val="66"/>
                    <w:rPr>
                      <w:rFonts w:eastAsia="宋体"/>
                      <w:color w:val="000000"/>
                      <w:sz w:val="21"/>
                      <w:szCs w:val="21"/>
                    </w:rPr>
                  </w:pPr>
                  <w:r>
                    <w:rPr>
                      <w:rFonts w:eastAsia="宋体"/>
                      <w:color w:val="000000"/>
                      <w:sz w:val="21"/>
                      <w:szCs w:val="21"/>
                    </w:rPr>
                    <w:t>夜间</w:t>
                  </w:r>
                </w:p>
              </w:tc>
              <w:tc>
                <w:tcPr>
                  <w:tcW w:w="1771" w:type="pct"/>
                  <w:vMerge w:val="restart"/>
                  <w:tcBorders>
                    <w:tl2br w:val="nil"/>
                    <w:tr2bl w:val="nil"/>
                  </w:tcBorders>
                  <w:noWrap w:val="0"/>
                  <w:vAlign w:val="center"/>
                </w:tcPr>
                <w:p w14:paraId="0738EEEB">
                  <w:pPr>
                    <w:pStyle w:val="66"/>
                    <w:rPr>
                      <w:rFonts w:eastAsia="宋体"/>
                      <w:color w:val="000000"/>
                      <w:sz w:val="21"/>
                      <w:szCs w:val="21"/>
                    </w:rPr>
                  </w:pPr>
                  <w:r>
                    <w:rPr>
                      <w:rFonts w:eastAsia="宋体"/>
                      <w:color w:val="000000"/>
                      <w:sz w:val="21"/>
                      <w:szCs w:val="21"/>
                    </w:rPr>
                    <w:t>《工业企业厂界环境噪声排放标准》（GB12348-2008）</w:t>
                  </w:r>
                </w:p>
              </w:tc>
            </w:tr>
            <w:tr w14:paraId="130204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 w:hRule="atLeast"/>
                <w:jc w:val="center"/>
              </w:trPr>
              <w:tc>
                <w:tcPr>
                  <w:tcW w:w="870" w:type="pct"/>
                  <w:tcBorders>
                    <w:tl2br w:val="nil"/>
                    <w:tr2bl w:val="nil"/>
                  </w:tcBorders>
                  <w:noWrap w:val="0"/>
                  <w:vAlign w:val="center"/>
                </w:tcPr>
                <w:p w14:paraId="5DDCC088">
                  <w:pPr>
                    <w:pStyle w:val="66"/>
                    <w:rPr>
                      <w:rFonts w:hint="default" w:eastAsia="宋体"/>
                      <w:color w:val="000000"/>
                      <w:sz w:val="21"/>
                      <w:szCs w:val="21"/>
                      <w:lang w:val="en-US" w:eastAsia="zh-CN"/>
                    </w:rPr>
                  </w:pPr>
                  <w:r>
                    <w:rPr>
                      <w:rFonts w:hint="eastAsia" w:eastAsia="宋体"/>
                      <w:color w:val="000000"/>
                      <w:sz w:val="21"/>
                      <w:szCs w:val="21"/>
                      <w:lang w:val="en-US" w:eastAsia="zh-CN"/>
                    </w:rPr>
                    <w:t>厂界</w:t>
                  </w:r>
                </w:p>
              </w:tc>
              <w:tc>
                <w:tcPr>
                  <w:tcW w:w="871" w:type="pct"/>
                  <w:tcBorders>
                    <w:tl2br w:val="nil"/>
                    <w:tr2bl w:val="nil"/>
                  </w:tcBorders>
                  <w:noWrap w:val="0"/>
                  <w:vAlign w:val="center"/>
                </w:tcPr>
                <w:p w14:paraId="65E4C810">
                  <w:pPr>
                    <w:pStyle w:val="66"/>
                    <w:rPr>
                      <w:rFonts w:eastAsia="宋体"/>
                      <w:color w:val="000000"/>
                      <w:sz w:val="21"/>
                      <w:szCs w:val="21"/>
                    </w:rPr>
                  </w:pPr>
                  <w:r>
                    <w:rPr>
                      <w:rFonts w:hint="eastAsia" w:eastAsia="宋体"/>
                      <w:color w:val="000000"/>
                      <w:sz w:val="21"/>
                      <w:szCs w:val="21"/>
                      <w:lang w:val="en-US" w:eastAsia="zh-CN"/>
                    </w:rPr>
                    <w:t>3</w:t>
                  </w:r>
                  <w:r>
                    <w:rPr>
                      <w:rFonts w:eastAsia="宋体"/>
                      <w:color w:val="000000"/>
                      <w:sz w:val="21"/>
                      <w:szCs w:val="21"/>
                    </w:rPr>
                    <w:t>类</w:t>
                  </w:r>
                </w:p>
              </w:tc>
              <w:tc>
                <w:tcPr>
                  <w:tcW w:w="634" w:type="pct"/>
                  <w:tcBorders>
                    <w:tl2br w:val="nil"/>
                    <w:tr2bl w:val="nil"/>
                  </w:tcBorders>
                  <w:noWrap w:val="0"/>
                  <w:vAlign w:val="center"/>
                </w:tcPr>
                <w:p w14:paraId="5D47CB5E">
                  <w:pPr>
                    <w:pStyle w:val="66"/>
                    <w:rPr>
                      <w:rFonts w:hint="default" w:eastAsia="宋体"/>
                      <w:color w:val="000000"/>
                      <w:sz w:val="21"/>
                      <w:szCs w:val="21"/>
                      <w:lang w:val="en-US" w:eastAsia="zh-CN"/>
                    </w:rPr>
                  </w:pPr>
                  <w:r>
                    <w:rPr>
                      <w:rFonts w:hint="eastAsia" w:eastAsia="宋体"/>
                      <w:color w:val="000000"/>
                      <w:sz w:val="21"/>
                      <w:szCs w:val="21"/>
                      <w:lang w:val="en-US" w:eastAsia="zh-CN"/>
                    </w:rPr>
                    <w:t>65</w:t>
                  </w:r>
                </w:p>
              </w:tc>
              <w:tc>
                <w:tcPr>
                  <w:tcW w:w="852" w:type="pct"/>
                  <w:tcBorders>
                    <w:tl2br w:val="nil"/>
                    <w:tr2bl w:val="nil"/>
                  </w:tcBorders>
                  <w:noWrap w:val="0"/>
                  <w:vAlign w:val="center"/>
                </w:tcPr>
                <w:p w14:paraId="64E41DF4">
                  <w:pPr>
                    <w:pStyle w:val="66"/>
                    <w:rPr>
                      <w:rFonts w:hint="default" w:eastAsia="宋体"/>
                      <w:color w:val="000000"/>
                      <w:sz w:val="21"/>
                      <w:szCs w:val="21"/>
                      <w:lang w:val="en-US" w:eastAsia="zh-CN"/>
                    </w:rPr>
                  </w:pPr>
                  <w:r>
                    <w:rPr>
                      <w:rFonts w:hint="eastAsia" w:eastAsia="宋体"/>
                      <w:color w:val="000000"/>
                      <w:sz w:val="21"/>
                      <w:szCs w:val="21"/>
                      <w:lang w:val="en-US" w:eastAsia="zh-CN"/>
                    </w:rPr>
                    <w:t>55</w:t>
                  </w:r>
                </w:p>
              </w:tc>
              <w:tc>
                <w:tcPr>
                  <w:tcW w:w="1771" w:type="pct"/>
                  <w:vMerge w:val="continue"/>
                  <w:tcBorders>
                    <w:tl2br w:val="nil"/>
                    <w:tr2bl w:val="nil"/>
                  </w:tcBorders>
                  <w:noWrap w:val="0"/>
                  <w:vAlign w:val="center"/>
                </w:tcPr>
                <w:p w14:paraId="3B70802C">
                  <w:pPr>
                    <w:pStyle w:val="66"/>
                    <w:rPr>
                      <w:rFonts w:eastAsia="宋体"/>
                      <w:color w:val="000000"/>
                      <w:sz w:val="21"/>
                      <w:szCs w:val="21"/>
                    </w:rPr>
                  </w:pPr>
                </w:p>
              </w:tc>
            </w:tr>
          </w:tbl>
          <w:p w14:paraId="67538BF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bCs/>
                <w:color w:val="000000"/>
                <w:sz w:val="24"/>
                <w:szCs w:val="24"/>
              </w:rPr>
              <w:t>4、</w:t>
            </w:r>
            <w:r>
              <w:rPr>
                <w:rFonts w:hint="eastAsia" w:ascii="宋体" w:hAnsi="宋体" w:eastAsia="宋体" w:cs="宋体"/>
                <w:b/>
                <w:color w:val="000000"/>
                <w:sz w:val="24"/>
                <w:szCs w:val="24"/>
              </w:rPr>
              <w:t>固体废物排放标准</w:t>
            </w:r>
          </w:p>
          <w:p w14:paraId="33F1C7BB">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kern w:val="0"/>
                <w:szCs w:val="21"/>
              </w:rPr>
            </w:pPr>
            <w:r>
              <w:rPr>
                <w:rFonts w:hint="eastAsia" w:ascii="宋体" w:hAnsi="宋体" w:eastAsia="宋体" w:cs="宋体"/>
                <w:color w:val="000000"/>
                <w:sz w:val="24"/>
                <w:szCs w:val="24"/>
              </w:rPr>
              <w:t>本项目营运期一般固体废物排放执行《一般工业固体废物贮存和填埋污染控制标准》（GB18599-2020）。</w:t>
            </w:r>
          </w:p>
          <w:p w14:paraId="79F8992A">
            <w:pPr>
              <w:pStyle w:val="8"/>
              <w:rPr>
                <w:rFonts w:ascii="宋体" w:hAnsi="宋体" w:cs="宋体"/>
                <w:kern w:val="0"/>
                <w:szCs w:val="21"/>
              </w:rPr>
            </w:pPr>
          </w:p>
        </w:tc>
      </w:tr>
      <w:tr w14:paraId="5F094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14:paraId="3CC88E6C">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总量</w:t>
            </w:r>
          </w:p>
          <w:p w14:paraId="4838A18E">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控制</w:t>
            </w:r>
          </w:p>
          <w:p w14:paraId="3A864375">
            <w:pPr>
              <w:adjustRightInd w:val="0"/>
              <w:snapToGrid w:val="0"/>
              <w:jc w:val="center"/>
              <w:rPr>
                <w:rFonts w:ascii="宋体" w:hAnsi="宋体" w:cs="宋体"/>
                <w:kern w:val="0"/>
                <w:szCs w:val="21"/>
              </w:rPr>
            </w:pPr>
            <w:r>
              <w:rPr>
                <w:rFonts w:hint="eastAsia" w:ascii="宋体" w:hAnsi="宋体" w:cs="宋体"/>
                <w:kern w:val="0"/>
                <w:sz w:val="24"/>
                <w:szCs w:val="24"/>
              </w:rPr>
              <w:t>指标</w:t>
            </w:r>
          </w:p>
        </w:tc>
        <w:tc>
          <w:tcPr>
            <w:tcW w:w="8190" w:type="dxa"/>
            <w:noWrap w:val="0"/>
            <w:vAlign w:val="center"/>
          </w:tcPr>
          <w:p w14:paraId="63A858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实施总量审核管理的主要污染物包括：大气主要污染物是指挥发性有机物(VOCs)、氮氧化物(NOx)、二氧化硫(SO</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)、烟尘，水主要污染物是指化学需氧量(COD)、氨氮(NH</w:t>
            </w:r>
            <w:r>
              <w:rPr>
                <w:rFonts w:hint="eastAsia" w:ascii="宋体" w:hAnsi="宋体" w:eastAsia="宋体" w:cs="宋体"/>
                <w:color w:val="000000"/>
                <w:sz w:val="24"/>
                <w:szCs w:val="24"/>
                <w:vertAlign w:val="subscript"/>
              </w:rPr>
              <w:t>3</w:t>
            </w:r>
            <w:r>
              <w:rPr>
                <w:rFonts w:hint="eastAsia" w:ascii="宋体" w:hAnsi="宋体" w:eastAsia="宋体" w:cs="宋体"/>
                <w:color w:val="000000"/>
                <w:sz w:val="24"/>
                <w:szCs w:val="24"/>
              </w:rPr>
              <w:t>-N)。</w:t>
            </w:r>
          </w:p>
          <w:p w14:paraId="5A64D5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依据吉林省生态环境厅《关于进一步明确建设项目主要污染物排放总量审核有关事宜的复函》，本项目总量管理按照其他行业主要污染物总量审核管理，在环评审批过程中予以豁免主要污染物总量审核，各级环评审批部门应自行建立统计台账，</w:t>
            </w:r>
            <w:r>
              <w:rPr>
                <w:rFonts w:hint="eastAsia" w:ascii="宋体" w:hAnsi="宋体" w:eastAsia="宋体" w:cs="宋体"/>
                <w:color w:val="000000"/>
                <w:sz w:val="24"/>
                <w:szCs w:val="24"/>
                <w:highlight w:val="none"/>
              </w:rPr>
              <w:t>纳入环境管理</w:t>
            </w:r>
            <w:r>
              <w:rPr>
                <w:rFonts w:hint="eastAsia" w:ascii="宋体" w:hAnsi="宋体" w:eastAsia="宋体" w:cs="宋体"/>
                <w:color w:val="000000"/>
                <w:sz w:val="24"/>
                <w:szCs w:val="24"/>
                <w:lang w:eastAsia="zh-CN"/>
              </w:rPr>
              <w:t>。</w:t>
            </w:r>
          </w:p>
          <w:p w14:paraId="404DE7D4">
            <w:pPr>
              <w:pStyle w:val="31"/>
              <w:rPr>
                <w:rFonts w:hint="eastAsia" w:ascii="宋体" w:hAnsi="宋体" w:eastAsia="宋体" w:cs="宋体"/>
                <w:color w:val="000000"/>
                <w:sz w:val="24"/>
                <w:szCs w:val="24"/>
                <w:lang w:eastAsia="zh-CN"/>
              </w:rPr>
            </w:pPr>
          </w:p>
          <w:p w14:paraId="2F29BCA9">
            <w:pPr>
              <w:rPr>
                <w:rFonts w:hint="eastAsia" w:ascii="宋体" w:hAnsi="宋体" w:eastAsia="宋体" w:cs="宋体"/>
                <w:color w:val="000000"/>
                <w:sz w:val="24"/>
                <w:szCs w:val="24"/>
                <w:lang w:eastAsia="zh-CN"/>
              </w:rPr>
            </w:pPr>
          </w:p>
          <w:p w14:paraId="434D893F">
            <w:pPr>
              <w:pStyle w:val="31"/>
              <w:rPr>
                <w:rFonts w:hint="eastAsia" w:ascii="宋体" w:hAnsi="宋体" w:eastAsia="宋体" w:cs="宋体"/>
                <w:color w:val="000000"/>
                <w:sz w:val="24"/>
                <w:szCs w:val="24"/>
                <w:lang w:eastAsia="zh-CN"/>
              </w:rPr>
            </w:pPr>
          </w:p>
          <w:p w14:paraId="539EE6DE">
            <w:pPr>
              <w:rPr>
                <w:rFonts w:hint="eastAsia" w:ascii="宋体" w:hAnsi="宋体" w:eastAsia="宋体" w:cs="宋体"/>
                <w:color w:val="000000"/>
                <w:sz w:val="24"/>
                <w:szCs w:val="24"/>
                <w:lang w:eastAsia="zh-CN"/>
              </w:rPr>
            </w:pPr>
          </w:p>
          <w:p w14:paraId="72C120BD">
            <w:pPr>
              <w:pStyle w:val="31"/>
              <w:rPr>
                <w:rFonts w:hint="eastAsia" w:ascii="宋体" w:hAnsi="宋体" w:eastAsia="宋体" w:cs="宋体"/>
                <w:color w:val="000000"/>
                <w:sz w:val="24"/>
                <w:szCs w:val="24"/>
                <w:lang w:eastAsia="zh-CN"/>
              </w:rPr>
            </w:pPr>
          </w:p>
          <w:p w14:paraId="3DC9F840">
            <w:pPr>
              <w:rPr>
                <w:rFonts w:hint="eastAsia" w:ascii="宋体" w:hAnsi="宋体" w:eastAsia="宋体" w:cs="宋体"/>
                <w:color w:val="000000"/>
                <w:sz w:val="24"/>
                <w:szCs w:val="24"/>
                <w:lang w:eastAsia="zh-CN"/>
              </w:rPr>
            </w:pPr>
          </w:p>
          <w:p w14:paraId="03F5F16C">
            <w:pPr>
              <w:pStyle w:val="31"/>
              <w:rPr>
                <w:rFonts w:hint="eastAsia" w:ascii="宋体" w:hAnsi="宋体" w:eastAsia="宋体" w:cs="宋体"/>
                <w:color w:val="000000"/>
                <w:sz w:val="24"/>
                <w:szCs w:val="24"/>
                <w:lang w:eastAsia="zh-CN"/>
              </w:rPr>
            </w:pPr>
          </w:p>
          <w:p w14:paraId="4B56C36E">
            <w:pPr>
              <w:rPr>
                <w:rFonts w:hint="eastAsia" w:ascii="宋体" w:hAnsi="宋体" w:eastAsia="宋体" w:cs="宋体"/>
                <w:color w:val="000000"/>
                <w:sz w:val="24"/>
                <w:szCs w:val="24"/>
                <w:lang w:eastAsia="zh-CN"/>
              </w:rPr>
            </w:pPr>
          </w:p>
          <w:p w14:paraId="12D99DB0">
            <w:pPr>
              <w:pStyle w:val="31"/>
            </w:pPr>
          </w:p>
        </w:tc>
      </w:tr>
    </w:tbl>
    <w:p w14:paraId="7AE1675D">
      <w:pPr>
        <w:pStyle w:val="18"/>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8316"/>
      </w:tblGrid>
      <w:tr w14:paraId="683FE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746" w:type="dxa"/>
            <w:noWrap w:val="0"/>
            <w:tcMar>
              <w:left w:w="28" w:type="dxa"/>
              <w:right w:w="28" w:type="dxa"/>
            </w:tcMar>
            <w:vAlign w:val="center"/>
          </w:tcPr>
          <w:p w14:paraId="507FFF1F">
            <w:pPr>
              <w:pStyle w:val="18"/>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施工</w:t>
            </w:r>
          </w:p>
          <w:p w14:paraId="4FC6C60E">
            <w:pPr>
              <w:pStyle w:val="18"/>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期环</w:t>
            </w:r>
          </w:p>
          <w:p w14:paraId="4B3D721C">
            <w:pPr>
              <w:pStyle w:val="18"/>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境保</w:t>
            </w:r>
          </w:p>
          <w:p w14:paraId="24538844">
            <w:pPr>
              <w:pStyle w:val="18"/>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护措</w:t>
            </w:r>
          </w:p>
          <w:p w14:paraId="544C8E4C">
            <w:pPr>
              <w:pStyle w:val="18"/>
              <w:adjustRightInd w:val="0"/>
              <w:snapToGrid w:val="0"/>
              <w:spacing w:before="0" w:beforeAutospacing="0" w:after="0" w:afterAutospacing="0"/>
              <w:jc w:val="center"/>
              <w:rPr>
                <w:rFonts w:hint="eastAsia" w:cs="宋体"/>
                <w:bCs/>
                <w:kern w:val="2"/>
                <w:sz w:val="21"/>
                <w:szCs w:val="21"/>
              </w:rPr>
            </w:pPr>
            <w:r>
              <w:rPr>
                <w:rFonts w:hint="eastAsia" w:cs="宋体"/>
                <w:kern w:val="2"/>
                <w:sz w:val="21"/>
                <w:szCs w:val="21"/>
              </w:rPr>
              <w:t>施</w:t>
            </w:r>
          </w:p>
        </w:tc>
        <w:tc>
          <w:tcPr>
            <w:tcW w:w="8299" w:type="dxa"/>
            <w:noWrap w:val="0"/>
            <w:vAlign w:val="center"/>
          </w:tcPr>
          <w:p w14:paraId="58AC7C2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rPr>
              <w:t>施工期环境保护措施</w:t>
            </w:r>
          </w:p>
          <w:p w14:paraId="6C615F7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本项目</w:t>
            </w:r>
            <w:r>
              <w:rPr>
                <w:rFonts w:hint="eastAsia" w:ascii="宋体" w:hAnsi="宋体" w:eastAsia="宋体" w:cs="宋体"/>
                <w:color w:val="000000"/>
                <w:sz w:val="24"/>
                <w:szCs w:val="24"/>
                <w:lang w:val="en-US" w:eastAsia="zh-CN"/>
              </w:rPr>
              <w:t>利用现有厂房，土建工程少，</w:t>
            </w:r>
            <w:r>
              <w:rPr>
                <w:rFonts w:hint="eastAsia" w:ascii="宋体" w:hAnsi="宋体" w:eastAsia="宋体" w:cs="宋体"/>
                <w:color w:val="000000"/>
                <w:sz w:val="24"/>
                <w:szCs w:val="24"/>
              </w:rPr>
              <w:t>工程量小，周期短，对周围环境影响较小。</w:t>
            </w:r>
          </w:p>
          <w:p w14:paraId="58E1C56C">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1、针对施工</w:t>
            </w:r>
            <w:r>
              <w:rPr>
                <w:rFonts w:hint="eastAsia" w:ascii="宋体" w:hAnsi="宋体" w:eastAsia="宋体" w:cs="宋体"/>
                <w:color w:val="000000"/>
                <w:sz w:val="24"/>
                <w:szCs w:val="24"/>
                <w:lang w:eastAsia="zh-CN"/>
              </w:rPr>
              <w:t>期间</w:t>
            </w:r>
            <w:r>
              <w:rPr>
                <w:rFonts w:hint="eastAsia" w:ascii="宋体" w:hAnsi="宋体" w:eastAsia="宋体" w:cs="宋体"/>
                <w:color w:val="000000"/>
                <w:sz w:val="24"/>
                <w:szCs w:val="24"/>
              </w:rPr>
              <w:t>产生的废气，应采取以下措施：</w:t>
            </w:r>
          </w:p>
          <w:p w14:paraId="0260B18F">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①在施工区应配备简易洒水车等洒水工具，对施工场地、材料堆场等处定时洒水。避免粉尘、气体和噪音扩散至周边环境</w:t>
            </w:r>
            <w:r>
              <w:rPr>
                <w:rFonts w:hint="eastAsia" w:ascii="宋体" w:hAnsi="宋体" w:eastAsia="宋体" w:cs="宋体"/>
                <w:color w:val="000000"/>
                <w:sz w:val="24"/>
                <w:szCs w:val="24"/>
                <w:lang w:eastAsia="zh-CN"/>
              </w:rPr>
              <w:t>。</w:t>
            </w:r>
          </w:p>
          <w:p w14:paraId="50A50E99">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②施工现场的土方应准备苫布，并将土方集中堆放。裸露的场地和集中堆放的土方采取覆盖、固化等措施。</w:t>
            </w:r>
          </w:p>
          <w:p w14:paraId="05E1DE30">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③在施工过程中选用高性能、低污染的施工机械，减轻机械燃油废气对区域环境空气的影响。施工机械燃烧废气污染随着工程的结束而结束。</w:t>
            </w:r>
          </w:p>
          <w:p w14:paraId="76D13662">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④施工期间设计合理的施工规划，运输渣土的车辆做到不从市区内行驶，避免渣土产生扬尘污染市区内环境。</w:t>
            </w:r>
          </w:p>
          <w:p w14:paraId="0D842CE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⑤使用耗油低、排气小的施工车辆，选用优质燃料油，减少机械和车辆的有害废气排放。</w:t>
            </w:r>
          </w:p>
          <w:p w14:paraId="2426E106">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严格施工扬尘监管。建筑工地要做到工地周边围挡、物料堆放覆盖、工地湿法作业、路面硬化、出入车辆清洗、渣土车辆密闭运输“六个百分百”。采取以上措施后，可有效减轻施工扬尘及废气对周围环境的影响。严格执行《施工及堆料场地扬尘排放标准》。</w:t>
            </w:r>
          </w:p>
          <w:p w14:paraId="55836013">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2、针对施工人员生活污水，依托厂区内生活设施，</w:t>
            </w:r>
            <w:r>
              <w:rPr>
                <w:rFonts w:hint="eastAsia" w:ascii="宋体" w:hAnsi="宋体" w:eastAsia="宋体" w:cs="宋体"/>
                <w:color w:val="000000"/>
                <w:sz w:val="24"/>
                <w:szCs w:val="24"/>
                <w:lang w:val="en-US" w:eastAsia="zh-CN"/>
              </w:rPr>
              <w:t>排入防渗化粪池定期清运</w:t>
            </w:r>
            <w:r>
              <w:rPr>
                <w:rFonts w:hint="eastAsia" w:ascii="宋体" w:hAnsi="宋体" w:eastAsia="宋体" w:cs="宋体"/>
                <w:color w:val="000000"/>
                <w:sz w:val="24"/>
                <w:szCs w:val="24"/>
              </w:rPr>
              <w:t>。</w:t>
            </w:r>
          </w:p>
          <w:p w14:paraId="70ABC62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3、针对施工噪声，采取以下措施：</w:t>
            </w:r>
          </w:p>
          <w:p w14:paraId="4514B8C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使用环保型工具和设备，减少静电和噪音产生，并确保其按时维护和更新。</w:t>
            </w:r>
          </w:p>
          <w:p w14:paraId="7708A9A2">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禁止夜间施工，昼间产生的噪声</w:t>
            </w:r>
            <w:r>
              <w:rPr>
                <w:rFonts w:hint="eastAsia" w:ascii="宋体" w:hAnsi="宋体" w:eastAsia="宋体" w:cs="宋体"/>
                <w:color w:val="000000"/>
                <w:sz w:val="24"/>
                <w:szCs w:val="24"/>
                <w:lang w:val="en-US" w:eastAsia="zh-CN"/>
              </w:rPr>
              <w:t>通过</w:t>
            </w:r>
            <w:r>
              <w:rPr>
                <w:rFonts w:hint="eastAsia" w:ascii="宋体" w:hAnsi="宋体" w:eastAsia="宋体" w:cs="宋体"/>
                <w:color w:val="000000"/>
                <w:sz w:val="24"/>
                <w:szCs w:val="24"/>
              </w:rPr>
              <w:t>衰减</w:t>
            </w:r>
            <w:r>
              <w:rPr>
                <w:rFonts w:hint="eastAsia" w:ascii="宋体" w:hAnsi="宋体" w:eastAsia="宋体" w:cs="宋体"/>
                <w:color w:val="000000"/>
                <w:sz w:val="24"/>
                <w:szCs w:val="24"/>
                <w:lang w:val="en-US" w:eastAsia="zh-CN"/>
              </w:rPr>
              <w:t>和建筑物等阻隔，</w:t>
            </w:r>
            <w:r>
              <w:rPr>
                <w:rFonts w:hint="eastAsia" w:ascii="宋体" w:hAnsi="宋体" w:eastAsia="宋体" w:cs="宋体"/>
                <w:color w:val="000000"/>
                <w:sz w:val="24"/>
                <w:szCs w:val="24"/>
              </w:rPr>
              <w:t>至居民区噪声可以达到相应的质量标准要求，因此施工设备噪声对敏感点影响不大。进出施工场地的运输车辆产生交通噪声。运输车辆在建筑材料及废弃物运输中，产生的交通噪声对沿线附近居民产生影响。因此，合理规划了车辆运输路线及运输时段，通过采取昼间运输，敏感区域禁鸣，并控制行驶速度等措施，减轻了交通运输噪声对环境的影响。</w:t>
            </w:r>
          </w:p>
          <w:p w14:paraId="4168B258">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4、针对施工期产生的固体废物，采取以下措施：</w:t>
            </w:r>
          </w:p>
          <w:p w14:paraId="29B0BDA2">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宋体" w:hAnsi="宋体" w:cs="宋体"/>
                <w:bCs/>
                <w:spacing w:val="-10"/>
                <w:szCs w:val="21"/>
              </w:rPr>
            </w:pPr>
            <w:r>
              <w:rPr>
                <w:rFonts w:hint="eastAsia" w:ascii="宋体" w:hAnsi="宋体" w:eastAsia="宋体" w:cs="宋体"/>
                <w:color w:val="000000"/>
                <w:sz w:val="24"/>
                <w:szCs w:val="24"/>
              </w:rPr>
              <w:t>施工期主要固体废物为建筑垃圾、施工人员生活垃圾等。建筑垃圾按照市政主管部门的要求妥善清运至指定的消纳场，统一处置。生活垃圾经垃圾箱收集，定期清运统一处理。</w:t>
            </w:r>
          </w:p>
        </w:tc>
      </w:tr>
      <w:tr w14:paraId="117D6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14:paraId="3A9DC90E">
            <w:pPr>
              <w:adjustRightInd w:val="0"/>
              <w:snapToGrid w:val="0"/>
              <w:jc w:val="center"/>
              <w:rPr>
                <w:rFonts w:hint="eastAsia" w:ascii="宋体" w:hAnsi="宋体" w:cs="宋体"/>
                <w:bCs/>
                <w:szCs w:val="21"/>
              </w:rPr>
            </w:pPr>
            <w:r>
              <w:rPr>
                <w:rFonts w:hint="eastAsia" w:ascii="宋体" w:hAnsi="宋体" w:cs="宋体"/>
                <w:bCs/>
                <w:szCs w:val="21"/>
              </w:rPr>
              <w:t>运营</w:t>
            </w:r>
          </w:p>
          <w:p w14:paraId="62FC674E">
            <w:pPr>
              <w:adjustRightInd w:val="0"/>
              <w:snapToGrid w:val="0"/>
              <w:jc w:val="center"/>
              <w:rPr>
                <w:rFonts w:hint="eastAsia" w:ascii="宋体" w:hAnsi="宋体" w:cs="宋体"/>
                <w:bCs/>
                <w:szCs w:val="21"/>
              </w:rPr>
            </w:pPr>
            <w:r>
              <w:rPr>
                <w:rFonts w:hint="eastAsia" w:ascii="宋体" w:hAnsi="宋体" w:cs="宋体"/>
                <w:bCs/>
                <w:szCs w:val="21"/>
              </w:rPr>
              <w:t>期环</w:t>
            </w:r>
          </w:p>
          <w:p w14:paraId="23344F2D">
            <w:pPr>
              <w:adjustRightInd w:val="0"/>
              <w:snapToGrid w:val="0"/>
              <w:jc w:val="center"/>
              <w:rPr>
                <w:rFonts w:hint="eastAsia" w:ascii="宋体" w:hAnsi="宋体" w:cs="宋体"/>
                <w:bCs/>
                <w:szCs w:val="21"/>
              </w:rPr>
            </w:pPr>
            <w:r>
              <w:rPr>
                <w:rFonts w:hint="eastAsia" w:ascii="宋体" w:hAnsi="宋体" w:cs="宋体"/>
                <w:bCs/>
                <w:szCs w:val="21"/>
              </w:rPr>
              <w:t>境影</w:t>
            </w:r>
          </w:p>
          <w:p w14:paraId="1D8BB3BC">
            <w:pPr>
              <w:adjustRightInd w:val="0"/>
              <w:snapToGrid w:val="0"/>
              <w:jc w:val="center"/>
              <w:rPr>
                <w:rFonts w:hint="eastAsia" w:ascii="宋体" w:hAnsi="宋体" w:cs="宋体"/>
                <w:bCs/>
                <w:szCs w:val="21"/>
              </w:rPr>
            </w:pPr>
            <w:r>
              <w:rPr>
                <w:rFonts w:hint="eastAsia" w:ascii="宋体" w:hAnsi="宋体" w:cs="宋体"/>
                <w:bCs/>
                <w:szCs w:val="21"/>
              </w:rPr>
              <w:t>响和</w:t>
            </w:r>
          </w:p>
          <w:p w14:paraId="42DE36BB">
            <w:pPr>
              <w:adjustRightInd w:val="0"/>
              <w:snapToGrid w:val="0"/>
              <w:jc w:val="center"/>
              <w:rPr>
                <w:rFonts w:hint="eastAsia" w:ascii="宋体" w:hAnsi="宋体" w:cs="宋体"/>
                <w:bCs/>
                <w:szCs w:val="21"/>
              </w:rPr>
            </w:pPr>
            <w:r>
              <w:rPr>
                <w:rFonts w:hint="eastAsia" w:ascii="宋体" w:hAnsi="宋体" w:cs="宋体"/>
                <w:bCs/>
                <w:szCs w:val="21"/>
              </w:rPr>
              <w:t>保护</w:t>
            </w:r>
          </w:p>
          <w:p w14:paraId="07717A6E">
            <w:pPr>
              <w:adjustRightInd w:val="0"/>
              <w:snapToGrid w:val="0"/>
              <w:jc w:val="center"/>
              <w:rPr>
                <w:rFonts w:ascii="宋体" w:hAnsi="宋体" w:cs="宋体"/>
                <w:bCs/>
                <w:szCs w:val="21"/>
              </w:rPr>
            </w:pPr>
            <w:r>
              <w:rPr>
                <w:rFonts w:hint="eastAsia" w:ascii="宋体" w:hAnsi="宋体" w:cs="宋体"/>
                <w:bCs/>
                <w:szCs w:val="21"/>
              </w:rPr>
              <w:t>措施</w:t>
            </w:r>
          </w:p>
        </w:tc>
        <w:tc>
          <w:tcPr>
            <w:tcW w:w="8299" w:type="dxa"/>
            <w:noWrap w:val="0"/>
            <w:vAlign w:val="center"/>
          </w:tcPr>
          <w:p w14:paraId="76D49D40">
            <w:pPr>
              <w:pStyle w:val="5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（一）废气环境影响分析</w:t>
            </w:r>
          </w:p>
          <w:p w14:paraId="786017BB">
            <w:pPr>
              <w:pStyle w:val="5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b/>
                <w:bCs/>
                <w:spacing w:val="6"/>
                <w:sz w:val="24"/>
                <w:szCs w:val="24"/>
              </w:rPr>
              <w:t>源强核算过程</w:t>
            </w:r>
          </w:p>
          <w:p w14:paraId="53C7D4B3">
            <w:pPr>
              <w:pStyle w:val="52"/>
              <w:keepNext w:val="0"/>
              <w:keepLines w:val="0"/>
              <w:pageBreakBefore w:val="0"/>
              <w:widowControl w:val="0"/>
              <w:kinsoku/>
              <w:wordWrap/>
              <w:overflowPunct/>
              <w:topLinePunct w:val="0"/>
              <w:autoSpaceDE/>
              <w:autoSpaceDN/>
              <w:bidi w:val="0"/>
              <w:adjustRightInd/>
              <w:snapToGrid/>
              <w:spacing w:line="360" w:lineRule="auto"/>
              <w:ind w:left="542"/>
              <w:textAlignment w:val="auto"/>
              <w:rPr>
                <w:rFonts w:hint="eastAsia" w:ascii="宋体" w:hAnsi="宋体" w:eastAsia="宋体" w:cs="宋体"/>
                <w:sz w:val="24"/>
                <w:szCs w:val="24"/>
              </w:rPr>
            </w:pPr>
            <w:r>
              <w:rPr>
                <w:rFonts w:hint="eastAsia" w:ascii="宋体" w:hAnsi="宋体" w:eastAsia="宋体" w:cs="宋体"/>
                <w:b/>
                <w:bCs/>
                <w:spacing w:val="6"/>
                <w:sz w:val="24"/>
                <w:szCs w:val="24"/>
              </w:rPr>
              <w:t>（1）有组织废气</w:t>
            </w:r>
          </w:p>
          <w:p w14:paraId="59A76071">
            <w:pPr>
              <w:pStyle w:val="52"/>
              <w:keepNext w:val="0"/>
              <w:keepLines w:val="0"/>
              <w:pageBreakBefore w:val="0"/>
              <w:widowControl w:val="0"/>
              <w:kinsoku/>
              <w:wordWrap/>
              <w:overflowPunct/>
              <w:topLinePunct w:val="0"/>
              <w:autoSpaceDE/>
              <w:autoSpaceDN/>
              <w:bidi w:val="0"/>
              <w:adjustRightInd/>
              <w:snapToGrid/>
              <w:spacing w:line="360" w:lineRule="auto"/>
              <w:ind w:left="531"/>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①硫酸雾</w:t>
            </w:r>
          </w:p>
          <w:p w14:paraId="093F65EB">
            <w:pPr>
              <w:pStyle w:val="52"/>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z w:val="24"/>
                <w:szCs w:val="24"/>
              </w:rPr>
            </w:pPr>
            <w:r>
              <w:rPr>
                <w:rFonts w:hint="eastAsia" w:ascii="宋体" w:hAnsi="宋体" w:eastAsia="宋体" w:cs="宋体"/>
                <w:spacing w:val="6"/>
                <w:sz w:val="24"/>
                <w:szCs w:val="24"/>
              </w:rPr>
              <w:t>双氧水法可膨胀石墨在</w:t>
            </w:r>
            <w:r>
              <w:rPr>
                <w:rFonts w:hint="eastAsia" w:ascii="宋体" w:hAnsi="宋体" w:eastAsia="宋体" w:cs="宋体"/>
                <w:spacing w:val="6"/>
                <w:sz w:val="24"/>
                <w:szCs w:val="24"/>
                <w:lang w:val="en-US" w:eastAsia="zh-CN"/>
              </w:rPr>
              <w:t>插层釜</w:t>
            </w:r>
            <w:r>
              <w:rPr>
                <w:rFonts w:hint="eastAsia" w:ascii="宋体" w:hAnsi="宋体" w:eastAsia="宋体" w:cs="宋体"/>
                <w:spacing w:val="6"/>
                <w:sz w:val="24"/>
                <w:szCs w:val="24"/>
              </w:rPr>
              <w:t>酸化膨胀过程中使用硫酸，使用过程</w:t>
            </w:r>
            <w:r>
              <w:rPr>
                <w:rFonts w:hint="eastAsia" w:ascii="宋体" w:hAnsi="宋体" w:eastAsia="宋体" w:cs="宋体"/>
                <w:spacing w:val="5"/>
                <w:sz w:val="24"/>
                <w:szCs w:val="24"/>
              </w:rPr>
              <w:t>中挥</w:t>
            </w:r>
            <w:r>
              <w:rPr>
                <w:rFonts w:hint="eastAsia" w:ascii="宋体" w:hAnsi="宋体" w:eastAsia="宋体" w:cs="宋体"/>
                <w:spacing w:val="8"/>
                <w:sz w:val="24"/>
                <w:szCs w:val="24"/>
              </w:rPr>
              <w:t>发的含酸废气中的主要污染因子是硫酸雾，</w:t>
            </w:r>
            <w:r>
              <w:rPr>
                <w:rFonts w:hint="eastAsia" w:ascii="宋体" w:hAnsi="宋体" w:eastAsia="宋体" w:cs="宋体"/>
                <w:spacing w:val="7"/>
                <w:sz w:val="24"/>
                <w:szCs w:val="24"/>
              </w:rPr>
              <w:t>压滤脱酸工序也会挥发出硫酸雾，具体产生情况介绍如下。</w:t>
            </w:r>
          </w:p>
          <w:p w14:paraId="027FFD3F">
            <w:pPr>
              <w:pStyle w:val="52"/>
              <w:keepNext w:val="0"/>
              <w:keepLines w:val="0"/>
              <w:pageBreakBefore w:val="0"/>
              <w:widowControl w:val="0"/>
              <w:kinsoku/>
              <w:wordWrap/>
              <w:overflowPunct/>
              <w:topLinePunct w:val="0"/>
              <w:autoSpaceDE/>
              <w:autoSpaceDN/>
              <w:bidi w:val="0"/>
              <w:adjustRightInd/>
              <w:snapToGrid/>
              <w:spacing w:line="360" w:lineRule="auto"/>
              <w:ind w:left="534"/>
              <w:textAlignment w:val="auto"/>
              <w:rPr>
                <w:rFonts w:hint="eastAsia" w:ascii="宋体" w:hAnsi="宋体" w:eastAsia="宋体" w:cs="宋体"/>
                <w:sz w:val="24"/>
                <w:szCs w:val="24"/>
              </w:rPr>
            </w:pPr>
            <w:r>
              <w:rPr>
                <w:rFonts w:hint="eastAsia" w:ascii="宋体" w:hAnsi="宋体" w:eastAsia="宋体" w:cs="宋体"/>
                <w:spacing w:val="9"/>
                <w:sz w:val="24"/>
                <w:szCs w:val="24"/>
              </w:rPr>
              <w:t>参照《环境统计手册》中液体蒸发量公式计算硫酸雾的产生量。</w:t>
            </w:r>
          </w:p>
          <w:p w14:paraId="59DA580C">
            <w:pPr>
              <w:pStyle w:val="52"/>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sz w:val="24"/>
                <w:szCs w:val="24"/>
              </w:rPr>
            </w:pPr>
            <w:r>
              <w:rPr>
                <w:rFonts w:hint="eastAsia" w:ascii="宋体" w:hAnsi="宋体" w:eastAsia="宋体" w:cs="宋体"/>
                <w:position w:val="1"/>
                <w:sz w:val="24"/>
                <w:szCs w:val="24"/>
              </w:rPr>
              <w:t>Gz</w:t>
            </w:r>
            <w:r>
              <w:rPr>
                <w:rFonts w:hint="eastAsia" w:ascii="宋体" w:hAnsi="宋体" w:eastAsia="宋体" w:cs="宋体"/>
                <w:spacing w:val="5"/>
                <w:position w:val="1"/>
                <w:sz w:val="24"/>
                <w:szCs w:val="24"/>
              </w:rPr>
              <w:t>=M（0.000352+0.000786V）P·F</w:t>
            </w:r>
          </w:p>
          <w:p w14:paraId="3BAFF204">
            <w:pPr>
              <w:pStyle w:val="52"/>
              <w:keepNext w:val="0"/>
              <w:keepLines w:val="0"/>
              <w:pageBreakBefore w:val="0"/>
              <w:widowControl w:val="0"/>
              <w:kinsoku/>
              <w:wordWrap/>
              <w:overflowPunct/>
              <w:topLinePunct w:val="0"/>
              <w:autoSpaceDE/>
              <w:autoSpaceDN/>
              <w:bidi w:val="0"/>
              <w:adjustRightInd/>
              <w:snapToGrid/>
              <w:spacing w:line="360" w:lineRule="auto"/>
              <w:ind w:left="536"/>
              <w:textAlignment w:val="auto"/>
              <w:rPr>
                <w:rFonts w:hint="eastAsia" w:ascii="宋体" w:hAnsi="宋体" w:eastAsia="宋体" w:cs="宋体"/>
                <w:sz w:val="24"/>
                <w:szCs w:val="24"/>
              </w:rPr>
            </w:pPr>
            <w:r>
              <w:rPr>
                <w:rFonts w:hint="eastAsia" w:ascii="宋体" w:hAnsi="宋体" w:eastAsia="宋体" w:cs="宋体"/>
                <w:spacing w:val="8"/>
                <w:sz w:val="24"/>
                <w:szCs w:val="24"/>
              </w:rPr>
              <w:t>式中，</w:t>
            </w:r>
            <w:r>
              <w:rPr>
                <w:rFonts w:hint="eastAsia" w:ascii="宋体" w:hAnsi="宋体" w:eastAsia="宋体" w:cs="宋体"/>
                <w:sz w:val="24"/>
                <w:szCs w:val="24"/>
              </w:rPr>
              <w:t>Gz</w:t>
            </w:r>
            <w:r>
              <w:rPr>
                <w:rFonts w:hint="eastAsia" w:ascii="宋体" w:hAnsi="宋体" w:eastAsia="宋体" w:cs="宋体"/>
                <w:spacing w:val="8"/>
                <w:sz w:val="24"/>
                <w:szCs w:val="24"/>
              </w:rPr>
              <w:t>——液体的蒸发量，</w:t>
            </w:r>
            <w:r>
              <w:rPr>
                <w:rFonts w:hint="eastAsia" w:ascii="宋体" w:hAnsi="宋体" w:eastAsia="宋体" w:cs="宋体"/>
                <w:sz w:val="24"/>
                <w:szCs w:val="24"/>
              </w:rPr>
              <w:t>kg</w:t>
            </w:r>
            <w:r>
              <w:rPr>
                <w:rFonts w:hint="eastAsia" w:ascii="宋体" w:hAnsi="宋体" w:eastAsia="宋体" w:cs="宋体"/>
                <w:spacing w:val="8"/>
                <w:sz w:val="24"/>
                <w:szCs w:val="24"/>
              </w:rPr>
              <w:t>/h；</w:t>
            </w:r>
          </w:p>
          <w:p w14:paraId="746F7191">
            <w:pPr>
              <w:pStyle w:val="52"/>
              <w:keepNext w:val="0"/>
              <w:keepLines w:val="0"/>
              <w:pageBreakBefore w:val="0"/>
              <w:widowControl w:val="0"/>
              <w:kinsoku/>
              <w:wordWrap/>
              <w:overflowPunct/>
              <w:topLinePunct w:val="0"/>
              <w:autoSpaceDE/>
              <w:autoSpaceDN/>
              <w:bidi w:val="0"/>
              <w:adjustRightInd/>
              <w:snapToGrid/>
              <w:spacing w:line="360" w:lineRule="auto"/>
              <w:ind w:firstLine="1270" w:firstLineChars="500"/>
              <w:textAlignment w:val="auto"/>
              <w:rPr>
                <w:rFonts w:hint="eastAsia" w:ascii="宋体" w:hAnsi="宋体" w:eastAsia="宋体" w:cs="宋体"/>
                <w:sz w:val="24"/>
                <w:szCs w:val="24"/>
              </w:rPr>
            </w:pPr>
            <w:r>
              <w:rPr>
                <w:rFonts w:hint="eastAsia" w:ascii="宋体" w:hAnsi="宋体" w:eastAsia="宋体" w:cs="宋体"/>
                <w:spacing w:val="7"/>
                <w:sz w:val="24"/>
                <w:szCs w:val="24"/>
              </w:rPr>
              <w:t>M——分子量，硫酸为</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98；</w:t>
            </w:r>
          </w:p>
          <w:p w14:paraId="31A6E04A">
            <w:pPr>
              <w:pStyle w:val="52"/>
              <w:keepNext w:val="0"/>
              <w:keepLines w:val="0"/>
              <w:pageBreakBefore w:val="0"/>
              <w:widowControl w:val="0"/>
              <w:kinsoku/>
              <w:wordWrap/>
              <w:overflowPunct/>
              <w:topLinePunct w:val="0"/>
              <w:autoSpaceDE/>
              <w:autoSpaceDN/>
              <w:bidi w:val="0"/>
              <w:adjustRightInd/>
              <w:snapToGrid/>
              <w:spacing w:line="360" w:lineRule="auto"/>
              <w:ind w:firstLine="1270" w:firstLineChars="500"/>
              <w:textAlignment w:val="auto"/>
              <w:rPr>
                <w:rFonts w:hint="eastAsia" w:ascii="宋体" w:hAnsi="宋体" w:eastAsia="宋体" w:cs="宋体"/>
                <w:sz w:val="24"/>
                <w:szCs w:val="24"/>
              </w:rPr>
            </w:pPr>
            <w:r>
              <w:rPr>
                <w:rFonts w:hint="eastAsia" w:ascii="宋体" w:hAnsi="宋体" w:eastAsia="宋体" w:cs="宋体"/>
                <w:spacing w:val="7"/>
                <w:sz w:val="24"/>
                <w:szCs w:val="24"/>
              </w:rPr>
              <w:t>V——溶液表面上的空气流速，m/s</w:t>
            </w:r>
            <w:r>
              <w:rPr>
                <w:rFonts w:hint="eastAsia" w:ascii="宋体" w:hAnsi="宋体" w:eastAsia="宋体" w:cs="宋体"/>
                <w:spacing w:val="-22"/>
                <w:sz w:val="24"/>
                <w:szCs w:val="24"/>
              </w:rPr>
              <w:t xml:space="preserve"> </w:t>
            </w:r>
            <w:r>
              <w:rPr>
                <w:rFonts w:hint="eastAsia" w:ascii="宋体" w:hAnsi="宋体" w:eastAsia="宋体" w:cs="宋体"/>
                <w:spacing w:val="7"/>
                <w:sz w:val="24"/>
                <w:szCs w:val="24"/>
              </w:rPr>
              <w:t>，无法实测按</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0.2~0.5</w:t>
            </w:r>
            <w:r>
              <w:rPr>
                <w:rFonts w:hint="eastAsia" w:ascii="宋体" w:hAnsi="宋体" w:eastAsia="宋体" w:cs="宋体"/>
                <w:spacing w:val="6"/>
                <w:sz w:val="24"/>
                <w:szCs w:val="24"/>
              </w:rPr>
              <w:t>取值，本次评价取</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0.</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rPr>
              <w:t>；</w:t>
            </w:r>
          </w:p>
          <w:p w14:paraId="6FC4726B">
            <w:pPr>
              <w:pStyle w:val="52"/>
              <w:keepNext w:val="0"/>
              <w:keepLines w:val="0"/>
              <w:pageBreakBefore w:val="0"/>
              <w:widowControl w:val="0"/>
              <w:kinsoku/>
              <w:wordWrap/>
              <w:overflowPunct/>
              <w:topLinePunct w:val="0"/>
              <w:autoSpaceDE/>
              <w:autoSpaceDN/>
              <w:bidi w:val="0"/>
              <w:adjustRightInd/>
              <w:snapToGrid/>
              <w:spacing w:line="360" w:lineRule="auto"/>
              <w:ind w:right="107" w:firstLine="1360" w:firstLineChars="500"/>
              <w:textAlignment w:val="auto"/>
              <w:rPr>
                <w:rFonts w:hint="eastAsia" w:ascii="宋体" w:hAnsi="宋体" w:eastAsia="宋体" w:cs="宋体"/>
                <w:sz w:val="24"/>
                <w:szCs w:val="24"/>
              </w:rPr>
            </w:pPr>
            <w:r>
              <w:rPr>
                <w:rFonts w:hint="eastAsia" w:ascii="宋体" w:hAnsi="宋体" w:eastAsia="宋体" w:cs="宋体"/>
                <w:spacing w:val="16"/>
                <w:sz w:val="24"/>
                <w:szCs w:val="24"/>
              </w:rPr>
              <w:t>P——相应于液体温度下空气中的</w:t>
            </w:r>
            <w:r>
              <w:rPr>
                <w:rFonts w:hint="eastAsia" w:cs="宋体"/>
                <w:spacing w:val="16"/>
                <w:sz w:val="24"/>
                <w:szCs w:val="24"/>
                <w:lang w:eastAsia="zh-CN"/>
              </w:rPr>
              <w:t>饱和蒸气</w:t>
            </w:r>
            <w:r>
              <w:rPr>
                <w:rFonts w:hint="eastAsia" w:ascii="宋体" w:hAnsi="宋体" w:eastAsia="宋体" w:cs="宋体"/>
                <w:spacing w:val="16"/>
                <w:sz w:val="24"/>
                <w:szCs w:val="24"/>
              </w:rPr>
              <w:t>分压力（</w:t>
            </w:r>
            <w:r>
              <w:rPr>
                <w:rFonts w:hint="eastAsia" w:ascii="宋体" w:hAnsi="宋体" w:eastAsia="宋体" w:cs="宋体"/>
                <w:sz w:val="24"/>
                <w:szCs w:val="24"/>
              </w:rPr>
              <w:t>mmHg</w:t>
            </w:r>
            <w:r>
              <w:rPr>
                <w:rFonts w:hint="eastAsia" w:ascii="宋体" w:hAnsi="宋体" w:eastAsia="宋体" w:cs="宋体"/>
                <w:spacing w:val="6"/>
                <w:sz w:val="24"/>
                <w:szCs w:val="24"/>
              </w:rPr>
              <w:t>）</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16"/>
                <w:sz w:val="24"/>
                <w:szCs w:val="24"/>
              </w:rPr>
              <w:t>本次评价取值为</w:t>
            </w:r>
            <w:r>
              <w:rPr>
                <w:rFonts w:hint="eastAsia" w:ascii="宋体" w:hAnsi="宋体" w:eastAsia="宋体" w:cs="宋体"/>
                <w:sz w:val="24"/>
                <w:szCs w:val="24"/>
              </w:rPr>
              <w:t xml:space="preserve"> </w:t>
            </w:r>
            <w:r>
              <w:rPr>
                <w:rFonts w:hint="eastAsia" w:ascii="宋体" w:hAnsi="宋体" w:eastAsia="宋体" w:cs="宋体"/>
                <w:spacing w:val="6"/>
                <w:sz w:val="24"/>
                <w:szCs w:val="24"/>
              </w:rPr>
              <w:t>0.225</w:t>
            </w:r>
            <w:r>
              <w:rPr>
                <w:rFonts w:hint="eastAsia" w:ascii="宋体" w:hAnsi="宋体" w:eastAsia="宋体" w:cs="宋体"/>
                <w:sz w:val="24"/>
                <w:szCs w:val="24"/>
              </w:rPr>
              <w:t>mmHg</w:t>
            </w:r>
            <w:r>
              <w:rPr>
                <w:rFonts w:hint="eastAsia" w:ascii="宋体" w:hAnsi="宋体" w:eastAsia="宋体" w:cs="宋体"/>
                <w:spacing w:val="6"/>
                <w:sz w:val="24"/>
                <w:szCs w:val="24"/>
              </w:rPr>
              <w:t>；</w:t>
            </w:r>
          </w:p>
          <w:p w14:paraId="77BAF70A">
            <w:pPr>
              <w:pStyle w:val="52"/>
              <w:keepNext w:val="0"/>
              <w:keepLines w:val="0"/>
              <w:pageBreakBefore w:val="0"/>
              <w:widowControl w:val="0"/>
              <w:kinsoku/>
              <w:wordWrap/>
              <w:overflowPunct/>
              <w:topLinePunct w:val="0"/>
              <w:autoSpaceDE/>
              <w:autoSpaceDN/>
              <w:bidi w:val="0"/>
              <w:adjustRightInd/>
              <w:snapToGrid/>
              <w:spacing w:line="360" w:lineRule="auto"/>
              <w:ind w:left="1156" w:firstLine="256" w:firstLineChars="100"/>
              <w:textAlignment w:val="auto"/>
              <w:rPr>
                <w:rFonts w:hint="eastAsia" w:ascii="宋体" w:hAnsi="宋体" w:eastAsia="宋体" w:cs="宋体"/>
                <w:sz w:val="24"/>
                <w:szCs w:val="24"/>
              </w:rPr>
            </w:pPr>
            <w:r>
              <w:rPr>
                <w:rFonts w:hint="eastAsia" w:ascii="宋体" w:hAnsi="宋体" w:eastAsia="宋体" w:cs="宋体"/>
                <w:spacing w:val="8"/>
                <w:sz w:val="24"/>
                <w:szCs w:val="24"/>
              </w:rPr>
              <w:t>F——蒸发面的表面积，m</w:t>
            </w:r>
            <w:r>
              <w:rPr>
                <w:rFonts w:hint="eastAsia" w:ascii="宋体" w:hAnsi="宋体" w:eastAsia="宋体" w:cs="宋体"/>
                <w:spacing w:val="8"/>
                <w:sz w:val="24"/>
                <w:szCs w:val="24"/>
                <w:vertAlign w:val="superscript"/>
                <w:lang w:val="en-US" w:eastAsia="zh-CN"/>
              </w:rPr>
              <w:t>2</w:t>
            </w:r>
            <w:r>
              <w:rPr>
                <w:rFonts w:hint="eastAsia" w:ascii="宋体" w:hAnsi="宋体" w:eastAsia="宋体" w:cs="宋体"/>
                <w:spacing w:val="8"/>
                <w:sz w:val="24"/>
                <w:szCs w:val="24"/>
              </w:rPr>
              <w:t>。</w:t>
            </w:r>
          </w:p>
          <w:p w14:paraId="4F3FB14B">
            <w:pPr>
              <w:pStyle w:val="52"/>
              <w:keepNext w:val="0"/>
              <w:keepLines w:val="0"/>
              <w:pageBreakBefore w:val="0"/>
              <w:widowControl w:val="0"/>
              <w:kinsoku/>
              <w:wordWrap/>
              <w:overflowPunct/>
              <w:topLinePunct w:val="0"/>
              <w:autoSpaceDE/>
              <w:autoSpaceDN/>
              <w:bidi w:val="0"/>
              <w:adjustRightInd/>
              <w:snapToGrid/>
              <w:spacing w:line="360" w:lineRule="auto"/>
              <w:ind w:left="1156"/>
              <w:textAlignment w:val="auto"/>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rPr>
              <w:t>硫酸雾产生情况见下表。</w:t>
            </w:r>
          </w:p>
          <w:p w14:paraId="3E902995">
            <w:pPr>
              <w:pStyle w:val="52"/>
              <w:keepNext w:val="0"/>
              <w:keepLines w:val="0"/>
              <w:pageBreakBefore w:val="0"/>
              <w:widowControl w:val="0"/>
              <w:kinsoku/>
              <w:wordWrap/>
              <w:overflowPunct/>
              <w:topLinePunct w:val="0"/>
              <w:autoSpaceDE/>
              <w:autoSpaceDN/>
              <w:bidi w:val="0"/>
              <w:adjustRightInd/>
              <w:snapToGrid/>
              <w:spacing w:line="240" w:lineRule="atLeast"/>
              <w:ind w:left="1156" w:firstLine="907" w:firstLineChars="400"/>
              <w:textAlignment w:val="auto"/>
              <w:rPr>
                <w:rFonts w:hint="eastAsia" w:ascii="宋体" w:hAnsi="宋体" w:eastAsia="宋体" w:cs="宋体"/>
                <w:b/>
                <w:bCs/>
                <w:spacing w:val="8"/>
                <w:sz w:val="21"/>
                <w:szCs w:val="21"/>
                <w:lang w:val="en-US" w:eastAsia="zh-CN"/>
              </w:rPr>
            </w:pPr>
            <w:r>
              <w:rPr>
                <w:rFonts w:hint="eastAsia" w:ascii="宋体" w:hAnsi="宋体" w:eastAsia="宋体" w:cs="宋体"/>
                <w:b/>
                <w:bCs/>
                <w:spacing w:val="8"/>
                <w:sz w:val="21"/>
                <w:szCs w:val="21"/>
                <w:lang w:val="en-US" w:eastAsia="zh-CN"/>
              </w:rPr>
              <w:t>表4-1   硫酸雾产生情况一览表</w:t>
            </w:r>
          </w:p>
          <w:tbl>
            <w:tblPr>
              <w:tblStyle w:val="53"/>
              <w:tblpPr w:leftFromText="180" w:rightFromText="180" w:vertAnchor="text" w:tblpXSpec="center" w:tblpY="1"/>
              <w:tblOverlap w:val="never"/>
              <w:tblW w:w="499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87"/>
              <w:gridCol w:w="787"/>
              <w:gridCol w:w="465"/>
              <w:gridCol w:w="1154"/>
              <w:gridCol w:w="547"/>
              <w:gridCol w:w="479"/>
              <w:gridCol w:w="915"/>
              <w:gridCol w:w="718"/>
              <w:gridCol w:w="560"/>
              <w:gridCol w:w="1229"/>
              <w:gridCol w:w="721"/>
            </w:tblGrid>
            <w:tr w14:paraId="58A3BB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304" w:type="pct"/>
                  <w:tcBorders>
                    <w:tl2br w:val="nil"/>
                    <w:tr2bl w:val="nil"/>
                  </w:tcBorders>
                  <w:noWrap w:val="0"/>
                  <w:vAlign w:val="center"/>
                </w:tcPr>
                <w:p w14:paraId="70F85D6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污染源编号</w:t>
                  </w:r>
                </w:p>
              </w:tc>
              <w:tc>
                <w:tcPr>
                  <w:tcW w:w="490" w:type="pct"/>
                  <w:tcBorders>
                    <w:tl2br w:val="nil"/>
                    <w:tr2bl w:val="nil"/>
                  </w:tcBorders>
                  <w:noWrap w:val="0"/>
                  <w:vAlign w:val="center"/>
                </w:tcPr>
                <w:p w14:paraId="1779BC2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排污节点</w:t>
                  </w:r>
                </w:p>
              </w:tc>
              <w:tc>
                <w:tcPr>
                  <w:tcW w:w="290" w:type="pct"/>
                  <w:tcBorders>
                    <w:tl2br w:val="nil"/>
                    <w:tr2bl w:val="nil"/>
                  </w:tcBorders>
                  <w:noWrap w:val="0"/>
                  <w:vAlign w:val="center"/>
                </w:tcPr>
                <w:p w14:paraId="188B603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数量</w:t>
                  </w:r>
                  <w:r>
                    <w:rPr>
                      <w:rFonts w:hint="eastAsia" w:ascii="宋体" w:hAnsi="宋体" w:eastAsia="宋体" w:cs="宋体"/>
                      <w:spacing w:val="-14"/>
                      <w:sz w:val="21"/>
                      <w:szCs w:val="21"/>
                    </w:rPr>
                    <w:t>(个)</w:t>
                  </w:r>
                </w:p>
              </w:tc>
              <w:tc>
                <w:tcPr>
                  <w:tcW w:w="697" w:type="pct"/>
                  <w:tcBorders>
                    <w:tl2br w:val="nil"/>
                    <w:tr2bl w:val="nil"/>
                  </w:tcBorders>
                  <w:noWrap w:val="0"/>
                  <w:vAlign w:val="center"/>
                </w:tcPr>
                <w:p w14:paraId="0F7A277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尺寸</w:t>
                  </w:r>
                </w:p>
              </w:tc>
              <w:tc>
                <w:tcPr>
                  <w:tcW w:w="341" w:type="pct"/>
                  <w:tcBorders>
                    <w:tl2br w:val="nil"/>
                    <w:tr2bl w:val="nil"/>
                  </w:tcBorders>
                  <w:noWrap w:val="0"/>
                  <w:vAlign w:val="center"/>
                </w:tcPr>
                <w:p w14:paraId="2ACEFD9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分子</w:t>
                  </w:r>
                  <w:r>
                    <w:rPr>
                      <w:rFonts w:hint="eastAsia" w:ascii="宋体" w:hAnsi="宋体" w:eastAsia="宋体" w:cs="宋体"/>
                      <w:spacing w:val="-4"/>
                      <w:sz w:val="21"/>
                      <w:szCs w:val="21"/>
                    </w:rPr>
                    <w:t>量</w:t>
                  </w:r>
                </w:p>
              </w:tc>
              <w:tc>
                <w:tcPr>
                  <w:tcW w:w="299" w:type="pct"/>
                  <w:tcBorders>
                    <w:tl2br w:val="nil"/>
                    <w:tr2bl w:val="nil"/>
                  </w:tcBorders>
                  <w:noWrap w:val="0"/>
                  <w:vAlign w:val="center"/>
                </w:tcPr>
                <w:p w14:paraId="5FC85F5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温度</w:t>
                  </w:r>
                  <w:r>
                    <w:rPr>
                      <w:rFonts w:hint="eastAsia" w:ascii="宋体" w:hAnsi="宋体" w:eastAsia="宋体" w:cs="宋体"/>
                      <w:spacing w:val="-14"/>
                      <w:sz w:val="21"/>
                      <w:szCs w:val="21"/>
                    </w:rPr>
                    <w:t>(℃)</w:t>
                  </w:r>
                </w:p>
              </w:tc>
              <w:tc>
                <w:tcPr>
                  <w:tcW w:w="569" w:type="pct"/>
                  <w:tcBorders>
                    <w:tl2br w:val="nil"/>
                    <w:tr2bl w:val="nil"/>
                  </w:tcBorders>
                  <w:noWrap w:val="0"/>
                  <w:vAlign w:val="center"/>
                </w:tcPr>
                <w:p w14:paraId="3A250D1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蒸汽压分压力</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P(mmHg)</w:t>
                  </w:r>
                </w:p>
              </w:tc>
              <w:tc>
                <w:tcPr>
                  <w:tcW w:w="447" w:type="pct"/>
                  <w:tcBorders>
                    <w:tl2br w:val="nil"/>
                    <w:tr2bl w:val="nil"/>
                  </w:tcBorders>
                  <w:noWrap w:val="0"/>
                  <w:vAlign w:val="center"/>
                </w:tcPr>
                <w:p w14:paraId="101C9770">
                  <w:pPr>
                    <w:pStyle w:val="52"/>
                    <w:keepNext w:val="0"/>
                    <w:keepLines w:val="0"/>
                    <w:pageBreakBefore w:val="0"/>
                    <w:widowControl w:val="0"/>
                    <w:kinsoku/>
                    <w:wordWrap/>
                    <w:overflowPunct/>
                    <w:topLinePunct w:val="0"/>
                    <w:autoSpaceDE/>
                    <w:autoSpaceDN/>
                    <w:bidi w:val="0"/>
                    <w:adjustRightInd/>
                    <w:snapToGrid/>
                    <w:spacing w:line="240" w:lineRule="atLeast"/>
                    <w:ind w:right="14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蒸发总</w:t>
                  </w:r>
                  <w:r>
                    <w:rPr>
                      <w:rFonts w:hint="eastAsia" w:ascii="宋体" w:hAnsi="宋体" w:eastAsia="宋体" w:cs="宋体"/>
                      <w:spacing w:val="1"/>
                      <w:sz w:val="21"/>
                      <w:szCs w:val="21"/>
                    </w:rPr>
                    <w:t xml:space="preserve"> </w:t>
                  </w:r>
                  <w:r>
                    <w:rPr>
                      <w:rFonts w:hint="eastAsia" w:ascii="宋体" w:hAnsi="宋体" w:eastAsia="宋体" w:cs="宋体"/>
                      <w:spacing w:val="8"/>
                      <w:sz w:val="21"/>
                      <w:szCs w:val="21"/>
                    </w:rPr>
                    <w:t>面积</w:t>
                  </w:r>
                  <w:r>
                    <w:rPr>
                      <w:rFonts w:hint="eastAsia" w:ascii="宋体" w:hAnsi="宋体" w:eastAsia="宋体" w:cs="宋体"/>
                      <w:sz w:val="21"/>
                      <w:szCs w:val="21"/>
                    </w:rPr>
                    <w:t>F(m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rPr>
                    <w:t>)</w:t>
                  </w:r>
                </w:p>
              </w:tc>
              <w:tc>
                <w:tcPr>
                  <w:tcW w:w="344" w:type="pct"/>
                  <w:tcBorders>
                    <w:tl2br w:val="nil"/>
                    <w:tr2bl w:val="nil"/>
                  </w:tcBorders>
                  <w:noWrap w:val="0"/>
                  <w:vAlign w:val="center"/>
                </w:tcPr>
                <w:p w14:paraId="3CD29D7E">
                  <w:pPr>
                    <w:pStyle w:val="52"/>
                    <w:keepNext w:val="0"/>
                    <w:keepLines w:val="0"/>
                    <w:pageBreakBefore w:val="0"/>
                    <w:widowControl w:val="0"/>
                    <w:kinsoku/>
                    <w:wordWrap/>
                    <w:overflowPunct/>
                    <w:topLinePunct w:val="0"/>
                    <w:autoSpaceDE/>
                    <w:autoSpaceDN/>
                    <w:bidi w:val="0"/>
                    <w:adjustRightInd/>
                    <w:snapToGrid/>
                    <w:spacing w:line="240" w:lineRule="atLeast"/>
                    <w:ind w:right="140"/>
                    <w:jc w:val="center"/>
                    <w:textAlignment w:val="auto"/>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工作时数</w:t>
                  </w:r>
                </w:p>
              </w:tc>
              <w:tc>
                <w:tcPr>
                  <w:tcW w:w="764" w:type="pct"/>
                  <w:tcBorders>
                    <w:tl2br w:val="nil"/>
                    <w:tr2bl w:val="nil"/>
                  </w:tcBorders>
                  <w:noWrap w:val="0"/>
                  <w:vAlign w:val="center"/>
                </w:tcPr>
                <w:p w14:paraId="0ABB5B3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1"/>
                      <w:szCs w:val="21"/>
                      <w:lang w:val="en-US" w:eastAsia="zh-CN"/>
                    </w:rPr>
                  </w:pPr>
                  <w:r>
                    <w:rPr>
                      <w:rFonts w:hint="eastAsia" w:ascii="宋体" w:hAnsi="宋体" w:eastAsia="宋体" w:cs="宋体"/>
                      <w:spacing w:val="-4"/>
                      <w:sz w:val="21"/>
                      <w:szCs w:val="21"/>
                    </w:rPr>
                    <w:t>蒸发量</w:t>
                  </w:r>
                  <w:r>
                    <w:rPr>
                      <w:rFonts w:hint="eastAsia" w:ascii="宋体" w:hAnsi="宋体" w:eastAsia="宋体" w:cs="宋体"/>
                      <w:spacing w:val="-7"/>
                      <w:sz w:val="21"/>
                      <w:szCs w:val="21"/>
                    </w:rPr>
                    <w:t>(kg/h)</w:t>
                  </w:r>
                  <w:r>
                    <w:rPr>
                      <w:rFonts w:hint="eastAsia" w:ascii="宋体" w:hAnsi="宋体" w:eastAsia="宋体" w:cs="宋体"/>
                      <w:spacing w:val="-7"/>
                      <w:sz w:val="21"/>
                      <w:szCs w:val="21"/>
                      <w:lang w:val="en-US" w:eastAsia="zh-CN"/>
                    </w:rPr>
                    <w:t>/(t/a)</w:t>
                  </w:r>
                </w:p>
              </w:tc>
              <w:tc>
                <w:tcPr>
                  <w:tcW w:w="449" w:type="pct"/>
                  <w:tcBorders>
                    <w:tl2br w:val="nil"/>
                    <w:tr2bl w:val="nil"/>
                  </w:tcBorders>
                  <w:noWrap w:val="0"/>
                  <w:vAlign w:val="center"/>
                </w:tcPr>
                <w:p w14:paraId="74A4AF03">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排气筒</w:t>
                  </w:r>
                </w:p>
              </w:tc>
            </w:tr>
            <w:tr w14:paraId="65377E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04" w:type="pct"/>
                  <w:tcBorders>
                    <w:tl2br w:val="nil"/>
                    <w:tr2bl w:val="nil"/>
                  </w:tcBorders>
                  <w:noWrap w:val="0"/>
                  <w:vAlign w:val="center"/>
                </w:tcPr>
                <w:p w14:paraId="6A0A9E7D">
                  <w:pPr>
                    <w:keepNext w:val="0"/>
                    <w:keepLines w:val="0"/>
                    <w:pageBreakBefore w:val="0"/>
                    <w:widowControl w:val="0"/>
                    <w:kinsoku/>
                    <w:wordWrap/>
                    <w:overflowPunct/>
                    <w:topLinePunct w:val="0"/>
                    <w:autoSpaceDE/>
                    <w:autoSpaceDN/>
                    <w:bidi w:val="0"/>
                    <w:adjustRightInd/>
                    <w:snapToGrid/>
                    <w:spacing w:line="240" w:lineRule="atLeast"/>
                    <w:ind w:left="126"/>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G1</w:t>
                  </w:r>
                </w:p>
              </w:tc>
              <w:tc>
                <w:tcPr>
                  <w:tcW w:w="490" w:type="pct"/>
                  <w:tcBorders>
                    <w:tl2br w:val="nil"/>
                    <w:tr2bl w:val="nil"/>
                  </w:tcBorders>
                  <w:noWrap w:val="0"/>
                  <w:vAlign w:val="center"/>
                </w:tcPr>
                <w:p w14:paraId="6572097B">
                  <w:pPr>
                    <w:pStyle w:val="52"/>
                    <w:keepNext w:val="0"/>
                    <w:keepLines w:val="0"/>
                    <w:pageBreakBefore w:val="0"/>
                    <w:widowControl w:val="0"/>
                    <w:kinsoku/>
                    <w:wordWrap/>
                    <w:overflowPunct/>
                    <w:topLinePunct w:val="0"/>
                    <w:autoSpaceDE/>
                    <w:autoSpaceDN/>
                    <w:bidi w:val="0"/>
                    <w:adjustRightInd/>
                    <w:snapToGrid/>
                    <w:spacing w:line="240" w:lineRule="atLeast"/>
                    <w:ind w:right="138"/>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插层</w:t>
                  </w:r>
                </w:p>
              </w:tc>
              <w:tc>
                <w:tcPr>
                  <w:tcW w:w="290" w:type="pct"/>
                  <w:tcBorders>
                    <w:tl2br w:val="nil"/>
                    <w:tr2bl w:val="nil"/>
                  </w:tcBorders>
                  <w:noWrap w:val="0"/>
                  <w:vAlign w:val="center"/>
                </w:tcPr>
                <w:p w14:paraId="6FACA5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10"/>
                      <w:sz w:val="21"/>
                      <w:szCs w:val="21"/>
                    </w:rPr>
                    <w:t>6</w:t>
                  </w:r>
                </w:p>
              </w:tc>
              <w:tc>
                <w:tcPr>
                  <w:tcW w:w="697" w:type="pct"/>
                  <w:tcBorders>
                    <w:tl2br w:val="nil"/>
                    <w:tr2bl w:val="nil"/>
                  </w:tcBorders>
                  <w:noWrap w:val="0"/>
                  <w:vAlign w:val="center"/>
                </w:tcPr>
                <w:p w14:paraId="14B79C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Ф1.</w:t>
                  </w:r>
                  <w:r>
                    <w:rPr>
                      <w:rFonts w:hint="eastAsia" w:ascii="宋体" w:hAnsi="宋体" w:eastAsia="宋体" w:cs="宋体"/>
                      <w:spacing w:val="-1"/>
                      <w:sz w:val="21"/>
                      <w:szCs w:val="21"/>
                      <w:lang w:val="en-US" w:eastAsia="zh-CN"/>
                    </w:rPr>
                    <w:t>6</w:t>
                  </w:r>
                  <w:r>
                    <w:rPr>
                      <w:rFonts w:hint="eastAsia" w:ascii="宋体" w:hAnsi="宋体" w:eastAsia="宋体" w:cs="宋体"/>
                      <w:spacing w:val="-1"/>
                      <w:sz w:val="21"/>
                      <w:szCs w:val="21"/>
                    </w:rPr>
                    <w:t>m*1.</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m</w:t>
                  </w:r>
                </w:p>
              </w:tc>
              <w:tc>
                <w:tcPr>
                  <w:tcW w:w="341" w:type="pct"/>
                  <w:vMerge w:val="restart"/>
                  <w:tcBorders>
                    <w:tl2br w:val="nil"/>
                    <w:tr2bl w:val="nil"/>
                  </w:tcBorders>
                  <w:noWrap w:val="0"/>
                  <w:vAlign w:val="center"/>
                </w:tcPr>
                <w:p w14:paraId="31AE9327">
                  <w:pPr>
                    <w:keepNext w:val="0"/>
                    <w:keepLines w:val="0"/>
                    <w:pageBreakBefore w:val="0"/>
                    <w:widowControl w:val="0"/>
                    <w:kinsoku/>
                    <w:wordWrap/>
                    <w:overflowPunct/>
                    <w:topLinePunct w:val="0"/>
                    <w:autoSpaceDE/>
                    <w:autoSpaceDN/>
                    <w:bidi w:val="0"/>
                    <w:adjustRightInd/>
                    <w:snapToGrid/>
                    <w:spacing w:line="240" w:lineRule="atLeast"/>
                    <w:ind w:left="182"/>
                    <w:jc w:val="both"/>
                    <w:textAlignment w:val="auto"/>
                    <w:rPr>
                      <w:rFonts w:hint="eastAsia" w:ascii="宋体" w:hAnsi="宋体" w:eastAsia="宋体" w:cs="宋体"/>
                      <w:sz w:val="21"/>
                      <w:szCs w:val="21"/>
                    </w:rPr>
                  </w:pPr>
                  <w:r>
                    <w:rPr>
                      <w:rFonts w:hint="eastAsia" w:ascii="宋体" w:hAnsi="宋体" w:eastAsia="宋体" w:cs="宋体"/>
                      <w:spacing w:val="-4"/>
                      <w:sz w:val="21"/>
                      <w:szCs w:val="21"/>
                    </w:rPr>
                    <w:t>98</w:t>
                  </w:r>
                </w:p>
              </w:tc>
              <w:tc>
                <w:tcPr>
                  <w:tcW w:w="299" w:type="pct"/>
                  <w:vMerge w:val="restart"/>
                  <w:tcBorders>
                    <w:tl2br w:val="nil"/>
                    <w:tr2bl w:val="nil"/>
                  </w:tcBorders>
                  <w:noWrap w:val="0"/>
                  <w:vAlign w:val="center"/>
                </w:tcPr>
                <w:p w14:paraId="2922D20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常温</w:t>
                  </w:r>
                </w:p>
              </w:tc>
              <w:tc>
                <w:tcPr>
                  <w:tcW w:w="569" w:type="pct"/>
                  <w:vMerge w:val="restart"/>
                  <w:tcBorders>
                    <w:tl2br w:val="nil"/>
                    <w:tr2bl w:val="nil"/>
                  </w:tcBorders>
                  <w:noWrap w:val="0"/>
                  <w:vAlign w:val="center"/>
                </w:tcPr>
                <w:p w14:paraId="635D33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0.225</w:t>
                  </w:r>
                </w:p>
              </w:tc>
              <w:tc>
                <w:tcPr>
                  <w:tcW w:w="447" w:type="pct"/>
                  <w:tcBorders>
                    <w:tl2br w:val="nil"/>
                    <w:tr2bl w:val="nil"/>
                  </w:tcBorders>
                  <w:noWrap w:val="0"/>
                  <w:vAlign w:val="center"/>
                </w:tcPr>
                <w:p w14:paraId="3172B4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344" w:type="pct"/>
                  <w:tcBorders>
                    <w:tl2br w:val="nil"/>
                    <w:tr2bl w:val="nil"/>
                  </w:tcBorders>
                  <w:noWrap w:val="0"/>
                  <w:vAlign w:val="center"/>
                </w:tcPr>
                <w:p w14:paraId="29D2B9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7200</w:t>
                  </w:r>
                </w:p>
              </w:tc>
              <w:tc>
                <w:tcPr>
                  <w:tcW w:w="764" w:type="pct"/>
                  <w:tcBorders>
                    <w:tl2br w:val="nil"/>
                    <w:tr2bl w:val="nil"/>
                  </w:tcBorders>
                  <w:noWrap w:val="0"/>
                  <w:vAlign w:val="center"/>
                </w:tcPr>
                <w:p w14:paraId="33AC6E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0.</w:t>
                  </w:r>
                  <w:r>
                    <w:rPr>
                      <w:rFonts w:hint="eastAsia" w:ascii="宋体" w:hAnsi="宋体" w:eastAsia="宋体" w:cs="宋体"/>
                      <w:spacing w:val="-1"/>
                      <w:sz w:val="21"/>
                      <w:szCs w:val="21"/>
                      <w:lang w:val="en-US" w:eastAsia="zh-CN"/>
                    </w:rPr>
                    <w:t>176/</w:t>
                  </w:r>
                </w:p>
                <w:p w14:paraId="7EB4AA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1.267</w:t>
                  </w:r>
                </w:p>
              </w:tc>
              <w:tc>
                <w:tcPr>
                  <w:tcW w:w="449" w:type="pct"/>
                  <w:vMerge w:val="restart"/>
                  <w:tcBorders>
                    <w:tl2br w:val="nil"/>
                    <w:tr2bl w:val="nil"/>
                  </w:tcBorders>
                  <w:noWrap w:val="0"/>
                  <w:vAlign w:val="center"/>
                </w:tcPr>
                <w:p w14:paraId="43CC651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DA001</w:t>
                  </w:r>
                </w:p>
              </w:tc>
            </w:tr>
            <w:tr w14:paraId="42BCEB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04" w:type="pct"/>
                  <w:tcBorders>
                    <w:tl2br w:val="nil"/>
                    <w:tr2bl w:val="nil"/>
                  </w:tcBorders>
                  <w:noWrap w:val="0"/>
                  <w:vAlign w:val="center"/>
                </w:tcPr>
                <w:p w14:paraId="3ECB38FB">
                  <w:pPr>
                    <w:keepNext w:val="0"/>
                    <w:keepLines w:val="0"/>
                    <w:pageBreakBefore w:val="0"/>
                    <w:widowControl w:val="0"/>
                    <w:kinsoku/>
                    <w:wordWrap/>
                    <w:overflowPunct/>
                    <w:topLinePunct w:val="0"/>
                    <w:autoSpaceDE/>
                    <w:autoSpaceDN/>
                    <w:bidi w:val="0"/>
                    <w:adjustRightInd/>
                    <w:snapToGrid/>
                    <w:spacing w:line="240" w:lineRule="atLeast"/>
                    <w:ind w:left="126"/>
                    <w:jc w:val="center"/>
                    <w:textAlignment w:val="auto"/>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G2</w:t>
                  </w:r>
                </w:p>
              </w:tc>
              <w:tc>
                <w:tcPr>
                  <w:tcW w:w="490" w:type="pct"/>
                  <w:tcBorders>
                    <w:tl2br w:val="nil"/>
                    <w:tr2bl w:val="nil"/>
                  </w:tcBorders>
                  <w:noWrap w:val="0"/>
                  <w:vAlign w:val="center"/>
                </w:tcPr>
                <w:p w14:paraId="14FC9256">
                  <w:pPr>
                    <w:pStyle w:val="52"/>
                    <w:keepNext w:val="0"/>
                    <w:keepLines w:val="0"/>
                    <w:pageBreakBefore w:val="0"/>
                    <w:widowControl w:val="0"/>
                    <w:kinsoku/>
                    <w:wordWrap/>
                    <w:overflowPunct/>
                    <w:topLinePunct w:val="0"/>
                    <w:autoSpaceDE/>
                    <w:autoSpaceDN/>
                    <w:bidi w:val="0"/>
                    <w:adjustRightInd/>
                    <w:snapToGrid/>
                    <w:spacing w:line="240" w:lineRule="atLeast"/>
                    <w:ind w:right="-135"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脱酸压</w:t>
                  </w:r>
                </w:p>
                <w:p w14:paraId="2C4FD404">
                  <w:pPr>
                    <w:pStyle w:val="52"/>
                    <w:keepNext w:val="0"/>
                    <w:keepLines w:val="0"/>
                    <w:pageBreakBefore w:val="0"/>
                    <w:widowControl w:val="0"/>
                    <w:kinsoku/>
                    <w:wordWrap/>
                    <w:overflowPunct/>
                    <w:topLinePunct w:val="0"/>
                    <w:autoSpaceDE/>
                    <w:autoSpaceDN/>
                    <w:bidi w:val="0"/>
                    <w:adjustRightInd/>
                    <w:snapToGrid/>
                    <w:spacing w:line="240" w:lineRule="atLeast"/>
                    <w:ind w:right="-135" w:right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滤机</w:t>
                  </w:r>
                </w:p>
              </w:tc>
              <w:tc>
                <w:tcPr>
                  <w:tcW w:w="290" w:type="pct"/>
                  <w:tcBorders>
                    <w:tl2br w:val="nil"/>
                    <w:tr2bl w:val="nil"/>
                  </w:tcBorders>
                  <w:noWrap w:val="0"/>
                  <w:vAlign w:val="center"/>
                </w:tcPr>
                <w:p w14:paraId="0415FD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2</w:t>
                  </w:r>
                </w:p>
              </w:tc>
              <w:tc>
                <w:tcPr>
                  <w:tcW w:w="697" w:type="pct"/>
                  <w:tcBorders>
                    <w:tl2br w:val="nil"/>
                    <w:tr2bl w:val="nil"/>
                  </w:tcBorders>
                  <w:noWrap w:val="0"/>
                  <w:vAlign w:val="center"/>
                </w:tcPr>
                <w:p w14:paraId="66E272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2台100m</w:t>
                  </w:r>
                  <w:r>
                    <w:rPr>
                      <w:rFonts w:hint="eastAsia" w:ascii="宋体" w:hAnsi="宋体" w:eastAsia="宋体" w:cs="宋体"/>
                      <w:spacing w:val="-1"/>
                      <w:sz w:val="21"/>
                      <w:szCs w:val="21"/>
                      <w:vertAlign w:val="superscript"/>
                      <w:lang w:val="en-US" w:eastAsia="zh-CN"/>
                    </w:rPr>
                    <w:t>2</w:t>
                  </w:r>
                </w:p>
              </w:tc>
              <w:tc>
                <w:tcPr>
                  <w:tcW w:w="341" w:type="pct"/>
                  <w:vMerge w:val="continue"/>
                  <w:tcBorders>
                    <w:tl2br w:val="nil"/>
                    <w:tr2bl w:val="nil"/>
                  </w:tcBorders>
                  <w:noWrap w:val="0"/>
                  <w:vAlign w:val="center"/>
                </w:tcPr>
                <w:p w14:paraId="3C9C70A4">
                  <w:pPr>
                    <w:keepNext w:val="0"/>
                    <w:keepLines w:val="0"/>
                    <w:pageBreakBefore w:val="0"/>
                    <w:widowControl w:val="0"/>
                    <w:kinsoku/>
                    <w:wordWrap/>
                    <w:overflowPunct/>
                    <w:topLinePunct w:val="0"/>
                    <w:autoSpaceDE/>
                    <w:autoSpaceDN/>
                    <w:bidi w:val="0"/>
                    <w:adjustRightInd/>
                    <w:snapToGrid/>
                    <w:spacing w:line="240" w:lineRule="atLeast"/>
                    <w:ind w:left="182"/>
                    <w:jc w:val="both"/>
                    <w:textAlignment w:val="auto"/>
                    <w:rPr>
                      <w:rFonts w:hint="eastAsia" w:ascii="宋体" w:hAnsi="宋体" w:eastAsia="宋体" w:cs="宋体"/>
                      <w:spacing w:val="-4"/>
                      <w:sz w:val="21"/>
                      <w:szCs w:val="21"/>
                    </w:rPr>
                  </w:pPr>
                </w:p>
              </w:tc>
              <w:tc>
                <w:tcPr>
                  <w:tcW w:w="299" w:type="pct"/>
                  <w:vMerge w:val="continue"/>
                  <w:tcBorders>
                    <w:tl2br w:val="nil"/>
                    <w:tr2bl w:val="nil"/>
                  </w:tcBorders>
                  <w:noWrap w:val="0"/>
                  <w:vAlign w:val="center"/>
                </w:tcPr>
                <w:p w14:paraId="4DDEE24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1"/>
                      <w:szCs w:val="21"/>
                    </w:rPr>
                  </w:pPr>
                </w:p>
              </w:tc>
              <w:tc>
                <w:tcPr>
                  <w:tcW w:w="569" w:type="pct"/>
                  <w:vMerge w:val="continue"/>
                  <w:tcBorders>
                    <w:tl2br w:val="nil"/>
                    <w:tr2bl w:val="nil"/>
                  </w:tcBorders>
                  <w:noWrap w:val="0"/>
                  <w:vAlign w:val="center"/>
                </w:tcPr>
                <w:p w14:paraId="5E3E0B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21"/>
                      <w:szCs w:val="21"/>
                    </w:rPr>
                  </w:pPr>
                </w:p>
              </w:tc>
              <w:tc>
                <w:tcPr>
                  <w:tcW w:w="447" w:type="pct"/>
                  <w:tcBorders>
                    <w:tl2br w:val="nil"/>
                    <w:tr2bl w:val="nil"/>
                  </w:tcBorders>
                  <w:noWrap w:val="0"/>
                  <w:vAlign w:val="center"/>
                </w:tcPr>
                <w:p w14:paraId="2ED135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344" w:type="pct"/>
                  <w:tcBorders>
                    <w:tl2br w:val="nil"/>
                    <w:tr2bl w:val="nil"/>
                  </w:tcBorders>
                  <w:noWrap w:val="0"/>
                  <w:vAlign w:val="center"/>
                </w:tcPr>
                <w:p w14:paraId="52AA0D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7200</w:t>
                  </w:r>
                </w:p>
              </w:tc>
              <w:tc>
                <w:tcPr>
                  <w:tcW w:w="764" w:type="pct"/>
                  <w:tcBorders>
                    <w:tl2br w:val="nil"/>
                    <w:tr2bl w:val="nil"/>
                  </w:tcBorders>
                  <w:noWrap w:val="0"/>
                  <w:vAlign w:val="center"/>
                </w:tcPr>
                <w:p w14:paraId="24F959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0.293/</w:t>
                  </w:r>
                </w:p>
                <w:p w14:paraId="3F3AAB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2.116</w:t>
                  </w:r>
                </w:p>
              </w:tc>
              <w:tc>
                <w:tcPr>
                  <w:tcW w:w="449" w:type="pct"/>
                  <w:vMerge w:val="continue"/>
                  <w:tcBorders>
                    <w:tl2br w:val="nil"/>
                    <w:tr2bl w:val="nil"/>
                  </w:tcBorders>
                  <w:noWrap w:val="0"/>
                  <w:vAlign w:val="center"/>
                </w:tcPr>
                <w:p w14:paraId="664228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1"/>
                      <w:sz w:val="21"/>
                      <w:szCs w:val="21"/>
                      <w:lang w:val="en-US" w:eastAsia="zh-CN"/>
                    </w:rPr>
                  </w:pPr>
                </w:p>
              </w:tc>
            </w:tr>
            <w:tr w14:paraId="65F6B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786" w:type="pct"/>
                  <w:gridSpan w:val="9"/>
                  <w:tcBorders>
                    <w:tl2br w:val="nil"/>
                    <w:tr2bl w:val="nil"/>
                  </w:tcBorders>
                  <w:noWrap w:val="0"/>
                  <w:vAlign w:val="center"/>
                </w:tcPr>
                <w:p w14:paraId="46A227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764" w:type="pct"/>
                  <w:tcBorders>
                    <w:tl2br w:val="nil"/>
                    <w:tr2bl w:val="nil"/>
                  </w:tcBorders>
                  <w:noWrap w:val="0"/>
                  <w:vAlign w:val="center"/>
                </w:tcPr>
                <w:p w14:paraId="2A2F1F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0.469/3.383</w:t>
                  </w:r>
                </w:p>
                <w:p w14:paraId="590AF8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1"/>
                      <w:sz w:val="21"/>
                      <w:szCs w:val="21"/>
                      <w:lang w:val="en-US" w:eastAsia="zh-CN"/>
                    </w:rPr>
                  </w:pPr>
                </w:p>
              </w:tc>
              <w:tc>
                <w:tcPr>
                  <w:tcW w:w="449" w:type="pct"/>
                  <w:tcBorders>
                    <w:tl2br w:val="nil"/>
                    <w:tr2bl w:val="nil"/>
                  </w:tcBorders>
                  <w:noWrap w:val="0"/>
                  <w:vAlign w:val="center"/>
                </w:tcPr>
                <w:p w14:paraId="1A0298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1"/>
                      <w:sz w:val="21"/>
                      <w:szCs w:val="21"/>
                      <w:lang w:val="en-US" w:eastAsia="zh-CN"/>
                    </w:rPr>
                  </w:pPr>
                </w:p>
              </w:tc>
            </w:tr>
          </w:tbl>
          <w:p w14:paraId="30556EA7">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10"/>
                <w:sz w:val="24"/>
                <w:szCs w:val="24"/>
              </w:rPr>
            </w:pPr>
            <w:r>
              <w:rPr>
                <w:rFonts w:hint="eastAsia" w:ascii="宋体" w:hAnsi="宋体" w:eastAsia="宋体" w:cs="宋体"/>
                <w:spacing w:val="10"/>
                <w:sz w:val="24"/>
                <w:szCs w:val="24"/>
              </w:rPr>
              <w:t>双氧水可膨胀石墨浸酸</w:t>
            </w:r>
            <w:r>
              <w:rPr>
                <w:rFonts w:hint="eastAsia" w:ascii="宋体" w:hAnsi="宋体" w:eastAsia="宋体" w:cs="宋体"/>
                <w:spacing w:val="9"/>
                <w:sz w:val="24"/>
                <w:szCs w:val="24"/>
              </w:rPr>
              <w:t>氧化产生硫酸雾</w:t>
            </w:r>
            <w:r>
              <w:rPr>
                <w:rFonts w:hint="eastAsia" w:ascii="宋体" w:hAnsi="宋体" w:eastAsia="宋体" w:cs="宋体"/>
                <w:spacing w:val="9"/>
                <w:sz w:val="24"/>
                <w:szCs w:val="24"/>
                <w:lang w:val="en-US" w:eastAsia="zh-CN"/>
              </w:rPr>
              <w:t>分别</w:t>
            </w:r>
            <w:r>
              <w:rPr>
                <w:rFonts w:hint="eastAsia" w:ascii="宋体" w:hAnsi="宋体" w:eastAsia="宋体" w:cs="宋体"/>
                <w:spacing w:val="9"/>
                <w:sz w:val="24"/>
                <w:szCs w:val="24"/>
              </w:rPr>
              <w:t>经集气管道收集后送</w:t>
            </w:r>
            <w:r>
              <w:rPr>
                <w:rFonts w:hint="eastAsia" w:ascii="宋体" w:hAnsi="宋体" w:eastAsia="宋体" w:cs="宋体"/>
                <w:spacing w:val="6"/>
                <w:sz w:val="24"/>
                <w:szCs w:val="24"/>
              </w:rPr>
              <w:t>至酸雾喷淋设施（酸雾去除效率可达95%）进行处理后，经1根15m高排气筒</w:t>
            </w:r>
            <w:r>
              <w:rPr>
                <w:rFonts w:hint="eastAsia" w:ascii="宋体" w:hAnsi="宋体" w:eastAsia="宋体" w:cs="宋体"/>
                <w:sz w:val="24"/>
                <w:szCs w:val="24"/>
              </w:rPr>
              <w:t>DA</w:t>
            </w:r>
            <w:r>
              <w:rPr>
                <w:rFonts w:hint="eastAsia" w:ascii="宋体" w:hAnsi="宋体" w:eastAsia="宋体" w:cs="宋体"/>
                <w:spacing w:val="6"/>
                <w:sz w:val="24"/>
                <w:szCs w:val="24"/>
              </w:rPr>
              <w:t>001排放。</w:t>
            </w:r>
            <w:r>
              <w:rPr>
                <w:rFonts w:hint="eastAsia" w:ascii="宋体" w:hAnsi="宋体" w:eastAsia="宋体" w:cs="宋体"/>
                <w:color w:val="000000"/>
                <w:sz w:val="24"/>
                <w:szCs w:val="24"/>
              </w:rPr>
              <w:t>排放速率为0.0</w:t>
            </w: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kg/h，排放浓度为</w:t>
            </w:r>
            <w:r>
              <w:rPr>
                <w:rFonts w:hint="eastAsia" w:ascii="宋体" w:hAnsi="宋体" w:eastAsia="宋体" w:cs="宋体"/>
                <w:color w:val="000000"/>
                <w:sz w:val="24"/>
                <w:szCs w:val="24"/>
                <w:lang w:val="en-US" w:eastAsia="zh-CN"/>
              </w:rPr>
              <w:t>21.13</w:t>
            </w:r>
            <w:r>
              <w:rPr>
                <w:rFonts w:hint="eastAsia" w:ascii="宋体" w:hAnsi="宋体" w:eastAsia="宋体" w:cs="宋体"/>
                <w:color w:val="000000"/>
                <w:sz w:val="24"/>
                <w:szCs w:val="24"/>
              </w:rPr>
              <w:t>mg/m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，废气排放满足</w:t>
            </w:r>
            <w:r>
              <w:rPr>
                <w:rFonts w:hint="eastAsia" w:ascii="宋体" w:hAnsi="宋体" w:eastAsia="宋体" w:cs="宋体"/>
                <w:sz w:val="24"/>
                <w:szCs w:val="24"/>
              </w:rPr>
              <w:t>《大气污染物综合排放标准》（GB16297-1996）中二级排放标准限值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酸雾</w:t>
            </w:r>
            <w:r>
              <w:rPr>
                <w:rFonts w:hint="eastAsia" w:ascii="宋体" w:hAnsi="宋体" w:eastAsia="宋体" w:cs="宋体"/>
                <w:color w:val="000000"/>
                <w:sz w:val="24"/>
                <w:szCs w:val="24"/>
              </w:rPr>
              <w:t>排放速率</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kg/h，排放浓度为</w:t>
            </w:r>
            <w:r>
              <w:rPr>
                <w:rFonts w:hint="eastAsia" w:ascii="宋体" w:hAnsi="宋体" w:eastAsia="宋体" w:cs="宋体"/>
                <w:color w:val="000000"/>
                <w:sz w:val="24"/>
                <w:szCs w:val="24"/>
                <w:lang w:val="en-US" w:eastAsia="zh-CN"/>
              </w:rPr>
              <w:t>45</w:t>
            </w:r>
            <w:r>
              <w:rPr>
                <w:rFonts w:hint="eastAsia" w:ascii="宋体" w:hAnsi="宋体" w:eastAsia="宋体" w:cs="宋体"/>
                <w:color w:val="000000"/>
                <w:sz w:val="24"/>
                <w:szCs w:val="24"/>
              </w:rPr>
              <w:t>mg/m</w:t>
            </w:r>
            <w:r>
              <w:rPr>
                <w:rFonts w:hint="eastAsia" w:ascii="宋体" w:hAnsi="宋体" w:eastAsia="宋体" w:cs="宋体"/>
                <w:color w:val="000000"/>
                <w:sz w:val="24"/>
                <w:szCs w:val="24"/>
                <w:vertAlign w:val="superscript"/>
              </w:rPr>
              <w:t>3</w:t>
            </w:r>
            <w:r>
              <w:rPr>
                <w:rFonts w:hint="eastAsia" w:ascii="宋体" w:hAnsi="宋体" w:eastAsia="宋体" w:cs="宋体"/>
                <w:sz w:val="24"/>
                <w:szCs w:val="24"/>
              </w:rPr>
              <w:t>）。</w:t>
            </w:r>
          </w:p>
          <w:p w14:paraId="2EE4E973">
            <w:pPr>
              <w:pStyle w:val="52"/>
              <w:keepNext w:val="0"/>
              <w:keepLines w:val="0"/>
              <w:pageBreakBefore w:val="0"/>
              <w:widowControl w:val="0"/>
              <w:kinsoku/>
              <w:wordWrap/>
              <w:overflowPunct/>
              <w:topLinePunct w:val="0"/>
              <w:autoSpaceDE/>
              <w:autoSpaceDN/>
              <w:bidi w:val="0"/>
              <w:adjustRightInd/>
              <w:snapToGrid/>
              <w:spacing w:line="360" w:lineRule="auto"/>
              <w:ind w:left="542"/>
              <w:textAlignment w:val="auto"/>
              <w:rPr>
                <w:b/>
                <w:bCs/>
                <w:spacing w:val="5"/>
                <w:position w:val="2"/>
                <w:sz w:val="24"/>
                <w:szCs w:val="24"/>
              </w:rPr>
            </w:pPr>
            <w:r>
              <w:rPr>
                <w:rFonts w:hint="eastAsia" w:ascii="宋体" w:hAnsi="宋体" w:eastAsia="宋体" w:cs="宋体"/>
                <w:b/>
                <w:bCs/>
                <w:spacing w:val="5"/>
                <w:position w:val="2"/>
                <w:sz w:val="24"/>
                <w:szCs w:val="24"/>
              </w:rPr>
              <w:t>②石墨粉尘</w:t>
            </w:r>
          </w:p>
          <w:p w14:paraId="036C16E1">
            <w:pPr>
              <w:pStyle w:val="52"/>
              <w:keepNext w:val="0"/>
              <w:keepLines w:val="0"/>
              <w:pageBreakBefore w:val="0"/>
              <w:widowControl w:val="0"/>
              <w:kinsoku/>
              <w:wordWrap/>
              <w:overflowPunct/>
              <w:topLinePunct w:val="0"/>
              <w:autoSpaceDE/>
              <w:autoSpaceDN/>
              <w:bidi w:val="0"/>
              <w:adjustRightInd/>
              <w:snapToGrid/>
              <w:spacing w:line="360" w:lineRule="auto"/>
              <w:ind w:left="607"/>
              <w:textAlignment w:val="auto"/>
              <w:rPr>
                <w:rFonts w:hint="eastAsia" w:ascii="宋体" w:hAnsi="宋体" w:eastAsia="宋体" w:cs="宋体"/>
                <w:b/>
                <w:bCs/>
                <w:sz w:val="24"/>
                <w:szCs w:val="24"/>
              </w:rPr>
            </w:pPr>
            <w:r>
              <w:rPr>
                <w:rFonts w:hint="eastAsia" w:ascii="宋体" w:hAnsi="宋体" w:eastAsia="宋体" w:cs="宋体"/>
                <w:b/>
                <w:bCs/>
                <w:spacing w:val="5"/>
                <w:sz w:val="24"/>
                <w:szCs w:val="24"/>
                <w:lang w:val="en-US" w:eastAsia="zh-CN"/>
              </w:rPr>
              <w:t>A</w:t>
            </w:r>
            <w:r>
              <w:rPr>
                <w:rFonts w:hint="eastAsia" w:ascii="宋体" w:hAnsi="宋体" w:eastAsia="宋体" w:cs="宋体"/>
                <w:b/>
                <w:bCs/>
                <w:spacing w:val="5"/>
                <w:sz w:val="24"/>
                <w:szCs w:val="24"/>
              </w:rPr>
              <w:t>插层釜投料产生的粉尘</w:t>
            </w:r>
          </w:p>
          <w:p w14:paraId="741A7EC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6"/>
                <w:sz w:val="24"/>
                <w:szCs w:val="24"/>
                <w:lang w:val="en-US" w:eastAsia="zh-CN"/>
              </w:rPr>
              <w:t>天然</w:t>
            </w:r>
            <w:r>
              <w:rPr>
                <w:rFonts w:hint="eastAsia" w:ascii="宋体" w:hAnsi="宋体" w:eastAsia="宋体" w:cs="宋体"/>
                <w:b w:val="0"/>
                <w:bCs w:val="0"/>
                <w:spacing w:val="6"/>
                <w:sz w:val="24"/>
                <w:szCs w:val="24"/>
              </w:rPr>
              <w:t>石墨投料采用吨包倒置悬挂于投料口，</w:t>
            </w:r>
            <w:r>
              <w:rPr>
                <w:rFonts w:hint="eastAsia" w:ascii="宋体" w:hAnsi="宋体" w:eastAsia="宋体" w:cs="宋体"/>
                <w:b w:val="0"/>
                <w:bCs w:val="0"/>
                <w:spacing w:val="6"/>
                <w:sz w:val="24"/>
                <w:szCs w:val="24"/>
                <w:lang w:val="en-US" w:eastAsia="zh-CN"/>
              </w:rPr>
              <w:t>本项目原料为50目的鳞片状，</w:t>
            </w:r>
            <w:r>
              <w:rPr>
                <w:rFonts w:hint="eastAsia" w:ascii="宋体" w:hAnsi="宋体" w:eastAsia="宋体" w:cs="宋体"/>
                <w:b w:val="0"/>
                <w:bCs w:val="0"/>
                <w:caps w:val="0"/>
                <w:color w:val="auto"/>
                <w:spacing w:val="0"/>
                <w:sz w:val="24"/>
                <w:szCs w:val="24"/>
                <w:highlight w:val="none"/>
                <w:u w:val="none" w:color="auto"/>
                <w:lang w:val="en-US" w:eastAsia="zh-CN"/>
              </w:rPr>
              <w:t>投料粉尘参照《逸散性工业粉尘控制技术》《中国环境科学出版社》中“粒料加工厂逸散尘的排放因子”，粒料投料的排放因子为0.01kg/t，</w:t>
            </w:r>
            <w:r>
              <w:rPr>
                <w:rFonts w:hint="eastAsia" w:ascii="宋体" w:hAnsi="宋体" w:eastAsia="宋体" w:cs="宋体"/>
                <w:b w:val="0"/>
                <w:bCs w:val="0"/>
                <w:spacing w:val="8"/>
                <w:sz w:val="24"/>
                <w:szCs w:val="24"/>
              </w:rPr>
              <w:t>投</w:t>
            </w:r>
            <w:r>
              <w:rPr>
                <w:rFonts w:hint="eastAsia" w:ascii="宋体" w:hAnsi="宋体" w:eastAsia="宋体" w:cs="宋体"/>
                <w:b w:val="0"/>
                <w:bCs w:val="0"/>
                <w:spacing w:val="8"/>
                <w:sz w:val="24"/>
                <w:szCs w:val="24"/>
                <w:highlight w:val="none"/>
              </w:rPr>
              <w:t>料量</w:t>
            </w:r>
            <w:r>
              <w:rPr>
                <w:rFonts w:hint="eastAsia" w:ascii="宋体" w:hAnsi="宋体" w:eastAsia="宋体" w:cs="宋体"/>
                <w:b w:val="0"/>
                <w:bCs w:val="0"/>
                <w:spacing w:val="2"/>
                <w:sz w:val="24"/>
                <w:szCs w:val="24"/>
                <w:highlight w:val="none"/>
                <w:lang w:val="en-US" w:eastAsia="zh-CN"/>
              </w:rPr>
              <w:t>45</w:t>
            </w:r>
            <w:r>
              <w:rPr>
                <w:rFonts w:hint="eastAsia" w:ascii="宋体" w:hAnsi="宋体" w:eastAsia="宋体" w:cs="宋体"/>
                <w:b w:val="0"/>
                <w:bCs w:val="0"/>
                <w:spacing w:val="2"/>
                <w:sz w:val="24"/>
                <w:szCs w:val="24"/>
                <w:highlight w:val="none"/>
              </w:rPr>
              <w:t>00t/a</w:t>
            </w:r>
            <w:r>
              <w:rPr>
                <w:rFonts w:hint="eastAsia" w:ascii="宋体" w:hAnsi="宋体" w:eastAsia="宋体" w:cs="宋体"/>
                <w:b w:val="0"/>
                <w:bCs w:val="0"/>
                <w:spacing w:val="5"/>
                <w:sz w:val="24"/>
                <w:szCs w:val="24"/>
              </w:rPr>
              <w:t>，</w:t>
            </w:r>
            <w:r>
              <w:rPr>
                <w:rFonts w:hint="eastAsia" w:ascii="宋体" w:hAnsi="宋体" w:eastAsia="宋体" w:cs="宋体"/>
                <w:b w:val="0"/>
                <w:bCs w:val="0"/>
                <w:spacing w:val="2"/>
                <w:sz w:val="24"/>
                <w:szCs w:val="24"/>
              </w:rPr>
              <w:t>则石墨粉尘产生量为</w:t>
            </w:r>
            <w:r>
              <w:rPr>
                <w:rFonts w:hint="eastAsia" w:ascii="宋体" w:hAnsi="宋体" w:eastAsia="宋体" w:cs="宋体"/>
                <w:b w:val="0"/>
                <w:bCs w:val="0"/>
                <w:spacing w:val="2"/>
                <w:sz w:val="24"/>
                <w:szCs w:val="24"/>
                <w:lang w:val="en-US" w:eastAsia="zh-CN"/>
              </w:rPr>
              <w:t>0.045</w:t>
            </w:r>
            <w:r>
              <w:rPr>
                <w:rFonts w:hint="eastAsia" w:ascii="宋体" w:hAnsi="宋体" w:eastAsia="宋体" w:cs="宋体"/>
                <w:b w:val="0"/>
                <w:bCs w:val="0"/>
                <w:spacing w:val="2"/>
                <w:sz w:val="24"/>
                <w:szCs w:val="24"/>
              </w:rPr>
              <w:t>t/a。</w:t>
            </w:r>
            <w:r>
              <w:rPr>
                <w:rFonts w:hint="eastAsia" w:ascii="宋体" w:hAnsi="宋体" w:eastAsia="宋体" w:cs="宋体"/>
                <w:b w:val="0"/>
                <w:bCs w:val="0"/>
                <w:spacing w:val="2"/>
                <w:sz w:val="24"/>
                <w:szCs w:val="24"/>
                <w:lang w:val="en-US" w:eastAsia="zh-CN"/>
              </w:rPr>
              <w:t>工作时间为300h,即0.15kg/h，插层釜为</w:t>
            </w:r>
            <w:r>
              <w:rPr>
                <w:rFonts w:hint="eastAsia" w:ascii="宋体" w:hAnsi="宋体" w:cs="宋体"/>
                <w:b w:val="0"/>
                <w:bCs w:val="0"/>
                <w:spacing w:val="2"/>
                <w:sz w:val="24"/>
                <w:szCs w:val="24"/>
                <w:lang w:val="en-US" w:eastAsia="zh-CN"/>
              </w:rPr>
              <w:t>半封闭式</w:t>
            </w:r>
            <w:r>
              <w:rPr>
                <w:rFonts w:hint="eastAsia" w:ascii="宋体" w:hAnsi="宋体" w:eastAsia="宋体" w:cs="宋体"/>
                <w:b w:val="0"/>
                <w:bCs w:val="0"/>
                <w:spacing w:val="2"/>
                <w:sz w:val="24"/>
                <w:szCs w:val="24"/>
                <w:lang w:val="en-US" w:eastAsia="zh-CN"/>
              </w:rPr>
              <w:t>，且由于</w:t>
            </w:r>
            <w:r>
              <w:rPr>
                <w:rFonts w:hint="eastAsia" w:ascii="宋体" w:hAnsi="宋体" w:eastAsia="宋体" w:cs="宋体"/>
                <w:b w:val="0"/>
                <w:bCs w:val="0"/>
                <w:color w:val="0000FF"/>
                <w:spacing w:val="2"/>
                <w:sz w:val="24"/>
                <w:szCs w:val="24"/>
                <w:u w:val="single"/>
              </w:rPr>
              <w:t>插层釜</w:t>
            </w:r>
            <w:r>
              <w:rPr>
                <w:rFonts w:hint="eastAsia" w:ascii="宋体" w:hAnsi="宋体" w:eastAsia="宋体" w:cs="宋体"/>
                <w:b w:val="0"/>
                <w:bCs w:val="0"/>
                <w:color w:val="0000FF"/>
                <w:spacing w:val="1"/>
                <w:sz w:val="24"/>
                <w:szCs w:val="24"/>
                <w:u w:val="single"/>
              </w:rPr>
              <w:t>投料口</w:t>
            </w:r>
            <w:r>
              <w:rPr>
                <w:rFonts w:hint="eastAsia" w:ascii="宋体" w:hAnsi="宋体" w:eastAsia="宋体" w:cs="宋体"/>
                <w:b w:val="0"/>
                <w:bCs w:val="0"/>
                <w:color w:val="0000FF"/>
                <w:spacing w:val="8"/>
                <w:sz w:val="24"/>
                <w:szCs w:val="24"/>
                <w:u w:val="single"/>
              </w:rPr>
              <w:t>上方设置集气罩</w:t>
            </w:r>
            <w:r>
              <w:rPr>
                <w:rFonts w:hint="eastAsia" w:ascii="宋体" w:hAnsi="宋体" w:eastAsia="宋体" w:cs="宋体"/>
                <w:b w:val="0"/>
                <w:bCs w:val="0"/>
                <w:color w:val="0000FF"/>
                <w:spacing w:val="8"/>
                <w:sz w:val="24"/>
                <w:szCs w:val="24"/>
                <w:u w:val="single"/>
                <w:lang w:val="en-US" w:eastAsia="zh-CN"/>
              </w:rPr>
              <w:t>收集酸雾</w:t>
            </w:r>
            <w:r>
              <w:rPr>
                <w:rFonts w:hint="eastAsia" w:ascii="宋体" w:hAnsi="宋体" w:eastAsia="宋体" w:cs="宋体"/>
                <w:b w:val="0"/>
                <w:bCs w:val="0"/>
                <w:color w:val="0000FF"/>
                <w:spacing w:val="8"/>
                <w:sz w:val="24"/>
                <w:szCs w:val="24"/>
                <w:u w:val="single"/>
              </w:rPr>
              <w:t>，</w:t>
            </w:r>
            <w:r>
              <w:rPr>
                <w:rFonts w:hint="eastAsia" w:ascii="宋体" w:hAnsi="宋体" w:eastAsia="宋体" w:cs="宋体"/>
                <w:b w:val="0"/>
                <w:bCs w:val="0"/>
                <w:color w:val="0000FF"/>
                <w:spacing w:val="8"/>
                <w:sz w:val="24"/>
                <w:szCs w:val="24"/>
                <w:u w:val="single"/>
                <w:lang w:val="en-US" w:eastAsia="zh-CN"/>
              </w:rPr>
              <w:t>投料粉尘协同处置，</w:t>
            </w:r>
            <w:r>
              <w:rPr>
                <w:rFonts w:hint="eastAsia" w:ascii="宋体" w:hAnsi="宋体" w:cs="宋体"/>
                <w:b w:val="0"/>
                <w:bCs w:val="0"/>
                <w:color w:val="0000FF"/>
                <w:spacing w:val="8"/>
                <w:sz w:val="24"/>
                <w:szCs w:val="24"/>
                <w:u w:val="single"/>
                <w:lang w:val="en-US" w:eastAsia="zh-CN"/>
              </w:rPr>
              <w:t>集气</w:t>
            </w:r>
            <w:r>
              <w:rPr>
                <w:rFonts w:hint="eastAsia" w:ascii="宋体" w:hAnsi="宋体" w:eastAsia="宋体" w:cs="宋体"/>
                <w:b w:val="0"/>
                <w:bCs w:val="0"/>
                <w:color w:val="0000FF"/>
                <w:spacing w:val="8"/>
                <w:sz w:val="24"/>
                <w:szCs w:val="24"/>
                <w:u w:val="single"/>
              </w:rPr>
              <w:t>效率按9</w:t>
            </w:r>
            <w:r>
              <w:rPr>
                <w:rFonts w:hint="eastAsia" w:ascii="宋体" w:hAnsi="宋体" w:eastAsia="宋体" w:cs="宋体"/>
                <w:b w:val="0"/>
                <w:bCs w:val="0"/>
                <w:color w:val="0000FF"/>
                <w:spacing w:val="8"/>
                <w:sz w:val="24"/>
                <w:szCs w:val="24"/>
                <w:u w:val="single"/>
                <w:lang w:val="en-US" w:eastAsia="zh-CN"/>
              </w:rPr>
              <w:t>0</w:t>
            </w:r>
            <w:r>
              <w:rPr>
                <w:rFonts w:hint="eastAsia" w:ascii="宋体" w:hAnsi="宋体" w:eastAsia="宋体" w:cs="宋体"/>
                <w:b w:val="0"/>
                <w:bCs w:val="0"/>
                <w:color w:val="0000FF"/>
                <w:spacing w:val="8"/>
                <w:sz w:val="24"/>
                <w:szCs w:val="24"/>
                <w:u w:val="single"/>
              </w:rPr>
              <w:t>%计</w:t>
            </w:r>
            <w:r>
              <w:rPr>
                <w:rFonts w:hint="eastAsia" w:ascii="宋体" w:hAnsi="宋体" w:eastAsia="宋体" w:cs="宋体"/>
                <w:b w:val="0"/>
                <w:bCs w:val="0"/>
                <w:spacing w:val="8"/>
                <w:sz w:val="24"/>
                <w:szCs w:val="24"/>
              </w:rPr>
              <w:t>，进入</w:t>
            </w:r>
            <w:r>
              <w:rPr>
                <w:rFonts w:hint="eastAsia" w:ascii="宋体" w:hAnsi="宋体" w:eastAsia="宋体" w:cs="宋体"/>
                <w:b w:val="0"/>
                <w:bCs w:val="0"/>
                <w:spacing w:val="8"/>
                <w:sz w:val="24"/>
                <w:szCs w:val="24"/>
                <w:lang w:val="en-US" w:eastAsia="zh-CN"/>
              </w:rPr>
              <w:t>喷淋装置</w:t>
            </w:r>
            <w:r>
              <w:rPr>
                <w:rFonts w:hint="eastAsia" w:ascii="宋体" w:hAnsi="宋体" w:eastAsia="宋体" w:cs="宋体"/>
                <w:b w:val="0"/>
                <w:bCs w:val="0"/>
                <w:spacing w:val="8"/>
                <w:sz w:val="24"/>
                <w:szCs w:val="24"/>
              </w:rPr>
              <w:t>,其余粉尘以无组织形式</w:t>
            </w:r>
            <w:r>
              <w:rPr>
                <w:rFonts w:hint="eastAsia" w:ascii="宋体" w:hAnsi="宋体" w:eastAsia="宋体" w:cs="宋体"/>
                <w:b w:val="0"/>
                <w:bCs w:val="0"/>
                <w:spacing w:val="6"/>
                <w:sz w:val="24"/>
                <w:szCs w:val="24"/>
              </w:rPr>
              <w:t>排放</w:t>
            </w:r>
            <w:r>
              <w:rPr>
                <w:rFonts w:hint="eastAsia" w:ascii="宋体" w:hAnsi="宋体" w:eastAsia="宋体" w:cs="宋体"/>
                <w:b w:val="0"/>
                <w:bCs w:val="0"/>
                <w:spacing w:val="6"/>
                <w:sz w:val="24"/>
                <w:szCs w:val="24"/>
                <w:lang w:eastAsia="zh-CN"/>
              </w:rPr>
              <w:t>，</w:t>
            </w:r>
            <w:r>
              <w:rPr>
                <w:rFonts w:hint="eastAsia" w:ascii="宋体" w:hAnsi="宋体" w:eastAsia="宋体" w:cs="宋体"/>
                <w:b w:val="0"/>
                <w:bCs w:val="0"/>
                <w:spacing w:val="6"/>
                <w:sz w:val="24"/>
                <w:szCs w:val="24"/>
                <w:lang w:val="en-US" w:eastAsia="zh-CN"/>
              </w:rPr>
              <w:t>经集气罩收集后的粉尘进入喷淋装置，粉尘去除率为</w:t>
            </w:r>
            <w:r>
              <w:rPr>
                <w:rFonts w:hint="eastAsia" w:ascii="宋体" w:hAnsi="宋体" w:eastAsia="宋体" w:cs="宋体"/>
                <w:b w:val="0"/>
                <w:bCs w:val="0"/>
                <w:spacing w:val="8"/>
                <w:sz w:val="24"/>
                <w:szCs w:val="24"/>
                <w:lang w:val="en-US" w:eastAsia="zh-CN"/>
              </w:rPr>
              <w:t>70</w:t>
            </w:r>
            <w:r>
              <w:rPr>
                <w:rFonts w:hint="eastAsia" w:ascii="宋体" w:hAnsi="宋体" w:eastAsia="宋体" w:cs="宋体"/>
                <w:b w:val="0"/>
                <w:bCs w:val="0"/>
                <w:spacing w:val="8"/>
                <w:sz w:val="24"/>
                <w:szCs w:val="24"/>
              </w:rPr>
              <w:t>%</w:t>
            </w:r>
            <w:r>
              <w:rPr>
                <w:rFonts w:hint="eastAsia" w:ascii="宋体" w:hAnsi="宋体" w:eastAsia="宋体" w:cs="宋体"/>
                <w:b w:val="0"/>
                <w:bCs w:val="0"/>
                <w:spacing w:val="8"/>
                <w:sz w:val="24"/>
                <w:szCs w:val="24"/>
                <w:lang w:eastAsia="zh-CN"/>
              </w:rPr>
              <w:t>，</w:t>
            </w:r>
            <w:r>
              <w:rPr>
                <w:rFonts w:hint="eastAsia" w:ascii="宋体" w:hAnsi="宋体" w:eastAsia="宋体" w:cs="宋体"/>
                <w:b w:val="0"/>
                <w:bCs w:val="0"/>
                <w:spacing w:val="8"/>
                <w:sz w:val="24"/>
                <w:szCs w:val="24"/>
                <w:lang w:val="en-US" w:eastAsia="zh-CN"/>
              </w:rPr>
              <w:t>有组织排放量为12</w:t>
            </w:r>
            <w:r>
              <w:rPr>
                <w:rFonts w:hint="eastAsia" w:ascii="宋体" w:hAnsi="宋体" w:eastAsia="宋体" w:cs="宋体"/>
                <w:b w:val="0"/>
                <w:bCs w:val="0"/>
                <w:spacing w:val="2"/>
                <w:sz w:val="24"/>
                <w:szCs w:val="24"/>
                <w:lang w:val="en-US" w:eastAsia="zh-CN"/>
              </w:rPr>
              <w:t>kg</w:t>
            </w:r>
            <w:r>
              <w:rPr>
                <w:rFonts w:hint="eastAsia" w:ascii="宋体" w:hAnsi="宋体" w:eastAsia="宋体" w:cs="宋体"/>
                <w:b w:val="0"/>
                <w:bCs w:val="0"/>
                <w:spacing w:val="6"/>
                <w:sz w:val="24"/>
                <w:szCs w:val="24"/>
              </w:rPr>
              <w:t>/a</w:t>
            </w:r>
            <w:r>
              <w:rPr>
                <w:rFonts w:hint="eastAsia" w:ascii="宋体" w:hAnsi="宋体" w:eastAsia="宋体" w:cs="宋体"/>
                <w:b w:val="0"/>
                <w:bCs w:val="0"/>
                <w:spacing w:val="6"/>
                <w:sz w:val="24"/>
                <w:szCs w:val="24"/>
                <w:lang w:val="en-US" w:eastAsia="zh-CN"/>
              </w:rPr>
              <w:t>(</w:t>
            </w:r>
            <w:r>
              <w:rPr>
                <w:rFonts w:hint="eastAsia" w:ascii="宋体" w:hAnsi="宋体" w:eastAsia="宋体" w:cs="宋体"/>
                <w:b w:val="0"/>
                <w:bCs w:val="0"/>
                <w:spacing w:val="2"/>
                <w:sz w:val="24"/>
                <w:szCs w:val="24"/>
                <w:lang w:val="en-US" w:eastAsia="zh-CN"/>
              </w:rPr>
              <w:t>0.041kg/h)</w:t>
            </w:r>
            <w:r>
              <w:rPr>
                <w:rFonts w:hint="eastAsia" w:ascii="宋体" w:hAnsi="宋体" w:eastAsia="宋体" w:cs="宋体"/>
                <w:b w:val="0"/>
                <w:bCs w:val="0"/>
                <w:spacing w:val="6"/>
                <w:sz w:val="24"/>
                <w:szCs w:val="24"/>
                <w:lang w:eastAsia="zh-CN"/>
              </w:rPr>
              <w:t>。</w:t>
            </w:r>
            <w:r>
              <w:rPr>
                <w:rFonts w:hint="eastAsia" w:ascii="宋体" w:hAnsi="宋体" w:eastAsia="宋体" w:cs="宋体"/>
                <w:b w:val="0"/>
                <w:bCs w:val="0"/>
                <w:spacing w:val="6"/>
                <w:sz w:val="24"/>
                <w:szCs w:val="24"/>
                <w:lang w:val="en-US" w:eastAsia="zh-CN"/>
              </w:rPr>
              <w:t>经</w:t>
            </w:r>
            <w:r>
              <w:rPr>
                <w:rFonts w:hint="eastAsia" w:ascii="宋体" w:hAnsi="宋体" w:eastAsia="宋体" w:cs="宋体"/>
                <w:spacing w:val="6"/>
                <w:sz w:val="24"/>
                <w:szCs w:val="24"/>
              </w:rPr>
              <w:t>喷淋设施进行处理后，经1根15m高排气筒</w:t>
            </w:r>
            <w:r>
              <w:rPr>
                <w:rFonts w:hint="eastAsia" w:ascii="宋体" w:hAnsi="宋体" w:eastAsia="宋体" w:cs="宋体"/>
                <w:sz w:val="24"/>
                <w:szCs w:val="24"/>
              </w:rPr>
              <w:t>DA</w:t>
            </w:r>
            <w:r>
              <w:rPr>
                <w:rFonts w:hint="eastAsia" w:ascii="宋体" w:hAnsi="宋体" w:eastAsia="宋体" w:cs="宋体"/>
                <w:spacing w:val="6"/>
                <w:sz w:val="24"/>
                <w:szCs w:val="24"/>
              </w:rPr>
              <w:t>001排放。</w:t>
            </w:r>
            <w:r>
              <w:rPr>
                <w:rFonts w:hint="eastAsia" w:ascii="宋体" w:hAnsi="宋体" w:eastAsia="宋体" w:cs="宋体"/>
                <w:color w:val="000000"/>
                <w:sz w:val="24"/>
                <w:szCs w:val="24"/>
              </w:rPr>
              <w:t>排放浓度为</w:t>
            </w:r>
            <w:r>
              <w:rPr>
                <w:rFonts w:hint="eastAsia" w:ascii="宋体" w:hAnsi="宋体" w:eastAsia="宋体" w:cs="宋体"/>
                <w:color w:val="000000"/>
                <w:sz w:val="24"/>
                <w:szCs w:val="24"/>
                <w:lang w:val="en-US" w:eastAsia="zh-CN"/>
              </w:rPr>
              <w:t>40.5</w:t>
            </w:r>
            <w:r>
              <w:rPr>
                <w:rFonts w:hint="eastAsia" w:ascii="宋体" w:hAnsi="宋体" w:eastAsia="宋体" w:cs="宋体"/>
                <w:color w:val="000000"/>
                <w:sz w:val="24"/>
                <w:szCs w:val="24"/>
              </w:rPr>
              <w:t>mg/m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，废气排放满足</w:t>
            </w:r>
            <w:r>
              <w:rPr>
                <w:rFonts w:hint="eastAsia" w:ascii="宋体" w:hAnsi="宋体" w:eastAsia="宋体" w:cs="宋体"/>
                <w:sz w:val="24"/>
                <w:szCs w:val="24"/>
              </w:rPr>
              <w:t>《大气污染物综合排放标准》（GB16297-1996）中二级排放标准限值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颗粒物</w:t>
            </w:r>
            <w:r>
              <w:rPr>
                <w:rFonts w:hint="eastAsia" w:ascii="宋体" w:hAnsi="宋体" w:eastAsia="宋体" w:cs="宋体"/>
                <w:color w:val="000000"/>
                <w:sz w:val="24"/>
                <w:szCs w:val="24"/>
              </w:rPr>
              <w:t>排放速率</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kg/h，排放浓度为</w:t>
            </w:r>
            <w:r>
              <w:rPr>
                <w:rFonts w:hint="eastAsia" w:ascii="宋体" w:hAnsi="宋体" w:eastAsia="宋体" w:cs="宋体"/>
                <w:color w:val="000000"/>
                <w:sz w:val="24"/>
                <w:szCs w:val="24"/>
                <w:lang w:val="en-US" w:eastAsia="zh-CN"/>
              </w:rPr>
              <w:t>120</w:t>
            </w:r>
            <w:r>
              <w:rPr>
                <w:rFonts w:hint="eastAsia" w:ascii="宋体" w:hAnsi="宋体" w:eastAsia="宋体" w:cs="宋体"/>
                <w:color w:val="000000"/>
                <w:sz w:val="24"/>
                <w:szCs w:val="24"/>
              </w:rPr>
              <w:t>mg/m</w:t>
            </w:r>
            <w:r>
              <w:rPr>
                <w:rFonts w:hint="eastAsia" w:ascii="宋体" w:hAnsi="宋体" w:eastAsia="宋体" w:cs="宋体"/>
                <w:color w:val="000000"/>
                <w:sz w:val="24"/>
                <w:szCs w:val="24"/>
                <w:vertAlign w:val="superscript"/>
              </w:rPr>
              <w:t>3</w:t>
            </w:r>
            <w:r>
              <w:rPr>
                <w:rFonts w:hint="eastAsia" w:ascii="宋体" w:hAnsi="宋体" w:eastAsia="宋体" w:cs="宋体"/>
                <w:sz w:val="24"/>
                <w:szCs w:val="24"/>
              </w:rPr>
              <w:t>）。</w:t>
            </w:r>
          </w:p>
          <w:p w14:paraId="32088032">
            <w:pPr>
              <w:pStyle w:val="52"/>
              <w:keepNext w:val="0"/>
              <w:keepLines w:val="0"/>
              <w:pageBreakBefore w:val="0"/>
              <w:widowControl w:val="0"/>
              <w:kinsoku/>
              <w:wordWrap/>
              <w:overflowPunct/>
              <w:topLinePunct w:val="0"/>
              <w:autoSpaceDE/>
              <w:autoSpaceDN/>
              <w:bidi w:val="0"/>
              <w:adjustRightInd/>
              <w:snapToGrid/>
              <w:spacing w:line="360" w:lineRule="auto"/>
              <w:ind w:left="534"/>
              <w:textAlignment w:val="auto"/>
              <w:rPr>
                <w:rFonts w:hint="eastAsia" w:ascii="宋体" w:hAnsi="宋体" w:eastAsia="宋体" w:cs="宋体"/>
                <w:b/>
                <w:bCs/>
                <w:sz w:val="24"/>
                <w:szCs w:val="24"/>
              </w:rPr>
            </w:pPr>
            <w:r>
              <w:rPr>
                <w:rFonts w:hint="eastAsia" w:ascii="宋体" w:hAnsi="宋体" w:eastAsia="宋体" w:cs="宋体"/>
                <w:b/>
                <w:bCs/>
                <w:spacing w:val="8"/>
                <w:sz w:val="24"/>
                <w:szCs w:val="24"/>
                <w:lang w:val="en-US" w:eastAsia="zh-CN"/>
              </w:rPr>
              <w:t>B</w:t>
            </w:r>
            <w:r>
              <w:rPr>
                <w:rFonts w:hint="eastAsia" w:ascii="宋体" w:hAnsi="宋体" w:eastAsia="宋体" w:cs="宋体"/>
                <w:b/>
                <w:bCs/>
                <w:spacing w:val="8"/>
                <w:sz w:val="24"/>
                <w:szCs w:val="24"/>
              </w:rPr>
              <w:t>筛分工序产生的粉尘</w:t>
            </w:r>
          </w:p>
          <w:p w14:paraId="63724D13">
            <w:pPr>
              <w:pStyle w:val="52"/>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宋体" w:hAnsi="宋体" w:eastAsia="宋体" w:cs="宋体"/>
                <w:b/>
                <w:bCs/>
                <w:spacing w:val="5"/>
                <w:position w:val="2"/>
                <w:sz w:val="24"/>
                <w:szCs w:val="24"/>
                <w:lang w:val="en-US" w:eastAsia="zh-CN"/>
              </w:rPr>
            </w:pPr>
            <w:r>
              <w:rPr>
                <w:rFonts w:hint="eastAsia" w:ascii="宋体" w:hAnsi="宋体" w:eastAsia="宋体" w:cs="宋体"/>
                <w:b w:val="0"/>
                <w:bCs w:val="0"/>
                <w:spacing w:val="5"/>
                <w:position w:val="2"/>
                <w:sz w:val="24"/>
                <w:szCs w:val="24"/>
                <w:lang w:val="en-US" w:eastAsia="zh-CN"/>
              </w:rPr>
              <w:t>石墨粉尘与</w:t>
            </w:r>
            <w:r>
              <w:rPr>
                <w:rFonts w:hint="eastAsia" w:ascii="宋体" w:hAnsi="宋体" w:eastAsia="宋体" w:cs="宋体"/>
                <w:sz w:val="24"/>
                <w:szCs w:val="24"/>
              </w:rPr>
              <w:t>3091石墨及碳素制品制造行业</w:t>
            </w:r>
            <w:r>
              <w:rPr>
                <w:rFonts w:hint="eastAsia" w:ascii="宋体" w:hAnsi="宋体" w:eastAsia="宋体" w:cs="宋体"/>
                <w:sz w:val="24"/>
                <w:szCs w:val="24"/>
                <w:lang w:val="en-US" w:eastAsia="zh-CN"/>
              </w:rPr>
              <w:t>粉尘类似，因此参照排放源统计调查产排污核算方法和系数手册</w:t>
            </w:r>
            <w:r>
              <w:rPr>
                <w:rFonts w:hint="eastAsia" w:ascii="宋体" w:hAnsi="宋体" w:eastAsia="宋体" w:cs="宋体"/>
                <w:sz w:val="24"/>
                <w:szCs w:val="24"/>
              </w:rPr>
              <w:t>3091石墨及碳素制品制造行业系数手册</w:t>
            </w:r>
            <w:r>
              <w:rPr>
                <w:rFonts w:hint="eastAsia" w:ascii="宋体" w:hAnsi="宋体" w:eastAsia="宋体" w:cs="宋体"/>
                <w:sz w:val="24"/>
                <w:szCs w:val="24"/>
                <w:lang w:val="en-US" w:eastAsia="zh-CN"/>
              </w:rPr>
              <w:t>中干式混捏系数为1.94千克/吨.本项目产品为5000吨，则筛分粉尘产生量为9.7t/a。</w:t>
            </w:r>
          </w:p>
          <w:p w14:paraId="73BA2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拟采取处理措施：为减少该部分废气对周围环境的影响，筛分工序产生的粉尘废气应</w:t>
            </w:r>
            <w:r>
              <w:rPr>
                <w:rFonts w:hint="eastAsia" w:ascii="宋体" w:hAnsi="宋体" w:eastAsia="宋体" w:cs="宋体"/>
                <w:color w:val="0000FF"/>
                <w:sz w:val="24"/>
                <w:szCs w:val="24"/>
                <w:u w:val="single"/>
              </w:rPr>
              <w:t>经集气罩收集（收集效率为90%）</w:t>
            </w:r>
            <w:r>
              <w:rPr>
                <w:rFonts w:hint="eastAsia" w:ascii="宋体" w:hAnsi="宋体" w:eastAsia="宋体" w:cs="宋体"/>
                <w:color w:val="000000"/>
                <w:sz w:val="24"/>
                <w:szCs w:val="24"/>
              </w:rPr>
              <w:t>后经布袋除尘器（处理效率为99%）处理，再经不低于15m高排气筒进行排放（同烘干废气排气筒DA002合并排放）。经其处理后，该部分粉尘废气排放量为0.0</w:t>
            </w:r>
            <w:r>
              <w:rPr>
                <w:rFonts w:hint="eastAsia" w:ascii="宋体" w:hAnsi="宋体" w:eastAsia="宋体" w:cs="宋体"/>
                <w:color w:val="000000"/>
                <w:sz w:val="24"/>
                <w:szCs w:val="24"/>
                <w:lang w:val="en-US" w:eastAsia="zh-CN"/>
              </w:rPr>
              <w:t>87</w:t>
            </w:r>
            <w:r>
              <w:rPr>
                <w:rFonts w:hint="eastAsia" w:ascii="宋体" w:hAnsi="宋体" w:eastAsia="宋体" w:cs="宋体"/>
                <w:color w:val="000000"/>
                <w:sz w:val="24"/>
                <w:szCs w:val="24"/>
              </w:rPr>
              <w:t>t/a，排放速率为0.0</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 xml:space="preserve"> kg/h，排放浓度为</w:t>
            </w:r>
            <w:r>
              <w:rPr>
                <w:rFonts w:hint="eastAsia" w:ascii="宋体" w:hAnsi="宋体" w:eastAsia="宋体" w:cs="宋体"/>
                <w:color w:val="000000"/>
                <w:sz w:val="24"/>
                <w:szCs w:val="24"/>
                <w:lang w:val="en-US" w:eastAsia="zh-CN"/>
              </w:rPr>
              <w:t>12.1</w:t>
            </w:r>
            <w:r>
              <w:rPr>
                <w:rFonts w:hint="eastAsia" w:ascii="宋体" w:hAnsi="宋体" w:eastAsia="宋体" w:cs="宋体"/>
                <w:color w:val="000000"/>
                <w:sz w:val="24"/>
                <w:szCs w:val="24"/>
              </w:rPr>
              <w:t>mg/m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，废气排放满足</w:t>
            </w:r>
            <w:r>
              <w:rPr>
                <w:rFonts w:hint="eastAsia" w:ascii="宋体" w:hAnsi="宋体" w:eastAsia="宋体" w:cs="宋体"/>
                <w:sz w:val="24"/>
                <w:szCs w:val="24"/>
              </w:rPr>
              <w:t>《大气污染物综合排放标准》（GB16297-1996）中二级排放标准限值</w:t>
            </w:r>
            <w:r>
              <w:rPr>
                <w:rFonts w:hint="eastAsia" w:ascii="宋体" w:hAnsi="宋体" w:eastAsia="宋体" w:cs="宋体"/>
                <w:sz w:val="24"/>
                <w:szCs w:val="24"/>
                <w:lang w:eastAsia="zh-CN"/>
              </w:rPr>
              <w:t>（</w:t>
            </w:r>
            <w:r>
              <w:rPr>
                <w:rFonts w:hint="eastAsia" w:ascii="宋体" w:hAnsi="宋体" w:eastAsia="宋体" w:cs="宋体"/>
                <w:color w:val="000000"/>
                <w:sz w:val="24"/>
                <w:szCs w:val="24"/>
              </w:rPr>
              <w:t>排放速率</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kg/h，排放浓度为</w:t>
            </w:r>
            <w:r>
              <w:rPr>
                <w:rFonts w:hint="eastAsia" w:ascii="宋体" w:hAnsi="宋体" w:eastAsia="宋体" w:cs="宋体"/>
                <w:color w:val="000000"/>
                <w:sz w:val="24"/>
                <w:szCs w:val="24"/>
                <w:lang w:val="en-US" w:eastAsia="zh-CN"/>
              </w:rPr>
              <w:t>120</w:t>
            </w:r>
            <w:r>
              <w:rPr>
                <w:rFonts w:hint="eastAsia" w:ascii="宋体" w:hAnsi="宋体" w:eastAsia="宋体" w:cs="宋体"/>
                <w:color w:val="000000"/>
                <w:sz w:val="24"/>
                <w:szCs w:val="24"/>
              </w:rPr>
              <w:t>mg/m</w:t>
            </w:r>
            <w:r>
              <w:rPr>
                <w:rFonts w:hint="eastAsia" w:ascii="宋体" w:hAnsi="宋体" w:eastAsia="宋体" w:cs="宋体"/>
                <w:color w:val="000000"/>
                <w:sz w:val="24"/>
                <w:szCs w:val="24"/>
                <w:vertAlign w:val="superscript"/>
              </w:rPr>
              <w:t>3</w:t>
            </w:r>
            <w:r>
              <w:rPr>
                <w:rFonts w:hint="eastAsia" w:ascii="宋体" w:hAnsi="宋体" w:eastAsia="宋体" w:cs="宋体"/>
                <w:sz w:val="24"/>
                <w:szCs w:val="24"/>
              </w:rPr>
              <w:t>）。</w:t>
            </w:r>
          </w:p>
          <w:p w14:paraId="14BDD5F4">
            <w:pPr>
              <w:pStyle w:val="8"/>
              <w:rPr>
                <w:rFonts w:hint="default" w:eastAsia="宋体"/>
                <w:b/>
                <w:bCs/>
                <w:lang w:val="en-US" w:eastAsia="zh-CN"/>
              </w:rPr>
            </w:pPr>
            <w:r>
              <w:rPr>
                <w:rFonts w:hint="eastAsia" w:ascii="宋体" w:hAnsi="宋体" w:eastAsia="宋体" w:cs="宋体"/>
                <w:b/>
                <w:bCs/>
                <w:sz w:val="24"/>
                <w:szCs w:val="24"/>
                <w:lang w:val="en-US" w:eastAsia="zh-CN"/>
              </w:rPr>
              <w:t>C燃气导热油炉废气</w:t>
            </w:r>
          </w:p>
          <w:p w14:paraId="21527A45">
            <w:pPr>
              <w:keepNext w:val="0"/>
              <w:keepLines w:val="0"/>
              <w:pageBreakBefore w:val="0"/>
              <w:widowControl w:val="0"/>
              <w:kinsoku/>
              <w:wordWrap/>
              <w:overflowPunct/>
              <w:topLinePunct w:val="0"/>
              <w:autoSpaceDE/>
              <w:autoSpaceDN/>
              <w:bidi w:val="0"/>
              <w:adjustRightInd w:val="0"/>
              <w:snapToGrid w:val="0"/>
              <w:spacing w:line="500" w:lineRule="exact"/>
              <w:ind w:firstLine="440" w:firstLineChars="200"/>
              <w:textAlignment w:val="auto"/>
              <w:rPr>
                <w:rFonts w:hint="eastAsia"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参照HJ991-2018《污染源源强核算技术指南 锅炉》中相关要求，颗粒物排放量采用系数法，氮氧化物排放量采用</w:t>
            </w:r>
            <w:r>
              <w:rPr>
                <w:rFonts w:hint="eastAsia" w:ascii="Times New Roman" w:hAnsi="Times New Roman" w:eastAsia="宋体" w:cs="Times New Roman"/>
                <w:color w:val="auto"/>
                <w:sz w:val="24"/>
                <w:szCs w:val="24"/>
                <w:highlight w:val="none"/>
                <w:lang w:val="en-US" w:eastAsia="zh-CN"/>
              </w:rPr>
              <w:t>产污系数法</w:t>
            </w:r>
            <w:r>
              <w:rPr>
                <w:rFonts w:hint="eastAsia" w:ascii="宋体" w:hAnsi="宋体" w:eastAsia="宋体" w:cs="宋体"/>
                <w:bCs/>
                <w:color w:val="auto"/>
                <w:spacing w:val="-10"/>
                <w:sz w:val="24"/>
                <w:szCs w:val="24"/>
                <w:lang w:val="en-US" w:eastAsia="zh-CN"/>
              </w:rPr>
              <w:t>、二氧化硫排放量采用物料衡算法进行污染源强核算。燃气量为20万m</w:t>
            </w:r>
            <w:r>
              <w:rPr>
                <w:rFonts w:hint="eastAsia" w:ascii="宋体" w:hAnsi="宋体" w:eastAsia="宋体" w:cs="宋体"/>
                <w:bCs/>
                <w:color w:val="auto"/>
                <w:spacing w:val="-10"/>
                <w:sz w:val="24"/>
                <w:szCs w:val="24"/>
                <w:vertAlign w:val="superscript"/>
                <w:lang w:val="en-US" w:eastAsia="zh-CN"/>
              </w:rPr>
              <w:t>3</w:t>
            </w:r>
            <w:r>
              <w:rPr>
                <w:rFonts w:hint="eastAsia" w:ascii="宋体" w:hAnsi="宋体" w:eastAsia="宋体" w:cs="宋体"/>
                <w:bCs/>
                <w:color w:val="auto"/>
                <w:spacing w:val="-10"/>
                <w:sz w:val="24"/>
                <w:szCs w:val="24"/>
                <w:lang w:val="en-US" w:eastAsia="zh-CN"/>
              </w:rPr>
              <w:t>。</w:t>
            </w:r>
          </w:p>
          <w:p w14:paraId="4BA22040">
            <w:pPr>
              <w:pStyle w:val="16"/>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气体燃料烟气量计算公式如下：</w:t>
            </w:r>
          </w:p>
          <w:p w14:paraId="27610DEB">
            <w:pPr>
              <w:rPr>
                <w:rFonts w:hint="eastAsia" w:ascii="宋体" w:hAnsi="宋体" w:eastAsia="宋体" w:cs="宋体"/>
                <w:bCs/>
                <w:color w:val="auto"/>
                <w:spacing w:val="-10"/>
                <w:sz w:val="24"/>
                <w:szCs w:val="24"/>
                <w:lang w:val="en-US" w:eastAsia="zh-CN"/>
              </w:rPr>
            </w:pPr>
            <w:r>
              <w:rPr>
                <w:color w:val="auto"/>
              </w:rPr>
              <w:drawing>
                <wp:inline distT="0" distB="0" distL="114300" distR="114300">
                  <wp:extent cx="4480560" cy="1798320"/>
                  <wp:effectExtent l="0" t="0" r="2540" b="5080"/>
                  <wp:docPr id="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pic:cNvPicPr>
                            <a:picLocks noChangeAspect="1"/>
                          </pic:cNvPicPr>
                        </pic:nvPicPr>
                        <pic:blipFill>
                          <a:blip r:embed="rId14"/>
                          <a:srcRect b="4839"/>
                          <a:stretch>
                            <a:fillRect/>
                          </a:stretch>
                        </pic:blipFill>
                        <pic:spPr>
                          <a:xfrm>
                            <a:off x="0" y="0"/>
                            <a:ext cx="4480560" cy="1798320"/>
                          </a:xfrm>
                          <a:prstGeom prst="rect">
                            <a:avLst/>
                          </a:prstGeom>
                          <a:noFill/>
                          <a:ln>
                            <a:noFill/>
                          </a:ln>
                        </pic:spPr>
                      </pic:pic>
                    </a:graphicData>
                  </a:graphic>
                </wp:inline>
              </w:drawing>
            </w:r>
          </w:p>
          <w:p w14:paraId="5A4D5288">
            <w:pPr>
              <w:pStyle w:val="16"/>
              <w:rPr>
                <w:rFonts w:hint="default"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式中：</w:t>
            </w:r>
          </w:p>
          <w:p w14:paraId="19C32616">
            <w:pPr>
              <w:jc w:val="center"/>
              <w:rPr>
                <w:rFonts w:hint="eastAsia" w:ascii="宋体" w:hAnsi="宋体" w:eastAsia="宋体" w:cs="宋体"/>
                <w:bCs/>
                <w:color w:val="auto"/>
                <w:spacing w:val="-10"/>
                <w:sz w:val="24"/>
                <w:szCs w:val="24"/>
                <w:lang w:val="en-US" w:eastAsia="zh-CN"/>
              </w:rPr>
            </w:pPr>
            <w:r>
              <w:rPr>
                <w:color w:val="auto"/>
              </w:rPr>
              <w:drawing>
                <wp:inline distT="0" distB="0" distL="114300" distR="114300">
                  <wp:extent cx="2773680" cy="838200"/>
                  <wp:effectExtent l="0" t="0" r="7620" b="0"/>
                  <wp:docPr id="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
                          <pic:cNvPicPr>
                            <a:picLocks noChangeAspect="1"/>
                          </pic:cNvPicPr>
                        </pic:nvPicPr>
                        <pic:blipFill>
                          <a:blip r:embed="rId15"/>
                          <a:stretch>
                            <a:fillRect/>
                          </a:stretch>
                        </pic:blipFill>
                        <pic:spPr>
                          <a:xfrm>
                            <a:off x="0" y="0"/>
                            <a:ext cx="2773680" cy="838200"/>
                          </a:xfrm>
                          <a:prstGeom prst="rect">
                            <a:avLst/>
                          </a:prstGeom>
                          <a:noFill/>
                          <a:ln>
                            <a:noFill/>
                          </a:ln>
                        </pic:spPr>
                      </pic:pic>
                    </a:graphicData>
                  </a:graphic>
                </wp:inline>
              </w:drawing>
            </w:r>
            <w:r>
              <w:rPr>
                <w:color w:val="auto"/>
              </w:rPr>
              <w:drawing>
                <wp:inline distT="0" distB="0" distL="114300" distR="114300">
                  <wp:extent cx="3200400" cy="472440"/>
                  <wp:effectExtent l="0" t="0" r="0" b="10160"/>
                  <wp:docPr id="6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pic:cNvPicPr>
                            <a:picLocks noChangeAspect="1"/>
                          </pic:cNvPicPr>
                        </pic:nvPicPr>
                        <pic:blipFill>
                          <a:blip r:embed="rId16"/>
                          <a:stretch>
                            <a:fillRect/>
                          </a:stretch>
                        </pic:blipFill>
                        <pic:spPr>
                          <a:xfrm>
                            <a:off x="0" y="0"/>
                            <a:ext cx="3200400" cy="472440"/>
                          </a:xfrm>
                          <a:prstGeom prst="rect">
                            <a:avLst/>
                          </a:prstGeom>
                          <a:noFill/>
                          <a:ln>
                            <a:noFill/>
                          </a:ln>
                        </pic:spPr>
                      </pic:pic>
                    </a:graphicData>
                  </a:graphic>
                </wp:inline>
              </w:drawing>
            </w:r>
          </w:p>
          <w:p w14:paraId="46EE8C5C">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经查，a</w:t>
            </w:r>
            <w:r>
              <w:rPr>
                <w:rFonts w:hint="eastAsia" w:ascii="宋体" w:hAnsi="宋体" w:cs="宋体"/>
                <w:color w:val="auto"/>
                <w:spacing w:val="0"/>
                <w:sz w:val="24"/>
                <w:szCs w:val="24"/>
                <w:lang w:val="en-US" w:eastAsia="zh-CN"/>
              </w:rPr>
              <w:t>过量空气系数在1.05-1.1之间，本次取1.05。天然气收到基低位发热量约</w:t>
            </w:r>
            <w:r>
              <w:rPr>
                <w:rFonts w:hint="eastAsia" w:ascii="宋体" w:hAnsi="宋体" w:cs="宋体"/>
                <w:color w:val="auto"/>
                <w:spacing w:val="0"/>
                <w:sz w:val="24"/>
                <w:szCs w:val="24"/>
                <w:highlight w:val="none"/>
                <w:lang w:val="en-US" w:eastAsia="zh-CN"/>
              </w:rPr>
              <w:t>为36533kJ/m</w:t>
            </w:r>
            <w:r>
              <w:rPr>
                <w:rFonts w:hint="eastAsia" w:ascii="宋体" w:hAnsi="宋体" w:cs="宋体"/>
                <w:color w:val="auto"/>
                <w:spacing w:val="0"/>
                <w:sz w:val="24"/>
                <w:szCs w:val="24"/>
                <w:highlight w:val="none"/>
                <w:vertAlign w:val="superscript"/>
                <w:lang w:val="en-US" w:eastAsia="zh-CN"/>
              </w:rPr>
              <w:t>3</w:t>
            </w:r>
            <w:r>
              <w:rPr>
                <w:rFonts w:hint="eastAsia" w:ascii="宋体" w:hAnsi="宋体" w:cs="宋体"/>
                <w:color w:val="auto"/>
                <w:spacing w:val="0"/>
                <w:sz w:val="24"/>
                <w:szCs w:val="24"/>
                <w:lang w:val="en-US" w:eastAsia="zh-CN"/>
              </w:rPr>
              <w:t>。</w:t>
            </w:r>
          </w:p>
          <w:p w14:paraId="2F1F1A9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Times New Roman" w:hAnsi="Times New Roman"/>
                <w:color w:val="auto"/>
                <w:sz w:val="24"/>
                <w:highlight w:val="none"/>
                <w:u w:val="none"/>
                <w:lang w:val="en-US" w:eastAsia="zh-CN"/>
              </w:rPr>
            </w:pPr>
            <w:r>
              <w:rPr>
                <w:rFonts w:hint="default" w:ascii="Times New Roman" w:hAnsi="Times New Roman" w:eastAsia="宋体" w:cs="Times New Roman"/>
                <w:b w:val="0"/>
                <w:bCs/>
                <w:i/>
                <w:iCs/>
                <w:color w:val="auto"/>
                <w:sz w:val="24"/>
                <w:szCs w:val="24"/>
                <w:highlight w:val="none"/>
                <w:u w:val="none"/>
                <w:lang w:val="en-US" w:eastAsia="zh-CN"/>
              </w:rPr>
              <w:t>V</w:t>
            </w:r>
            <w:r>
              <w:rPr>
                <w:rFonts w:hint="eastAsia" w:ascii="Times New Roman" w:hAnsi="Times New Roman" w:eastAsia="宋体" w:cs="Times New Roman"/>
                <w:b w:val="0"/>
                <w:bCs/>
                <w:color w:val="auto"/>
                <w:sz w:val="24"/>
                <w:szCs w:val="24"/>
                <w:highlight w:val="none"/>
                <w:u w:val="none"/>
                <w:vertAlign w:val="subscript"/>
                <w:lang w:val="en-US" w:eastAsia="zh-CN"/>
              </w:rPr>
              <w:t>0</w:t>
            </w:r>
            <w:r>
              <w:rPr>
                <w:rFonts w:hint="eastAsia" w:ascii="Times New Roman" w:hAnsi="Times New Roman"/>
                <w:color w:val="auto"/>
                <w:sz w:val="24"/>
                <w:highlight w:val="none"/>
                <w:u w:val="none"/>
                <w:lang w:val="en-US" w:eastAsia="zh-CN"/>
              </w:rPr>
              <w:t>=0.260×</w:t>
            </w:r>
            <w:r>
              <w:rPr>
                <w:rFonts w:hint="eastAsia" w:ascii="宋体" w:hAnsi="宋体" w:cs="宋体"/>
                <w:color w:val="auto"/>
                <w:spacing w:val="0"/>
                <w:sz w:val="24"/>
                <w:szCs w:val="24"/>
                <w:highlight w:val="none"/>
                <w:lang w:val="en-US" w:eastAsia="zh-CN"/>
              </w:rPr>
              <w:t>36533</w:t>
            </w:r>
            <w:r>
              <w:rPr>
                <w:rFonts w:hint="eastAsia" w:ascii="Times New Roman" w:hAnsi="Times New Roman"/>
                <w:color w:val="auto"/>
                <w:sz w:val="24"/>
                <w:highlight w:val="none"/>
                <w:u w:val="none"/>
                <w:lang w:val="en-US" w:eastAsia="zh-CN"/>
              </w:rPr>
              <w:t>/1000-0.25=9.24858</w:t>
            </w:r>
            <w:r>
              <w:rPr>
                <w:rFonts w:hint="eastAsia" w:ascii="Times New Roman" w:hAnsi="Times New Roman" w:eastAsia="宋体" w:cs="Times New Roman"/>
                <w:b w:val="0"/>
                <w:bCs/>
                <w:color w:val="auto"/>
                <w:sz w:val="24"/>
                <w:szCs w:val="24"/>
                <w:highlight w:val="none"/>
                <w:u w:val="none"/>
                <w:lang w:val="en-US" w:eastAsia="zh-CN" w:bidi="ar-SA"/>
              </w:rPr>
              <w:t>m</w:t>
            </w:r>
            <w:r>
              <w:rPr>
                <w:rFonts w:hint="eastAsia" w:ascii="Times New Roman" w:hAnsi="Times New Roman" w:eastAsia="宋体" w:cs="Times New Roman"/>
                <w:b w:val="0"/>
                <w:bCs/>
                <w:color w:val="auto"/>
                <w:sz w:val="24"/>
                <w:szCs w:val="24"/>
                <w:highlight w:val="none"/>
                <w:u w:val="none"/>
                <w:vertAlign w:val="superscript"/>
                <w:lang w:val="en-US" w:eastAsia="zh-CN" w:bidi="ar-SA"/>
              </w:rPr>
              <w:t>3</w:t>
            </w:r>
            <w:r>
              <w:rPr>
                <w:rFonts w:hint="eastAsia" w:ascii="Times New Roman" w:hAnsi="Times New Roman" w:eastAsia="宋体" w:cs="Times New Roman"/>
                <w:b w:val="0"/>
                <w:bCs/>
                <w:color w:val="auto"/>
                <w:sz w:val="24"/>
                <w:szCs w:val="24"/>
                <w:highlight w:val="none"/>
                <w:u w:val="none"/>
                <w:lang w:val="en-US" w:eastAsia="zh-CN" w:bidi="ar-SA"/>
              </w:rPr>
              <w:t>/m</w:t>
            </w:r>
            <w:r>
              <w:rPr>
                <w:rFonts w:hint="eastAsia" w:ascii="Times New Roman" w:hAnsi="Times New Roman" w:eastAsia="宋体" w:cs="Times New Roman"/>
                <w:b w:val="0"/>
                <w:bCs/>
                <w:color w:val="auto"/>
                <w:sz w:val="24"/>
                <w:szCs w:val="24"/>
                <w:highlight w:val="none"/>
                <w:u w:val="none"/>
                <w:vertAlign w:val="superscript"/>
                <w:lang w:val="en-US" w:eastAsia="zh-CN" w:bidi="ar-SA"/>
              </w:rPr>
              <w:t>3</w:t>
            </w:r>
          </w:p>
          <w:p w14:paraId="6DD5041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default"/>
                <w:lang w:val="en-US" w:eastAsia="zh-CN"/>
              </w:rPr>
            </w:pPr>
            <w:r>
              <w:rPr>
                <w:rFonts w:hint="eastAsia" w:ascii="Times New Roman" w:hAnsi="Times New Roman"/>
                <w:i/>
                <w:iCs/>
                <w:color w:val="auto"/>
                <w:sz w:val="24"/>
                <w:highlight w:val="none"/>
                <w:u w:val="none"/>
                <w:lang w:val="en-US" w:eastAsia="zh-CN"/>
              </w:rPr>
              <w:t>V</w:t>
            </w:r>
            <w:r>
              <w:rPr>
                <w:rFonts w:hint="eastAsia" w:ascii="Times New Roman" w:hAnsi="Times New Roman"/>
                <w:color w:val="auto"/>
                <w:sz w:val="24"/>
                <w:highlight w:val="none"/>
                <w:u w:val="none"/>
                <w:lang w:val="en-US" w:eastAsia="zh-CN"/>
              </w:rPr>
              <w:t>s=0.272×</w:t>
            </w:r>
            <w:r>
              <w:rPr>
                <w:rFonts w:hint="eastAsia" w:ascii="宋体" w:hAnsi="宋体" w:cs="宋体"/>
                <w:color w:val="auto"/>
                <w:spacing w:val="0"/>
                <w:sz w:val="24"/>
                <w:szCs w:val="24"/>
                <w:highlight w:val="none"/>
                <w:lang w:val="en-US" w:eastAsia="zh-CN"/>
              </w:rPr>
              <w:t>36533</w:t>
            </w:r>
            <w:r>
              <w:rPr>
                <w:rFonts w:hint="eastAsia" w:ascii="Times New Roman" w:hAnsi="Times New Roman"/>
                <w:color w:val="auto"/>
                <w:sz w:val="24"/>
                <w:highlight w:val="none"/>
                <w:u w:val="none"/>
                <w:lang w:val="en-US" w:eastAsia="zh-CN"/>
              </w:rPr>
              <w:t>/1000-0.25+1.0161×（1.05-1）×9.24858=10.157m</w:t>
            </w:r>
            <w:r>
              <w:rPr>
                <w:rFonts w:hint="eastAsia" w:ascii="Times New Roman" w:hAnsi="Times New Roman"/>
                <w:color w:val="auto"/>
                <w:sz w:val="24"/>
                <w:highlight w:val="none"/>
                <w:u w:val="none"/>
                <w:vertAlign w:val="superscript"/>
                <w:lang w:val="en-US" w:eastAsia="zh-CN"/>
              </w:rPr>
              <w:t>3</w:t>
            </w:r>
            <w:r>
              <w:rPr>
                <w:rFonts w:hint="eastAsia" w:ascii="Times New Roman" w:hAnsi="Times New Roman"/>
                <w:color w:val="auto"/>
                <w:sz w:val="24"/>
                <w:highlight w:val="none"/>
                <w:u w:val="none"/>
                <w:lang w:val="en-US" w:eastAsia="zh-CN"/>
              </w:rPr>
              <w:t>/m</w:t>
            </w:r>
            <w:r>
              <w:rPr>
                <w:rFonts w:hint="eastAsia" w:ascii="Times New Roman" w:hAnsi="Times New Roman"/>
                <w:color w:val="auto"/>
                <w:sz w:val="24"/>
                <w:highlight w:val="none"/>
                <w:u w:val="none"/>
                <w:vertAlign w:val="superscript"/>
                <w:lang w:val="en-US" w:eastAsia="zh-CN"/>
              </w:rPr>
              <w:t>3</w:t>
            </w:r>
          </w:p>
          <w:p w14:paraId="6F147F2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Cs/>
                <w:color w:val="auto"/>
                <w:spacing w:val="0"/>
                <w:sz w:val="24"/>
                <w:szCs w:val="24"/>
                <w:lang w:val="en-US" w:eastAsia="zh-CN"/>
              </w:rPr>
            </w:pPr>
            <w:r>
              <w:rPr>
                <w:rFonts w:hint="eastAsia" w:ascii="宋体" w:hAnsi="宋体" w:eastAsia="宋体" w:cs="宋体"/>
                <w:bCs/>
                <w:color w:val="auto"/>
                <w:spacing w:val="0"/>
                <w:sz w:val="24"/>
                <w:szCs w:val="24"/>
                <w:lang w:val="en-US" w:eastAsia="zh-CN"/>
              </w:rPr>
              <w:t>　　a二氧化硫计算</w:t>
            </w:r>
          </w:p>
          <w:p w14:paraId="15169814">
            <w:pPr>
              <w:adjustRightInd w:val="0"/>
              <w:snapToGrid w:val="0"/>
              <w:rPr>
                <w:rFonts w:hint="eastAsia" w:ascii="宋体" w:hAnsi="宋体" w:eastAsia="宋体" w:cs="宋体"/>
                <w:bCs/>
                <w:color w:val="auto"/>
                <w:spacing w:val="-10"/>
                <w:szCs w:val="21"/>
                <w:lang w:val="en-US" w:eastAsia="zh-CN"/>
              </w:rPr>
            </w:pPr>
            <w:r>
              <w:rPr>
                <w:rFonts w:hint="eastAsia" w:ascii="宋体" w:hAnsi="宋体" w:eastAsia="宋体" w:cs="宋体"/>
                <w:bCs/>
                <w:color w:val="auto"/>
                <w:spacing w:val="-10"/>
                <w:szCs w:val="21"/>
                <w:lang w:val="en-US" w:eastAsia="zh-CN"/>
              </w:rPr>
              <w:t xml:space="preserve">      </w:t>
            </w:r>
            <w:r>
              <w:rPr>
                <w:rFonts w:hint="eastAsia" w:ascii="宋体" w:hAnsi="宋体" w:eastAsia="宋体" w:cs="宋体"/>
                <w:bCs/>
                <w:color w:val="auto"/>
                <w:spacing w:val="-10"/>
                <w:szCs w:val="21"/>
                <w:lang w:val="en-US" w:eastAsia="zh-CN"/>
              </w:rPr>
              <w:object>
                <v:shape id="_x0000_i1025" o:spt="75" type="#_x0000_t75" style="height:34pt;width:172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p>
          <w:p w14:paraId="465A4D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式中:</w:t>
            </w:r>
          </w:p>
          <w:p w14:paraId="50839F86">
            <w:pPr>
              <w:keepNext w:val="0"/>
              <w:keepLines w:val="0"/>
              <w:pageBreakBefore w:val="0"/>
              <w:widowControl w:val="0"/>
              <w:kinsoku/>
              <w:wordWrap/>
              <w:overflowPunct/>
              <w:topLinePunct w:val="0"/>
              <w:autoSpaceDE/>
              <w:autoSpaceDN/>
              <w:bidi w:val="0"/>
              <w:adjustRightInd/>
              <w:snapToGrid/>
              <w:spacing w:line="360" w:lineRule="auto"/>
              <w:ind w:firstLine="880" w:firstLineChars="400"/>
              <w:textAlignment w:val="auto"/>
              <w:rPr>
                <w:rFonts w:hint="eastAsia"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Eso</w:t>
            </w:r>
            <w:r>
              <w:rPr>
                <w:rFonts w:hint="eastAsia" w:ascii="宋体" w:hAnsi="宋体" w:eastAsia="宋体" w:cs="宋体"/>
                <w:bCs/>
                <w:color w:val="auto"/>
                <w:spacing w:val="-10"/>
                <w:sz w:val="24"/>
                <w:szCs w:val="24"/>
                <w:vertAlign w:val="subscript"/>
                <w:lang w:val="en-US" w:eastAsia="zh-CN"/>
              </w:rPr>
              <w:t>2</w:t>
            </w:r>
            <w:r>
              <w:rPr>
                <w:rFonts w:hint="eastAsia" w:ascii="宋体" w:hAnsi="宋体" w:eastAsia="宋体" w:cs="宋体"/>
                <w:bCs/>
                <w:color w:val="auto"/>
                <w:spacing w:val="-10"/>
                <w:sz w:val="24"/>
                <w:szCs w:val="24"/>
                <w:lang w:val="en-US" w:eastAsia="zh-CN"/>
              </w:rPr>
              <w:t>——核算时段内二氧化硫排放量，t/a；</w:t>
            </w:r>
          </w:p>
          <w:p w14:paraId="180F6AEE">
            <w:pPr>
              <w:keepNext w:val="0"/>
              <w:keepLines w:val="0"/>
              <w:pageBreakBefore w:val="0"/>
              <w:widowControl w:val="0"/>
              <w:kinsoku/>
              <w:wordWrap/>
              <w:overflowPunct/>
              <w:topLinePunct w:val="0"/>
              <w:autoSpaceDE/>
              <w:autoSpaceDN/>
              <w:bidi w:val="0"/>
              <w:adjustRightInd/>
              <w:snapToGrid/>
              <w:spacing w:line="360" w:lineRule="auto"/>
              <w:ind w:firstLine="880" w:firstLineChars="400"/>
              <w:textAlignment w:val="auto"/>
              <w:rPr>
                <w:rFonts w:hint="eastAsia"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R——核算时段内锅炉燃料耗</w:t>
            </w:r>
            <w:r>
              <w:rPr>
                <w:rFonts w:hint="eastAsia" w:ascii="宋体" w:hAnsi="宋体" w:eastAsia="宋体" w:cs="宋体"/>
                <w:bCs/>
                <w:color w:val="auto"/>
                <w:spacing w:val="-10"/>
                <w:sz w:val="24"/>
                <w:szCs w:val="24"/>
                <w:highlight w:val="none"/>
                <w:lang w:val="en-US" w:eastAsia="zh-CN"/>
              </w:rPr>
              <w:t>量，万m</w:t>
            </w:r>
            <w:r>
              <w:rPr>
                <w:rFonts w:hint="eastAsia" w:ascii="宋体" w:hAnsi="宋体" w:eastAsia="宋体" w:cs="宋体"/>
                <w:bCs/>
                <w:color w:val="auto"/>
                <w:spacing w:val="-10"/>
                <w:sz w:val="24"/>
                <w:szCs w:val="24"/>
                <w:highlight w:val="none"/>
                <w:vertAlign w:val="superscript"/>
                <w:lang w:val="en-US" w:eastAsia="zh-CN"/>
              </w:rPr>
              <w:t>3</w:t>
            </w:r>
            <w:r>
              <w:rPr>
                <w:rFonts w:hint="eastAsia" w:ascii="宋体" w:hAnsi="宋体" w:eastAsia="宋体" w:cs="宋体"/>
                <w:bCs/>
                <w:color w:val="auto"/>
                <w:spacing w:val="-10"/>
                <w:sz w:val="24"/>
                <w:szCs w:val="24"/>
                <w:highlight w:val="none"/>
                <w:lang w:val="en-US" w:eastAsia="zh-CN"/>
              </w:rPr>
              <w:t>/a；</w:t>
            </w:r>
          </w:p>
          <w:p w14:paraId="35A693D7">
            <w:pPr>
              <w:keepNext w:val="0"/>
              <w:keepLines w:val="0"/>
              <w:pageBreakBefore w:val="0"/>
              <w:widowControl w:val="0"/>
              <w:kinsoku/>
              <w:wordWrap/>
              <w:overflowPunct/>
              <w:topLinePunct w:val="0"/>
              <w:autoSpaceDE/>
              <w:autoSpaceDN/>
              <w:bidi w:val="0"/>
              <w:adjustRightInd/>
              <w:snapToGrid/>
              <w:spacing w:line="360" w:lineRule="auto"/>
              <w:ind w:firstLine="880" w:firstLineChars="400"/>
              <w:textAlignment w:val="auto"/>
              <w:rPr>
                <w:rFonts w:hint="eastAsia"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St——根据四平市企业天然气锅炉验收监测存在少量二氧化硫污染物。参考《天然气》(GB 17820—2018)，一类气≤20mg/m</w:t>
            </w:r>
            <w:r>
              <w:rPr>
                <w:rFonts w:hint="eastAsia" w:ascii="宋体" w:hAnsi="宋体" w:eastAsia="宋体" w:cs="宋体"/>
                <w:bCs/>
                <w:color w:val="auto"/>
                <w:spacing w:val="-10"/>
                <w:sz w:val="24"/>
                <w:szCs w:val="24"/>
                <w:vertAlign w:val="superscript"/>
                <w:lang w:val="en-US" w:eastAsia="zh-CN"/>
              </w:rPr>
              <w:t>3</w:t>
            </w:r>
            <w:r>
              <w:rPr>
                <w:rFonts w:hint="eastAsia" w:ascii="宋体" w:hAnsi="宋体" w:eastAsia="宋体" w:cs="宋体"/>
                <w:bCs/>
                <w:color w:val="auto"/>
                <w:spacing w:val="-10"/>
                <w:sz w:val="24"/>
                <w:szCs w:val="24"/>
                <w:lang w:val="en-US" w:eastAsia="zh-CN"/>
              </w:rPr>
              <w:t>、二类气S≤100mg/m</w:t>
            </w:r>
            <w:r>
              <w:rPr>
                <w:rFonts w:hint="eastAsia" w:ascii="宋体" w:hAnsi="宋体" w:eastAsia="宋体" w:cs="宋体"/>
                <w:bCs/>
                <w:color w:val="auto"/>
                <w:spacing w:val="-10"/>
                <w:sz w:val="24"/>
                <w:szCs w:val="24"/>
                <w:vertAlign w:val="superscript"/>
                <w:lang w:val="en-US" w:eastAsia="zh-CN"/>
              </w:rPr>
              <w:t>3</w:t>
            </w:r>
            <w:r>
              <w:rPr>
                <w:rFonts w:hint="eastAsia" w:ascii="宋体" w:hAnsi="宋体" w:eastAsia="宋体" w:cs="宋体"/>
                <w:bCs/>
                <w:color w:val="auto"/>
                <w:spacing w:val="-10"/>
                <w:sz w:val="24"/>
                <w:szCs w:val="24"/>
                <w:lang w:val="en-US" w:eastAsia="zh-CN"/>
              </w:rPr>
              <w:t>。保守起见选燃料总硫的质量浓度100mg/m</w:t>
            </w:r>
            <w:r>
              <w:rPr>
                <w:rFonts w:hint="eastAsia" w:ascii="宋体" w:hAnsi="宋体" w:eastAsia="宋体" w:cs="宋体"/>
                <w:bCs/>
                <w:color w:val="auto"/>
                <w:spacing w:val="-10"/>
                <w:sz w:val="24"/>
                <w:szCs w:val="24"/>
                <w:vertAlign w:val="superscript"/>
                <w:lang w:val="en-US" w:eastAsia="zh-CN"/>
              </w:rPr>
              <w:t>3</w:t>
            </w:r>
            <w:r>
              <w:rPr>
                <w:rFonts w:hint="eastAsia" w:ascii="宋体" w:hAnsi="宋体" w:eastAsia="宋体" w:cs="宋体"/>
                <w:bCs/>
                <w:color w:val="auto"/>
                <w:spacing w:val="-10"/>
                <w:sz w:val="24"/>
                <w:szCs w:val="24"/>
                <w:lang w:val="en-US" w:eastAsia="zh-CN"/>
              </w:rPr>
              <w:t>；</w:t>
            </w:r>
          </w:p>
          <w:p w14:paraId="12446FE0">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η——脱硫效率，0%；</w:t>
            </w:r>
          </w:p>
          <w:p w14:paraId="22A2E783">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K——燃料中的硫燃烧后氧化成二氧化硫的份额，K=1.0。</w:t>
            </w:r>
          </w:p>
          <w:p w14:paraId="66D77663">
            <w:pPr>
              <w:keepNext w:val="0"/>
              <w:keepLines w:val="0"/>
              <w:pageBreakBefore w:val="0"/>
              <w:widowControl w:val="0"/>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经计算，</w:t>
            </w:r>
            <w:r>
              <w:rPr>
                <w:rFonts w:hint="eastAsia" w:ascii="宋体" w:hAnsi="宋体" w:eastAsia="宋体" w:cs="宋体"/>
                <w:bCs/>
                <w:color w:val="auto"/>
                <w:spacing w:val="-10"/>
                <w:sz w:val="24"/>
                <w:szCs w:val="24"/>
                <w:highlight w:val="none"/>
                <w:lang w:val="en-US" w:eastAsia="zh-CN"/>
              </w:rPr>
              <w:t>Eso</w:t>
            </w:r>
            <w:r>
              <w:rPr>
                <w:rFonts w:hint="eastAsia" w:ascii="宋体" w:hAnsi="宋体" w:eastAsia="宋体" w:cs="宋体"/>
                <w:bCs/>
                <w:color w:val="auto"/>
                <w:spacing w:val="-10"/>
                <w:sz w:val="24"/>
                <w:szCs w:val="24"/>
                <w:highlight w:val="none"/>
                <w:vertAlign w:val="subscript"/>
                <w:lang w:val="en-US" w:eastAsia="zh-CN"/>
              </w:rPr>
              <w:t>2</w:t>
            </w:r>
            <w:r>
              <w:rPr>
                <w:rFonts w:hint="eastAsia" w:ascii="宋体" w:hAnsi="宋体" w:eastAsia="宋体" w:cs="宋体"/>
                <w:bCs/>
                <w:color w:val="auto"/>
                <w:spacing w:val="-10"/>
                <w:sz w:val="24"/>
                <w:szCs w:val="24"/>
                <w:lang w:val="en-US" w:eastAsia="zh-CN"/>
              </w:rPr>
              <w:t>=0.04t/a。</w:t>
            </w:r>
          </w:p>
          <w:p w14:paraId="659B9CE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firstLine="720" w:firstLineChars="3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b氮氧化物</w:t>
            </w:r>
          </w:p>
          <w:p w14:paraId="5DBFD0C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jc w:val="center"/>
              <w:textAlignment w:val="auto"/>
              <w:outlineLvl w:val="9"/>
              <w:rPr>
                <w:color w:val="auto"/>
                <w:highlight w:val="none"/>
              </w:rPr>
            </w:pPr>
            <w:r>
              <w:rPr>
                <w:color w:val="auto"/>
                <w:highlight w:val="none"/>
              </w:rPr>
              <w:drawing>
                <wp:inline distT="0" distB="0" distL="114300" distR="114300">
                  <wp:extent cx="2009775" cy="460375"/>
                  <wp:effectExtent l="0" t="0" r="9525" b="9525"/>
                  <wp:docPr id="6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
                          <pic:cNvPicPr>
                            <a:picLocks noChangeAspect="1"/>
                          </pic:cNvPicPr>
                        </pic:nvPicPr>
                        <pic:blipFill>
                          <a:blip r:embed="rId19"/>
                          <a:stretch>
                            <a:fillRect/>
                          </a:stretch>
                        </pic:blipFill>
                        <pic:spPr>
                          <a:xfrm>
                            <a:off x="0" y="0"/>
                            <a:ext cx="2009775" cy="460375"/>
                          </a:xfrm>
                          <a:prstGeom prst="rect">
                            <a:avLst/>
                          </a:prstGeom>
                          <a:noFill/>
                          <a:ln>
                            <a:noFill/>
                          </a:ln>
                        </pic:spPr>
                      </pic:pic>
                    </a:graphicData>
                  </a:graphic>
                </wp:inline>
              </w:drawing>
            </w:r>
          </w:p>
          <w:p w14:paraId="6702950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Times New Roman" w:hAnsi="Times New Roman" w:eastAsia="Calibri" w:cs="Times New Roman"/>
                <w:b w:val="0"/>
                <w:color w:val="auto"/>
                <w:kern w:val="0"/>
                <w:sz w:val="24"/>
                <w:szCs w:val="22"/>
                <w:highlight w:val="none"/>
                <w:u w:val="none"/>
                <w:lang w:val="en-US" w:eastAsia="zh-CN" w:bidi="ar-SA"/>
              </w:rPr>
            </w:pPr>
            <w:r>
              <w:rPr>
                <w:rFonts w:hint="eastAsia" w:ascii="Times New Roman" w:hAnsi="Times New Roman"/>
                <w:color w:val="auto"/>
                <w:sz w:val="24"/>
                <w:highlight w:val="none"/>
                <w:lang w:val="en-US" w:eastAsia="zh-CN"/>
              </w:rPr>
              <w:t>式中：</w:t>
            </w:r>
            <w:r>
              <w:rPr>
                <w:rFonts w:hint="eastAsia" w:ascii="Times New Roman" w:hAnsi="Times New Roman" w:eastAsia="Calibri" w:cs="Times New Roman"/>
                <w:b w:val="0"/>
                <w:color w:val="auto"/>
                <w:kern w:val="0"/>
                <w:sz w:val="24"/>
                <w:szCs w:val="22"/>
                <w:highlight w:val="none"/>
                <w:u w:val="none"/>
                <w:lang w:val="en-US" w:eastAsia="zh-CN" w:bidi="ar-SA"/>
              </w:rPr>
              <w:t>Ej——核算时段内第j种污染物排放量，t；</w:t>
            </w:r>
          </w:p>
          <w:p w14:paraId="4081DF28">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Times New Roman" w:hAnsi="Times New Roman" w:eastAsia="Calibri" w:cs="Times New Roman"/>
                <w:b w:val="0"/>
                <w:color w:val="auto"/>
                <w:kern w:val="0"/>
                <w:sz w:val="24"/>
                <w:szCs w:val="22"/>
                <w:highlight w:val="none"/>
                <w:u w:val="none"/>
                <w:lang w:val="en-US" w:eastAsia="zh-CN" w:bidi="ar-SA"/>
              </w:rPr>
            </w:pPr>
            <w:r>
              <w:rPr>
                <w:rFonts w:hint="eastAsia" w:ascii="Times New Roman" w:hAnsi="Times New Roman" w:eastAsia="Calibri" w:cs="Times New Roman"/>
                <w:b w:val="0"/>
                <w:color w:val="auto"/>
                <w:kern w:val="0"/>
                <w:sz w:val="24"/>
                <w:szCs w:val="22"/>
                <w:highlight w:val="none"/>
                <w:u w:val="none"/>
                <w:lang w:val="en-US" w:eastAsia="zh-CN" w:bidi="ar-SA"/>
              </w:rPr>
              <w:t xml:space="preserve">      R——核算时段内燃料耗量，t或万m</w:t>
            </w:r>
            <w:r>
              <w:rPr>
                <w:rFonts w:hint="eastAsia" w:ascii="Times New Roman" w:hAnsi="Times New Roman" w:eastAsia="Calibri" w:cs="Times New Roman"/>
                <w:b w:val="0"/>
                <w:color w:val="auto"/>
                <w:kern w:val="0"/>
                <w:sz w:val="24"/>
                <w:szCs w:val="22"/>
                <w:highlight w:val="none"/>
                <w:u w:val="none"/>
                <w:vertAlign w:val="superscript"/>
                <w:lang w:val="en-US" w:eastAsia="zh-CN" w:bidi="ar-SA"/>
              </w:rPr>
              <w:t>3</w:t>
            </w:r>
            <w:r>
              <w:rPr>
                <w:rFonts w:hint="eastAsia" w:ascii="Times New Roman" w:hAnsi="Times New Roman" w:eastAsia="Calibri" w:cs="Times New Roman"/>
                <w:b w:val="0"/>
                <w:color w:val="auto"/>
                <w:kern w:val="0"/>
                <w:sz w:val="24"/>
                <w:szCs w:val="22"/>
                <w:highlight w:val="none"/>
                <w:u w:val="none"/>
                <w:lang w:val="en-US" w:eastAsia="zh-CN" w:bidi="ar-SA"/>
              </w:rPr>
              <w:t>；</w:t>
            </w:r>
          </w:p>
          <w:p w14:paraId="61B78A6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Times New Roman" w:hAnsi="Times New Roman" w:eastAsia="Calibri" w:cs="Times New Roman"/>
                <w:b w:val="0"/>
                <w:color w:val="auto"/>
                <w:kern w:val="0"/>
                <w:sz w:val="24"/>
                <w:szCs w:val="22"/>
                <w:highlight w:val="none"/>
                <w:u w:val="none"/>
                <w:lang w:val="en-US" w:eastAsia="zh-CN" w:bidi="ar-SA"/>
              </w:rPr>
            </w:pPr>
            <w:r>
              <w:rPr>
                <w:rFonts w:hint="eastAsia" w:ascii="Times New Roman" w:hAnsi="Times New Roman" w:eastAsia="Calibri" w:cs="Times New Roman"/>
                <w:b w:val="0"/>
                <w:color w:val="auto"/>
                <w:kern w:val="0"/>
                <w:sz w:val="24"/>
                <w:szCs w:val="22"/>
                <w:highlight w:val="none"/>
                <w:u w:val="none"/>
                <w:lang w:val="en-US" w:eastAsia="zh-CN" w:bidi="ar-SA"/>
              </w:rPr>
              <w:t xml:space="preserve">      β</w:t>
            </w:r>
            <w:r>
              <w:rPr>
                <w:rFonts w:hint="eastAsia" w:ascii="Times New Roman" w:hAnsi="Times New Roman" w:eastAsia="Calibri" w:cs="Times New Roman"/>
                <w:b w:val="0"/>
                <w:color w:val="auto"/>
                <w:kern w:val="0"/>
                <w:sz w:val="24"/>
                <w:szCs w:val="22"/>
                <w:highlight w:val="none"/>
                <w:u w:val="none"/>
                <w:vertAlign w:val="subscript"/>
                <w:lang w:val="en-US" w:eastAsia="zh-CN" w:bidi="ar-SA"/>
              </w:rPr>
              <w:t>j</w:t>
            </w:r>
            <w:r>
              <w:rPr>
                <w:rFonts w:hint="eastAsia" w:ascii="Times New Roman" w:hAnsi="Times New Roman" w:eastAsia="Calibri" w:cs="Times New Roman"/>
                <w:b w:val="0"/>
                <w:color w:val="auto"/>
                <w:kern w:val="0"/>
                <w:sz w:val="24"/>
                <w:szCs w:val="22"/>
                <w:highlight w:val="none"/>
                <w:u w:val="none"/>
                <w:lang w:val="en-US" w:eastAsia="zh-CN" w:bidi="ar-SA"/>
              </w:rPr>
              <w:t>——产物系数，kg/t或kg/万m</w:t>
            </w:r>
            <w:r>
              <w:rPr>
                <w:rFonts w:hint="eastAsia" w:ascii="Times New Roman" w:hAnsi="Times New Roman" w:eastAsia="Calibri" w:cs="Times New Roman"/>
                <w:b w:val="0"/>
                <w:color w:val="auto"/>
                <w:kern w:val="0"/>
                <w:sz w:val="24"/>
                <w:szCs w:val="22"/>
                <w:highlight w:val="none"/>
                <w:u w:val="none"/>
                <w:vertAlign w:val="superscript"/>
                <w:lang w:val="en-US" w:eastAsia="zh-CN" w:bidi="ar-SA"/>
              </w:rPr>
              <w:t>3</w:t>
            </w:r>
            <w:r>
              <w:rPr>
                <w:rFonts w:hint="eastAsia" w:ascii="Times New Roman" w:hAnsi="Times New Roman" w:eastAsia="Calibri" w:cs="Times New Roman"/>
                <w:b w:val="0"/>
                <w:color w:val="auto"/>
                <w:kern w:val="0"/>
                <w:sz w:val="24"/>
                <w:szCs w:val="22"/>
                <w:highlight w:val="none"/>
                <w:u w:val="none"/>
                <w:lang w:val="en-US" w:eastAsia="zh-CN" w:bidi="ar-SA"/>
              </w:rPr>
              <w:t>，参见全国污染源普查工业污染源普查数据（新版本为准）和HJ953；</w:t>
            </w:r>
          </w:p>
          <w:p w14:paraId="0D8FC1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Calibri" w:cs="Times New Roman"/>
                <w:b w:val="0"/>
                <w:color w:val="auto"/>
                <w:kern w:val="0"/>
                <w:sz w:val="24"/>
                <w:szCs w:val="22"/>
                <w:highlight w:val="none"/>
                <w:u w:val="none"/>
                <w:lang w:val="en-US" w:eastAsia="zh-CN" w:bidi="ar-SA"/>
              </w:rPr>
            </w:pPr>
            <w:r>
              <w:rPr>
                <w:rFonts w:hint="eastAsia" w:ascii="Times New Roman" w:hAnsi="Times New Roman" w:eastAsia="Calibri" w:cs="Times New Roman"/>
                <w:b w:val="0"/>
                <w:color w:val="auto"/>
                <w:kern w:val="0"/>
                <w:sz w:val="24"/>
                <w:szCs w:val="22"/>
                <w:highlight w:val="none"/>
                <w:u w:val="none"/>
                <w:lang w:val="en-US" w:eastAsia="zh-CN" w:bidi="ar-SA"/>
              </w:rPr>
              <w:t>根据《全国污染源普查系数手册》(2019)，氮氧化物和颗粒物的排放系数如下：</w:t>
            </w:r>
          </w:p>
          <w:p w14:paraId="7D592B2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1"/>
              <w:rPr>
                <w:color w:val="auto"/>
                <w:highlight w:val="none"/>
              </w:rPr>
            </w:pPr>
            <w:r>
              <w:rPr>
                <w:color w:val="auto"/>
                <w:highlight w:val="none"/>
              </w:rPr>
              <w:drawing>
                <wp:inline distT="0" distB="0" distL="114300" distR="114300">
                  <wp:extent cx="5132705" cy="919480"/>
                  <wp:effectExtent l="0" t="0" r="10795" b="7620"/>
                  <wp:docPr id="6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
                          <pic:cNvPicPr>
                            <a:picLocks noChangeAspect="1"/>
                          </pic:cNvPicPr>
                        </pic:nvPicPr>
                        <pic:blipFill>
                          <a:blip r:embed="rId20"/>
                          <a:srcRect t="15372"/>
                          <a:stretch>
                            <a:fillRect/>
                          </a:stretch>
                        </pic:blipFill>
                        <pic:spPr>
                          <a:xfrm>
                            <a:off x="0" y="0"/>
                            <a:ext cx="5132705" cy="919480"/>
                          </a:xfrm>
                          <a:prstGeom prst="rect">
                            <a:avLst/>
                          </a:prstGeom>
                          <a:noFill/>
                          <a:ln>
                            <a:noFill/>
                          </a:ln>
                        </pic:spPr>
                      </pic:pic>
                    </a:graphicData>
                  </a:graphic>
                </wp:inline>
              </w:drawing>
            </w:r>
          </w:p>
          <w:p w14:paraId="3290E1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锅炉均采用低氮冷凝燃烧技术，故氮氧化物产排系数取9.36。</w:t>
            </w:r>
          </w:p>
          <w:p w14:paraId="3C08C90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jc w:val="both"/>
              <w:textAlignment w:val="auto"/>
              <w:outlineLvl w:val="9"/>
              <w:rPr>
                <w:rFonts w:hint="eastAsia" w:ascii="宋体" w:hAnsi="宋体" w:eastAsia="宋体" w:cs="宋体"/>
                <w:bCs/>
                <w:color w:val="auto"/>
                <w:spacing w:val="-10"/>
                <w:sz w:val="24"/>
                <w:szCs w:val="24"/>
                <w:highlight w:val="none"/>
                <w:lang w:val="en-US" w:eastAsia="zh-CN"/>
              </w:rPr>
            </w:pPr>
            <w:r>
              <w:rPr>
                <w:rFonts w:hint="default" w:ascii="Times New Roman" w:hAnsi="Times New Roman" w:eastAsia="宋体" w:cs="Times New Roman"/>
                <w:i/>
                <w:iCs/>
                <w:color w:val="auto"/>
                <w:sz w:val="24"/>
                <w:highlight w:val="none"/>
                <w:lang w:val="en-US" w:eastAsia="zh-CN"/>
              </w:rPr>
              <w:t>η</w:t>
            </w:r>
            <w:r>
              <w:rPr>
                <w:rFonts w:hint="default" w:ascii="Times New Roman" w:hAnsi="Times New Roman" w:eastAsia="宋体" w:cs="Times New Roman"/>
                <w:color w:val="auto"/>
                <w:sz w:val="24"/>
                <w:highlight w:val="none"/>
                <w:lang w:val="en-US" w:eastAsia="zh-CN"/>
              </w:rPr>
              <w:t>——污染物的去除效率，%。由于排放系数中已考虑低氮燃烧技术的脱硝效率，</w:t>
            </w:r>
            <w:r>
              <w:rPr>
                <w:rFonts w:hint="default" w:ascii="Times New Roman" w:hAnsi="Times New Roman" w:eastAsia="宋体" w:cs="Times New Roman"/>
                <w:i/>
                <w:iCs/>
                <w:color w:val="auto"/>
                <w:sz w:val="24"/>
                <w:highlight w:val="none"/>
                <w:lang w:val="en-US" w:eastAsia="zh-CN"/>
              </w:rPr>
              <w:t>η取0，</w:t>
            </w:r>
            <w:r>
              <w:rPr>
                <w:rFonts w:hint="default" w:ascii="Times New Roman" w:hAnsi="Times New Roman" w:eastAsia="宋体" w:cs="Times New Roman"/>
                <w:bCs/>
                <w:color w:val="auto"/>
                <w:spacing w:val="-10"/>
                <w:sz w:val="24"/>
                <w:szCs w:val="24"/>
                <w:lang w:val="en-US" w:eastAsia="zh-CN"/>
              </w:rPr>
              <w:t>经计算，ENOx=</w:t>
            </w:r>
            <w:r>
              <w:rPr>
                <w:rFonts w:hint="eastAsia" w:ascii="Times New Roman" w:hAnsi="Times New Roman" w:eastAsia="宋体" w:cs="Times New Roman"/>
                <w:bCs/>
                <w:color w:val="auto"/>
                <w:spacing w:val="-10"/>
                <w:sz w:val="24"/>
                <w:szCs w:val="24"/>
                <w:lang w:val="en-US" w:eastAsia="zh-CN"/>
              </w:rPr>
              <w:t>0.18</w:t>
            </w:r>
            <w:r>
              <w:rPr>
                <w:rFonts w:hint="default" w:ascii="Times New Roman" w:hAnsi="Times New Roman" w:eastAsia="宋体" w:cs="Times New Roman"/>
                <w:bCs/>
                <w:color w:val="auto"/>
                <w:spacing w:val="-10"/>
                <w:sz w:val="24"/>
                <w:szCs w:val="24"/>
                <w:lang w:val="en-US" w:eastAsia="zh-CN"/>
              </w:rPr>
              <w:t>t/a</w:t>
            </w:r>
            <w:r>
              <w:rPr>
                <w:rFonts w:hint="default" w:ascii="Times New Roman" w:hAnsi="Times New Roman" w:eastAsia="宋体" w:cs="Times New Roman"/>
                <w:bCs/>
                <w:color w:val="auto"/>
                <w:spacing w:val="-10"/>
                <w:sz w:val="24"/>
                <w:szCs w:val="24"/>
                <w:highlight w:val="none"/>
                <w:lang w:val="en-US" w:eastAsia="zh-CN"/>
              </w:rPr>
              <w:t>。</w:t>
            </w:r>
            <w:r>
              <w:rPr>
                <w:rFonts w:hint="eastAsia" w:ascii="宋体" w:hAnsi="宋体" w:eastAsia="宋体" w:cs="宋体"/>
                <w:bCs/>
                <w:color w:val="auto"/>
                <w:spacing w:val="-10"/>
                <w:sz w:val="24"/>
                <w:szCs w:val="24"/>
                <w:highlight w:val="none"/>
                <w:lang w:val="en-US" w:eastAsia="zh-CN"/>
              </w:rPr>
              <w:t>颗粒物采用燃气烘干炉保证浓度值</w:t>
            </w:r>
            <w:r>
              <w:rPr>
                <w:rFonts w:hint="eastAsia" w:ascii="宋体" w:hAnsi="宋体" w:eastAsia="宋体" w:cs="宋体"/>
                <w:bCs/>
                <w:color w:val="auto"/>
                <w:spacing w:val="-10"/>
                <w:szCs w:val="21"/>
                <w:highlight w:val="none"/>
                <w:lang w:val="en-US" w:eastAsia="zh-CN"/>
              </w:rPr>
              <w:t>30mg/m</w:t>
            </w:r>
            <w:r>
              <w:rPr>
                <w:rFonts w:hint="eastAsia" w:ascii="宋体" w:hAnsi="宋体" w:eastAsia="宋体" w:cs="宋体"/>
                <w:bCs/>
                <w:color w:val="auto"/>
                <w:spacing w:val="-10"/>
                <w:szCs w:val="21"/>
                <w:highlight w:val="none"/>
                <w:vertAlign w:val="superscript"/>
                <w:lang w:val="en-US" w:eastAsia="zh-CN"/>
              </w:rPr>
              <w:t>3</w:t>
            </w:r>
            <w:r>
              <w:rPr>
                <w:rFonts w:hint="eastAsia" w:ascii="宋体" w:hAnsi="宋体" w:eastAsia="宋体" w:cs="宋体"/>
                <w:bCs/>
                <w:color w:val="auto"/>
                <w:spacing w:val="-10"/>
                <w:szCs w:val="21"/>
                <w:highlight w:val="none"/>
                <w:lang w:val="en-US" w:eastAsia="zh-CN"/>
              </w:rPr>
              <w:t>；</w:t>
            </w:r>
            <w:r>
              <w:rPr>
                <w:rFonts w:hint="eastAsia" w:ascii="宋体" w:hAnsi="宋体" w:eastAsia="宋体" w:cs="宋体"/>
                <w:bCs/>
                <w:color w:val="auto"/>
                <w:spacing w:val="-10"/>
                <w:sz w:val="24"/>
                <w:szCs w:val="24"/>
                <w:highlight w:val="none"/>
                <w:lang w:val="en-US" w:eastAsia="zh-CN"/>
              </w:rPr>
              <w:t>排放量为Ej=0.06t/a。</w:t>
            </w:r>
          </w:p>
          <w:p w14:paraId="44B33C89">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9"/>
              <w:rPr>
                <w:rFonts w:hint="eastAsia" w:ascii="宋体" w:hAnsi="宋体" w:eastAsia="宋体" w:cs="宋体"/>
                <w:bCs/>
                <w:color w:val="auto"/>
                <w:spacing w:val="-10"/>
                <w:sz w:val="24"/>
                <w:szCs w:val="24"/>
                <w:highlight w:val="none"/>
                <w:lang w:val="en-US" w:eastAsia="zh-CN"/>
              </w:rPr>
            </w:pPr>
          </w:p>
        </w:tc>
      </w:tr>
      <w:tr w14:paraId="1407C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63" w:hRule="atLeast"/>
          <w:jc w:val="center"/>
        </w:trPr>
        <w:tc>
          <w:tcPr>
            <w:tcW w:w="746" w:type="dxa"/>
            <w:noWrap w:val="0"/>
            <w:tcMar>
              <w:left w:w="28" w:type="dxa"/>
              <w:right w:w="28" w:type="dxa"/>
            </w:tcMar>
            <w:vAlign w:val="center"/>
          </w:tcPr>
          <w:p w14:paraId="35B597AC">
            <w:pPr>
              <w:adjustRightInd w:val="0"/>
              <w:snapToGrid w:val="0"/>
              <w:jc w:val="center"/>
              <w:rPr>
                <w:rFonts w:hint="eastAsia" w:ascii="宋体" w:hAnsi="宋体" w:cs="宋体"/>
                <w:bCs/>
                <w:szCs w:val="21"/>
              </w:rPr>
            </w:pPr>
          </w:p>
        </w:tc>
        <w:tc>
          <w:tcPr>
            <w:tcW w:w="8299" w:type="dxa"/>
            <w:noWrap w:val="0"/>
            <w:vAlign w:val="center"/>
          </w:tcPr>
          <w:p w14:paraId="0B138964">
            <w:pPr>
              <w:pStyle w:val="5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pacing w:val="6"/>
                <w:sz w:val="24"/>
                <w:szCs w:val="24"/>
              </w:rPr>
              <w:t>（2）无组织废气</w:t>
            </w:r>
          </w:p>
          <w:p w14:paraId="407ED950">
            <w:pPr>
              <w:pStyle w:val="52"/>
              <w:keepNext w:val="0"/>
              <w:keepLines w:val="0"/>
              <w:pageBreakBefore w:val="0"/>
              <w:widowControl w:val="0"/>
              <w:kinsoku/>
              <w:wordWrap/>
              <w:overflowPunct/>
              <w:topLinePunct w:val="0"/>
              <w:autoSpaceDE/>
              <w:autoSpaceDN/>
              <w:bidi w:val="0"/>
              <w:adjustRightInd/>
              <w:snapToGrid/>
              <w:spacing w:line="360" w:lineRule="auto"/>
              <w:ind w:left="505"/>
              <w:textAlignment w:val="auto"/>
              <w:rPr>
                <w:rFonts w:hint="eastAsia" w:ascii="宋体" w:hAnsi="宋体" w:eastAsia="宋体" w:cs="宋体"/>
                <w:b/>
                <w:bCs/>
                <w:spacing w:val="7"/>
                <w:sz w:val="24"/>
                <w:szCs w:val="24"/>
              </w:rPr>
            </w:pPr>
            <w:r>
              <w:rPr>
                <w:rFonts w:hint="eastAsia" w:ascii="宋体" w:hAnsi="宋体" w:eastAsia="宋体" w:cs="宋体"/>
                <w:b/>
                <w:bCs/>
                <w:spacing w:val="7"/>
                <w:sz w:val="24"/>
                <w:szCs w:val="24"/>
              </w:rPr>
              <w:t>①插层釜投料产生的粉尘</w:t>
            </w:r>
          </w:p>
          <w:p w14:paraId="1965191E">
            <w:pPr>
              <w:pStyle w:val="52"/>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sz w:val="24"/>
                <w:szCs w:val="24"/>
              </w:rPr>
            </w:pPr>
            <w:r>
              <w:rPr>
                <w:rFonts w:hint="eastAsia" w:ascii="宋体" w:hAnsi="宋体" w:eastAsia="宋体" w:cs="宋体"/>
                <w:b w:val="0"/>
                <w:bCs w:val="0"/>
                <w:spacing w:val="2"/>
                <w:sz w:val="24"/>
                <w:szCs w:val="24"/>
              </w:rPr>
              <w:t>石墨粉尘产生量为</w:t>
            </w:r>
            <w:r>
              <w:rPr>
                <w:rFonts w:hint="eastAsia" w:ascii="宋体" w:hAnsi="宋体" w:eastAsia="宋体" w:cs="宋体"/>
                <w:b w:val="0"/>
                <w:bCs w:val="0"/>
                <w:spacing w:val="2"/>
                <w:sz w:val="24"/>
                <w:szCs w:val="24"/>
                <w:lang w:val="en-US" w:eastAsia="zh-CN"/>
              </w:rPr>
              <w:t>0.045</w:t>
            </w:r>
            <w:r>
              <w:rPr>
                <w:rFonts w:hint="eastAsia" w:ascii="宋体" w:hAnsi="宋体" w:eastAsia="宋体" w:cs="宋体"/>
                <w:b w:val="0"/>
                <w:bCs w:val="0"/>
                <w:spacing w:val="2"/>
                <w:sz w:val="24"/>
                <w:szCs w:val="24"/>
              </w:rPr>
              <w:t>t/a</w:t>
            </w:r>
            <w:r>
              <w:rPr>
                <w:rFonts w:hint="eastAsia" w:ascii="宋体" w:hAnsi="宋体" w:eastAsia="宋体" w:cs="宋体"/>
                <w:b w:val="0"/>
                <w:bCs w:val="0"/>
                <w:spacing w:val="2"/>
                <w:sz w:val="24"/>
                <w:szCs w:val="24"/>
                <w:lang w:eastAsia="zh-CN"/>
              </w:rPr>
              <w:t>，</w:t>
            </w:r>
            <w:r>
              <w:rPr>
                <w:rFonts w:hint="eastAsia" w:ascii="宋体" w:hAnsi="宋体" w:eastAsia="宋体" w:cs="宋体"/>
                <w:spacing w:val="9"/>
                <w:sz w:val="24"/>
                <w:szCs w:val="24"/>
              </w:rPr>
              <w:t>石墨投料口上方设置集气罩，收尘效率按9</w:t>
            </w:r>
            <w:r>
              <w:rPr>
                <w:rFonts w:hint="eastAsia" w:ascii="宋体" w:hAnsi="宋体" w:eastAsia="宋体" w:cs="宋体"/>
                <w:spacing w:val="9"/>
                <w:sz w:val="24"/>
                <w:szCs w:val="24"/>
                <w:lang w:val="en-US" w:eastAsia="zh-CN"/>
              </w:rPr>
              <w:t>0</w:t>
            </w:r>
            <w:r>
              <w:rPr>
                <w:rFonts w:hint="eastAsia" w:ascii="宋体" w:hAnsi="宋体" w:eastAsia="宋体" w:cs="宋体"/>
                <w:spacing w:val="9"/>
                <w:sz w:val="24"/>
                <w:szCs w:val="24"/>
              </w:rPr>
              <w:t>%计，</w:t>
            </w:r>
            <w:r>
              <w:rPr>
                <w:rFonts w:hint="eastAsia" w:ascii="宋体" w:hAnsi="宋体" w:eastAsia="宋体" w:cs="宋体"/>
                <w:spacing w:val="6"/>
                <w:sz w:val="24"/>
                <w:szCs w:val="24"/>
              </w:rPr>
              <w:t>则粉尘以无组织形式排放量为</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0.</w:t>
            </w:r>
            <w:r>
              <w:rPr>
                <w:rFonts w:hint="eastAsia" w:ascii="宋体" w:hAnsi="宋体" w:eastAsia="宋体" w:cs="宋体"/>
                <w:spacing w:val="6"/>
                <w:sz w:val="24"/>
                <w:szCs w:val="24"/>
                <w:lang w:val="en-US" w:eastAsia="zh-CN"/>
              </w:rPr>
              <w:t>0045</w:t>
            </w:r>
            <w:r>
              <w:rPr>
                <w:rFonts w:hint="eastAsia" w:ascii="宋体" w:hAnsi="宋体" w:eastAsia="宋体" w:cs="宋体"/>
                <w:spacing w:val="6"/>
                <w:sz w:val="24"/>
                <w:szCs w:val="24"/>
              </w:rPr>
              <w:t>t/a0.0</w:t>
            </w:r>
            <w:r>
              <w:rPr>
                <w:rFonts w:hint="eastAsia" w:ascii="宋体" w:hAnsi="宋体" w:eastAsia="宋体" w:cs="宋体"/>
                <w:spacing w:val="6"/>
                <w:sz w:val="24"/>
                <w:szCs w:val="24"/>
                <w:lang w:val="en-US" w:eastAsia="zh-CN"/>
              </w:rPr>
              <w:t>15</w:t>
            </w:r>
            <w:r>
              <w:rPr>
                <w:rFonts w:hint="eastAsia" w:ascii="宋体" w:hAnsi="宋体" w:eastAsia="宋体" w:cs="宋体"/>
                <w:sz w:val="24"/>
                <w:szCs w:val="24"/>
              </w:rPr>
              <w:t>kg</w:t>
            </w:r>
            <w:r>
              <w:rPr>
                <w:rFonts w:hint="eastAsia" w:ascii="宋体" w:hAnsi="宋体" w:eastAsia="宋体" w:cs="宋体"/>
                <w:spacing w:val="6"/>
                <w:sz w:val="24"/>
                <w:szCs w:val="24"/>
              </w:rPr>
              <w:t>/h)。</w:t>
            </w:r>
          </w:p>
          <w:p w14:paraId="034E1D1F">
            <w:pPr>
              <w:pStyle w:val="52"/>
              <w:keepNext w:val="0"/>
              <w:keepLines w:val="0"/>
              <w:pageBreakBefore w:val="0"/>
              <w:widowControl w:val="0"/>
              <w:kinsoku/>
              <w:wordWrap/>
              <w:overflowPunct/>
              <w:topLinePunct w:val="0"/>
              <w:autoSpaceDE/>
              <w:autoSpaceDN/>
              <w:bidi w:val="0"/>
              <w:adjustRightInd/>
              <w:snapToGrid/>
              <w:spacing w:line="360" w:lineRule="auto"/>
              <w:ind w:left="530"/>
              <w:textAlignment w:val="auto"/>
              <w:rPr>
                <w:rFonts w:hint="eastAsia" w:ascii="宋体" w:hAnsi="宋体" w:eastAsia="宋体" w:cs="宋体"/>
                <w:b/>
                <w:bCs/>
                <w:spacing w:val="9"/>
                <w:sz w:val="24"/>
                <w:szCs w:val="24"/>
              </w:rPr>
            </w:pPr>
            <w:r>
              <w:rPr>
                <w:rFonts w:hint="eastAsia" w:ascii="宋体" w:hAnsi="宋体" w:eastAsia="宋体" w:cs="宋体"/>
                <w:b/>
                <w:bCs/>
                <w:spacing w:val="9"/>
                <w:sz w:val="24"/>
                <w:szCs w:val="24"/>
              </w:rPr>
              <w:t>②筛分工序产生的粉尘</w:t>
            </w:r>
          </w:p>
          <w:p w14:paraId="49FEBCE5">
            <w:pPr>
              <w:pStyle w:val="52"/>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z w:val="24"/>
                <w:szCs w:val="24"/>
              </w:rPr>
            </w:pPr>
            <w:r>
              <w:rPr>
                <w:rFonts w:hint="eastAsia" w:ascii="宋体" w:hAnsi="宋体" w:eastAsia="宋体" w:cs="宋体"/>
                <w:spacing w:val="10"/>
                <w:sz w:val="24"/>
                <w:szCs w:val="24"/>
              </w:rPr>
              <w:t>筛分设备上方设置集气罩，</w:t>
            </w:r>
            <w:r>
              <w:rPr>
                <w:rFonts w:hint="eastAsia" w:ascii="宋体" w:hAnsi="宋体" w:eastAsia="宋体" w:cs="宋体"/>
                <w:spacing w:val="7"/>
                <w:sz w:val="24"/>
                <w:szCs w:val="24"/>
              </w:rPr>
              <w:t>收尘效率按</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9</w:t>
            </w:r>
            <w:r>
              <w:rPr>
                <w:rFonts w:hint="eastAsia" w:ascii="宋体" w:hAnsi="宋体" w:eastAsia="宋体" w:cs="宋体"/>
                <w:spacing w:val="7"/>
                <w:sz w:val="24"/>
                <w:szCs w:val="24"/>
                <w:lang w:val="en-US" w:eastAsia="zh-CN"/>
              </w:rPr>
              <w:t>0</w:t>
            </w:r>
            <w:r>
              <w:rPr>
                <w:rFonts w:hint="eastAsia" w:ascii="宋体" w:hAnsi="宋体" w:eastAsia="宋体" w:cs="宋体"/>
                <w:spacing w:val="7"/>
                <w:sz w:val="24"/>
                <w:szCs w:val="24"/>
              </w:rPr>
              <w:t>%计，则粉尘以无组织形式排</w:t>
            </w:r>
            <w:r>
              <w:rPr>
                <w:rFonts w:hint="eastAsia" w:ascii="宋体" w:hAnsi="宋体" w:eastAsia="宋体" w:cs="宋体"/>
                <w:spacing w:val="6"/>
                <w:sz w:val="24"/>
                <w:szCs w:val="24"/>
              </w:rPr>
              <w:t>放量为</w:t>
            </w:r>
            <w:r>
              <w:rPr>
                <w:rFonts w:hint="eastAsia" w:ascii="宋体" w:hAnsi="宋体" w:eastAsia="宋体" w:cs="宋体"/>
                <w:spacing w:val="-36"/>
                <w:sz w:val="24"/>
                <w:szCs w:val="24"/>
                <w:lang w:val="en-US" w:eastAsia="zh-CN"/>
              </w:rPr>
              <w:t>0.97</w:t>
            </w:r>
            <w:r>
              <w:rPr>
                <w:rFonts w:hint="eastAsia" w:ascii="宋体" w:hAnsi="宋体" w:eastAsia="宋体" w:cs="宋体"/>
                <w:spacing w:val="6"/>
                <w:sz w:val="24"/>
                <w:szCs w:val="24"/>
              </w:rPr>
              <w:t>t/a,</w:t>
            </w:r>
            <w:r>
              <w:rPr>
                <w:rFonts w:hint="eastAsia" w:ascii="宋体" w:hAnsi="宋体" w:eastAsia="宋体" w:cs="宋体"/>
                <w:spacing w:val="7"/>
                <w:sz w:val="24"/>
                <w:szCs w:val="24"/>
              </w:rPr>
              <w:t>(</w:t>
            </w:r>
            <w:r>
              <w:rPr>
                <w:rFonts w:hint="eastAsia" w:ascii="宋体" w:hAnsi="宋体" w:eastAsia="宋体" w:cs="宋体"/>
                <w:spacing w:val="6"/>
                <w:sz w:val="24"/>
                <w:szCs w:val="24"/>
              </w:rPr>
              <w:t>0.</w:t>
            </w:r>
            <w:r>
              <w:rPr>
                <w:rFonts w:hint="eastAsia" w:ascii="宋体" w:hAnsi="宋体" w:eastAsia="宋体" w:cs="宋体"/>
                <w:spacing w:val="6"/>
                <w:sz w:val="24"/>
                <w:szCs w:val="24"/>
                <w:lang w:val="en-US" w:eastAsia="zh-CN"/>
              </w:rPr>
              <w:t>13</w:t>
            </w:r>
            <w:r>
              <w:rPr>
                <w:rFonts w:hint="eastAsia" w:ascii="宋体" w:hAnsi="宋体" w:eastAsia="宋体" w:cs="宋体"/>
                <w:sz w:val="24"/>
                <w:szCs w:val="24"/>
              </w:rPr>
              <w:t>kg</w:t>
            </w:r>
            <w:r>
              <w:rPr>
                <w:rFonts w:hint="eastAsia" w:ascii="宋体" w:hAnsi="宋体" w:eastAsia="宋体" w:cs="宋体"/>
                <w:spacing w:val="6"/>
                <w:sz w:val="24"/>
                <w:szCs w:val="24"/>
              </w:rPr>
              <w:t>/h)。</w:t>
            </w:r>
            <w:r>
              <w:rPr>
                <w:rFonts w:hint="eastAsia" w:ascii="宋体" w:hAnsi="宋体" w:eastAsia="宋体" w:cs="宋体"/>
                <w:sz w:val="24"/>
                <w:szCs w:val="24"/>
              </w:rPr>
              <w:t xml:space="preserve"> </w:t>
            </w:r>
          </w:p>
          <w:p w14:paraId="688FC59C">
            <w:pPr>
              <w:pStyle w:val="52"/>
              <w:keepNext w:val="0"/>
              <w:keepLines w:val="0"/>
              <w:pageBreakBefore w:val="0"/>
              <w:widowControl w:val="0"/>
              <w:kinsoku/>
              <w:wordWrap/>
              <w:overflowPunct/>
              <w:topLinePunct w:val="0"/>
              <w:autoSpaceDE/>
              <w:autoSpaceDN/>
              <w:bidi w:val="0"/>
              <w:adjustRightInd/>
              <w:snapToGrid/>
              <w:spacing w:line="360" w:lineRule="auto"/>
              <w:ind w:left="112" w:right="37" w:firstLine="421"/>
              <w:jc w:val="both"/>
              <w:textAlignment w:val="auto"/>
              <w:rPr>
                <w:rFonts w:hint="eastAsia" w:ascii="宋体" w:hAnsi="宋体" w:eastAsia="宋体" w:cs="宋体"/>
                <w:b/>
                <w:bCs/>
                <w:sz w:val="24"/>
                <w:szCs w:val="24"/>
              </w:rPr>
            </w:pPr>
            <w:r>
              <w:rPr>
                <w:rFonts w:hint="eastAsia" w:ascii="宋体" w:hAnsi="宋体" w:eastAsia="宋体" w:cs="宋体"/>
                <w:b/>
                <w:bCs/>
                <w:spacing w:val="9"/>
                <w:sz w:val="24"/>
                <w:szCs w:val="24"/>
              </w:rPr>
              <w:t>③</w:t>
            </w:r>
            <w:r>
              <w:rPr>
                <w:rFonts w:hint="eastAsia" w:ascii="宋体" w:hAnsi="宋体" w:eastAsia="宋体" w:cs="宋体"/>
                <w:b/>
                <w:bCs/>
                <w:spacing w:val="10"/>
                <w:sz w:val="24"/>
                <w:szCs w:val="24"/>
              </w:rPr>
              <w:t>插层和压滤工序</w:t>
            </w:r>
            <w:r>
              <w:rPr>
                <w:rFonts w:hint="eastAsia" w:ascii="宋体" w:hAnsi="宋体" w:eastAsia="宋体" w:cs="宋体"/>
                <w:b/>
                <w:bCs/>
                <w:spacing w:val="8"/>
                <w:sz w:val="24"/>
                <w:szCs w:val="24"/>
              </w:rPr>
              <w:t>无组织硫酸雾</w:t>
            </w:r>
          </w:p>
          <w:p w14:paraId="0C2B7B28">
            <w:pPr>
              <w:pStyle w:val="52"/>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1"/>
              <w:rPr>
                <w:rFonts w:hint="eastAsia" w:ascii="宋体" w:hAnsi="宋体" w:eastAsia="宋体" w:cs="宋体"/>
                <w:spacing w:val="6"/>
                <w:sz w:val="24"/>
                <w:szCs w:val="24"/>
              </w:rPr>
            </w:pPr>
            <w:r>
              <w:rPr>
                <w:rFonts w:hint="eastAsia" w:ascii="宋体" w:hAnsi="宋体" w:eastAsia="宋体" w:cs="宋体"/>
                <w:spacing w:val="10"/>
                <w:sz w:val="24"/>
                <w:szCs w:val="24"/>
              </w:rPr>
              <w:t>插层和压滤工序。</w:t>
            </w:r>
            <w:r>
              <w:rPr>
                <w:rFonts w:hint="eastAsia" w:ascii="宋体" w:hAnsi="宋体" w:eastAsia="宋体" w:cs="宋体"/>
                <w:spacing w:val="9"/>
                <w:sz w:val="24"/>
                <w:szCs w:val="24"/>
              </w:rPr>
              <w:t>上方设置集气罩，收</w:t>
            </w:r>
            <w:r>
              <w:rPr>
                <w:rFonts w:hint="eastAsia" w:ascii="宋体" w:hAnsi="宋体" w:eastAsia="宋体" w:cs="宋体"/>
                <w:spacing w:val="9"/>
                <w:sz w:val="24"/>
                <w:szCs w:val="24"/>
                <w:lang w:val="en-US" w:eastAsia="zh-CN"/>
              </w:rPr>
              <w:t>集</w:t>
            </w:r>
            <w:r>
              <w:rPr>
                <w:rFonts w:hint="eastAsia" w:ascii="宋体" w:hAnsi="宋体" w:eastAsia="宋体" w:cs="宋体"/>
                <w:spacing w:val="9"/>
                <w:sz w:val="24"/>
                <w:szCs w:val="24"/>
              </w:rPr>
              <w:t>效率按9</w:t>
            </w:r>
            <w:r>
              <w:rPr>
                <w:rFonts w:hint="eastAsia" w:ascii="宋体" w:hAnsi="宋体" w:eastAsia="宋体" w:cs="宋体"/>
                <w:spacing w:val="9"/>
                <w:sz w:val="24"/>
                <w:szCs w:val="24"/>
                <w:lang w:val="en-US" w:eastAsia="zh-CN"/>
              </w:rPr>
              <w:t>0</w:t>
            </w:r>
            <w:r>
              <w:rPr>
                <w:rFonts w:hint="eastAsia" w:ascii="宋体" w:hAnsi="宋体" w:eastAsia="宋体" w:cs="宋体"/>
                <w:spacing w:val="9"/>
                <w:sz w:val="24"/>
                <w:szCs w:val="24"/>
              </w:rPr>
              <w:t>%计，</w:t>
            </w:r>
            <w:r>
              <w:rPr>
                <w:rFonts w:hint="eastAsia" w:ascii="宋体" w:hAnsi="宋体" w:eastAsia="宋体" w:cs="宋体"/>
                <w:spacing w:val="6"/>
                <w:sz w:val="24"/>
                <w:szCs w:val="24"/>
              </w:rPr>
              <w:t>则</w:t>
            </w:r>
            <w:r>
              <w:rPr>
                <w:rFonts w:hint="eastAsia" w:ascii="宋体" w:hAnsi="宋体" w:eastAsia="宋体" w:cs="宋体"/>
                <w:spacing w:val="6"/>
                <w:sz w:val="24"/>
                <w:szCs w:val="24"/>
                <w:lang w:val="en-US" w:eastAsia="zh-CN"/>
              </w:rPr>
              <w:t>酸雾</w:t>
            </w:r>
            <w:r>
              <w:rPr>
                <w:rFonts w:hint="eastAsia" w:ascii="宋体" w:hAnsi="宋体" w:eastAsia="宋体" w:cs="宋体"/>
                <w:spacing w:val="6"/>
                <w:sz w:val="24"/>
                <w:szCs w:val="24"/>
              </w:rPr>
              <w:t>以无组织形式排放量为</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0.</w:t>
            </w:r>
            <w:r>
              <w:rPr>
                <w:rFonts w:hint="eastAsia" w:ascii="宋体" w:hAnsi="宋体" w:eastAsia="宋体" w:cs="宋体"/>
                <w:spacing w:val="6"/>
                <w:sz w:val="24"/>
                <w:szCs w:val="24"/>
                <w:lang w:val="en-US" w:eastAsia="zh-CN"/>
              </w:rPr>
              <w:t>13</w:t>
            </w:r>
            <w:r>
              <w:rPr>
                <w:rFonts w:hint="eastAsia" w:ascii="宋体" w:hAnsi="宋体" w:eastAsia="宋体" w:cs="宋体"/>
                <w:spacing w:val="6"/>
                <w:sz w:val="24"/>
                <w:szCs w:val="24"/>
              </w:rPr>
              <w:t>t/a(0.</w:t>
            </w:r>
            <w:r>
              <w:rPr>
                <w:rFonts w:hint="eastAsia" w:ascii="宋体" w:hAnsi="宋体" w:eastAsia="宋体" w:cs="宋体"/>
                <w:spacing w:val="6"/>
                <w:sz w:val="24"/>
                <w:szCs w:val="24"/>
                <w:lang w:val="en-US" w:eastAsia="zh-CN"/>
              </w:rPr>
              <w:t>018</w:t>
            </w:r>
            <w:r>
              <w:rPr>
                <w:rFonts w:hint="eastAsia" w:ascii="宋体" w:hAnsi="宋体" w:eastAsia="宋体" w:cs="宋体"/>
                <w:spacing w:val="-7"/>
                <w:sz w:val="21"/>
                <w:szCs w:val="21"/>
              </w:rPr>
              <w:t>kg/h</w:t>
            </w:r>
            <w:r>
              <w:rPr>
                <w:rFonts w:hint="eastAsia" w:ascii="宋体" w:hAnsi="宋体" w:eastAsia="宋体" w:cs="宋体"/>
                <w:spacing w:val="6"/>
                <w:sz w:val="24"/>
                <w:szCs w:val="24"/>
              </w:rPr>
              <w:t>）</w:t>
            </w:r>
            <w:r>
              <w:rPr>
                <w:rFonts w:hint="eastAsia" w:ascii="宋体" w:hAnsi="宋体" w:eastAsia="宋体" w:cs="宋体"/>
                <w:sz w:val="24"/>
                <w:szCs w:val="24"/>
              </w:rPr>
              <w:t xml:space="preserve"> </w:t>
            </w:r>
          </w:p>
          <w:p w14:paraId="73DE23BD">
            <w:pPr>
              <w:pStyle w:val="52"/>
              <w:keepNext w:val="0"/>
              <w:keepLines w:val="0"/>
              <w:pageBreakBefore w:val="0"/>
              <w:widowControl w:val="0"/>
              <w:kinsoku/>
              <w:wordWrap/>
              <w:overflowPunct/>
              <w:topLinePunct w:val="0"/>
              <w:autoSpaceDE/>
              <w:autoSpaceDN/>
              <w:bidi w:val="0"/>
              <w:adjustRightInd/>
              <w:snapToGrid/>
              <w:spacing w:line="360" w:lineRule="auto"/>
              <w:ind w:right="110" w:firstLine="514" w:firstLineChars="200"/>
              <w:textAlignment w:val="auto"/>
              <w:rPr>
                <w:rFonts w:hint="eastAsia" w:ascii="宋体" w:hAnsi="宋体" w:eastAsia="宋体" w:cs="宋体"/>
                <w:b/>
                <w:bCs/>
                <w:spacing w:val="-5"/>
                <w:sz w:val="24"/>
                <w:szCs w:val="24"/>
              </w:rPr>
            </w:pPr>
            <w:r>
              <w:rPr>
                <w:rFonts w:hint="eastAsia" w:ascii="宋体" w:hAnsi="宋体" w:eastAsia="宋体" w:cs="宋体"/>
                <w:b/>
                <w:bCs/>
                <w:spacing w:val="8"/>
                <w:sz w:val="24"/>
                <w:szCs w:val="24"/>
              </w:rPr>
              <w:t>④罐区无组织废气</w:t>
            </w:r>
          </w:p>
          <w:p w14:paraId="40046392">
            <w:pPr>
              <w:pStyle w:val="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本项目在厂区储罐区设有硫酸储罐</w:t>
            </w:r>
            <w:r>
              <w:rPr>
                <w:rFonts w:hint="eastAsia" w:ascii="宋体" w:hAnsi="宋体" w:eastAsia="宋体" w:cs="宋体"/>
                <w:spacing w:val="-37"/>
                <w:sz w:val="24"/>
                <w:szCs w:val="24"/>
                <w:lang w:val="en-US" w:eastAsia="zh-CN"/>
              </w:rPr>
              <w:t>1</w:t>
            </w:r>
            <w:r>
              <w:rPr>
                <w:rFonts w:hint="eastAsia" w:ascii="宋体" w:hAnsi="宋体" w:eastAsia="宋体" w:cs="宋体"/>
                <w:sz w:val="24"/>
                <w:szCs w:val="24"/>
              </w:rPr>
              <w:t>个（</w:t>
            </w:r>
            <w:r>
              <w:rPr>
                <w:rFonts w:hint="eastAsia" w:ascii="宋体" w:hAnsi="宋体" w:eastAsia="宋体" w:cs="宋体"/>
                <w:sz w:val="24"/>
                <w:szCs w:val="24"/>
                <w:lang w:val="en-US" w:eastAsia="zh-CN"/>
              </w:rPr>
              <w:t>1</w:t>
            </w:r>
            <w:r>
              <w:rPr>
                <w:rFonts w:hint="eastAsia" w:ascii="宋体" w:hAnsi="宋体" w:eastAsia="宋体" w:cs="宋体"/>
                <w:sz w:val="24"/>
                <w:szCs w:val="24"/>
              </w:rPr>
              <w:t>*60m³</w:t>
            </w:r>
            <w:r>
              <w:rPr>
                <w:rFonts w:hint="eastAsia" w:ascii="宋体" w:hAnsi="宋体" w:eastAsia="宋体" w:cs="宋体"/>
                <w:spacing w:val="-68"/>
                <w:sz w:val="24"/>
                <w:szCs w:val="24"/>
              </w:rPr>
              <w:t xml:space="preserve"> </w:t>
            </w:r>
            <w:r>
              <w:rPr>
                <w:rFonts w:hint="eastAsia" w:ascii="宋体" w:hAnsi="宋体" w:eastAsia="宋体" w:cs="宋体"/>
                <w:sz w:val="24"/>
                <w:szCs w:val="24"/>
              </w:rPr>
              <w:t>)、</w:t>
            </w:r>
            <w:r>
              <w:rPr>
                <w:rFonts w:hint="eastAsia" w:ascii="宋体" w:hAnsi="宋体" w:eastAsia="宋体" w:cs="宋体"/>
                <w:spacing w:val="1"/>
                <w:sz w:val="24"/>
                <w:szCs w:val="24"/>
              </w:rPr>
              <w:t>为地上式。储罐在原料贮存、周转过程中因储罐“大、</w:t>
            </w:r>
            <w:r>
              <w:rPr>
                <w:rFonts w:hint="eastAsia" w:ascii="宋体" w:hAnsi="宋体" w:eastAsia="宋体" w:cs="宋体"/>
                <w:spacing w:val="9"/>
                <w:sz w:val="24"/>
                <w:szCs w:val="24"/>
              </w:rPr>
              <w:t>小呼吸</w:t>
            </w:r>
            <w:r>
              <w:rPr>
                <w:rFonts w:hint="eastAsia" w:ascii="宋体" w:hAnsi="宋体" w:eastAsia="宋体" w:cs="宋体"/>
                <w:spacing w:val="-71"/>
                <w:sz w:val="24"/>
                <w:szCs w:val="24"/>
              </w:rPr>
              <w:t xml:space="preserve"> </w:t>
            </w:r>
            <w:r>
              <w:rPr>
                <w:rFonts w:hint="eastAsia" w:ascii="宋体" w:hAnsi="宋体" w:eastAsia="宋体" w:cs="宋体"/>
                <w:spacing w:val="9"/>
                <w:sz w:val="24"/>
                <w:szCs w:val="24"/>
              </w:rPr>
              <w:t>”会产生少量的无组织废气，其排放原理是由于温度和大气压力的变化引起蒸气的膨</w:t>
            </w:r>
            <w:r>
              <w:rPr>
                <w:rFonts w:hint="eastAsia" w:ascii="宋体" w:hAnsi="宋体" w:eastAsia="宋体" w:cs="宋体"/>
                <w:spacing w:val="10"/>
                <w:sz w:val="24"/>
                <w:szCs w:val="24"/>
              </w:rPr>
              <w:t>胀和收缩而产生的蒸气排放</w:t>
            </w:r>
            <w:r>
              <w:rPr>
                <w:rFonts w:hint="eastAsia" w:ascii="宋体" w:hAnsi="宋体" w:eastAsia="宋体" w:cs="宋体"/>
                <w:spacing w:val="5"/>
                <w:sz w:val="24"/>
                <w:szCs w:val="24"/>
              </w:rPr>
              <w:t>。</w:t>
            </w:r>
          </w:p>
          <w:p w14:paraId="04E1C2F4">
            <w:pPr>
              <w:pStyle w:val="52"/>
              <w:keepNext w:val="0"/>
              <w:keepLines w:val="0"/>
              <w:pageBreakBefore w:val="0"/>
              <w:widowControl w:val="0"/>
              <w:kinsoku/>
              <w:wordWrap/>
              <w:overflowPunct/>
              <w:topLinePunct w:val="0"/>
              <w:autoSpaceDE/>
              <w:autoSpaceDN/>
              <w:bidi w:val="0"/>
              <w:adjustRightInd/>
              <w:snapToGrid/>
              <w:spacing w:line="360" w:lineRule="auto"/>
              <w:ind w:left="666"/>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lang w:val="en-US" w:eastAsia="zh-CN"/>
              </w:rPr>
              <w:t>A</w:t>
            </w:r>
            <w:r>
              <w:rPr>
                <w:rFonts w:hint="eastAsia" w:ascii="宋体" w:hAnsi="宋体" w:eastAsia="宋体" w:cs="宋体"/>
                <w:b/>
                <w:bCs/>
                <w:spacing w:val="3"/>
                <w:sz w:val="24"/>
                <w:szCs w:val="24"/>
              </w:rPr>
              <w:t>“大呼吸</w:t>
            </w:r>
            <w:r>
              <w:rPr>
                <w:rFonts w:hint="eastAsia" w:ascii="宋体" w:hAnsi="宋体" w:eastAsia="宋体" w:cs="宋体"/>
                <w:b/>
                <w:bCs/>
                <w:spacing w:val="-73"/>
                <w:sz w:val="24"/>
                <w:szCs w:val="24"/>
              </w:rPr>
              <w:t xml:space="preserve"> </w:t>
            </w:r>
            <w:r>
              <w:rPr>
                <w:rFonts w:hint="eastAsia" w:ascii="宋体" w:hAnsi="宋体" w:eastAsia="宋体" w:cs="宋体"/>
                <w:b/>
                <w:bCs/>
                <w:spacing w:val="3"/>
                <w:sz w:val="24"/>
                <w:szCs w:val="24"/>
              </w:rPr>
              <w:t>”废气</w:t>
            </w:r>
          </w:p>
          <w:p w14:paraId="3C9F9008">
            <w:pPr>
              <w:pStyle w:val="52"/>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7"/>
                <w:sz w:val="24"/>
                <w:szCs w:val="24"/>
              </w:rPr>
            </w:pPr>
            <w:r>
              <w:rPr>
                <w:rFonts w:hint="eastAsia" w:ascii="宋体" w:hAnsi="宋体" w:eastAsia="宋体" w:cs="宋体"/>
                <w:spacing w:val="10"/>
                <w:sz w:val="24"/>
                <w:szCs w:val="24"/>
              </w:rPr>
              <w:t>在储罐进料时，随着原料液面的升高，气体空间体积变小，混</w:t>
            </w:r>
            <w:r>
              <w:rPr>
                <w:rFonts w:hint="eastAsia" w:ascii="宋体" w:hAnsi="宋体" w:eastAsia="宋体" w:cs="宋体"/>
                <w:spacing w:val="9"/>
                <w:sz w:val="24"/>
                <w:szCs w:val="24"/>
              </w:rPr>
              <w:t>合气受到压缩，压力不断</w:t>
            </w:r>
            <w:r>
              <w:rPr>
                <w:rFonts w:hint="eastAsia" w:ascii="宋体" w:hAnsi="宋体" w:eastAsia="宋体" w:cs="宋体"/>
                <w:spacing w:val="8"/>
                <w:sz w:val="24"/>
                <w:szCs w:val="24"/>
              </w:rPr>
              <w:t>升高。当罐内混合气压升高到外界大气压力时，</w:t>
            </w:r>
            <w:r>
              <w:rPr>
                <w:rFonts w:hint="eastAsia" w:ascii="宋体" w:hAnsi="宋体" w:eastAsia="宋体" w:cs="宋体"/>
                <w:spacing w:val="7"/>
                <w:sz w:val="24"/>
                <w:szCs w:val="24"/>
              </w:rPr>
              <w:t>压力阀盘开启，呼</w:t>
            </w:r>
            <w:r>
              <w:rPr>
                <w:rFonts w:hint="eastAsia" w:cs="宋体"/>
                <w:spacing w:val="7"/>
                <w:sz w:val="24"/>
                <w:szCs w:val="24"/>
                <w:lang w:eastAsia="zh-CN"/>
              </w:rPr>
              <w:t>出</w:t>
            </w:r>
            <w:r>
              <w:rPr>
                <w:rFonts w:hint="eastAsia" w:ascii="宋体" w:hAnsi="宋体" w:eastAsia="宋体" w:cs="宋体"/>
                <w:spacing w:val="7"/>
                <w:sz w:val="24"/>
                <w:szCs w:val="24"/>
              </w:rPr>
              <w:t>混合气。在储罐</w:t>
            </w:r>
            <w:r>
              <w:rPr>
                <w:rFonts w:hint="eastAsia" w:cs="宋体"/>
                <w:spacing w:val="7"/>
                <w:sz w:val="24"/>
                <w:szCs w:val="24"/>
                <w:lang w:eastAsia="zh-CN"/>
              </w:rPr>
              <w:t>出</w:t>
            </w:r>
            <w:r>
              <w:rPr>
                <w:rFonts w:hint="eastAsia" w:ascii="宋体" w:hAnsi="宋体" w:eastAsia="宋体" w:cs="宋体"/>
                <w:spacing w:val="7"/>
                <w:sz w:val="24"/>
                <w:szCs w:val="24"/>
              </w:rPr>
              <w:t>料时，</w:t>
            </w:r>
            <w:r>
              <w:rPr>
                <w:rFonts w:hint="eastAsia" w:ascii="宋体" w:hAnsi="宋体" w:eastAsia="宋体" w:cs="宋体"/>
                <w:spacing w:val="10"/>
                <w:sz w:val="24"/>
                <w:szCs w:val="24"/>
              </w:rPr>
              <w:t>随着物料液面的下降，气体空间压力下降，当降到一定值时</w:t>
            </w:r>
            <w:r>
              <w:rPr>
                <w:rFonts w:hint="eastAsia" w:ascii="宋体" w:hAnsi="宋体" w:eastAsia="宋体" w:cs="宋体"/>
                <w:spacing w:val="9"/>
                <w:sz w:val="24"/>
                <w:szCs w:val="24"/>
              </w:rPr>
              <w:t>，罐外大气压冲开真空阀，部分</w:t>
            </w:r>
            <w:r>
              <w:rPr>
                <w:rFonts w:hint="eastAsia" w:ascii="宋体" w:hAnsi="宋体" w:eastAsia="宋体" w:cs="宋体"/>
                <w:spacing w:val="10"/>
                <w:sz w:val="24"/>
                <w:szCs w:val="24"/>
              </w:rPr>
              <w:t>外界空气吸入，补充物料液面下降形成的空间体积，吸入的</w:t>
            </w:r>
            <w:r>
              <w:rPr>
                <w:rFonts w:hint="eastAsia" w:ascii="宋体" w:hAnsi="宋体" w:eastAsia="宋体" w:cs="宋体"/>
                <w:spacing w:val="9"/>
                <w:sz w:val="24"/>
                <w:szCs w:val="24"/>
              </w:rPr>
              <w:t>空气降低了罐内的气体浓度，同</w:t>
            </w:r>
            <w:r>
              <w:rPr>
                <w:rFonts w:hint="eastAsia" w:ascii="宋体" w:hAnsi="宋体" w:eastAsia="宋体" w:cs="宋体"/>
                <w:spacing w:val="7"/>
                <w:sz w:val="24"/>
                <w:szCs w:val="24"/>
              </w:rPr>
              <w:t>时也呼</w:t>
            </w:r>
            <w:r>
              <w:rPr>
                <w:rFonts w:hint="eastAsia" w:cs="宋体"/>
                <w:spacing w:val="7"/>
                <w:sz w:val="24"/>
                <w:szCs w:val="24"/>
                <w:lang w:eastAsia="zh-CN"/>
              </w:rPr>
              <w:t>出</w:t>
            </w:r>
            <w:r>
              <w:rPr>
                <w:rFonts w:hint="eastAsia" w:ascii="宋体" w:hAnsi="宋体" w:eastAsia="宋体" w:cs="宋体"/>
                <w:spacing w:val="7"/>
                <w:sz w:val="24"/>
                <w:szCs w:val="24"/>
              </w:rPr>
              <w:t>少量混合气。</w:t>
            </w:r>
          </w:p>
          <w:p w14:paraId="53AE9E5E">
            <w:pPr>
              <w:pStyle w:val="52"/>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z w:val="24"/>
                <w:szCs w:val="24"/>
              </w:rPr>
            </w:pPr>
            <w:r>
              <w:rPr>
                <w:rFonts w:hint="eastAsia" w:ascii="宋体" w:hAnsi="宋体" w:eastAsia="宋体" w:cs="宋体"/>
                <w:spacing w:val="8"/>
                <w:sz w:val="24"/>
                <w:szCs w:val="24"/>
              </w:rPr>
              <w:t>根据原料储量、性质，采用大呼吸损耗经验计算公式，可估算原料的装罐损耗</w:t>
            </w:r>
            <w:r>
              <w:rPr>
                <w:rFonts w:hint="eastAsia" w:ascii="宋体" w:hAnsi="宋体" w:eastAsia="宋体" w:cs="宋体"/>
                <w:spacing w:val="7"/>
                <w:sz w:val="24"/>
                <w:szCs w:val="24"/>
              </w:rPr>
              <w:t>。“大呼吸"损耗的估算公式如下：</w:t>
            </w:r>
          </w:p>
          <w:p w14:paraId="638B3DA4">
            <w:pPr>
              <w:keepNext w:val="0"/>
              <w:keepLines w:val="0"/>
              <w:pageBreakBefore w:val="0"/>
              <w:widowControl w:val="0"/>
              <w:kinsoku/>
              <w:wordWrap/>
              <w:overflowPunct/>
              <w:topLinePunct w:val="0"/>
              <w:autoSpaceDE/>
              <w:autoSpaceDN/>
              <w:bidi w:val="0"/>
              <w:adjustRightInd/>
              <w:snapToGrid/>
              <w:spacing w:line="360" w:lineRule="auto"/>
              <w:ind w:firstLine="1428" w:firstLineChars="600"/>
              <w:textAlignment w:val="auto"/>
              <w:rPr>
                <w:rFonts w:hint="eastAsia" w:ascii="宋体" w:hAnsi="宋体" w:eastAsia="宋体" w:cs="宋体"/>
                <w:sz w:val="24"/>
                <w:szCs w:val="24"/>
              </w:rPr>
            </w:pPr>
            <w:r>
              <w:rPr>
                <w:rFonts w:hint="eastAsia" w:ascii="宋体" w:hAnsi="宋体" w:eastAsia="宋体" w:cs="宋体"/>
                <w:spacing w:val="-1"/>
                <w:position w:val="1"/>
                <w:sz w:val="24"/>
                <w:szCs w:val="24"/>
              </w:rPr>
              <w:t>L</w:t>
            </w:r>
            <w:r>
              <w:rPr>
                <w:rFonts w:hint="eastAsia" w:ascii="宋体" w:hAnsi="宋体" w:eastAsia="宋体" w:cs="宋体"/>
                <w:spacing w:val="-1"/>
                <w:position w:val="1"/>
                <w:sz w:val="24"/>
                <w:szCs w:val="24"/>
                <w:vertAlign w:val="subscript"/>
              </w:rPr>
              <w:t>w</w:t>
            </w:r>
            <w:r>
              <w:rPr>
                <w:rFonts w:hint="eastAsia" w:ascii="宋体" w:hAnsi="宋体" w:eastAsia="宋体" w:cs="宋体"/>
                <w:spacing w:val="-1"/>
                <w:position w:val="1"/>
                <w:sz w:val="24"/>
                <w:szCs w:val="24"/>
              </w:rPr>
              <w:t>=4.188×10</w:t>
            </w:r>
            <w:r>
              <w:rPr>
                <w:rFonts w:hint="eastAsia" w:ascii="宋体" w:hAnsi="宋体" w:eastAsia="宋体" w:cs="宋体"/>
                <w:spacing w:val="-1"/>
                <w:position w:val="1"/>
                <w:sz w:val="24"/>
                <w:szCs w:val="24"/>
                <w:vertAlign w:val="superscript"/>
                <w:lang w:val="en-US" w:eastAsia="zh-CN"/>
              </w:rPr>
              <w:t>-7</w:t>
            </w:r>
            <w:r>
              <w:rPr>
                <w:rFonts w:hint="eastAsia" w:ascii="宋体" w:hAnsi="宋体" w:eastAsia="宋体" w:cs="宋体"/>
                <w:spacing w:val="-1"/>
                <w:position w:val="1"/>
                <w:sz w:val="24"/>
                <w:szCs w:val="24"/>
              </w:rPr>
              <w:t>×M×P×K</w:t>
            </w:r>
            <w:r>
              <w:rPr>
                <w:rFonts w:hint="eastAsia" w:ascii="宋体" w:hAnsi="宋体" w:eastAsia="宋体" w:cs="宋体"/>
                <w:spacing w:val="-1"/>
                <w:sz w:val="24"/>
                <w:szCs w:val="24"/>
                <w:vertAlign w:val="subscript"/>
              </w:rPr>
              <w:t>N</w:t>
            </w:r>
            <w:r>
              <w:rPr>
                <w:rFonts w:hint="eastAsia" w:ascii="宋体" w:hAnsi="宋体" w:eastAsia="宋体" w:cs="宋体"/>
                <w:spacing w:val="-9"/>
                <w:sz w:val="24"/>
                <w:szCs w:val="24"/>
              </w:rPr>
              <w:t xml:space="preserve"> </w:t>
            </w:r>
            <w:r>
              <w:rPr>
                <w:rFonts w:hint="eastAsia" w:ascii="宋体" w:hAnsi="宋体" w:eastAsia="宋体" w:cs="宋体"/>
                <w:spacing w:val="-1"/>
                <w:position w:val="1"/>
                <w:sz w:val="24"/>
                <w:szCs w:val="24"/>
              </w:rPr>
              <w:t>×K</w:t>
            </w:r>
            <w:r>
              <w:rPr>
                <w:rFonts w:hint="eastAsia" w:ascii="宋体" w:hAnsi="宋体" w:eastAsia="宋体" w:cs="宋体"/>
                <w:spacing w:val="-1"/>
                <w:sz w:val="24"/>
                <w:szCs w:val="24"/>
              </w:rPr>
              <w:t>C</w:t>
            </w:r>
          </w:p>
          <w:p w14:paraId="3622D229">
            <w:pPr>
              <w:pStyle w:val="52"/>
              <w:keepNext w:val="0"/>
              <w:keepLines w:val="0"/>
              <w:pageBreakBefore w:val="0"/>
              <w:widowControl w:val="0"/>
              <w:kinsoku/>
              <w:wordWrap/>
              <w:overflowPunct/>
              <w:topLinePunct w:val="0"/>
              <w:autoSpaceDE/>
              <w:autoSpaceDN/>
              <w:bidi w:val="0"/>
              <w:adjustRightInd/>
              <w:snapToGrid/>
              <w:spacing w:line="360" w:lineRule="auto"/>
              <w:ind w:left="550"/>
              <w:textAlignment w:val="auto"/>
              <w:rPr>
                <w:rFonts w:hint="eastAsia" w:ascii="宋体" w:hAnsi="宋体" w:eastAsia="宋体" w:cs="宋体"/>
                <w:sz w:val="24"/>
                <w:szCs w:val="24"/>
              </w:rPr>
            </w:pPr>
            <w:r>
              <w:rPr>
                <w:rFonts w:hint="eastAsia" w:ascii="宋体" w:hAnsi="宋体" w:eastAsia="宋体" w:cs="宋体"/>
                <w:spacing w:val="1"/>
                <w:sz w:val="24"/>
                <w:szCs w:val="24"/>
              </w:rPr>
              <w:t>式中：</w:t>
            </w:r>
          </w:p>
          <w:p w14:paraId="4C113E27">
            <w:pPr>
              <w:pStyle w:val="52"/>
              <w:keepNext w:val="0"/>
              <w:keepLines w:val="0"/>
              <w:pageBreakBefore w:val="0"/>
              <w:widowControl w:val="0"/>
              <w:kinsoku/>
              <w:wordWrap/>
              <w:overflowPunct/>
              <w:topLinePunct w:val="0"/>
              <w:autoSpaceDE/>
              <w:autoSpaceDN/>
              <w:bidi w:val="0"/>
              <w:adjustRightInd/>
              <w:snapToGrid/>
              <w:spacing w:line="360" w:lineRule="auto"/>
              <w:ind w:left="542"/>
              <w:textAlignment w:val="auto"/>
              <w:rPr>
                <w:rFonts w:hint="eastAsia" w:ascii="宋体" w:hAnsi="宋体" w:eastAsia="宋体" w:cs="宋体"/>
                <w:sz w:val="24"/>
                <w:szCs w:val="24"/>
              </w:rPr>
            </w:pPr>
            <w:r>
              <w:rPr>
                <w:rFonts w:hint="eastAsia" w:ascii="宋体" w:hAnsi="宋体" w:eastAsia="宋体" w:cs="宋体"/>
                <w:sz w:val="24"/>
                <w:szCs w:val="24"/>
              </w:rPr>
              <w:t>L</w:t>
            </w:r>
            <w:r>
              <w:rPr>
                <w:rFonts w:hint="eastAsia" w:ascii="宋体" w:hAnsi="宋体" w:eastAsia="宋体" w:cs="宋体"/>
                <w:position w:val="-1"/>
                <w:sz w:val="24"/>
                <w:szCs w:val="24"/>
                <w:vertAlign w:val="subscript"/>
              </w:rPr>
              <w:t>W</w:t>
            </w:r>
            <w:r>
              <w:rPr>
                <w:rFonts w:hint="eastAsia" w:ascii="宋体" w:hAnsi="宋体" w:eastAsia="宋体" w:cs="宋体"/>
                <w:spacing w:val="9"/>
                <w:sz w:val="24"/>
                <w:szCs w:val="24"/>
              </w:rPr>
              <w:t>—固定顶罐的工作损失（</w:t>
            </w:r>
            <w:r>
              <w:rPr>
                <w:rFonts w:hint="eastAsia" w:ascii="宋体" w:hAnsi="宋体" w:eastAsia="宋体" w:cs="宋体"/>
                <w:sz w:val="24"/>
                <w:szCs w:val="24"/>
              </w:rPr>
              <w:t>kg</w:t>
            </w:r>
            <w:r>
              <w:rPr>
                <w:rFonts w:hint="eastAsia" w:ascii="宋体" w:hAnsi="宋体" w:eastAsia="宋体" w:cs="宋体"/>
                <w:spacing w:val="9"/>
                <w:sz w:val="24"/>
                <w:szCs w:val="24"/>
              </w:rPr>
              <w:t>/m</w:t>
            </w:r>
            <w:r>
              <w:rPr>
                <w:rFonts w:hint="eastAsia" w:ascii="宋体" w:hAnsi="宋体" w:eastAsia="宋体" w:cs="宋体"/>
                <w:spacing w:val="9"/>
                <w:sz w:val="24"/>
                <w:szCs w:val="24"/>
                <w:vertAlign w:val="superscript"/>
                <w:lang w:val="en-US" w:eastAsia="zh-CN"/>
              </w:rPr>
              <w:t>3</w:t>
            </w:r>
            <w:r>
              <w:rPr>
                <w:rFonts w:hint="eastAsia" w:ascii="宋体" w:hAnsi="宋体" w:eastAsia="宋体" w:cs="宋体"/>
                <w:spacing w:val="9"/>
                <w:sz w:val="24"/>
                <w:szCs w:val="24"/>
              </w:rPr>
              <w:t>-投入量</w:t>
            </w:r>
            <w:r>
              <w:rPr>
                <w:rFonts w:hint="eastAsia" w:ascii="宋体" w:hAnsi="宋体" w:eastAsia="宋体" w:cs="宋体"/>
                <w:spacing w:val="5"/>
                <w:sz w:val="24"/>
                <w:szCs w:val="24"/>
              </w:rPr>
              <w:t>）；</w:t>
            </w:r>
          </w:p>
          <w:p w14:paraId="01C7B6F6">
            <w:pPr>
              <w:pStyle w:val="52"/>
              <w:keepNext w:val="0"/>
              <w:keepLines w:val="0"/>
              <w:pageBreakBefore w:val="0"/>
              <w:widowControl w:val="0"/>
              <w:kinsoku/>
              <w:wordWrap/>
              <w:overflowPunct/>
              <w:topLinePunct w:val="0"/>
              <w:autoSpaceDE/>
              <w:autoSpaceDN/>
              <w:bidi w:val="0"/>
              <w:adjustRightInd/>
              <w:snapToGrid/>
              <w:spacing w:line="360" w:lineRule="auto"/>
              <w:ind w:left="101" w:right="37" w:firstLine="440"/>
              <w:textAlignment w:val="auto"/>
              <w:rPr>
                <w:rFonts w:hint="eastAsia" w:ascii="宋体" w:hAnsi="宋体" w:eastAsia="宋体" w:cs="宋体"/>
                <w:sz w:val="24"/>
                <w:szCs w:val="24"/>
              </w:rPr>
            </w:pPr>
            <w:r>
              <w:rPr>
                <w:rFonts w:hint="eastAsia" w:ascii="宋体" w:hAnsi="宋体" w:eastAsia="宋体" w:cs="宋体"/>
                <w:sz w:val="24"/>
                <w:szCs w:val="24"/>
              </w:rPr>
              <w:t>K</w:t>
            </w:r>
            <w:r>
              <w:rPr>
                <w:rFonts w:hint="eastAsia" w:ascii="宋体" w:hAnsi="宋体" w:eastAsia="宋体" w:cs="宋体"/>
                <w:position w:val="-1"/>
                <w:sz w:val="24"/>
                <w:szCs w:val="24"/>
                <w:vertAlign w:val="subscript"/>
              </w:rPr>
              <w:t>N</w:t>
            </w:r>
            <w:r>
              <w:rPr>
                <w:rFonts w:hint="eastAsia" w:ascii="宋体" w:hAnsi="宋体" w:eastAsia="宋体" w:cs="宋体"/>
                <w:spacing w:val="9"/>
                <w:sz w:val="24"/>
                <w:szCs w:val="24"/>
              </w:rPr>
              <w:t>—周转因子（无量纲</w:t>
            </w:r>
            <w:r>
              <w:rPr>
                <w:rFonts w:hint="eastAsia" w:ascii="宋体" w:hAnsi="宋体" w:eastAsia="宋体" w:cs="宋体"/>
                <w:spacing w:val="22"/>
                <w:sz w:val="24"/>
                <w:szCs w:val="24"/>
              </w:rPr>
              <w:t>），</w:t>
            </w:r>
            <w:r>
              <w:rPr>
                <w:rFonts w:hint="eastAsia" w:ascii="宋体" w:hAnsi="宋体" w:eastAsia="宋体" w:cs="宋体"/>
                <w:spacing w:val="9"/>
                <w:sz w:val="24"/>
                <w:szCs w:val="24"/>
              </w:rPr>
              <w:t>取值按年周转次数（N）确定：当</w:t>
            </w:r>
            <w:r>
              <w:rPr>
                <w:rFonts w:hint="eastAsia" w:ascii="宋体" w:hAnsi="宋体" w:eastAsia="宋体" w:cs="宋体"/>
                <w:spacing w:val="-49"/>
                <w:sz w:val="24"/>
                <w:szCs w:val="24"/>
              </w:rPr>
              <w:t xml:space="preserve"> </w:t>
            </w:r>
            <w:r>
              <w:rPr>
                <w:rFonts w:hint="eastAsia" w:ascii="宋体" w:hAnsi="宋体" w:eastAsia="宋体" w:cs="宋体"/>
                <w:spacing w:val="9"/>
                <w:sz w:val="24"/>
                <w:szCs w:val="24"/>
              </w:rPr>
              <w:t>N≤36时，</w:t>
            </w:r>
            <w:r>
              <w:rPr>
                <w:rFonts w:hint="eastAsia" w:ascii="宋体" w:hAnsi="宋体" w:eastAsia="宋体" w:cs="宋体"/>
                <w:sz w:val="24"/>
                <w:szCs w:val="24"/>
              </w:rPr>
              <w:t>K</w:t>
            </w:r>
            <w:r>
              <w:rPr>
                <w:rFonts w:hint="eastAsia" w:ascii="宋体" w:hAnsi="宋体" w:eastAsia="宋体" w:cs="宋体"/>
                <w:position w:val="-1"/>
                <w:sz w:val="24"/>
                <w:szCs w:val="24"/>
                <w:vertAlign w:val="subscript"/>
              </w:rPr>
              <w:t>N</w:t>
            </w:r>
            <w:r>
              <w:rPr>
                <w:rFonts w:hint="eastAsia" w:ascii="宋体" w:hAnsi="宋体" w:eastAsia="宋体" w:cs="宋体"/>
                <w:spacing w:val="9"/>
                <w:sz w:val="24"/>
                <w:szCs w:val="24"/>
              </w:rPr>
              <w:t>=</w:t>
            </w:r>
            <w:r>
              <w:rPr>
                <w:rFonts w:hint="eastAsia" w:ascii="宋体" w:hAnsi="宋体" w:eastAsia="宋体" w:cs="宋体"/>
                <w:spacing w:val="-26"/>
                <w:sz w:val="24"/>
                <w:szCs w:val="24"/>
              </w:rPr>
              <w:t xml:space="preserve"> </w:t>
            </w:r>
            <w:r>
              <w:rPr>
                <w:rFonts w:hint="eastAsia" w:ascii="宋体" w:hAnsi="宋体" w:eastAsia="宋体" w:cs="宋体"/>
                <w:spacing w:val="9"/>
                <w:sz w:val="24"/>
                <w:szCs w:val="24"/>
              </w:rPr>
              <w:t>1</w:t>
            </w:r>
            <w:r>
              <w:rPr>
                <w:rFonts w:hint="eastAsia" w:ascii="宋体" w:hAnsi="宋体" w:eastAsia="宋体" w:cs="宋体"/>
                <w:spacing w:val="-20"/>
                <w:sz w:val="24"/>
                <w:szCs w:val="24"/>
              </w:rPr>
              <w:t xml:space="preserve"> </w:t>
            </w:r>
            <w:r>
              <w:rPr>
                <w:rFonts w:hint="eastAsia" w:ascii="宋体" w:hAnsi="宋体" w:eastAsia="宋体" w:cs="宋体"/>
                <w:spacing w:val="9"/>
                <w:sz w:val="24"/>
                <w:szCs w:val="24"/>
              </w:rPr>
              <w:t>；当</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36&lt;</w:t>
            </w:r>
            <w:r>
              <w:rPr>
                <w:rFonts w:hint="eastAsia" w:ascii="宋体" w:hAnsi="宋体" w:eastAsia="宋体" w:cs="宋体"/>
                <w:sz w:val="24"/>
                <w:szCs w:val="24"/>
              </w:rPr>
              <w:t xml:space="preserve"> </w:t>
            </w:r>
            <w:r>
              <w:rPr>
                <w:rFonts w:hint="eastAsia" w:ascii="宋体" w:hAnsi="宋体" w:eastAsia="宋体" w:cs="宋体"/>
                <w:spacing w:val="2"/>
                <w:sz w:val="24"/>
                <w:szCs w:val="24"/>
              </w:rPr>
              <w:t>N＜220，</w:t>
            </w:r>
            <w:r>
              <w:rPr>
                <w:rFonts w:hint="eastAsia" w:ascii="宋体" w:hAnsi="宋体" w:eastAsia="宋体" w:cs="宋体"/>
                <w:sz w:val="24"/>
                <w:szCs w:val="24"/>
              </w:rPr>
              <w:t>K</w:t>
            </w:r>
            <w:r>
              <w:rPr>
                <w:rFonts w:hint="eastAsia" w:ascii="宋体" w:hAnsi="宋体" w:eastAsia="宋体" w:cs="宋体"/>
                <w:position w:val="-1"/>
                <w:sz w:val="24"/>
                <w:szCs w:val="24"/>
              </w:rPr>
              <w:t>N</w:t>
            </w:r>
            <w:r>
              <w:rPr>
                <w:rFonts w:hint="eastAsia" w:ascii="宋体" w:hAnsi="宋体" w:eastAsia="宋体" w:cs="宋体"/>
                <w:spacing w:val="2"/>
                <w:position w:val="-1"/>
                <w:sz w:val="24"/>
                <w:szCs w:val="24"/>
              </w:rPr>
              <w:t xml:space="preserve"> </w:t>
            </w:r>
            <w:r>
              <w:rPr>
                <w:rFonts w:hint="eastAsia" w:ascii="宋体" w:hAnsi="宋体" w:eastAsia="宋体" w:cs="宋体"/>
                <w:spacing w:val="2"/>
                <w:sz w:val="24"/>
                <w:szCs w:val="24"/>
              </w:rPr>
              <w:t>＝11.467×K</w:t>
            </w:r>
            <w:r>
              <w:rPr>
                <w:rFonts w:hint="eastAsia" w:ascii="宋体" w:hAnsi="宋体" w:eastAsia="宋体" w:cs="宋体"/>
                <w:spacing w:val="2"/>
                <w:sz w:val="24"/>
                <w:szCs w:val="24"/>
                <w:vertAlign w:val="superscript"/>
                <w:lang w:val="en-US" w:eastAsia="zh-CN"/>
              </w:rPr>
              <w:t>-0.7026</w:t>
            </w:r>
            <w:r>
              <w:rPr>
                <w:rFonts w:hint="eastAsia" w:ascii="宋体" w:hAnsi="宋体" w:eastAsia="宋体" w:cs="宋体"/>
                <w:spacing w:val="2"/>
                <w:sz w:val="24"/>
                <w:szCs w:val="24"/>
              </w:rPr>
              <w:t>；当</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N＞220时，按</w:t>
            </w:r>
            <w:r>
              <w:rPr>
                <w:rFonts w:hint="eastAsia" w:ascii="宋体" w:hAnsi="宋体" w:eastAsia="宋体" w:cs="宋体"/>
                <w:spacing w:val="-44"/>
                <w:sz w:val="24"/>
                <w:szCs w:val="24"/>
              </w:rPr>
              <w:t xml:space="preserve"> </w:t>
            </w:r>
            <w:r>
              <w:rPr>
                <w:rFonts w:hint="eastAsia" w:ascii="宋体" w:hAnsi="宋体" w:eastAsia="宋体" w:cs="宋体"/>
                <w:sz w:val="24"/>
                <w:szCs w:val="24"/>
              </w:rPr>
              <w:t>K</w:t>
            </w:r>
            <w:r>
              <w:rPr>
                <w:rFonts w:hint="eastAsia" w:ascii="宋体" w:hAnsi="宋体" w:eastAsia="宋体" w:cs="宋体"/>
                <w:position w:val="-1"/>
                <w:sz w:val="24"/>
                <w:szCs w:val="24"/>
              </w:rPr>
              <w:t>N</w:t>
            </w:r>
            <w:r>
              <w:rPr>
                <w:rFonts w:hint="eastAsia" w:ascii="宋体" w:hAnsi="宋体" w:eastAsia="宋体" w:cs="宋体"/>
                <w:spacing w:val="2"/>
                <w:sz w:val="24"/>
                <w:szCs w:val="24"/>
              </w:rPr>
              <w:t>=0.26 计算。本项目每月周转</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1次，</w:t>
            </w:r>
            <w:r>
              <w:rPr>
                <w:rFonts w:hint="eastAsia" w:ascii="宋体" w:hAnsi="宋体" w:eastAsia="宋体" w:cs="宋体"/>
                <w:sz w:val="24"/>
                <w:szCs w:val="24"/>
              </w:rPr>
              <w:t>K</w:t>
            </w:r>
            <w:r>
              <w:rPr>
                <w:rFonts w:hint="eastAsia" w:ascii="宋体" w:hAnsi="宋体" w:eastAsia="宋体" w:cs="宋体"/>
                <w:position w:val="-1"/>
                <w:sz w:val="24"/>
                <w:szCs w:val="24"/>
                <w:vertAlign w:val="subscript"/>
              </w:rPr>
              <w:t>N</w:t>
            </w:r>
            <w:r>
              <w:rPr>
                <w:rFonts w:hint="eastAsia" w:ascii="宋体" w:hAnsi="宋体" w:eastAsia="宋体" w:cs="宋体"/>
                <w:spacing w:val="2"/>
                <w:sz w:val="24"/>
                <w:szCs w:val="24"/>
              </w:rPr>
              <w:t>=</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1。</w:t>
            </w:r>
          </w:p>
          <w:p w14:paraId="0408AA2B">
            <w:pPr>
              <w:pStyle w:val="52"/>
              <w:keepNext w:val="0"/>
              <w:keepLines w:val="0"/>
              <w:pageBreakBefore w:val="0"/>
              <w:widowControl w:val="0"/>
              <w:kinsoku/>
              <w:wordWrap/>
              <w:overflowPunct/>
              <w:topLinePunct w:val="0"/>
              <w:autoSpaceDE/>
              <w:autoSpaceDN/>
              <w:bidi w:val="0"/>
              <w:adjustRightInd/>
              <w:snapToGrid/>
              <w:spacing w:line="360" w:lineRule="auto"/>
              <w:ind w:left="542"/>
              <w:textAlignment w:val="auto"/>
              <w:rPr>
                <w:rFonts w:hint="eastAsia" w:ascii="宋体" w:hAnsi="宋体" w:eastAsia="宋体" w:cs="宋体"/>
                <w:sz w:val="24"/>
                <w:szCs w:val="24"/>
              </w:rPr>
            </w:pPr>
            <w:r>
              <w:rPr>
                <w:rFonts w:hint="eastAsia" w:ascii="宋体" w:hAnsi="宋体" w:eastAsia="宋体" w:cs="宋体"/>
                <w:sz w:val="24"/>
                <w:szCs w:val="24"/>
              </w:rPr>
              <w:t>K</w:t>
            </w:r>
            <w:r>
              <w:rPr>
                <w:rFonts w:hint="eastAsia" w:ascii="宋体" w:hAnsi="宋体" w:eastAsia="宋体" w:cs="宋体"/>
                <w:position w:val="-1"/>
                <w:sz w:val="24"/>
                <w:szCs w:val="24"/>
                <w:vertAlign w:val="subscript"/>
              </w:rPr>
              <w:t>C</w:t>
            </w:r>
            <w:r>
              <w:rPr>
                <w:rFonts w:hint="eastAsia" w:ascii="宋体" w:hAnsi="宋体" w:eastAsia="宋体" w:cs="宋体"/>
                <w:spacing w:val="5"/>
                <w:sz w:val="24"/>
                <w:szCs w:val="24"/>
              </w:rPr>
              <w:t>—产品因子（石油原油取</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0.65</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，其他液体取</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15"/>
                <w:sz w:val="24"/>
                <w:szCs w:val="24"/>
              </w:rPr>
              <w:t>），</w:t>
            </w:r>
            <w:r>
              <w:rPr>
                <w:rFonts w:hint="eastAsia" w:ascii="宋体" w:hAnsi="宋体" w:eastAsia="宋体" w:cs="宋体"/>
                <w:spacing w:val="5"/>
                <w:sz w:val="24"/>
                <w:szCs w:val="24"/>
              </w:rPr>
              <w:t>本次取</w:t>
            </w:r>
            <w:r>
              <w:rPr>
                <w:rFonts w:hint="eastAsia" w:ascii="宋体" w:hAnsi="宋体" w:eastAsia="宋体" w:cs="宋体"/>
                <w:spacing w:val="-23"/>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4"/>
                <w:sz w:val="24"/>
                <w:szCs w:val="24"/>
              </w:rPr>
              <w:t>0；</w:t>
            </w:r>
          </w:p>
          <w:p w14:paraId="1A7A7468">
            <w:pPr>
              <w:pStyle w:val="52"/>
              <w:keepNext w:val="0"/>
              <w:keepLines w:val="0"/>
              <w:pageBreakBefore w:val="0"/>
              <w:widowControl w:val="0"/>
              <w:kinsoku/>
              <w:wordWrap/>
              <w:overflowPunct/>
              <w:topLinePunct w:val="0"/>
              <w:autoSpaceDE/>
              <w:autoSpaceDN/>
              <w:bidi w:val="0"/>
              <w:adjustRightInd/>
              <w:snapToGrid/>
              <w:spacing w:line="360" w:lineRule="auto"/>
              <w:ind w:left="542"/>
              <w:textAlignment w:val="auto"/>
              <w:rPr>
                <w:rFonts w:hint="eastAsia" w:ascii="宋体" w:hAnsi="宋体" w:eastAsia="宋体" w:cs="宋体"/>
                <w:sz w:val="24"/>
                <w:szCs w:val="24"/>
              </w:rPr>
            </w:pPr>
            <w:r>
              <w:rPr>
                <w:rFonts w:hint="eastAsia" w:ascii="宋体" w:hAnsi="宋体" w:eastAsia="宋体" w:cs="宋体"/>
                <w:spacing w:val="8"/>
                <w:sz w:val="24"/>
                <w:szCs w:val="24"/>
              </w:rPr>
              <w:t>M—储罐内蒸汽的分子量（g/</w:t>
            </w:r>
            <w:r>
              <w:rPr>
                <w:rFonts w:hint="eastAsia" w:ascii="宋体" w:hAnsi="宋体" w:eastAsia="宋体" w:cs="宋体"/>
                <w:sz w:val="24"/>
                <w:szCs w:val="24"/>
              </w:rPr>
              <w:t>mol</w:t>
            </w:r>
            <w:r>
              <w:rPr>
                <w:rFonts w:hint="eastAsia" w:ascii="宋体" w:hAnsi="宋体" w:eastAsia="宋体" w:cs="宋体"/>
                <w:spacing w:val="18"/>
                <w:sz w:val="24"/>
                <w:szCs w:val="24"/>
              </w:rPr>
              <w:t>），</w:t>
            </w:r>
            <w:r>
              <w:rPr>
                <w:rFonts w:hint="eastAsia" w:ascii="宋体" w:hAnsi="宋体" w:eastAsia="宋体" w:cs="宋体"/>
                <w:spacing w:val="8"/>
                <w:sz w:val="24"/>
                <w:szCs w:val="24"/>
              </w:rPr>
              <w:t>硫酸分子量为</w:t>
            </w:r>
            <w:r>
              <w:rPr>
                <w:rFonts w:hint="eastAsia" w:ascii="宋体" w:hAnsi="宋体" w:eastAsia="宋体" w:cs="宋体"/>
                <w:spacing w:val="-35"/>
                <w:sz w:val="24"/>
                <w:szCs w:val="24"/>
              </w:rPr>
              <w:t xml:space="preserve"> </w:t>
            </w:r>
            <w:r>
              <w:rPr>
                <w:rFonts w:hint="eastAsia" w:ascii="宋体" w:hAnsi="宋体" w:eastAsia="宋体" w:cs="宋体"/>
                <w:spacing w:val="8"/>
                <w:sz w:val="24"/>
                <w:szCs w:val="24"/>
              </w:rPr>
              <w:t>98g/</w:t>
            </w:r>
            <w:r>
              <w:rPr>
                <w:rFonts w:hint="eastAsia" w:ascii="宋体" w:hAnsi="宋体" w:eastAsia="宋体" w:cs="宋体"/>
                <w:sz w:val="24"/>
                <w:szCs w:val="24"/>
              </w:rPr>
              <w:t>mol</w:t>
            </w:r>
            <w:r>
              <w:rPr>
                <w:rFonts w:hint="eastAsia" w:ascii="宋体" w:hAnsi="宋体" w:eastAsia="宋体" w:cs="宋体"/>
                <w:spacing w:val="8"/>
                <w:sz w:val="24"/>
                <w:szCs w:val="24"/>
              </w:rPr>
              <w:t>；</w:t>
            </w:r>
          </w:p>
          <w:p w14:paraId="70EF42A8">
            <w:pPr>
              <w:pStyle w:val="52"/>
              <w:keepNext w:val="0"/>
              <w:keepLines w:val="0"/>
              <w:pageBreakBefore w:val="0"/>
              <w:widowControl w:val="0"/>
              <w:kinsoku/>
              <w:wordWrap/>
              <w:overflowPunct/>
              <w:topLinePunct w:val="0"/>
              <w:autoSpaceDE/>
              <w:autoSpaceDN/>
              <w:bidi w:val="0"/>
              <w:adjustRightInd/>
              <w:snapToGrid/>
              <w:spacing w:line="360" w:lineRule="auto"/>
              <w:ind w:left="122" w:right="111" w:firstLine="419"/>
              <w:textAlignment w:val="auto"/>
              <w:rPr>
                <w:rFonts w:hint="eastAsia" w:ascii="宋体" w:hAnsi="宋体" w:eastAsia="宋体" w:cs="宋体"/>
                <w:spacing w:val="2"/>
                <w:sz w:val="24"/>
                <w:szCs w:val="24"/>
              </w:rPr>
            </w:pPr>
            <w:r>
              <w:rPr>
                <w:rFonts w:hint="eastAsia" w:ascii="宋体" w:hAnsi="宋体" w:eastAsia="宋体" w:cs="宋体"/>
                <w:sz w:val="24"/>
                <w:szCs w:val="24"/>
              </w:rPr>
              <w:t>P—在大量液体状态下，真实的</w:t>
            </w:r>
            <w:r>
              <w:rPr>
                <w:rFonts w:hint="eastAsia" w:cs="宋体"/>
                <w:sz w:val="24"/>
                <w:szCs w:val="24"/>
                <w:lang w:eastAsia="zh-CN"/>
              </w:rPr>
              <w:t>蒸气压力</w:t>
            </w:r>
            <w:r>
              <w:rPr>
                <w:rFonts w:hint="eastAsia" w:ascii="宋体" w:hAnsi="宋体" w:eastAsia="宋体" w:cs="宋体"/>
                <w:sz w:val="24"/>
                <w:szCs w:val="24"/>
              </w:rPr>
              <w:t>，Pa；一般存储时为</w:t>
            </w:r>
            <w:r>
              <w:rPr>
                <w:rFonts w:hint="eastAsia" w:ascii="宋体" w:hAnsi="宋体" w:eastAsia="宋体" w:cs="宋体"/>
                <w:spacing w:val="-20"/>
                <w:sz w:val="24"/>
                <w:szCs w:val="24"/>
              </w:rPr>
              <w:t xml:space="preserve"> </w:t>
            </w:r>
            <w:r>
              <w:rPr>
                <w:rFonts w:hint="eastAsia" w:ascii="宋体" w:hAnsi="宋体" w:eastAsia="宋体" w:cs="宋体"/>
                <w:sz w:val="24"/>
                <w:szCs w:val="24"/>
              </w:rPr>
              <w:t>17-20mmHg，本次取</w:t>
            </w:r>
            <w:r>
              <w:rPr>
                <w:rFonts w:hint="eastAsia" w:ascii="宋体" w:hAnsi="宋体" w:eastAsia="宋体" w:cs="宋体"/>
                <w:spacing w:val="-43"/>
                <w:sz w:val="24"/>
                <w:szCs w:val="24"/>
              </w:rPr>
              <w:t xml:space="preserve"> </w:t>
            </w:r>
            <w:r>
              <w:rPr>
                <w:rFonts w:hint="eastAsia" w:ascii="宋体" w:hAnsi="宋体" w:eastAsia="宋体" w:cs="宋体"/>
                <w:sz w:val="24"/>
                <w:szCs w:val="24"/>
              </w:rPr>
              <w:t>20</w:t>
            </w:r>
            <w:r>
              <w:rPr>
                <w:rFonts w:hint="eastAsia" w:ascii="宋体" w:hAnsi="宋体" w:eastAsia="宋体" w:cs="宋体"/>
                <w:spacing w:val="-1"/>
                <w:sz w:val="24"/>
                <w:szCs w:val="24"/>
              </w:rPr>
              <w:t>mmHg</w:t>
            </w:r>
            <w:r>
              <w:rPr>
                <w:rFonts w:hint="eastAsia" w:ascii="宋体" w:hAnsi="宋体" w:eastAsia="宋体" w:cs="宋体"/>
                <w:spacing w:val="2"/>
                <w:sz w:val="24"/>
                <w:szCs w:val="24"/>
              </w:rPr>
              <w:t>（2666</w:t>
            </w:r>
            <w:r>
              <w:rPr>
                <w:rFonts w:hint="eastAsia" w:ascii="宋体" w:hAnsi="宋体" w:eastAsia="宋体" w:cs="宋体"/>
                <w:sz w:val="24"/>
                <w:szCs w:val="24"/>
              </w:rPr>
              <w:t>Pa</w:t>
            </w:r>
            <w:r>
              <w:rPr>
                <w:rFonts w:hint="eastAsia" w:ascii="宋体" w:hAnsi="宋体" w:eastAsia="宋体" w:cs="宋体"/>
                <w:spacing w:val="2"/>
                <w:sz w:val="24"/>
                <w:szCs w:val="24"/>
              </w:rPr>
              <w:t>）。</w:t>
            </w:r>
          </w:p>
          <w:p w14:paraId="4875846E">
            <w:pPr>
              <w:pStyle w:val="52"/>
              <w:keepNext w:val="0"/>
              <w:keepLines w:val="0"/>
              <w:pageBreakBefore w:val="0"/>
              <w:widowControl w:val="0"/>
              <w:kinsoku/>
              <w:wordWrap/>
              <w:overflowPunct/>
              <w:topLinePunct w:val="0"/>
              <w:autoSpaceDE/>
              <w:autoSpaceDN/>
              <w:bidi w:val="0"/>
              <w:adjustRightInd/>
              <w:snapToGrid/>
              <w:spacing w:line="360" w:lineRule="auto"/>
              <w:ind w:left="122" w:right="111" w:firstLine="419"/>
              <w:textAlignment w:val="auto"/>
              <w:rPr>
                <w:rFonts w:hint="default" w:ascii="宋体" w:hAnsi="宋体" w:eastAsia="宋体" w:cs="宋体"/>
                <w:sz w:val="24"/>
                <w:szCs w:val="24"/>
                <w:lang w:val="en-US" w:eastAsia="zh-CN"/>
              </w:rPr>
            </w:pPr>
            <w:r>
              <w:rPr>
                <w:rFonts w:hint="eastAsia" w:ascii="宋体" w:hAnsi="宋体" w:eastAsia="宋体" w:cs="宋体"/>
                <w:spacing w:val="2"/>
                <w:sz w:val="24"/>
                <w:szCs w:val="24"/>
                <w:lang w:val="en-US" w:eastAsia="zh-CN"/>
              </w:rPr>
              <w:t>经计算本项目大呼吸废气产生量为0.07t/a.</w:t>
            </w:r>
          </w:p>
          <w:p w14:paraId="67825B82">
            <w:pPr>
              <w:pStyle w:val="52"/>
              <w:keepNext w:val="0"/>
              <w:keepLines w:val="0"/>
              <w:pageBreakBefore w:val="0"/>
              <w:widowControl w:val="0"/>
              <w:kinsoku/>
              <w:wordWrap/>
              <w:overflowPunct/>
              <w:topLinePunct w:val="0"/>
              <w:autoSpaceDE/>
              <w:autoSpaceDN/>
              <w:bidi w:val="0"/>
              <w:adjustRightInd/>
              <w:snapToGrid/>
              <w:spacing w:line="360" w:lineRule="auto"/>
              <w:ind w:left="635"/>
              <w:textAlignment w:val="auto"/>
              <w:rPr>
                <w:rFonts w:hint="eastAsia" w:ascii="宋体" w:hAnsi="宋体" w:eastAsia="宋体" w:cs="宋体"/>
                <w:b/>
                <w:bCs/>
                <w:spacing w:val="7"/>
                <w:sz w:val="24"/>
                <w:szCs w:val="24"/>
              </w:rPr>
            </w:pPr>
            <w:r>
              <w:rPr>
                <w:rFonts w:hint="eastAsia" w:ascii="宋体" w:hAnsi="宋体" w:eastAsia="宋体" w:cs="宋体"/>
                <w:b/>
                <w:bCs/>
                <w:sz w:val="24"/>
                <w:szCs w:val="24"/>
                <w:lang w:val="en-US" w:eastAsia="zh-CN"/>
              </w:rPr>
              <w:t>B</w:t>
            </w:r>
            <w:r>
              <w:rPr>
                <w:rFonts w:hint="eastAsia" w:ascii="宋体" w:hAnsi="宋体" w:eastAsia="宋体" w:cs="宋体"/>
                <w:b/>
                <w:bCs/>
                <w:spacing w:val="7"/>
                <w:sz w:val="24"/>
                <w:szCs w:val="24"/>
              </w:rPr>
              <w:t>“小呼吸”废气</w:t>
            </w:r>
          </w:p>
          <w:p w14:paraId="22E100EC">
            <w:pPr>
              <w:pStyle w:val="52"/>
              <w:keepNext w:val="0"/>
              <w:keepLines w:val="0"/>
              <w:pageBreakBefore w:val="0"/>
              <w:widowControl w:val="0"/>
              <w:kinsoku/>
              <w:wordWrap/>
              <w:overflowPunct/>
              <w:topLinePunct w:val="0"/>
              <w:autoSpaceDE/>
              <w:autoSpaceDN/>
              <w:bidi w:val="0"/>
              <w:adjustRightInd/>
              <w:snapToGrid/>
              <w:spacing w:line="360" w:lineRule="auto"/>
              <w:ind w:firstLine="516" w:firstLineChars="200"/>
              <w:textAlignment w:val="auto"/>
              <w:rPr>
                <w:rFonts w:hint="eastAsia" w:ascii="宋体" w:hAnsi="宋体" w:eastAsia="宋体" w:cs="宋体"/>
                <w:sz w:val="24"/>
                <w:szCs w:val="24"/>
              </w:rPr>
            </w:pPr>
            <w:r>
              <w:rPr>
                <w:rFonts w:hint="eastAsia" w:ascii="宋体" w:hAnsi="宋体" w:eastAsia="宋体" w:cs="宋体"/>
                <w:spacing w:val="9"/>
                <w:sz w:val="24"/>
                <w:szCs w:val="24"/>
              </w:rPr>
              <w:t>储罐静止时，</w:t>
            </w:r>
            <w:r>
              <w:rPr>
                <w:rFonts w:hint="eastAsia" w:ascii="宋体" w:hAnsi="宋体" w:eastAsia="宋体" w:cs="宋体"/>
                <w:spacing w:val="-58"/>
                <w:sz w:val="24"/>
                <w:szCs w:val="24"/>
              </w:rPr>
              <w:t xml:space="preserve"> </w:t>
            </w:r>
            <w:r>
              <w:rPr>
                <w:rFonts w:hint="eastAsia" w:ascii="宋体" w:hAnsi="宋体" w:eastAsia="宋体" w:cs="宋体"/>
                <w:spacing w:val="9"/>
                <w:sz w:val="24"/>
                <w:szCs w:val="24"/>
              </w:rPr>
              <w:t>由于气体空间温度和废气浓度的昼夜变</w:t>
            </w:r>
            <w:r>
              <w:rPr>
                <w:rFonts w:hint="eastAsia" w:ascii="宋体" w:hAnsi="宋体" w:eastAsia="宋体" w:cs="宋体"/>
                <w:spacing w:val="8"/>
                <w:sz w:val="24"/>
                <w:szCs w:val="24"/>
              </w:rPr>
              <w:t>化引起的损耗称为储罐的静止储存损耗，又称“小呼吸损耗”。固定顶罐的静储蒸发损耗量（小呼吸）估算公式:</w:t>
            </w:r>
          </w:p>
          <w:p w14:paraId="5524638B">
            <w:pPr>
              <w:pStyle w:val="52"/>
              <w:keepNext w:val="0"/>
              <w:keepLines w:val="0"/>
              <w:pageBreakBefore w:val="0"/>
              <w:widowControl w:val="0"/>
              <w:kinsoku/>
              <w:wordWrap/>
              <w:overflowPunct/>
              <w:topLinePunct w:val="0"/>
              <w:autoSpaceDE/>
              <w:autoSpaceDN/>
              <w:bidi w:val="0"/>
              <w:adjustRightInd/>
              <w:snapToGrid/>
              <w:spacing w:line="360" w:lineRule="auto"/>
              <w:ind w:right="103" w:rightChars="0"/>
              <w:textAlignment w:val="auto"/>
              <w:rPr>
                <w:rFonts w:hint="eastAsia" w:ascii="宋体" w:hAnsi="宋体" w:eastAsia="宋体" w:cs="宋体"/>
                <w:sz w:val="24"/>
                <w:szCs w:val="24"/>
              </w:rPr>
            </w:pPr>
            <w:r>
              <w:rPr>
                <w:rFonts w:hint="eastAsia" w:ascii="宋体" w:hAnsi="宋体" w:eastAsia="宋体" w:cs="宋体"/>
                <w:sz w:val="24"/>
                <w:szCs w:val="24"/>
              </w:rPr>
              <w:t>L</w:t>
            </w:r>
            <w:r>
              <w:rPr>
                <w:rFonts w:hint="eastAsia" w:ascii="宋体" w:hAnsi="宋体" w:eastAsia="宋体" w:cs="宋体"/>
                <w:position w:val="-2"/>
                <w:sz w:val="24"/>
                <w:szCs w:val="24"/>
                <w:vertAlign w:val="subscript"/>
              </w:rPr>
              <w:t>B</w:t>
            </w:r>
            <w:r>
              <w:rPr>
                <w:rFonts w:hint="eastAsia" w:ascii="宋体" w:hAnsi="宋体" w:eastAsia="宋体" w:cs="宋体"/>
                <w:spacing w:val="5"/>
                <w:sz w:val="24"/>
                <w:szCs w:val="24"/>
              </w:rPr>
              <w:t>=0.191×M×[P/（100910</w:t>
            </w:r>
            <w:r>
              <w:rPr>
                <w:rFonts w:hint="eastAsia" w:ascii="宋体" w:hAnsi="宋体" w:eastAsia="宋体" w:cs="宋体"/>
                <w:spacing w:val="5"/>
                <w:sz w:val="24"/>
                <w:szCs w:val="24"/>
                <w:vertAlign w:val="baseline"/>
                <w:lang w:val="en-US" w:eastAsia="zh-CN"/>
              </w:rPr>
              <w:t>-</w:t>
            </w:r>
            <w:r>
              <w:rPr>
                <w:rFonts w:hint="eastAsia" w:ascii="宋体" w:hAnsi="宋体" w:eastAsia="宋体" w:cs="宋体"/>
                <w:spacing w:val="5"/>
                <w:sz w:val="24"/>
                <w:szCs w:val="24"/>
                <w:vertAlign w:val="baseline"/>
              </w:rPr>
              <w:t>P</w:t>
            </w:r>
            <w:r>
              <w:rPr>
                <w:rFonts w:hint="eastAsia" w:ascii="宋体" w:hAnsi="宋体" w:eastAsia="宋体" w:cs="宋体"/>
                <w:spacing w:val="5"/>
                <w:sz w:val="24"/>
                <w:szCs w:val="24"/>
              </w:rPr>
              <w:t>）]</w:t>
            </w:r>
            <w:r>
              <w:rPr>
                <w:rFonts w:hint="eastAsia" w:ascii="宋体" w:hAnsi="宋体" w:eastAsia="宋体" w:cs="宋体"/>
                <w:spacing w:val="5"/>
                <w:sz w:val="24"/>
                <w:szCs w:val="24"/>
                <w:vertAlign w:val="superscript"/>
                <w:lang w:val="en-US" w:eastAsia="zh-CN"/>
              </w:rPr>
              <w:t>0.68</w:t>
            </w:r>
            <w:r>
              <w:rPr>
                <w:rFonts w:hint="eastAsia" w:ascii="宋体" w:hAnsi="宋体" w:eastAsia="宋体" w:cs="宋体"/>
                <w:spacing w:val="4"/>
                <w:sz w:val="24"/>
                <w:szCs w:val="24"/>
              </w:rPr>
              <w:t>×D</w:t>
            </w:r>
            <w:r>
              <w:rPr>
                <w:rFonts w:hint="eastAsia" w:ascii="宋体" w:hAnsi="宋体" w:eastAsia="宋体" w:cs="宋体"/>
                <w:spacing w:val="4"/>
                <w:sz w:val="24"/>
                <w:szCs w:val="24"/>
                <w:vertAlign w:val="superscript"/>
                <w:lang w:val="en-US" w:eastAsia="zh-CN"/>
              </w:rPr>
              <w:t>1.73</w:t>
            </w:r>
            <w:r>
              <w:rPr>
                <w:rFonts w:hint="eastAsia" w:ascii="宋体" w:hAnsi="宋体" w:eastAsia="宋体" w:cs="宋体"/>
                <w:spacing w:val="4"/>
                <w:sz w:val="24"/>
                <w:szCs w:val="24"/>
              </w:rPr>
              <w:t>×H</w:t>
            </w:r>
            <w:r>
              <w:rPr>
                <w:rFonts w:hint="eastAsia" w:ascii="宋体" w:hAnsi="宋体" w:eastAsia="宋体" w:cs="宋体"/>
                <w:spacing w:val="4"/>
                <w:position w:val="5"/>
                <w:sz w:val="24"/>
                <w:szCs w:val="24"/>
              </w:rPr>
              <w:t>0.51</w:t>
            </w:r>
            <w:r>
              <w:rPr>
                <w:rFonts w:hint="eastAsia" w:ascii="宋体" w:hAnsi="宋体" w:eastAsia="宋体" w:cs="宋体"/>
                <w:spacing w:val="4"/>
                <w:sz w:val="24"/>
                <w:szCs w:val="24"/>
              </w:rPr>
              <w:t>×△T</w:t>
            </w:r>
            <w:r>
              <w:rPr>
                <w:rFonts w:hint="eastAsia" w:ascii="宋体" w:hAnsi="宋体" w:eastAsia="宋体" w:cs="宋体"/>
                <w:spacing w:val="4"/>
                <w:position w:val="5"/>
                <w:sz w:val="24"/>
                <w:szCs w:val="24"/>
              </w:rPr>
              <w:t>0.45</w:t>
            </w:r>
            <w:r>
              <w:rPr>
                <w:rFonts w:hint="eastAsia" w:ascii="宋体" w:hAnsi="宋体" w:eastAsia="宋体" w:cs="宋体"/>
                <w:spacing w:val="4"/>
                <w:sz w:val="24"/>
                <w:szCs w:val="24"/>
              </w:rPr>
              <w:t>×</w:t>
            </w:r>
            <w:r>
              <w:rPr>
                <w:rFonts w:hint="eastAsia" w:ascii="宋体" w:hAnsi="宋体" w:eastAsia="宋体" w:cs="宋体"/>
                <w:sz w:val="24"/>
                <w:szCs w:val="24"/>
              </w:rPr>
              <w:t>F</w:t>
            </w:r>
            <w:r>
              <w:rPr>
                <w:rFonts w:hint="eastAsia" w:ascii="宋体" w:hAnsi="宋体" w:eastAsia="宋体" w:cs="宋体"/>
                <w:position w:val="-2"/>
                <w:sz w:val="24"/>
                <w:szCs w:val="24"/>
                <w:vertAlign w:val="subscript"/>
              </w:rPr>
              <w:t>p</w:t>
            </w:r>
            <w:r>
              <w:rPr>
                <w:rFonts w:hint="eastAsia" w:ascii="宋体" w:hAnsi="宋体" w:eastAsia="宋体" w:cs="宋体"/>
                <w:spacing w:val="4"/>
                <w:sz w:val="24"/>
                <w:szCs w:val="24"/>
              </w:rPr>
              <w:t>×C×</w:t>
            </w:r>
            <w:r>
              <w:rPr>
                <w:rFonts w:hint="eastAsia" w:ascii="宋体" w:hAnsi="宋体" w:eastAsia="宋体" w:cs="宋体"/>
                <w:sz w:val="24"/>
                <w:szCs w:val="24"/>
              </w:rPr>
              <w:t xml:space="preserve">Kc </w:t>
            </w:r>
          </w:p>
          <w:p w14:paraId="31DD0282">
            <w:pPr>
              <w:pStyle w:val="52"/>
              <w:keepNext w:val="0"/>
              <w:keepLines w:val="0"/>
              <w:pageBreakBefore w:val="0"/>
              <w:widowControl w:val="0"/>
              <w:kinsoku/>
              <w:wordWrap/>
              <w:overflowPunct/>
              <w:topLinePunct w:val="0"/>
              <w:autoSpaceDE/>
              <w:autoSpaceDN/>
              <w:bidi w:val="0"/>
              <w:adjustRightInd/>
              <w:snapToGrid/>
              <w:spacing w:line="360" w:lineRule="auto"/>
              <w:ind w:right="1486"/>
              <w:textAlignment w:val="auto"/>
              <w:rPr>
                <w:rFonts w:hint="eastAsia" w:ascii="宋体" w:hAnsi="宋体" w:eastAsia="宋体" w:cs="宋体"/>
                <w:sz w:val="24"/>
                <w:szCs w:val="24"/>
              </w:rPr>
            </w:pPr>
            <w:r>
              <w:rPr>
                <w:rFonts w:hint="eastAsia" w:ascii="宋体" w:hAnsi="宋体" w:eastAsia="宋体" w:cs="宋体"/>
                <w:spacing w:val="1"/>
                <w:sz w:val="24"/>
                <w:szCs w:val="24"/>
              </w:rPr>
              <w:t>式中：</w:t>
            </w:r>
          </w:p>
          <w:p w14:paraId="3506B8F7">
            <w:pPr>
              <w:pStyle w:val="52"/>
              <w:keepNext w:val="0"/>
              <w:keepLines w:val="0"/>
              <w:pageBreakBefore w:val="0"/>
              <w:widowControl w:val="0"/>
              <w:kinsoku/>
              <w:wordWrap/>
              <w:overflowPunct/>
              <w:topLinePunct w:val="0"/>
              <w:autoSpaceDE/>
              <w:autoSpaceDN/>
              <w:bidi w:val="0"/>
              <w:adjustRightInd/>
              <w:snapToGrid/>
              <w:spacing w:line="360" w:lineRule="auto"/>
              <w:ind w:left="542"/>
              <w:textAlignment w:val="auto"/>
              <w:rPr>
                <w:rFonts w:hint="eastAsia" w:ascii="宋体" w:hAnsi="宋体" w:eastAsia="宋体" w:cs="宋体"/>
                <w:sz w:val="24"/>
                <w:szCs w:val="24"/>
              </w:rPr>
            </w:pPr>
            <w:r>
              <w:rPr>
                <w:rFonts w:hint="eastAsia" w:ascii="宋体" w:hAnsi="宋体" w:eastAsia="宋体" w:cs="宋体"/>
                <w:sz w:val="24"/>
                <w:szCs w:val="24"/>
              </w:rPr>
              <w:t>L</w:t>
            </w:r>
            <w:r>
              <w:rPr>
                <w:rFonts w:hint="eastAsia" w:ascii="宋体" w:hAnsi="宋体" w:eastAsia="宋体" w:cs="宋体"/>
                <w:position w:val="-1"/>
                <w:sz w:val="24"/>
                <w:szCs w:val="24"/>
                <w:vertAlign w:val="subscript"/>
              </w:rPr>
              <w:t>B</w:t>
            </w:r>
            <w:r>
              <w:rPr>
                <w:rFonts w:hint="eastAsia" w:ascii="宋体" w:hAnsi="宋体" w:eastAsia="宋体" w:cs="宋体"/>
                <w:spacing w:val="9"/>
                <w:sz w:val="24"/>
                <w:szCs w:val="24"/>
              </w:rPr>
              <w:t>—固定顶罐的呼吸排放量（</w:t>
            </w:r>
            <w:r>
              <w:rPr>
                <w:rFonts w:hint="eastAsia" w:ascii="宋体" w:hAnsi="宋体" w:eastAsia="宋体" w:cs="宋体"/>
                <w:sz w:val="24"/>
                <w:szCs w:val="24"/>
              </w:rPr>
              <w:t>kg</w:t>
            </w:r>
            <w:r>
              <w:rPr>
                <w:rFonts w:hint="eastAsia" w:ascii="宋体" w:hAnsi="宋体" w:eastAsia="宋体" w:cs="宋体"/>
                <w:spacing w:val="9"/>
                <w:sz w:val="24"/>
                <w:szCs w:val="24"/>
              </w:rPr>
              <w:t>/a</w:t>
            </w:r>
            <w:r>
              <w:rPr>
                <w:rFonts w:hint="eastAsia" w:ascii="宋体" w:hAnsi="宋体" w:eastAsia="宋体" w:cs="宋体"/>
                <w:spacing w:val="6"/>
                <w:sz w:val="24"/>
                <w:szCs w:val="24"/>
              </w:rPr>
              <w:t>）；</w:t>
            </w:r>
          </w:p>
          <w:p w14:paraId="0D98A38E">
            <w:pPr>
              <w:pStyle w:val="52"/>
              <w:keepNext w:val="0"/>
              <w:keepLines w:val="0"/>
              <w:pageBreakBefore w:val="0"/>
              <w:widowControl w:val="0"/>
              <w:kinsoku/>
              <w:wordWrap/>
              <w:overflowPunct/>
              <w:topLinePunct w:val="0"/>
              <w:autoSpaceDE/>
              <w:autoSpaceDN/>
              <w:bidi w:val="0"/>
              <w:adjustRightInd/>
              <w:snapToGrid/>
              <w:spacing w:line="360" w:lineRule="auto"/>
              <w:ind w:left="542"/>
              <w:textAlignment w:val="auto"/>
              <w:rPr>
                <w:rFonts w:hint="eastAsia" w:ascii="宋体" w:hAnsi="宋体" w:eastAsia="宋体" w:cs="宋体"/>
                <w:sz w:val="24"/>
                <w:szCs w:val="24"/>
              </w:rPr>
            </w:pPr>
            <w:r>
              <w:rPr>
                <w:rFonts w:hint="eastAsia" w:ascii="宋体" w:hAnsi="宋体" w:eastAsia="宋体" w:cs="宋体"/>
                <w:spacing w:val="6"/>
                <w:sz w:val="24"/>
                <w:szCs w:val="24"/>
              </w:rPr>
              <w:t>D—罐的直径（m</w:t>
            </w:r>
            <w:r>
              <w:rPr>
                <w:rFonts w:hint="eastAsia" w:ascii="宋体" w:hAnsi="宋体" w:eastAsia="宋体" w:cs="宋体"/>
                <w:spacing w:val="-17"/>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6"/>
                <w:sz w:val="24"/>
                <w:szCs w:val="24"/>
              </w:rPr>
              <w:t>项目罐体直径为</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3.</w:t>
            </w:r>
            <w:r>
              <w:rPr>
                <w:rFonts w:hint="eastAsia" w:ascii="宋体" w:hAnsi="宋体" w:eastAsia="宋体" w:cs="宋体"/>
                <w:spacing w:val="6"/>
                <w:sz w:val="24"/>
                <w:szCs w:val="24"/>
                <w:lang w:val="en-US" w:eastAsia="zh-CN"/>
              </w:rPr>
              <w:t>9</w:t>
            </w:r>
            <w:r>
              <w:rPr>
                <w:rFonts w:hint="eastAsia" w:ascii="宋体" w:hAnsi="宋体" w:eastAsia="宋体" w:cs="宋体"/>
                <w:spacing w:val="6"/>
                <w:sz w:val="24"/>
                <w:szCs w:val="24"/>
              </w:rPr>
              <w:t>m；</w:t>
            </w:r>
          </w:p>
          <w:p w14:paraId="0D7D4F2E">
            <w:pPr>
              <w:pStyle w:val="52"/>
              <w:keepNext w:val="0"/>
              <w:keepLines w:val="0"/>
              <w:pageBreakBefore w:val="0"/>
              <w:widowControl w:val="0"/>
              <w:kinsoku/>
              <w:wordWrap/>
              <w:overflowPunct/>
              <w:topLinePunct w:val="0"/>
              <w:autoSpaceDE/>
              <w:autoSpaceDN/>
              <w:bidi w:val="0"/>
              <w:adjustRightInd/>
              <w:snapToGrid/>
              <w:spacing w:line="360" w:lineRule="auto"/>
              <w:ind w:left="542"/>
              <w:textAlignment w:val="auto"/>
              <w:rPr>
                <w:rFonts w:hint="eastAsia" w:ascii="宋体" w:hAnsi="宋体" w:eastAsia="宋体" w:cs="宋体"/>
                <w:sz w:val="24"/>
                <w:szCs w:val="24"/>
              </w:rPr>
            </w:pPr>
            <w:r>
              <w:rPr>
                <w:rFonts w:hint="eastAsia" w:ascii="宋体" w:hAnsi="宋体" w:eastAsia="宋体" w:cs="宋体"/>
                <w:spacing w:val="7"/>
                <w:sz w:val="24"/>
                <w:szCs w:val="24"/>
              </w:rPr>
              <w:t>H—平均蒸汽空间高度（m</w:t>
            </w:r>
            <w:r>
              <w:rPr>
                <w:rFonts w:hint="eastAsia" w:ascii="宋体" w:hAnsi="宋体" w:eastAsia="宋体" w:cs="宋体"/>
                <w:spacing w:val="-19"/>
                <w:sz w:val="24"/>
                <w:szCs w:val="24"/>
              </w:rPr>
              <w:t xml:space="preserve"> </w:t>
            </w:r>
            <w:r>
              <w:rPr>
                <w:rFonts w:hint="eastAsia" w:ascii="宋体" w:hAnsi="宋体" w:eastAsia="宋体" w:cs="宋体"/>
                <w:sz w:val="24"/>
                <w:szCs w:val="24"/>
              </w:rPr>
              <w:t>），</w:t>
            </w:r>
            <w:r>
              <w:rPr>
                <w:rFonts w:hint="eastAsia" w:ascii="宋体" w:hAnsi="宋体" w:eastAsia="宋体" w:cs="宋体"/>
                <w:spacing w:val="7"/>
                <w:sz w:val="24"/>
                <w:szCs w:val="24"/>
              </w:rPr>
              <w:t>按平均充装率</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80%计算</w:t>
            </w:r>
            <w:r>
              <w:rPr>
                <w:rFonts w:hint="eastAsia" w:ascii="宋体" w:hAnsi="宋体" w:eastAsia="宋体" w:cs="宋体"/>
                <w:spacing w:val="6"/>
                <w:sz w:val="24"/>
                <w:szCs w:val="24"/>
              </w:rPr>
              <w:t>，本次取</w:t>
            </w:r>
            <w:r>
              <w:rPr>
                <w:rFonts w:hint="eastAsia" w:ascii="宋体" w:hAnsi="宋体" w:eastAsia="宋体" w:cs="宋体"/>
                <w:spacing w:val="-21"/>
                <w:sz w:val="24"/>
                <w:szCs w:val="24"/>
              </w:rPr>
              <w:t xml:space="preserve"> </w:t>
            </w:r>
            <w:r>
              <w:rPr>
                <w:rFonts w:hint="eastAsia" w:ascii="宋体" w:hAnsi="宋体" w:eastAsia="宋体" w:cs="宋体"/>
                <w:spacing w:val="6"/>
                <w:sz w:val="24"/>
                <w:szCs w:val="24"/>
              </w:rPr>
              <w:t>1.6m；</w:t>
            </w:r>
          </w:p>
          <w:p w14:paraId="16FAC7DF">
            <w:pPr>
              <w:pStyle w:val="52"/>
              <w:keepNext w:val="0"/>
              <w:keepLines w:val="0"/>
              <w:pageBreakBefore w:val="0"/>
              <w:widowControl w:val="0"/>
              <w:kinsoku/>
              <w:wordWrap/>
              <w:overflowPunct/>
              <w:topLinePunct w:val="0"/>
              <w:autoSpaceDE/>
              <w:autoSpaceDN/>
              <w:bidi w:val="0"/>
              <w:adjustRightInd/>
              <w:snapToGrid/>
              <w:spacing w:line="360" w:lineRule="auto"/>
              <w:ind w:firstLine="492" w:firstLineChars="200"/>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△T—1天之内的平均温度差 (℃)</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,取</w:t>
            </w:r>
            <w:r>
              <w:rPr>
                <w:rFonts w:hint="eastAsia" w:ascii="宋体" w:hAnsi="宋体" w:eastAsia="宋体" w:cs="宋体"/>
                <w:spacing w:val="-2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3"/>
                <w:sz w:val="24"/>
                <w:szCs w:val="24"/>
                <w:lang w:eastAsia="zh-CN"/>
              </w:rPr>
              <w:t>；</w:t>
            </w:r>
          </w:p>
          <w:p w14:paraId="5D897D68">
            <w:pPr>
              <w:pStyle w:val="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position w:val="-1"/>
                <w:sz w:val="24"/>
                <w:szCs w:val="24"/>
                <w:vertAlign w:val="subscript"/>
              </w:rPr>
              <w:t>P</w:t>
            </w:r>
            <w:r>
              <w:rPr>
                <w:rFonts w:hint="eastAsia" w:ascii="宋体" w:hAnsi="宋体" w:eastAsia="宋体" w:cs="宋体"/>
                <w:spacing w:val="6"/>
                <w:sz w:val="24"/>
                <w:szCs w:val="24"/>
              </w:rPr>
              <w:t>—涂层因子（无量纲</w:t>
            </w:r>
            <w:r>
              <w:rPr>
                <w:rFonts w:hint="eastAsia" w:ascii="宋体" w:hAnsi="宋体" w:eastAsia="宋体" w:cs="宋体"/>
                <w:spacing w:val="16"/>
                <w:sz w:val="24"/>
                <w:szCs w:val="24"/>
              </w:rPr>
              <w:t>），</w:t>
            </w:r>
            <w:r>
              <w:rPr>
                <w:rFonts w:hint="eastAsia" w:ascii="宋体" w:hAnsi="宋体" w:eastAsia="宋体" w:cs="宋体"/>
                <w:spacing w:val="6"/>
                <w:sz w:val="24"/>
                <w:szCs w:val="24"/>
              </w:rPr>
              <w:t>取值在1～1.5之间，</w:t>
            </w:r>
            <w:r>
              <w:rPr>
                <w:rFonts w:hint="eastAsia" w:ascii="宋体" w:hAnsi="宋体" w:eastAsia="宋体" w:cs="宋体"/>
                <w:spacing w:val="5"/>
                <w:sz w:val="24"/>
                <w:szCs w:val="24"/>
              </w:rPr>
              <w:t>本次取</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1.0；</w:t>
            </w:r>
          </w:p>
          <w:p w14:paraId="7EC9E390">
            <w:pPr>
              <w:pStyle w:val="52"/>
              <w:keepNext w:val="0"/>
              <w:keepLines w:val="0"/>
              <w:pageBreakBefore w:val="0"/>
              <w:widowControl w:val="0"/>
              <w:kinsoku/>
              <w:wordWrap/>
              <w:overflowPunct/>
              <w:topLinePunct w:val="0"/>
              <w:autoSpaceDE/>
              <w:autoSpaceDN/>
              <w:bidi w:val="0"/>
              <w:adjustRightInd/>
              <w:snapToGrid/>
              <w:spacing w:line="360" w:lineRule="auto"/>
              <w:ind w:left="113" w:right="58" w:firstLine="432"/>
              <w:textAlignment w:val="auto"/>
              <w:rPr>
                <w:rFonts w:hint="eastAsia" w:ascii="宋体" w:hAnsi="宋体" w:eastAsia="宋体" w:cs="宋体"/>
                <w:sz w:val="24"/>
                <w:szCs w:val="24"/>
              </w:rPr>
            </w:pPr>
            <w:r>
              <w:rPr>
                <w:rFonts w:hint="eastAsia" w:ascii="宋体" w:hAnsi="宋体" w:eastAsia="宋体" w:cs="宋体"/>
                <w:spacing w:val="4"/>
                <w:sz w:val="24"/>
                <w:szCs w:val="24"/>
              </w:rPr>
              <w:t>C—用于小直径罐的调节因子（无量纲</w:t>
            </w:r>
            <w:r>
              <w:rPr>
                <w:rFonts w:hint="eastAsia" w:ascii="宋体" w:hAnsi="宋体" w:eastAsia="宋体" w:cs="宋体"/>
                <w:spacing w:val="-10"/>
                <w:sz w:val="24"/>
                <w:szCs w:val="24"/>
              </w:rPr>
              <w:t>）；</w:t>
            </w:r>
            <w:r>
              <w:rPr>
                <w:rFonts w:hint="eastAsia" w:ascii="宋体" w:hAnsi="宋体" w:eastAsia="宋体" w:cs="宋体"/>
                <w:spacing w:val="4"/>
                <w:sz w:val="24"/>
                <w:szCs w:val="24"/>
              </w:rPr>
              <w:t>直径在</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0～9m之间的罐体，C=1-0.0123(D-9)</w:t>
            </w:r>
            <w:r>
              <w:rPr>
                <w:rFonts w:hint="eastAsia" w:ascii="宋体" w:hAnsi="宋体" w:eastAsia="宋体" w:cs="宋体"/>
                <w:spacing w:val="4"/>
                <w:sz w:val="24"/>
                <w:szCs w:val="24"/>
                <w:vertAlign w:val="superscript"/>
                <w:lang w:val="en-US" w:eastAsia="zh-CN"/>
              </w:rPr>
              <w:t>2</w:t>
            </w:r>
            <w:r>
              <w:rPr>
                <w:rFonts w:hint="eastAsia" w:ascii="宋体" w:hAnsi="宋体" w:eastAsia="宋体" w:cs="宋体"/>
                <w:spacing w:val="4"/>
                <w:sz w:val="24"/>
                <w:szCs w:val="24"/>
              </w:rPr>
              <w:t>；</w:t>
            </w:r>
            <w:r>
              <w:rPr>
                <w:rFonts w:hint="eastAsia" w:ascii="宋体" w:hAnsi="宋体" w:eastAsia="宋体" w:cs="宋体"/>
                <w:sz w:val="24"/>
                <w:szCs w:val="24"/>
              </w:rPr>
              <w:t xml:space="preserve"> </w:t>
            </w:r>
            <w:r>
              <w:rPr>
                <w:rFonts w:hint="eastAsia" w:ascii="宋体" w:hAnsi="宋体" w:eastAsia="宋体" w:cs="宋体"/>
                <w:spacing w:val="2"/>
                <w:sz w:val="24"/>
                <w:szCs w:val="24"/>
              </w:rPr>
              <w:t>罐径大于</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9m的</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C=</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。项目罐体直径</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3.8</w:t>
            </w:r>
            <w:r>
              <w:rPr>
                <w:rFonts w:hint="eastAsia" w:ascii="宋体" w:hAnsi="宋体" w:eastAsia="宋体" w:cs="宋体"/>
                <w:spacing w:val="1"/>
                <w:sz w:val="24"/>
                <w:szCs w:val="24"/>
              </w:rPr>
              <w:t>m，则</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C为</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0.67。</w:t>
            </w:r>
          </w:p>
          <w:p w14:paraId="4D14A7FA">
            <w:pPr>
              <w:pStyle w:val="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Kc</w:t>
            </w:r>
            <w:r>
              <w:rPr>
                <w:rFonts w:hint="eastAsia" w:ascii="宋体" w:hAnsi="宋体" w:eastAsia="宋体" w:cs="宋体"/>
                <w:spacing w:val="6"/>
                <w:sz w:val="24"/>
                <w:szCs w:val="24"/>
              </w:rPr>
              <w:t>—产品因子（石油原油</w:t>
            </w:r>
            <w:r>
              <w:rPr>
                <w:rFonts w:hint="eastAsia" w:ascii="宋体" w:hAnsi="宋体" w:eastAsia="宋体" w:cs="宋体"/>
                <w:spacing w:val="-36"/>
                <w:sz w:val="24"/>
                <w:szCs w:val="24"/>
              </w:rPr>
              <w:t xml:space="preserve"> </w:t>
            </w:r>
            <w:r>
              <w:rPr>
                <w:rFonts w:hint="eastAsia" w:ascii="宋体" w:hAnsi="宋体" w:eastAsia="宋体" w:cs="宋体"/>
                <w:sz w:val="24"/>
                <w:szCs w:val="24"/>
              </w:rPr>
              <w:t>Kc</w:t>
            </w:r>
            <w:r>
              <w:rPr>
                <w:rFonts w:hint="eastAsia" w:ascii="宋体" w:hAnsi="宋体" w:eastAsia="宋体" w:cs="宋体"/>
                <w:spacing w:val="6"/>
                <w:sz w:val="24"/>
                <w:szCs w:val="24"/>
              </w:rPr>
              <w:t>取</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0.65,其他液体</w:t>
            </w:r>
            <w:r>
              <w:rPr>
                <w:rFonts w:hint="eastAsia" w:ascii="宋体" w:hAnsi="宋体" w:eastAsia="宋体" w:cs="宋体"/>
                <w:spacing w:val="-41"/>
                <w:sz w:val="24"/>
                <w:szCs w:val="24"/>
              </w:rPr>
              <w:t xml:space="preserve"> </w:t>
            </w:r>
            <w:r>
              <w:rPr>
                <w:rFonts w:hint="eastAsia" w:ascii="宋体" w:hAnsi="宋体" w:eastAsia="宋体" w:cs="宋体"/>
                <w:sz w:val="24"/>
                <w:szCs w:val="24"/>
              </w:rPr>
              <w:t>Kc</w:t>
            </w:r>
            <w:r>
              <w:rPr>
                <w:rFonts w:hint="eastAsia" w:ascii="宋体" w:hAnsi="宋体" w:eastAsia="宋体" w:cs="宋体"/>
                <w:spacing w:val="6"/>
                <w:sz w:val="24"/>
                <w:szCs w:val="24"/>
              </w:rPr>
              <w:t>取</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1.0）,本次取</w:t>
            </w:r>
            <w:r>
              <w:rPr>
                <w:rFonts w:hint="eastAsia" w:ascii="宋体" w:hAnsi="宋体" w:eastAsia="宋体" w:cs="宋体"/>
                <w:spacing w:val="-21"/>
                <w:sz w:val="24"/>
                <w:szCs w:val="24"/>
              </w:rPr>
              <w:t xml:space="preserve"> </w:t>
            </w:r>
            <w:r>
              <w:rPr>
                <w:rFonts w:hint="eastAsia" w:ascii="宋体" w:hAnsi="宋体" w:eastAsia="宋体" w:cs="宋体"/>
                <w:spacing w:val="6"/>
                <w:sz w:val="24"/>
                <w:szCs w:val="24"/>
              </w:rPr>
              <w:t>1.0。</w:t>
            </w:r>
          </w:p>
          <w:p w14:paraId="72593305">
            <w:pPr>
              <w:pStyle w:val="52"/>
              <w:keepNext w:val="0"/>
              <w:keepLines w:val="0"/>
              <w:pageBreakBefore w:val="0"/>
              <w:widowControl w:val="0"/>
              <w:kinsoku/>
              <w:wordWrap/>
              <w:overflowPunct/>
              <w:topLinePunct w:val="0"/>
              <w:autoSpaceDE/>
              <w:autoSpaceDN/>
              <w:bidi w:val="0"/>
              <w:adjustRightInd/>
              <w:snapToGrid/>
              <w:spacing w:line="360" w:lineRule="auto"/>
              <w:ind w:left="593"/>
              <w:jc w:val="left"/>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rPr>
              <w:t>经计算可知，本项目罐区</w:t>
            </w:r>
            <w:r>
              <w:rPr>
                <w:rFonts w:hint="eastAsia" w:ascii="宋体" w:hAnsi="宋体" w:eastAsia="宋体" w:cs="宋体"/>
                <w:spacing w:val="6"/>
                <w:sz w:val="24"/>
                <w:szCs w:val="24"/>
                <w:lang w:val="en-US" w:eastAsia="zh-CN"/>
              </w:rPr>
              <w:t>小呼吸</w:t>
            </w:r>
            <w:r>
              <w:rPr>
                <w:rFonts w:hint="eastAsia" w:ascii="宋体" w:hAnsi="宋体" w:eastAsia="宋体" w:cs="宋体"/>
                <w:spacing w:val="6"/>
                <w:sz w:val="24"/>
                <w:szCs w:val="24"/>
              </w:rPr>
              <w:t>硫酸雾排放量为</w:t>
            </w:r>
            <w:r>
              <w:rPr>
                <w:rFonts w:hint="eastAsia" w:ascii="宋体" w:hAnsi="宋体" w:eastAsia="宋体" w:cs="宋体"/>
                <w:spacing w:val="-27"/>
                <w:sz w:val="24"/>
                <w:szCs w:val="24"/>
              </w:rPr>
              <w:t xml:space="preserve"> </w:t>
            </w:r>
            <w:r>
              <w:rPr>
                <w:rFonts w:hint="eastAsia" w:ascii="宋体" w:hAnsi="宋体" w:eastAsia="宋体" w:cs="宋体"/>
                <w:spacing w:val="6"/>
                <w:sz w:val="24"/>
                <w:szCs w:val="24"/>
              </w:rPr>
              <w:t>0.</w:t>
            </w:r>
            <w:r>
              <w:rPr>
                <w:rFonts w:hint="eastAsia" w:ascii="宋体" w:hAnsi="宋体" w:eastAsia="宋体" w:cs="宋体"/>
                <w:spacing w:val="6"/>
                <w:sz w:val="24"/>
                <w:szCs w:val="24"/>
                <w:lang w:val="en-US" w:eastAsia="zh-CN"/>
              </w:rPr>
              <w:t>04</w:t>
            </w:r>
            <w:r>
              <w:rPr>
                <w:rFonts w:hint="eastAsia" w:ascii="宋体" w:hAnsi="宋体" w:eastAsia="宋体" w:cs="宋体"/>
                <w:spacing w:val="6"/>
                <w:sz w:val="24"/>
                <w:szCs w:val="24"/>
              </w:rPr>
              <w:t>t/a</w:t>
            </w:r>
            <w:r>
              <w:rPr>
                <w:rFonts w:hint="eastAsia" w:ascii="宋体" w:hAnsi="宋体" w:eastAsia="宋体" w:cs="宋体"/>
                <w:spacing w:val="6"/>
                <w:sz w:val="24"/>
                <w:szCs w:val="24"/>
                <w:lang w:eastAsia="zh-CN"/>
              </w:rPr>
              <w:t>。</w:t>
            </w:r>
          </w:p>
          <w:p w14:paraId="3150F090">
            <w:pPr>
              <w:pStyle w:val="52"/>
              <w:keepNext w:val="0"/>
              <w:keepLines w:val="0"/>
              <w:pageBreakBefore w:val="0"/>
              <w:widowControl w:val="0"/>
              <w:kinsoku/>
              <w:wordWrap/>
              <w:overflowPunct/>
              <w:topLinePunct w:val="0"/>
              <w:autoSpaceDE/>
              <w:autoSpaceDN/>
              <w:bidi w:val="0"/>
              <w:adjustRightInd/>
              <w:snapToGrid/>
              <w:spacing w:line="360" w:lineRule="auto"/>
              <w:ind w:left="593"/>
              <w:jc w:val="left"/>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rPr>
              <w:t>罐区</w:t>
            </w:r>
            <w:r>
              <w:rPr>
                <w:rFonts w:hint="eastAsia" w:ascii="宋体" w:hAnsi="宋体" w:eastAsia="宋体" w:cs="宋体"/>
                <w:spacing w:val="6"/>
                <w:sz w:val="24"/>
                <w:szCs w:val="24"/>
                <w:lang w:val="en-US" w:eastAsia="zh-CN"/>
              </w:rPr>
              <w:t>无组织排放总量为0.11</w:t>
            </w:r>
            <w:r>
              <w:rPr>
                <w:rFonts w:hint="eastAsia" w:ascii="宋体" w:hAnsi="宋体" w:eastAsia="宋体" w:cs="宋体"/>
                <w:spacing w:val="6"/>
                <w:sz w:val="24"/>
                <w:szCs w:val="24"/>
              </w:rPr>
              <w:t>t/a</w:t>
            </w:r>
            <w:r>
              <w:rPr>
                <w:rFonts w:hint="eastAsia" w:ascii="宋体" w:hAnsi="宋体" w:eastAsia="宋体" w:cs="宋体"/>
                <w:spacing w:val="6"/>
                <w:sz w:val="24"/>
                <w:szCs w:val="24"/>
                <w:lang w:eastAsia="zh-CN"/>
              </w:rPr>
              <w:t>。</w:t>
            </w:r>
          </w:p>
          <w:p w14:paraId="587259B5">
            <w:pPr>
              <w:pStyle w:val="52"/>
              <w:keepNext w:val="0"/>
              <w:keepLines w:val="0"/>
              <w:pageBreakBefore w:val="0"/>
              <w:widowControl w:val="0"/>
              <w:kinsoku/>
              <w:wordWrap/>
              <w:overflowPunct/>
              <w:topLinePunct w:val="0"/>
              <w:autoSpaceDE/>
              <w:autoSpaceDN/>
              <w:bidi w:val="0"/>
              <w:adjustRightInd/>
              <w:snapToGrid/>
              <w:spacing w:line="360" w:lineRule="auto"/>
              <w:ind w:left="530"/>
              <w:textAlignment w:val="auto"/>
              <w:rPr>
                <w:rFonts w:hint="eastAsia" w:ascii="宋体" w:hAnsi="宋体" w:eastAsia="宋体" w:cs="宋体"/>
                <w:b/>
                <w:bCs/>
                <w:spacing w:val="8"/>
                <w:sz w:val="24"/>
                <w:szCs w:val="24"/>
              </w:rPr>
            </w:pPr>
            <w:r>
              <w:rPr>
                <w:rFonts w:hint="eastAsia" w:ascii="宋体" w:hAnsi="宋体" w:eastAsia="宋体" w:cs="宋体"/>
                <w:b/>
                <w:bCs/>
                <w:spacing w:val="8"/>
                <w:sz w:val="24"/>
                <w:szCs w:val="24"/>
              </w:rPr>
              <w:t>⑤</w:t>
            </w:r>
            <w:r>
              <w:rPr>
                <w:rFonts w:hint="eastAsia" w:cs="宋体"/>
                <w:b/>
                <w:bCs/>
                <w:spacing w:val="8"/>
                <w:sz w:val="24"/>
                <w:szCs w:val="24"/>
                <w:lang w:eastAsia="zh-CN"/>
              </w:rPr>
              <w:t>其他</w:t>
            </w:r>
            <w:r>
              <w:rPr>
                <w:rFonts w:hint="eastAsia" w:ascii="宋体" w:hAnsi="宋体" w:eastAsia="宋体" w:cs="宋体"/>
                <w:b/>
                <w:bCs/>
                <w:spacing w:val="8"/>
                <w:sz w:val="24"/>
                <w:szCs w:val="24"/>
              </w:rPr>
              <w:t>无组织硫酸雾</w:t>
            </w:r>
          </w:p>
          <w:p w14:paraId="1C3AA0C8">
            <w:pPr>
              <w:pStyle w:val="52"/>
              <w:keepNext w:val="0"/>
              <w:keepLines w:val="0"/>
              <w:pageBreakBefore w:val="0"/>
              <w:widowControl w:val="0"/>
              <w:kinsoku/>
              <w:wordWrap/>
              <w:overflowPunct/>
              <w:topLinePunct w:val="0"/>
              <w:autoSpaceDE/>
              <w:autoSpaceDN/>
              <w:bidi w:val="0"/>
              <w:adjustRightInd/>
              <w:snapToGrid/>
              <w:spacing w:line="360" w:lineRule="auto"/>
              <w:ind w:firstLine="516" w:firstLineChars="200"/>
              <w:textAlignment w:val="auto"/>
              <w:rPr>
                <w:rFonts w:hint="eastAsia" w:ascii="宋体" w:hAnsi="宋体" w:eastAsia="宋体" w:cs="宋体"/>
                <w:spacing w:val="10"/>
                <w:sz w:val="24"/>
                <w:szCs w:val="24"/>
              </w:rPr>
            </w:pPr>
            <w:r>
              <w:rPr>
                <w:rFonts w:hint="eastAsia" w:ascii="宋体" w:hAnsi="宋体" w:eastAsia="宋体" w:cs="宋体"/>
                <w:spacing w:val="9"/>
                <w:sz w:val="24"/>
                <w:szCs w:val="24"/>
              </w:rPr>
              <w:t>主要是设备区静密闭性泄漏</w:t>
            </w:r>
            <w:r>
              <w:rPr>
                <w:rFonts w:hint="eastAsia" w:ascii="宋体" w:hAnsi="宋体" w:eastAsia="宋体" w:cs="宋体"/>
                <w:spacing w:val="9"/>
                <w:sz w:val="24"/>
                <w:szCs w:val="24"/>
                <w:lang w:val="en-US" w:eastAsia="zh-CN"/>
              </w:rPr>
              <w:t>以及搅拌罐加入水时产生少量的酸雾</w:t>
            </w:r>
            <w:r>
              <w:rPr>
                <w:rFonts w:hint="eastAsia" w:cs="宋体"/>
                <w:spacing w:val="9"/>
                <w:sz w:val="24"/>
                <w:szCs w:val="24"/>
                <w:lang w:val="en-US" w:eastAsia="zh-CN"/>
              </w:rPr>
              <w:t>等其他工序</w:t>
            </w:r>
            <w:r>
              <w:rPr>
                <w:rFonts w:hint="eastAsia" w:ascii="宋体" w:hAnsi="宋体" w:eastAsia="宋体" w:cs="宋体"/>
                <w:spacing w:val="9"/>
                <w:sz w:val="24"/>
                <w:szCs w:val="24"/>
              </w:rPr>
              <w:t>，</w:t>
            </w:r>
            <w:r>
              <w:rPr>
                <w:rFonts w:hint="eastAsia" w:ascii="宋体" w:hAnsi="宋体" w:eastAsia="宋体" w:cs="宋体"/>
                <w:spacing w:val="10"/>
                <w:sz w:val="24"/>
                <w:szCs w:val="24"/>
              </w:rPr>
              <w:t>在正常情况下，明显的</w:t>
            </w:r>
            <w:r>
              <w:rPr>
                <w:rFonts w:hint="eastAsia" w:ascii="宋体" w:hAnsi="宋体" w:eastAsia="宋体" w:cs="宋体"/>
                <w:spacing w:val="9"/>
                <w:sz w:val="24"/>
                <w:szCs w:val="24"/>
              </w:rPr>
              <w:t>跑冒滴漏现象不会发生，但随着</w:t>
            </w:r>
            <w:r>
              <w:rPr>
                <w:rFonts w:hint="eastAsia" w:ascii="宋体" w:hAnsi="宋体" w:eastAsia="宋体" w:cs="宋体"/>
                <w:spacing w:val="10"/>
                <w:sz w:val="24"/>
                <w:szCs w:val="24"/>
              </w:rPr>
              <w:t>运行时间的增加，设备零部件的腐蚀、损耗增加，要完全消除物</w:t>
            </w:r>
            <w:r>
              <w:rPr>
                <w:rFonts w:hint="eastAsia" w:ascii="宋体" w:hAnsi="宋体" w:eastAsia="宋体" w:cs="宋体"/>
                <w:spacing w:val="9"/>
                <w:sz w:val="24"/>
                <w:szCs w:val="24"/>
              </w:rPr>
              <w:t>料的泄漏是不可能的。因此</w:t>
            </w:r>
            <w:r>
              <w:rPr>
                <w:rFonts w:hint="eastAsia" w:ascii="宋体" w:hAnsi="宋体" w:eastAsia="宋体" w:cs="宋体"/>
                <w:spacing w:val="10"/>
                <w:sz w:val="24"/>
                <w:szCs w:val="24"/>
              </w:rPr>
              <w:t>发生泄漏的随机性较大。泄漏的发生取决于生产流程中设备和管</w:t>
            </w:r>
            <w:r>
              <w:rPr>
                <w:rFonts w:hint="eastAsia" w:ascii="宋体" w:hAnsi="宋体" w:eastAsia="宋体" w:cs="宋体"/>
                <w:spacing w:val="9"/>
                <w:sz w:val="24"/>
                <w:szCs w:val="24"/>
              </w:rPr>
              <w:t>件的密封程度，以及操作介</w:t>
            </w:r>
            <w:r>
              <w:rPr>
                <w:rFonts w:hint="eastAsia" w:ascii="宋体" w:hAnsi="宋体" w:eastAsia="宋体" w:cs="宋体"/>
                <w:spacing w:val="10"/>
                <w:sz w:val="24"/>
                <w:szCs w:val="24"/>
              </w:rPr>
              <w:t>质和操作工艺条件，如操作温度、压力等。</w:t>
            </w:r>
          </w:p>
          <w:p w14:paraId="0BAFB761">
            <w:pPr>
              <w:pStyle w:val="52"/>
              <w:keepNext w:val="0"/>
              <w:keepLines w:val="0"/>
              <w:pageBreakBefore w:val="0"/>
              <w:widowControl w:val="0"/>
              <w:kinsoku/>
              <w:wordWrap/>
              <w:overflowPunct/>
              <w:topLinePunct w:val="0"/>
              <w:autoSpaceDE/>
              <w:autoSpaceDN/>
              <w:bidi w:val="0"/>
              <w:adjustRightInd/>
              <w:snapToGrid/>
              <w:spacing w:line="360" w:lineRule="auto"/>
              <w:ind w:firstLine="524" w:firstLineChars="200"/>
              <w:textAlignment w:val="auto"/>
              <w:rPr>
                <w:rFonts w:hint="eastAsia" w:ascii="宋体" w:hAnsi="宋体" w:eastAsia="宋体" w:cs="宋体"/>
                <w:spacing w:val="6"/>
                <w:sz w:val="24"/>
                <w:szCs w:val="24"/>
              </w:rPr>
            </w:pPr>
            <w:r>
              <w:rPr>
                <w:rFonts w:hint="eastAsia" w:ascii="宋体" w:hAnsi="宋体" w:eastAsia="宋体" w:cs="宋体"/>
                <w:spacing w:val="11"/>
                <w:sz w:val="24"/>
                <w:szCs w:val="24"/>
              </w:rPr>
              <w:t>本项目静密封泄漏率</w:t>
            </w:r>
            <w:r>
              <w:rPr>
                <w:rFonts w:hint="eastAsia" w:ascii="宋体" w:hAnsi="宋体" w:eastAsia="宋体" w:cs="宋体"/>
                <w:spacing w:val="11"/>
                <w:sz w:val="24"/>
                <w:szCs w:val="24"/>
                <w:lang w:val="en-US" w:eastAsia="zh-CN"/>
              </w:rPr>
              <w:t>以及搅拌</w:t>
            </w:r>
            <w:r>
              <w:rPr>
                <w:rFonts w:hint="eastAsia" w:ascii="宋体" w:hAnsi="宋体" w:eastAsia="宋体" w:cs="宋体"/>
                <w:spacing w:val="11"/>
                <w:sz w:val="24"/>
                <w:szCs w:val="24"/>
              </w:rPr>
              <w:t>过程中无组织硫酸雾废气的泄漏量按用量的十万分之一进行</w:t>
            </w:r>
            <w:r>
              <w:rPr>
                <w:rFonts w:hint="eastAsia" w:ascii="宋体" w:hAnsi="宋体" w:eastAsia="宋体" w:cs="宋体"/>
                <w:spacing w:val="7"/>
                <w:sz w:val="24"/>
                <w:szCs w:val="24"/>
              </w:rPr>
              <w:t>计算，则本项目生产车间内无组织硫酸雾废气排放量为</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0.</w:t>
            </w:r>
            <w:r>
              <w:rPr>
                <w:rFonts w:hint="eastAsia" w:ascii="宋体" w:hAnsi="宋体" w:eastAsia="宋体" w:cs="宋体"/>
                <w:spacing w:val="7"/>
                <w:sz w:val="24"/>
                <w:szCs w:val="24"/>
                <w:lang w:val="en-US" w:eastAsia="zh-CN"/>
              </w:rPr>
              <w:t>0625</w:t>
            </w:r>
            <w:r>
              <w:rPr>
                <w:rFonts w:hint="eastAsia" w:ascii="宋体" w:hAnsi="宋体" w:eastAsia="宋体" w:cs="宋体"/>
                <w:sz w:val="24"/>
                <w:szCs w:val="24"/>
              </w:rPr>
              <w:t>kg</w:t>
            </w:r>
            <w:r>
              <w:rPr>
                <w:rFonts w:hint="eastAsia" w:ascii="宋体" w:hAnsi="宋体" w:eastAsia="宋体" w:cs="宋体"/>
                <w:spacing w:val="7"/>
                <w:sz w:val="24"/>
                <w:szCs w:val="24"/>
              </w:rPr>
              <w:t>/h（0</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045</w:t>
            </w:r>
            <w:r>
              <w:rPr>
                <w:rFonts w:hint="eastAsia" w:ascii="宋体" w:hAnsi="宋体" w:eastAsia="宋体" w:cs="宋体"/>
                <w:spacing w:val="6"/>
                <w:sz w:val="24"/>
                <w:szCs w:val="24"/>
              </w:rPr>
              <w:t>t/a）。</w:t>
            </w:r>
          </w:p>
          <w:p w14:paraId="0864B2BF">
            <w:pPr>
              <w:pStyle w:val="52"/>
              <w:keepNext w:val="0"/>
              <w:keepLines w:val="0"/>
              <w:pageBreakBefore w:val="0"/>
              <w:widowControl w:val="0"/>
              <w:numPr>
                <w:ilvl w:val="0"/>
                <w:numId w:val="5"/>
              </w:numPr>
              <w:kinsoku/>
              <w:wordWrap/>
              <w:overflowPunct/>
              <w:topLinePunct w:val="0"/>
              <w:autoSpaceDE/>
              <w:autoSpaceDN/>
              <w:bidi w:val="0"/>
              <w:adjustRightInd/>
              <w:snapToGrid/>
              <w:spacing w:line="360" w:lineRule="auto"/>
              <w:ind w:left="113" w:right="130" w:firstLine="425"/>
              <w:jc w:val="both"/>
              <w:textAlignment w:val="auto"/>
              <w:rPr>
                <w:rFonts w:ascii="宋体" w:hAnsi="宋体" w:eastAsia="宋体" w:cs="宋体"/>
                <w:b/>
                <w:bCs/>
                <w:spacing w:val="7"/>
                <w:sz w:val="24"/>
                <w:szCs w:val="24"/>
              </w:rPr>
            </w:pPr>
            <w:r>
              <w:rPr>
                <w:rFonts w:hint="eastAsia" w:cs="宋体"/>
                <w:b/>
                <w:bCs/>
                <w:spacing w:val="7"/>
                <w:sz w:val="24"/>
                <w:szCs w:val="24"/>
                <w:lang w:val="en-US" w:eastAsia="zh-CN"/>
              </w:rPr>
              <w:t>污染防治措施及</w:t>
            </w:r>
            <w:r>
              <w:rPr>
                <w:rFonts w:ascii="宋体" w:hAnsi="宋体" w:eastAsia="宋体" w:cs="宋体"/>
                <w:b/>
                <w:bCs/>
                <w:spacing w:val="7"/>
                <w:sz w:val="24"/>
                <w:szCs w:val="24"/>
              </w:rPr>
              <w:t>达标分析</w:t>
            </w:r>
          </w:p>
          <w:p w14:paraId="0D170526">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left="538" w:leftChars="0" w:right="130" w:rightChars="0"/>
              <w:jc w:val="both"/>
              <w:textAlignment w:val="auto"/>
              <w:rPr>
                <w:rFonts w:hint="default" w:ascii="宋体" w:hAnsi="宋体" w:eastAsia="宋体" w:cs="宋体"/>
                <w:b/>
                <w:bCs/>
                <w:spacing w:val="7"/>
                <w:sz w:val="24"/>
                <w:szCs w:val="24"/>
                <w:lang w:val="en-US" w:eastAsia="zh-CN"/>
              </w:rPr>
            </w:pPr>
            <w:r>
              <w:rPr>
                <w:rFonts w:hint="eastAsia" w:cs="宋体"/>
                <w:b/>
                <w:bCs/>
                <w:spacing w:val="7"/>
                <w:sz w:val="24"/>
                <w:szCs w:val="24"/>
                <w:lang w:eastAsia="zh-CN"/>
              </w:rPr>
              <w:t>（</w:t>
            </w:r>
            <w:r>
              <w:rPr>
                <w:rFonts w:hint="eastAsia" w:cs="宋体"/>
                <w:b/>
                <w:bCs/>
                <w:spacing w:val="7"/>
                <w:sz w:val="24"/>
                <w:szCs w:val="24"/>
                <w:lang w:val="en-US" w:eastAsia="zh-CN"/>
              </w:rPr>
              <w:t>1）有组织</w:t>
            </w:r>
          </w:p>
          <w:p w14:paraId="250D01AE">
            <w:pPr>
              <w:pStyle w:val="52"/>
              <w:keepNext w:val="0"/>
              <w:keepLines w:val="0"/>
              <w:pageBreakBefore w:val="0"/>
              <w:widowControl w:val="0"/>
              <w:kinsoku/>
              <w:wordWrap/>
              <w:overflowPunct/>
              <w:topLinePunct w:val="0"/>
              <w:autoSpaceDE/>
              <w:autoSpaceDN/>
              <w:bidi w:val="0"/>
              <w:adjustRightInd/>
              <w:snapToGrid/>
              <w:spacing w:line="360" w:lineRule="auto"/>
              <w:ind w:left="113" w:right="130" w:firstLine="425"/>
              <w:jc w:val="both"/>
              <w:textAlignment w:val="auto"/>
              <w:rPr>
                <w:rFonts w:hint="eastAsia" w:cs="宋体"/>
                <w:spacing w:val="7"/>
                <w:sz w:val="24"/>
                <w:szCs w:val="24"/>
                <w:lang w:val="en-US" w:eastAsia="zh-CN"/>
              </w:rPr>
            </w:pPr>
            <w:r>
              <w:rPr>
                <w:rFonts w:hint="eastAsia" w:cs="宋体"/>
                <w:spacing w:val="7"/>
                <w:sz w:val="24"/>
                <w:szCs w:val="24"/>
                <w:lang w:val="en-US" w:eastAsia="zh-CN"/>
              </w:rPr>
              <w:t>本项目行业类别属于</w:t>
            </w:r>
            <w:r>
              <w:rPr>
                <w:rFonts w:hint="eastAsia" w:ascii="宋体" w:hAnsi="宋体" w:eastAsia="宋体" w:cs="宋体"/>
                <w:sz w:val="24"/>
                <w:szCs w:val="24"/>
              </w:rPr>
              <w:t>石墨及其他非金属矿物制品制造</w:t>
            </w:r>
            <w:r>
              <w:rPr>
                <w:rFonts w:hint="eastAsia" w:cs="宋体"/>
                <w:sz w:val="24"/>
                <w:szCs w:val="24"/>
                <w:lang w:eastAsia="zh-CN"/>
              </w:rPr>
              <w:t>，</w:t>
            </w:r>
            <w:r>
              <w:rPr>
                <w:rFonts w:hint="eastAsia" w:cs="宋体"/>
                <w:sz w:val="24"/>
                <w:szCs w:val="24"/>
                <w:lang w:val="en-US" w:eastAsia="zh-CN"/>
              </w:rPr>
              <w:t>根据本项目</w:t>
            </w:r>
            <w:r>
              <w:rPr>
                <w:rFonts w:hint="eastAsia" w:cs="宋体"/>
                <w:spacing w:val="7"/>
                <w:sz w:val="24"/>
                <w:szCs w:val="24"/>
                <w:lang w:val="en-US" w:eastAsia="zh-CN"/>
              </w:rPr>
              <w:t>生产工艺，不在</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排污许可证申请与核发技术规范 石墨及其他非金属矿物制品制造</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（HJ1119—2020）</w:t>
            </w:r>
            <w:r>
              <w:rPr>
                <w:rFonts w:hint="eastAsia" w:cs="宋体"/>
                <w:spacing w:val="7"/>
                <w:sz w:val="24"/>
                <w:szCs w:val="24"/>
                <w:lang w:val="en-US" w:eastAsia="zh-CN"/>
              </w:rPr>
              <w:t>范围内</w:t>
            </w:r>
            <w:r>
              <w:rPr>
                <w:rFonts w:hint="eastAsia" w:cs="宋体"/>
                <w:spacing w:val="7"/>
                <w:sz w:val="24"/>
                <w:szCs w:val="24"/>
                <w:lang w:eastAsia="zh-CN"/>
              </w:rPr>
              <w:t>，</w:t>
            </w:r>
            <w:r>
              <w:rPr>
                <w:rFonts w:hint="eastAsia" w:cs="宋体"/>
                <w:spacing w:val="7"/>
                <w:sz w:val="24"/>
                <w:szCs w:val="24"/>
                <w:lang w:val="en-US" w:eastAsia="zh-CN"/>
              </w:rPr>
              <w:t>因此对其污染防措施进行可行性分析。</w:t>
            </w:r>
          </w:p>
          <w:p w14:paraId="796235C0">
            <w:pPr>
              <w:pStyle w:val="52"/>
              <w:keepNext w:val="0"/>
              <w:keepLines w:val="0"/>
              <w:pageBreakBefore w:val="0"/>
              <w:widowControl w:val="0"/>
              <w:kinsoku/>
              <w:wordWrap/>
              <w:overflowPunct/>
              <w:topLinePunct w:val="0"/>
              <w:autoSpaceDE/>
              <w:autoSpaceDN/>
              <w:bidi w:val="0"/>
              <w:adjustRightInd/>
              <w:snapToGrid/>
              <w:spacing w:line="360" w:lineRule="auto"/>
              <w:ind w:left="113" w:right="130" w:firstLine="425"/>
              <w:jc w:val="both"/>
              <w:textAlignment w:val="auto"/>
              <w:rPr>
                <w:rFonts w:hint="eastAsia" w:cs="宋体"/>
                <w:spacing w:val="7"/>
                <w:sz w:val="24"/>
                <w:szCs w:val="24"/>
                <w:lang w:val="en-US" w:eastAsia="zh-CN"/>
              </w:rPr>
            </w:pPr>
            <w:r>
              <w:rPr>
                <w:rFonts w:ascii="宋体" w:hAnsi="宋体" w:eastAsia="宋体" w:cs="宋体"/>
                <w:spacing w:val="7"/>
                <w:sz w:val="24"/>
                <w:szCs w:val="24"/>
              </w:rPr>
              <w:t>酸雾吸收器的工作原理是通过化学吸收的方法将废气中的酸性物质与吸收剂进行反应，从而将酸性物质吸收并转化为无害物质，达到净化废气的目的。</w:t>
            </w:r>
            <w:r>
              <w:rPr>
                <w:rFonts w:hint="default" w:ascii="宋体" w:hAnsi="宋体" w:eastAsia="宋体" w:cs="宋体"/>
                <w:spacing w:val="7"/>
                <w:sz w:val="24"/>
                <w:szCs w:val="24"/>
              </w:rPr>
              <w:t>酸雾吸收器主要由吸收塔、进料管、出料管、底部排液管、喷淋装置、填料层、吸收剂泵等组成。吸收塔是酸雾吸收器的主体结构，通常采用圆柱形或者方形的设计。它具有良好的密封性能，能够有效地防止废气泄漏。进料管将含有酸性物质的废气引入吸收塔内。出料管将经过吸收处理的废气排出吸收塔。底部排液管用于排出吸收塔底部产生的液体废物。喷淋装置位于吸收塔的顶部，用于将吸收剂均匀地喷洒在填料层上。填料层是酸雾吸收器的重要</w:t>
            </w:r>
            <w:r>
              <w:rPr>
                <w:rFonts w:hint="eastAsia" w:cs="宋体"/>
                <w:spacing w:val="7"/>
                <w:sz w:val="24"/>
                <w:szCs w:val="24"/>
                <w:lang w:eastAsia="zh-CN"/>
              </w:rPr>
              <w:t>组成部分</w:t>
            </w:r>
            <w:r>
              <w:rPr>
                <w:rFonts w:hint="default" w:ascii="宋体" w:hAnsi="宋体" w:eastAsia="宋体" w:cs="宋体"/>
                <w:spacing w:val="7"/>
                <w:sz w:val="24"/>
                <w:szCs w:val="24"/>
              </w:rPr>
              <w:t>，它能够增加吸收剂与废气之间的接触面积，提高吸收效率。吸收剂泵用于将吸收剂从底部排液管循环回喷淋装置，实现循环</w:t>
            </w:r>
            <w:r>
              <w:rPr>
                <w:rFonts w:hint="eastAsia" w:cs="宋体"/>
                <w:spacing w:val="7"/>
                <w:sz w:val="24"/>
                <w:szCs w:val="24"/>
                <w:lang w:eastAsia="zh-CN"/>
              </w:rPr>
              <w:t>。</w:t>
            </w:r>
            <w:r>
              <w:rPr>
                <w:rFonts w:hint="eastAsia" w:cs="宋体"/>
                <w:spacing w:val="7"/>
                <w:sz w:val="24"/>
                <w:szCs w:val="24"/>
                <w:lang w:val="en-US" w:eastAsia="zh-CN"/>
              </w:rPr>
              <w:t>其对酸性气体去除率可达95%</w:t>
            </w:r>
            <w:r>
              <w:rPr>
                <w:rFonts w:hint="eastAsia" w:ascii="宋体" w:hAnsi="宋体" w:eastAsia="宋体" w:cs="宋体"/>
                <w:spacing w:val="7"/>
                <w:sz w:val="24"/>
                <w:szCs w:val="24"/>
                <w:lang w:val="en-US" w:eastAsia="zh-CN"/>
              </w:rPr>
              <w:t>。</w:t>
            </w:r>
            <w:r>
              <w:rPr>
                <w:rFonts w:hint="eastAsia" w:ascii="宋体" w:hAnsi="宋体" w:eastAsia="宋体" w:cs="宋体"/>
                <w:spacing w:val="7"/>
                <w:sz w:val="24"/>
                <w:szCs w:val="24"/>
              </w:rPr>
              <w:t>硫酸雾排放浓度均满足《大气</w:t>
            </w:r>
            <w:r>
              <w:rPr>
                <w:rFonts w:hint="eastAsia" w:ascii="宋体" w:hAnsi="宋体" w:eastAsia="宋体" w:cs="宋体"/>
                <w:spacing w:val="2"/>
                <w:sz w:val="24"/>
                <w:szCs w:val="24"/>
              </w:rPr>
              <w:t>污染物综合排放标准》（</w:t>
            </w:r>
            <w:r>
              <w:rPr>
                <w:rFonts w:hint="eastAsia" w:ascii="宋体" w:hAnsi="宋体" w:eastAsia="宋体" w:cs="宋体"/>
                <w:sz w:val="24"/>
                <w:szCs w:val="24"/>
              </w:rPr>
              <w:t>GB</w:t>
            </w:r>
            <w:r>
              <w:rPr>
                <w:rFonts w:hint="eastAsia" w:ascii="宋体" w:hAnsi="宋体" w:eastAsia="宋体" w:cs="宋体"/>
                <w:spacing w:val="2"/>
                <w:sz w:val="24"/>
                <w:szCs w:val="24"/>
              </w:rPr>
              <w:t>16297-1996）新污染源大气污染物二级排放标准：硫酸雾</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45</w:t>
            </w:r>
            <w:r>
              <w:rPr>
                <w:rFonts w:hint="eastAsia" w:ascii="宋体" w:hAnsi="宋体" w:eastAsia="宋体" w:cs="宋体"/>
                <w:sz w:val="24"/>
                <w:szCs w:val="24"/>
              </w:rPr>
              <w:t>mg</w:t>
            </w:r>
            <w:r>
              <w:rPr>
                <w:rFonts w:hint="eastAsia" w:ascii="宋体" w:hAnsi="宋体" w:eastAsia="宋体" w:cs="宋体"/>
                <w:spacing w:val="2"/>
                <w:sz w:val="24"/>
                <w:szCs w:val="24"/>
              </w:rPr>
              <w:t>/m</w:t>
            </w:r>
            <w:r>
              <w:rPr>
                <w:rFonts w:hint="eastAsia" w:ascii="宋体" w:hAnsi="宋体" w:eastAsia="宋体" w:cs="宋体"/>
                <w:spacing w:val="2"/>
                <w:sz w:val="24"/>
                <w:szCs w:val="24"/>
                <w:vertAlign w:val="superscript"/>
                <w:lang w:val="en-US" w:eastAsia="zh-CN"/>
              </w:rPr>
              <w:t>3</w:t>
            </w:r>
            <w:r>
              <w:rPr>
                <w:rFonts w:hint="eastAsia" w:ascii="宋体" w:hAnsi="宋体" w:eastAsia="宋体" w:cs="宋体"/>
                <w:spacing w:val="1"/>
                <w:sz w:val="24"/>
                <w:szCs w:val="24"/>
              </w:rPr>
              <w:t>、</w:t>
            </w:r>
            <w:r>
              <w:rPr>
                <w:rFonts w:hint="eastAsia" w:ascii="宋体" w:hAnsi="宋体" w:eastAsia="宋体" w:cs="宋体"/>
                <w:spacing w:val="3"/>
                <w:sz w:val="24"/>
                <w:szCs w:val="24"/>
              </w:rPr>
              <w:t>1.5</w:t>
            </w:r>
            <w:r>
              <w:rPr>
                <w:rFonts w:hint="eastAsia" w:ascii="宋体" w:hAnsi="宋体" w:eastAsia="宋体" w:cs="宋体"/>
                <w:sz w:val="24"/>
                <w:szCs w:val="24"/>
              </w:rPr>
              <w:t>kg</w:t>
            </w:r>
            <w:r>
              <w:rPr>
                <w:rFonts w:hint="eastAsia" w:ascii="宋体" w:hAnsi="宋体" w:eastAsia="宋体" w:cs="宋体"/>
                <w:spacing w:val="3"/>
                <w:sz w:val="24"/>
                <w:szCs w:val="24"/>
              </w:rPr>
              <w:t>/h要求</w:t>
            </w:r>
            <w:r>
              <w:rPr>
                <w:rFonts w:hint="eastAsia" w:ascii="宋体" w:hAnsi="宋体" w:eastAsia="宋体" w:cs="宋体"/>
                <w:spacing w:val="6"/>
                <w:sz w:val="24"/>
                <w:szCs w:val="24"/>
              </w:rPr>
              <w:t>，厂界浓度满足</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1.</w:t>
            </w:r>
            <w:r>
              <w:rPr>
                <w:rFonts w:hint="eastAsia" w:ascii="宋体" w:hAnsi="宋体" w:eastAsia="宋体" w:cs="宋体"/>
                <w:spacing w:val="6"/>
                <w:sz w:val="24"/>
                <w:szCs w:val="24"/>
                <w:lang w:val="en-US" w:eastAsia="zh-CN"/>
              </w:rPr>
              <w:t>2</w:t>
            </w:r>
            <w:r>
              <w:rPr>
                <w:rFonts w:hint="eastAsia" w:ascii="宋体" w:hAnsi="宋体" w:eastAsia="宋体" w:cs="宋体"/>
                <w:sz w:val="24"/>
                <w:szCs w:val="24"/>
              </w:rPr>
              <w:t>mg</w:t>
            </w:r>
            <w:r>
              <w:rPr>
                <w:rFonts w:hint="eastAsia" w:ascii="宋体" w:hAnsi="宋体" w:eastAsia="宋体" w:cs="宋体"/>
                <w:spacing w:val="6"/>
                <w:sz w:val="24"/>
                <w:szCs w:val="24"/>
              </w:rPr>
              <w:t>/m</w:t>
            </w:r>
            <w:r>
              <w:rPr>
                <w:rFonts w:hint="eastAsia" w:ascii="宋体" w:hAnsi="宋体" w:eastAsia="宋体" w:cs="宋体"/>
                <w:spacing w:val="6"/>
                <w:sz w:val="24"/>
                <w:szCs w:val="24"/>
                <w:vertAlign w:val="superscript"/>
                <w:lang w:val="en-US" w:eastAsia="zh-CN"/>
              </w:rPr>
              <w:t>3</w:t>
            </w:r>
            <w:r>
              <w:rPr>
                <w:rFonts w:hint="eastAsia" w:ascii="宋体" w:hAnsi="宋体" w:eastAsia="宋体" w:cs="宋体"/>
                <w:spacing w:val="5"/>
                <w:sz w:val="24"/>
                <w:szCs w:val="24"/>
              </w:rPr>
              <w:t>要求。</w:t>
            </w:r>
          </w:p>
          <w:p w14:paraId="39EC19C4">
            <w:pPr>
              <w:pStyle w:val="52"/>
              <w:keepNext w:val="0"/>
              <w:keepLines w:val="0"/>
              <w:pageBreakBefore w:val="0"/>
              <w:widowControl w:val="0"/>
              <w:kinsoku/>
              <w:wordWrap/>
              <w:overflowPunct/>
              <w:topLinePunct w:val="0"/>
              <w:autoSpaceDE/>
              <w:autoSpaceDN/>
              <w:bidi w:val="0"/>
              <w:adjustRightInd/>
              <w:snapToGrid/>
              <w:spacing w:line="360" w:lineRule="auto"/>
              <w:ind w:left="113" w:right="130" w:firstLine="425"/>
              <w:jc w:val="both"/>
              <w:textAlignment w:val="auto"/>
              <w:rPr>
                <w:spacing w:val="5"/>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筛分采用</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布袋除尘器的过滤过程主要依靠滤袋来实现。滤袋由纤维材料制成，具有良好的过滤性能和长寿命。当含尘气体通过滤袋时，粉尘颗粒被阻挡在滤袋表面，清洁气体则通过滤袋进入上箱体。在这个过程中，滤袋起到了一个屏障的作用，将粉尘与清洁气体有效分离。布袋除尘器的滤料就是合成纤维、天然纤维或玻璃纤维织成的布或毡。根据需要再把布或毡缝成圆筒或扁平形滤袋。根据烟气性质，选择出适合于应用条件的滤料。当滤袋表面的粉尘积累到一定程度时，布袋除尘器需要进行清灰操作。清灰过程主要依靠脉冲反吹装置来实现。脉冲反吹装置由脉冲阀、喷嘴、气管等组成。当控制系统检测到滤袋阻力达到设定值时，会触发脉冲阀，使喷嘴向滤袋内喷射气体，形成反吹气流。清灰后，滤袋重新恢复过滤能力，继续对含尘气体进行过滤。布袋除尘器的清灰方式还包括机械振动清灰、反吹风清灰等。布袋除尘器具有高效、稳定、适应性强等特点，被广泛应用于钢铁、电力、化工、建筑等工业领域</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其对粉尘去除率可达99%</w:t>
            </w:r>
            <w:r>
              <w:rPr>
                <w:rFonts w:hint="eastAsia" w:ascii="宋体" w:hAnsi="宋体" w:eastAsia="宋体" w:cs="宋体"/>
                <w:i w:val="0"/>
                <w:iCs w:val="0"/>
                <w:caps w:val="0"/>
                <w:color w:val="333333"/>
                <w:spacing w:val="0"/>
                <w:sz w:val="24"/>
                <w:szCs w:val="24"/>
                <w:shd w:val="clear" w:color="auto" w:fill="FFFFFF"/>
              </w:rPr>
              <w:t>。</w:t>
            </w:r>
            <w:r>
              <w:rPr>
                <w:spacing w:val="6"/>
                <w:sz w:val="24"/>
                <w:szCs w:val="24"/>
              </w:rPr>
              <w:t>处理</w:t>
            </w:r>
            <w:r>
              <w:rPr>
                <w:spacing w:val="9"/>
                <w:sz w:val="24"/>
                <w:szCs w:val="24"/>
              </w:rPr>
              <w:t>后颗粒物排放浓度均满足《大气污染物综合排放标准》（</w:t>
            </w:r>
            <w:r>
              <w:rPr>
                <w:rFonts w:ascii="Times New Roman" w:hAnsi="Times New Roman" w:eastAsia="Times New Roman" w:cs="Times New Roman"/>
                <w:sz w:val="24"/>
                <w:szCs w:val="24"/>
              </w:rPr>
              <w:t>GB</w:t>
            </w:r>
            <w:r>
              <w:rPr>
                <w:rFonts w:ascii="Times New Roman" w:hAnsi="Times New Roman" w:eastAsia="Times New Roman" w:cs="Times New Roman"/>
                <w:spacing w:val="9"/>
                <w:sz w:val="24"/>
                <w:szCs w:val="24"/>
              </w:rPr>
              <w:t>16297-1996</w:t>
            </w:r>
            <w:r>
              <w:rPr>
                <w:spacing w:val="9"/>
                <w:sz w:val="24"/>
                <w:szCs w:val="24"/>
              </w:rPr>
              <w:t>）新</w:t>
            </w:r>
            <w:r>
              <w:rPr>
                <w:spacing w:val="8"/>
                <w:sz w:val="24"/>
                <w:szCs w:val="24"/>
              </w:rPr>
              <w:t>污染源大气污染</w:t>
            </w:r>
            <w:r>
              <w:rPr>
                <w:sz w:val="24"/>
                <w:szCs w:val="24"/>
              </w:rPr>
              <w:t xml:space="preserve"> </w:t>
            </w:r>
            <w:r>
              <w:rPr>
                <w:spacing w:val="6"/>
                <w:sz w:val="24"/>
                <w:szCs w:val="24"/>
              </w:rPr>
              <w:t>物二级排放标准：颗粒物</w:t>
            </w:r>
            <w:r>
              <w:rPr>
                <w:spacing w:val="-21"/>
                <w:sz w:val="24"/>
                <w:szCs w:val="24"/>
              </w:rPr>
              <w:t xml:space="preserve"> </w:t>
            </w:r>
            <w:r>
              <w:rPr>
                <w:rFonts w:ascii="Times New Roman" w:hAnsi="Times New Roman" w:eastAsia="Times New Roman" w:cs="Times New Roman"/>
                <w:spacing w:val="6"/>
                <w:sz w:val="24"/>
                <w:szCs w:val="24"/>
              </w:rPr>
              <w:t>120</w:t>
            </w:r>
            <w:r>
              <w:rPr>
                <w:rFonts w:ascii="Times New Roman" w:hAnsi="Times New Roman" w:eastAsia="Times New Roman" w:cs="Times New Roman"/>
                <w:sz w:val="24"/>
                <w:szCs w:val="24"/>
              </w:rPr>
              <w:t>mg</w:t>
            </w:r>
            <w:r>
              <w:rPr>
                <w:rFonts w:ascii="Times New Roman" w:hAnsi="Times New Roman" w:eastAsia="Times New Roman" w:cs="Times New Roman"/>
                <w:spacing w:val="6"/>
                <w:sz w:val="24"/>
                <w:szCs w:val="24"/>
              </w:rPr>
              <w:t>/m</w:t>
            </w:r>
            <w:r>
              <w:rPr>
                <w:rFonts w:hint="eastAsia" w:ascii="Times New Roman" w:hAnsi="Times New Roman" w:eastAsia="宋体" w:cs="Times New Roman"/>
                <w:spacing w:val="6"/>
                <w:sz w:val="24"/>
                <w:szCs w:val="24"/>
                <w:vertAlign w:val="superscript"/>
                <w:lang w:val="en-US" w:eastAsia="zh-CN"/>
              </w:rPr>
              <w:t>3</w:t>
            </w:r>
            <w:r>
              <w:rPr>
                <w:spacing w:val="6"/>
                <w:sz w:val="24"/>
                <w:szCs w:val="24"/>
              </w:rPr>
              <w:t>、</w:t>
            </w:r>
            <w:r>
              <w:rPr>
                <w:rFonts w:ascii="Times New Roman" w:hAnsi="Times New Roman" w:eastAsia="Times New Roman" w:cs="Times New Roman"/>
                <w:spacing w:val="6"/>
                <w:sz w:val="24"/>
                <w:szCs w:val="24"/>
              </w:rPr>
              <w:t>3.5</w:t>
            </w:r>
            <w:r>
              <w:rPr>
                <w:rFonts w:ascii="Times New Roman" w:hAnsi="Times New Roman" w:eastAsia="Times New Roman" w:cs="Times New Roman"/>
                <w:sz w:val="24"/>
                <w:szCs w:val="24"/>
              </w:rPr>
              <w:t>kg</w:t>
            </w:r>
            <w:r>
              <w:rPr>
                <w:rFonts w:ascii="Times New Roman" w:hAnsi="Times New Roman" w:eastAsia="Times New Roman" w:cs="Times New Roman"/>
                <w:spacing w:val="6"/>
                <w:sz w:val="24"/>
                <w:szCs w:val="24"/>
              </w:rPr>
              <w:t>/h</w:t>
            </w:r>
            <w:r>
              <w:rPr>
                <w:spacing w:val="6"/>
                <w:sz w:val="24"/>
                <w:szCs w:val="24"/>
              </w:rPr>
              <w:t>要求，厂界浓度满足</w:t>
            </w:r>
            <w:r>
              <w:rPr>
                <w:spacing w:val="-23"/>
                <w:sz w:val="24"/>
                <w:szCs w:val="24"/>
              </w:rPr>
              <w:t xml:space="preserve"> </w:t>
            </w:r>
            <w:r>
              <w:rPr>
                <w:rFonts w:ascii="Times New Roman" w:hAnsi="Times New Roman" w:eastAsia="Times New Roman" w:cs="Times New Roman"/>
                <w:spacing w:val="6"/>
                <w:sz w:val="24"/>
                <w:szCs w:val="24"/>
              </w:rPr>
              <w:t>1.0</w:t>
            </w:r>
            <w:r>
              <w:rPr>
                <w:rFonts w:ascii="Times New Roman" w:hAnsi="Times New Roman" w:eastAsia="Times New Roman" w:cs="Times New Roman"/>
                <w:sz w:val="24"/>
                <w:szCs w:val="24"/>
              </w:rPr>
              <w:t>mg</w:t>
            </w:r>
            <w:r>
              <w:rPr>
                <w:rFonts w:ascii="Times New Roman" w:hAnsi="Times New Roman" w:eastAsia="Times New Roman" w:cs="Times New Roman"/>
                <w:spacing w:val="6"/>
                <w:sz w:val="24"/>
                <w:szCs w:val="24"/>
              </w:rPr>
              <w:t>/m</w:t>
            </w:r>
            <w:r>
              <w:rPr>
                <w:rFonts w:hint="eastAsia" w:ascii="Times New Roman" w:hAnsi="Times New Roman" w:eastAsia="宋体" w:cs="Times New Roman"/>
                <w:spacing w:val="6"/>
                <w:sz w:val="24"/>
                <w:szCs w:val="24"/>
                <w:vertAlign w:val="superscript"/>
                <w:lang w:val="en-US" w:eastAsia="zh-CN"/>
              </w:rPr>
              <w:t>3</w:t>
            </w:r>
            <w:r>
              <w:rPr>
                <w:spacing w:val="5"/>
                <w:sz w:val="24"/>
                <w:szCs w:val="24"/>
              </w:rPr>
              <w:t>要求</w:t>
            </w:r>
            <w:r>
              <w:rPr>
                <w:rFonts w:hint="eastAsia"/>
                <w:spacing w:val="5"/>
                <w:sz w:val="24"/>
                <w:szCs w:val="24"/>
                <w:lang w:eastAsia="zh-CN"/>
              </w:rPr>
              <w:t>。</w:t>
            </w:r>
          </w:p>
          <w:p w14:paraId="34B91A62">
            <w:pPr>
              <w:pStyle w:val="52"/>
              <w:spacing w:before="162" w:line="377" w:lineRule="auto"/>
              <w:ind w:left="111" w:right="129" w:firstLine="423"/>
              <w:jc w:val="both"/>
              <w:rPr>
                <w:rFonts w:hint="eastAsia" w:ascii="Times New Roman" w:hAnsi="Times New Roman" w:eastAsia="宋体" w:cs="Times New Roman"/>
                <w:color w:val="000000"/>
                <w:sz w:val="24"/>
                <w:szCs w:val="24"/>
                <w:highlight w:val="none"/>
                <w:lang w:val="en-US" w:eastAsia="zh-CN"/>
              </w:rPr>
            </w:pPr>
            <w:r>
              <w:rPr>
                <w:rFonts w:hint="eastAsia"/>
                <w:spacing w:val="5"/>
                <w:sz w:val="24"/>
                <w:szCs w:val="24"/>
                <w:lang w:val="en-US" w:eastAsia="zh-CN"/>
              </w:rPr>
              <w:t>烘干炉采用清洁能源-天然气，烘干</w:t>
            </w:r>
            <w:r>
              <w:rPr>
                <w:rFonts w:hint="eastAsia" w:cs="宋体"/>
                <w:color w:val="000000"/>
                <w:sz w:val="24"/>
                <w:szCs w:val="24"/>
                <w:highlight w:val="none"/>
                <w:lang w:val="en-US" w:eastAsia="zh-CN"/>
              </w:rPr>
              <w:t>炉采用低氮燃烧器，属于</w:t>
            </w:r>
            <w:r>
              <w:rPr>
                <w:rFonts w:hint="eastAsia" w:ascii="宋体" w:hAnsi="宋体" w:eastAsia="宋体" w:cs="宋体"/>
                <w:color w:val="000000"/>
                <w:spacing w:val="-2"/>
                <w:sz w:val="24"/>
                <w:szCs w:val="24"/>
              </w:rPr>
              <w:t>《排污许可证申请与核发技术规范 工业炉窑（HJ1121-2020）</w:t>
            </w:r>
            <w:r>
              <w:rPr>
                <w:rFonts w:hint="eastAsia" w:ascii="宋体" w:hAnsi="宋体" w:eastAsia="宋体" w:cs="宋体"/>
                <w:color w:val="000000"/>
                <w:spacing w:val="-2"/>
                <w:sz w:val="24"/>
                <w:szCs w:val="24"/>
                <w:lang w:val="en-US" w:eastAsia="zh-CN"/>
              </w:rPr>
              <w:t>可行技术。</w:t>
            </w:r>
            <w:r>
              <w:rPr>
                <w:rFonts w:hint="eastAsia" w:cs="宋体"/>
                <w:color w:val="000000"/>
                <w:sz w:val="24"/>
                <w:szCs w:val="24"/>
                <w:highlight w:val="none"/>
                <w:lang w:val="en-US" w:eastAsia="zh-CN"/>
              </w:rPr>
              <w:t>烟气中</w:t>
            </w:r>
            <w:r>
              <w:rPr>
                <w:rFonts w:hint="eastAsia" w:ascii="Times New Roman" w:hAnsi="Times New Roman" w:eastAsia="宋体" w:cs="Times New Roman"/>
                <w:color w:val="000000"/>
                <w:sz w:val="24"/>
                <w:szCs w:val="24"/>
                <w:highlight w:val="none"/>
                <w:lang w:val="en-US" w:eastAsia="zh-CN"/>
              </w:rPr>
              <w:t>颗粒物、二氧化硫、烟气黑度执行《工业炉窑大气污染物排放标准》（GB9078-1996）表2、表4标准要求，氮氧化物满足《大气污染物综合排放标准》（GB16297-1996）中二级标准要求。</w:t>
            </w:r>
          </w:p>
          <w:p w14:paraId="3962118A">
            <w:pPr>
              <w:pStyle w:val="6"/>
              <w:keepNext w:val="0"/>
              <w:keepLines w:val="0"/>
              <w:pageBreakBefore w:val="0"/>
              <w:widowControl w:val="0"/>
              <w:numPr>
                <w:ilvl w:val="0"/>
                <w:numId w:val="6"/>
              </w:numPr>
              <w:kinsoku/>
              <w:wordWrap/>
              <w:overflowPunct w:val="0"/>
              <w:topLinePunct w:val="0"/>
              <w:autoSpaceDE w:val="0"/>
              <w:autoSpaceDN w:val="0"/>
              <w:bidi w:val="0"/>
              <w:adjustRightInd w:val="0"/>
              <w:snapToGrid w:val="0"/>
              <w:spacing w:before="0" w:after="0" w:line="360" w:lineRule="auto"/>
              <w:ind w:right="112" w:rightChars="0" w:firstLine="502" w:firstLineChars="200"/>
              <w:textAlignment w:val="baseline"/>
              <w:rPr>
                <w:rFonts w:hint="eastAsia" w:ascii="宋体" w:hAnsi="宋体" w:cs="宋体"/>
                <w:b/>
                <w:bCs/>
                <w:spacing w:val="5"/>
                <w:kern w:val="2"/>
                <w:sz w:val="24"/>
                <w:szCs w:val="24"/>
                <w:lang w:val="en-US" w:eastAsia="zh-CN" w:bidi="ar-SA"/>
              </w:rPr>
            </w:pPr>
            <w:r>
              <w:rPr>
                <w:rFonts w:hint="eastAsia" w:ascii="宋体" w:hAnsi="宋体" w:cs="宋体"/>
                <w:b/>
                <w:bCs/>
                <w:spacing w:val="5"/>
                <w:kern w:val="2"/>
                <w:sz w:val="24"/>
                <w:szCs w:val="24"/>
                <w:lang w:val="en-US" w:eastAsia="zh-CN" w:bidi="ar-SA"/>
              </w:rPr>
              <w:t>无组织</w:t>
            </w:r>
          </w:p>
          <w:p w14:paraId="50CAF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设备密闭化改造：对</w:t>
            </w:r>
            <w:r>
              <w:rPr>
                <w:rFonts w:hint="eastAsia" w:ascii="宋体" w:hAnsi="宋体" w:eastAsia="宋体" w:cs="宋体"/>
                <w:color w:val="0000FF"/>
                <w:sz w:val="24"/>
                <w:szCs w:val="24"/>
                <w:u w:val="single"/>
                <w:lang w:eastAsia="zh-CN"/>
              </w:rPr>
              <w:t>插层</w:t>
            </w:r>
            <w:r>
              <w:rPr>
                <w:rFonts w:hint="eastAsia" w:ascii="宋体" w:hAnsi="宋体" w:eastAsia="宋体" w:cs="宋体"/>
                <w:color w:val="0000FF"/>
                <w:sz w:val="24"/>
                <w:szCs w:val="24"/>
                <w:u w:val="single"/>
              </w:rPr>
              <w:t>釜关键生产设备进行密闭化改造，采用密封性能好的设备和配件，如带密封盖的</w:t>
            </w:r>
            <w:r>
              <w:rPr>
                <w:rFonts w:hint="eastAsia" w:ascii="宋体" w:hAnsi="宋体" w:eastAsia="宋体" w:cs="宋体"/>
                <w:color w:val="0000FF"/>
                <w:sz w:val="24"/>
                <w:szCs w:val="24"/>
                <w:u w:val="single"/>
                <w:lang w:eastAsia="zh-CN"/>
              </w:rPr>
              <w:t>插层</w:t>
            </w:r>
            <w:r>
              <w:rPr>
                <w:rFonts w:hint="eastAsia" w:ascii="宋体" w:hAnsi="宋体" w:eastAsia="宋体" w:cs="宋体"/>
                <w:color w:val="0000FF"/>
                <w:sz w:val="24"/>
                <w:szCs w:val="24"/>
                <w:u w:val="single"/>
              </w:rPr>
              <w:t>釜，防止酸雾从设备缝隙中逸散。</w:t>
            </w:r>
          </w:p>
          <w:p w14:paraId="433C3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u w:val="single"/>
              </w:rPr>
              <w:t>车间密封与通风：对生产车间进行密封处理，安装密封性</w:t>
            </w:r>
            <w:r>
              <w:rPr>
                <w:rFonts w:hint="eastAsia" w:ascii="宋体" w:hAnsi="宋体" w:eastAsia="宋体" w:cs="宋体"/>
                <w:color w:val="0000FF"/>
                <w:sz w:val="24"/>
                <w:szCs w:val="24"/>
                <w:u w:val="single"/>
                <w:lang w:eastAsia="zh-CN"/>
              </w:rPr>
              <w:t>门窗</w:t>
            </w:r>
            <w:r>
              <w:rPr>
                <w:rFonts w:hint="eastAsia" w:ascii="宋体" w:hAnsi="宋体" w:eastAsia="宋体" w:cs="宋体"/>
                <w:color w:val="0000FF"/>
                <w:sz w:val="24"/>
                <w:szCs w:val="24"/>
                <w:u w:val="single"/>
              </w:rPr>
              <w:t>，减少车间与外界的空气流通。同时，设置合理的通风系统，将收集到的酸雾统一引入处理设备，避免酸雾在车间内积聚。通风系统的风量应根据车间内酸雾的产生量和浓度进行设计，确保车间内空气质量符合相关标准。</w:t>
            </w:r>
          </w:p>
          <w:p w14:paraId="5FC9FE23">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0" w:after="0" w:line="360" w:lineRule="auto"/>
              <w:ind w:right="112" w:rightChars="0" w:firstLine="500" w:firstLineChars="200"/>
              <w:textAlignment w:val="baseline"/>
              <w:rPr>
                <w:rFonts w:hint="eastAsia" w:ascii="宋体" w:hAnsi="宋体" w:eastAsia="宋体" w:cs="宋体"/>
                <w:spacing w:val="5"/>
                <w:kern w:val="2"/>
                <w:sz w:val="24"/>
                <w:szCs w:val="24"/>
                <w:lang w:val="en-US" w:eastAsia="zh-CN" w:bidi="ar-SA"/>
              </w:rPr>
            </w:pPr>
            <w:r>
              <w:rPr>
                <w:rFonts w:hint="eastAsia" w:ascii="宋体" w:hAnsi="宋体" w:eastAsia="宋体" w:cs="宋体"/>
                <w:spacing w:val="5"/>
                <w:kern w:val="2"/>
                <w:sz w:val="24"/>
                <w:szCs w:val="24"/>
                <w:lang w:val="en-US" w:eastAsia="zh-CN" w:bidi="ar-SA"/>
              </w:rPr>
              <w:t>本项目废气采用集气罩收集，减少废气无组织排放。适当加大密闭罩容积，吸风点设于罩顶部最高点；即针对不同产污设备设计规格尺寸不一的集气罩（罩口尺寸将大于产气源的1.2-1.5倍）；集气罩置于产污点正上方，为避免横向气流干扰，罩口距产气源的距离（高度）小于0.3倍的罩口长边尺寸；采取上述措施后，可确保废气集气效率达90%。</w:t>
            </w:r>
          </w:p>
          <w:p w14:paraId="5B39D3F2">
            <w:pPr>
              <w:pStyle w:val="52"/>
              <w:keepNext w:val="0"/>
              <w:keepLines w:val="0"/>
              <w:pageBreakBefore w:val="0"/>
              <w:widowControl w:val="0"/>
              <w:kinsoku/>
              <w:wordWrap/>
              <w:overflowPunct/>
              <w:topLinePunct w:val="0"/>
              <w:autoSpaceDE/>
              <w:autoSpaceDN/>
              <w:bidi w:val="0"/>
              <w:adjustRightInd/>
              <w:snapToGrid/>
              <w:spacing w:line="360" w:lineRule="auto"/>
              <w:ind w:firstLine="516" w:firstLineChars="200"/>
              <w:textAlignment w:val="auto"/>
              <w:rPr>
                <w:rFonts w:hint="default" w:ascii="宋体" w:hAnsi="宋体" w:eastAsia="宋体" w:cs="宋体"/>
                <w:spacing w:val="5"/>
                <w:kern w:val="2"/>
                <w:sz w:val="24"/>
                <w:szCs w:val="24"/>
                <w:lang w:val="en-US" w:eastAsia="zh-CN" w:bidi="ar-SA"/>
              </w:rPr>
            </w:pPr>
            <w:r>
              <w:rPr>
                <w:rFonts w:hint="eastAsia" w:ascii="宋体" w:hAnsi="宋体" w:eastAsia="宋体" w:cs="宋体"/>
                <w:spacing w:val="9"/>
                <w:sz w:val="24"/>
                <w:szCs w:val="24"/>
              </w:rPr>
              <w:t>合理</w:t>
            </w:r>
            <w:r>
              <w:rPr>
                <w:rFonts w:hint="eastAsia" w:ascii="宋体" w:hAnsi="宋体" w:eastAsia="宋体" w:cs="宋体"/>
                <w:spacing w:val="10"/>
                <w:sz w:val="24"/>
                <w:szCs w:val="24"/>
              </w:rPr>
              <w:t>安排设备布局，减少物料转移过程中产生的无组织排放</w:t>
            </w:r>
            <w:r>
              <w:rPr>
                <w:rFonts w:hint="eastAsia" w:ascii="宋体" w:hAnsi="宋体" w:eastAsia="宋体" w:cs="宋体"/>
                <w:spacing w:val="9"/>
                <w:sz w:val="24"/>
                <w:szCs w:val="24"/>
              </w:rPr>
              <w:t>；加强设备及管路管理及维护，减少</w:t>
            </w:r>
            <w:r>
              <w:rPr>
                <w:rFonts w:hint="eastAsia" w:ascii="宋体" w:hAnsi="宋体" w:eastAsia="宋体" w:cs="宋体"/>
                <w:spacing w:val="10"/>
                <w:sz w:val="24"/>
                <w:szCs w:val="24"/>
              </w:rPr>
              <w:t>设备及管路泄漏等无组织排放，并加强环境管理及人员培训，发</w:t>
            </w:r>
            <w:r>
              <w:rPr>
                <w:rFonts w:hint="eastAsia" w:ascii="宋体" w:hAnsi="宋体" w:eastAsia="宋体" w:cs="宋体"/>
                <w:spacing w:val="9"/>
                <w:sz w:val="24"/>
                <w:szCs w:val="24"/>
              </w:rPr>
              <w:t>现问题及时处理；设备定期</w:t>
            </w:r>
            <w:r>
              <w:rPr>
                <w:rFonts w:hint="eastAsia" w:ascii="宋体" w:hAnsi="宋体" w:eastAsia="宋体" w:cs="宋体"/>
                <w:spacing w:val="8"/>
                <w:sz w:val="24"/>
                <w:szCs w:val="24"/>
              </w:rPr>
              <w:t>检修，尽可能杜绝跑、冒、滴、漏。</w:t>
            </w:r>
          </w:p>
          <w:p w14:paraId="03759BED">
            <w:pPr>
              <w:pStyle w:val="52"/>
              <w:keepNext w:val="0"/>
              <w:keepLines w:val="0"/>
              <w:pageBreakBefore w:val="0"/>
              <w:widowControl w:val="0"/>
              <w:kinsoku/>
              <w:wordWrap/>
              <w:overflowPunct/>
              <w:topLinePunct w:val="0"/>
              <w:autoSpaceDE/>
              <w:autoSpaceDN/>
              <w:bidi w:val="0"/>
              <w:adjustRightInd/>
              <w:snapToGrid/>
              <w:spacing w:line="360" w:lineRule="auto"/>
              <w:ind w:left="528"/>
              <w:textAlignment w:val="auto"/>
              <w:outlineLvl w:val="0"/>
              <w:rPr>
                <w:rFonts w:hint="eastAsia" w:ascii="宋体" w:hAnsi="宋体" w:eastAsia="宋体" w:cs="宋体"/>
                <w:sz w:val="24"/>
                <w:szCs w:val="24"/>
              </w:rPr>
            </w:pPr>
            <w:r>
              <w:rPr>
                <w:rFonts w:hint="eastAsia" w:ascii="宋体" w:hAnsi="宋体" w:eastAsia="宋体" w:cs="宋体"/>
                <w:b/>
                <w:bCs/>
                <w:spacing w:val="4"/>
                <w:sz w:val="24"/>
                <w:szCs w:val="24"/>
              </w:rPr>
              <w:t>4</w:t>
            </w:r>
            <w:r>
              <w:rPr>
                <w:rFonts w:hint="eastAsia" w:ascii="宋体" w:hAnsi="宋体" w:eastAsia="宋体" w:cs="宋体"/>
                <w:b/>
                <w:bCs/>
                <w:spacing w:val="-19"/>
                <w:sz w:val="24"/>
                <w:szCs w:val="24"/>
                <w:lang w:eastAsia="zh-CN"/>
              </w:rPr>
              <w:t>、</w:t>
            </w:r>
            <w:r>
              <w:rPr>
                <w:rFonts w:hint="eastAsia" w:ascii="宋体" w:hAnsi="宋体" w:eastAsia="宋体" w:cs="宋体"/>
                <w:b/>
                <w:bCs/>
                <w:spacing w:val="4"/>
                <w:sz w:val="24"/>
                <w:szCs w:val="24"/>
              </w:rPr>
              <w:t>非正常工况分析</w:t>
            </w:r>
          </w:p>
          <w:p w14:paraId="4B8EE03D">
            <w:pPr>
              <w:pStyle w:val="52"/>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0"/>
              <w:rPr>
                <w:rFonts w:hint="eastAsia" w:ascii="宋体" w:hAnsi="宋体" w:eastAsia="宋体" w:cs="宋体"/>
                <w:b/>
                <w:bCs/>
                <w:spacing w:val="6"/>
                <w:sz w:val="24"/>
                <w:szCs w:val="24"/>
              </w:rPr>
            </w:pPr>
            <w:r>
              <w:rPr>
                <w:rFonts w:hint="eastAsia" w:ascii="宋体" w:hAnsi="宋体" w:eastAsia="宋体" w:cs="宋体"/>
                <w:spacing w:val="10"/>
                <w:sz w:val="24"/>
                <w:szCs w:val="24"/>
              </w:rPr>
              <w:t>结合本项目特点，本项目非正常工况为环保治理</w:t>
            </w:r>
            <w:r>
              <w:rPr>
                <w:rFonts w:hint="eastAsia" w:ascii="宋体" w:hAnsi="宋体" w:eastAsia="宋体" w:cs="宋体"/>
                <w:spacing w:val="9"/>
                <w:sz w:val="24"/>
                <w:szCs w:val="24"/>
              </w:rPr>
              <w:t>设施达不到设计标准，按废气治理设施</w:t>
            </w:r>
            <w:r>
              <w:rPr>
                <w:rFonts w:hint="eastAsia" w:ascii="宋体" w:hAnsi="宋体" w:eastAsia="宋体" w:cs="宋体"/>
                <w:spacing w:val="7"/>
                <w:sz w:val="24"/>
                <w:szCs w:val="24"/>
              </w:rPr>
              <w:t>完全失效，事故频次1年/1次计，持续时间</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30</w:t>
            </w:r>
            <w:r>
              <w:rPr>
                <w:rFonts w:hint="eastAsia" w:ascii="宋体" w:hAnsi="宋体" w:eastAsia="宋体" w:cs="宋体"/>
                <w:sz w:val="24"/>
                <w:szCs w:val="24"/>
              </w:rPr>
              <w:t>min</w:t>
            </w:r>
            <w:r>
              <w:rPr>
                <w:rFonts w:hint="eastAsia" w:ascii="宋体" w:hAnsi="宋体" w:eastAsia="宋体" w:cs="宋体"/>
                <w:spacing w:val="7"/>
                <w:sz w:val="24"/>
                <w:szCs w:val="24"/>
              </w:rPr>
              <w:t>，计算项目非正常工况污染物排放情况。</w:t>
            </w:r>
          </w:p>
          <w:p w14:paraId="1E6B28F0">
            <w:pPr>
              <w:pStyle w:val="52"/>
              <w:keepNext w:val="0"/>
              <w:keepLines w:val="0"/>
              <w:pageBreakBefore w:val="0"/>
              <w:widowControl w:val="0"/>
              <w:kinsoku/>
              <w:wordWrap/>
              <w:overflowPunct/>
              <w:topLinePunct w:val="0"/>
              <w:autoSpaceDE/>
              <w:autoSpaceDN/>
              <w:bidi w:val="0"/>
              <w:adjustRightInd/>
              <w:snapToGrid/>
              <w:spacing w:line="360" w:lineRule="auto"/>
              <w:ind w:left="537"/>
              <w:textAlignment w:val="auto"/>
              <w:rPr>
                <w:rFonts w:hint="eastAsia" w:ascii="宋体" w:hAnsi="宋体" w:eastAsia="宋体" w:cs="宋体"/>
                <w:sz w:val="24"/>
                <w:szCs w:val="24"/>
              </w:rPr>
            </w:pPr>
            <w:r>
              <w:rPr>
                <w:rFonts w:hint="eastAsia" w:cs="宋体"/>
                <w:b/>
                <w:bCs/>
                <w:spacing w:val="6"/>
                <w:sz w:val="24"/>
                <w:szCs w:val="24"/>
                <w:lang w:val="en-US" w:eastAsia="zh-CN"/>
              </w:rPr>
              <w:t>5</w:t>
            </w:r>
            <w:r>
              <w:rPr>
                <w:rFonts w:hint="eastAsia" w:ascii="宋体" w:hAnsi="宋体" w:eastAsia="宋体" w:cs="宋体"/>
                <w:b/>
                <w:bCs/>
                <w:spacing w:val="6"/>
                <w:sz w:val="24"/>
                <w:szCs w:val="24"/>
              </w:rPr>
              <w:t>、废气监测方案</w:t>
            </w:r>
          </w:p>
          <w:p w14:paraId="4E818468">
            <w:pPr>
              <w:pStyle w:val="52"/>
              <w:keepNext w:val="0"/>
              <w:keepLines w:val="0"/>
              <w:pageBreakBefore w:val="0"/>
              <w:widowControl w:val="0"/>
              <w:kinsoku/>
              <w:wordWrap/>
              <w:overflowPunct/>
              <w:topLinePunct w:val="0"/>
              <w:autoSpaceDE/>
              <w:autoSpaceDN/>
              <w:bidi w:val="0"/>
              <w:adjustRightInd/>
              <w:snapToGrid/>
              <w:spacing w:line="360" w:lineRule="auto"/>
              <w:ind w:firstLine="516" w:firstLineChars="200"/>
              <w:textAlignment w:val="auto"/>
              <w:rPr>
                <w:rFonts w:hint="eastAsia" w:ascii="宋体" w:hAnsi="宋体" w:eastAsia="宋体" w:cs="宋体"/>
                <w:spacing w:val="7"/>
                <w:sz w:val="24"/>
                <w:szCs w:val="24"/>
              </w:rPr>
            </w:pPr>
            <w:r>
              <w:rPr>
                <w:rFonts w:hint="eastAsia" w:ascii="宋体" w:hAnsi="宋体" w:eastAsia="宋体" w:cs="宋体"/>
                <w:spacing w:val="9"/>
                <w:sz w:val="24"/>
                <w:szCs w:val="24"/>
              </w:rPr>
              <w:t>参照《排污许可证申请与核发技术规范 石墨及其他非金属矿物制品制造》</w:t>
            </w:r>
            <w:r>
              <w:rPr>
                <w:rFonts w:hint="eastAsia" w:ascii="宋体" w:hAnsi="宋体" w:eastAsia="宋体" w:cs="宋体"/>
                <w:spacing w:val="7"/>
                <w:sz w:val="24"/>
                <w:szCs w:val="24"/>
              </w:rPr>
              <w:t>（</w:t>
            </w:r>
            <w:r>
              <w:rPr>
                <w:rFonts w:hint="eastAsia" w:ascii="宋体" w:hAnsi="宋体" w:eastAsia="宋体" w:cs="宋体"/>
                <w:sz w:val="24"/>
                <w:szCs w:val="24"/>
              </w:rPr>
              <w:t>HJ</w:t>
            </w:r>
            <w:r>
              <w:rPr>
                <w:rFonts w:hint="eastAsia" w:ascii="宋体" w:hAnsi="宋体" w:eastAsia="宋体" w:cs="宋体"/>
                <w:spacing w:val="7"/>
                <w:sz w:val="24"/>
                <w:szCs w:val="24"/>
              </w:rPr>
              <w:t>1119—2020）和《排污许可证申请与核发技术规范 总则》（</w:t>
            </w:r>
            <w:r>
              <w:rPr>
                <w:rFonts w:hint="eastAsia" w:ascii="宋体" w:hAnsi="宋体" w:eastAsia="宋体" w:cs="宋体"/>
                <w:sz w:val="24"/>
                <w:szCs w:val="24"/>
              </w:rPr>
              <w:t>HJ</w:t>
            </w:r>
            <w:r>
              <w:rPr>
                <w:rFonts w:hint="eastAsia" w:ascii="宋体" w:hAnsi="宋体" w:eastAsia="宋体" w:cs="宋体"/>
                <w:spacing w:val="7"/>
                <w:sz w:val="24"/>
                <w:szCs w:val="24"/>
              </w:rPr>
              <w:t>942—20</w:t>
            </w:r>
            <w:r>
              <w:rPr>
                <w:rFonts w:hint="eastAsia" w:ascii="宋体" w:hAnsi="宋体" w:eastAsia="宋体" w:cs="宋体"/>
                <w:spacing w:val="6"/>
                <w:sz w:val="24"/>
                <w:szCs w:val="24"/>
              </w:rPr>
              <w:t>18）有关规定，</w:t>
            </w:r>
            <w:r>
              <w:rPr>
                <w:rFonts w:hint="eastAsia" w:ascii="宋体" w:hAnsi="宋体" w:eastAsia="宋体" w:cs="宋体"/>
                <w:spacing w:val="7"/>
                <w:sz w:val="24"/>
                <w:szCs w:val="24"/>
              </w:rPr>
              <w:t>制定本项目监测计划。</w:t>
            </w:r>
          </w:p>
          <w:p w14:paraId="67B6D408">
            <w:pPr>
              <w:pStyle w:val="52"/>
              <w:spacing w:before="53" w:line="229" w:lineRule="auto"/>
              <w:jc w:val="center"/>
              <w:rPr>
                <w:rFonts w:hint="eastAsia" w:ascii="宋体" w:hAnsi="宋体" w:eastAsia="宋体" w:cs="宋体"/>
                <w:b/>
                <w:bCs/>
                <w:spacing w:val="-1"/>
                <w:sz w:val="21"/>
                <w:szCs w:val="21"/>
              </w:rPr>
            </w:pPr>
            <w:r>
              <w:rPr>
                <w:rFonts w:hint="eastAsia" w:ascii="宋体" w:hAnsi="宋体" w:eastAsia="宋体" w:cs="宋体"/>
                <w:b/>
                <w:bCs/>
                <w:spacing w:val="-1"/>
                <w:sz w:val="21"/>
                <w:szCs w:val="21"/>
              </w:rPr>
              <w:t>表</w:t>
            </w:r>
            <w:r>
              <w:rPr>
                <w:rFonts w:hint="eastAsia" w:cs="宋体"/>
                <w:b/>
                <w:bCs/>
                <w:spacing w:val="-1"/>
                <w:sz w:val="21"/>
                <w:szCs w:val="21"/>
                <w:lang w:val="en-US" w:eastAsia="zh-CN"/>
              </w:rPr>
              <w:t>4-2</w:t>
            </w:r>
            <w:r>
              <w:rPr>
                <w:rFonts w:hint="eastAsia" w:ascii="宋体" w:hAnsi="宋体" w:eastAsia="宋体" w:cs="宋体"/>
                <w:b/>
                <w:bCs/>
                <w:spacing w:val="-1"/>
                <w:sz w:val="21"/>
                <w:szCs w:val="21"/>
                <w:lang w:val="en-US" w:eastAsia="zh-CN"/>
              </w:rPr>
              <w:t xml:space="preserve">    </w:t>
            </w:r>
            <w:r>
              <w:rPr>
                <w:rFonts w:hint="eastAsia" w:ascii="宋体" w:hAnsi="宋体" w:eastAsia="宋体" w:cs="宋体"/>
                <w:b/>
                <w:bCs/>
                <w:spacing w:val="-1"/>
                <w:sz w:val="21"/>
                <w:szCs w:val="21"/>
              </w:rPr>
              <w:t>废气排放口监测指标及最低监测频次</w:t>
            </w:r>
          </w:p>
          <w:tbl>
            <w:tblPr>
              <w:tblStyle w:val="53"/>
              <w:tblW w:w="4998" w:type="pct"/>
              <w:tblInd w:w="-13"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983"/>
              <w:gridCol w:w="3278"/>
              <w:gridCol w:w="2269"/>
              <w:gridCol w:w="1537"/>
            </w:tblGrid>
            <w:tr w14:paraId="6B0C41D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609" w:type="pct"/>
                  <w:tcBorders>
                    <w:tl2br w:val="nil"/>
                    <w:tr2bl w:val="nil"/>
                  </w:tcBorders>
                  <w:noWrap w:val="0"/>
                  <w:vAlign w:val="top"/>
                </w:tcPr>
                <w:p w14:paraId="400BAE16">
                  <w:pPr>
                    <w:pStyle w:val="52"/>
                    <w:spacing w:before="52" w:line="228" w:lineRule="auto"/>
                    <w:rPr>
                      <w:rFonts w:hint="eastAsia" w:ascii="宋体" w:hAnsi="宋体" w:eastAsia="宋体" w:cs="宋体"/>
                      <w:sz w:val="21"/>
                      <w:szCs w:val="21"/>
                    </w:rPr>
                  </w:pPr>
                  <w:r>
                    <w:rPr>
                      <w:rFonts w:hint="eastAsia" w:ascii="宋体" w:hAnsi="宋体" w:eastAsia="宋体" w:cs="宋体"/>
                      <w:spacing w:val="7"/>
                      <w:sz w:val="21"/>
                      <w:szCs w:val="21"/>
                    </w:rPr>
                    <w:t>排放类别</w:t>
                  </w:r>
                </w:p>
              </w:tc>
              <w:tc>
                <w:tcPr>
                  <w:tcW w:w="2031" w:type="pct"/>
                  <w:tcBorders>
                    <w:tl2br w:val="nil"/>
                    <w:tr2bl w:val="nil"/>
                  </w:tcBorders>
                  <w:noWrap w:val="0"/>
                  <w:vAlign w:val="top"/>
                </w:tcPr>
                <w:p w14:paraId="0FABD90F">
                  <w:pPr>
                    <w:pStyle w:val="52"/>
                    <w:spacing w:before="53" w:line="229" w:lineRule="auto"/>
                    <w:rPr>
                      <w:rFonts w:hint="eastAsia" w:ascii="宋体" w:hAnsi="宋体" w:eastAsia="宋体" w:cs="宋体"/>
                      <w:sz w:val="21"/>
                      <w:szCs w:val="21"/>
                    </w:rPr>
                  </w:pPr>
                  <w:r>
                    <w:rPr>
                      <w:rFonts w:hint="eastAsia" w:ascii="宋体" w:hAnsi="宋体" w:eastAsia="宋体" w:cs="宋体"/>
                      <w:spacing w:val="-1"/>
                      <w:sz w:val="21"/>
                      <w:szCs w:val="21"/>
                    </w:rPr>
                    <w:t>点位</w:t>
                  </w:r>
                </w:p>
              </w:tc>
              <w:tc>
                <w:tcPr>
                  <w:tcW w:w="1406" w:type="pct"/>
                  <w:tcBorders>
                    <w:tl2br w:val="nil"/>
                    <w:tr2bl w:val="nil"/>
                  </w:tcBorders>
                  <w:noWrap w:val="0"/>
                  <w:vAlign w:val="top"/>
                </w:tcPr>
                <w:p w14:paraId="004CC04F">
                  <w:pPr>
                    <w:pStyle w:val="52"/>
                    <w:spacing w:before="53" w:line="228" w:lineRule="auto"/>
                    <w:rPr>
                      <w:rFonts w:hint="eastAsia" w:ascii="宋体" w:hAnsi="宋体" w:eastAsia="宋体" w:cs="宋体"/>
                      <w:sz w:val="21"/>
                      <w:szCs w:val="21"/>
                    </w:rPr>
                  </w:pPr>
                  <w:r>
                    <w:rPr>
                      <w:rFonts w:hint="eastAsia" w:ascii="宋体" w:hAnsi="宋体" w:eastAsia="宋体" w:cs="宋体"/>
                      <w:spacing w:val="7"/>
                      <w:sz w:val="21"/>
                      <w:szCs w:val="21"/>
                    </w:rPr>
                    <w:t>监测因子</w:t>
                  </w:r>
                </w:p>
              </w:tc>
              <w:tc>
                <w:tcPr>
                  <w:tcW w:w="952" w:type="pct"/>
                  <w:tcBorders>
                    <w:tl2br w:val="nil"/>
                    <w:tr2bl w:val="nil"/>
                  </w:tcBorders>
                  <w:noWrap w:val="0"/>
                  <w:vAlign w:val="top"/>
                </w:tcPr>
                <w:p w14:paraId="5E82DD10">
                  <w:pPr>
                    <w:pStyle w:val="52"/>
                    <w:spacing w:before="52" w:line="228" w:lineRule="auto"/>
                    <w:rPr>
                      <w:rFonts w:hint="eastAsia" w:ascii="宋体" w:hAnsi="宋体" w:eastAsia="宋体" w:cs="宋体"/>
                      <w:sz w:val="21"/>
                      <w:szCs w:val="21"/>
                    </w:rPr>
                  </w:pPr>
                  <w:r>
                    <w:rPr>
                      <w:rFonts w:hint="eastAsia" w:ascii="宋体" w:hAnsi="宋体" w:eastAsia="宋体" w:cs="宋体"/>
                      <w:spacing w:val="7"/>
                      <w:sz w:val="21"/>
                      <w:szCs w:val="21"/>
                    </w:rPr>
                    <w:t>监测频次</w:t>
                  </w:r>
                </w:p>
              </w:tc>
            </w:tr>
            <w:tr w14:paraId="21B6C96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09" w:type="pct"/>
                  <w:vMerge w:val="restart"/>
                  <w:tcBorders>
                    <w:tl2br w:val="nil"/>
                    <w:tr2bl w:val="nil"/>
                  </w:tcBorders>
                  <w:noWrap w:val="0"/>
                  <w:vAlign w:val="top"/>
                </w:tcPr>
                <w:p w14:paraId="207D7B36">
                  <w:pPr>
                    <w:pStyle w:val="52"/>
                    <w:spacing w:before="304" w:line="228" w:lineRule="auto"/>
                    <w:rPr>
                      <w:rFonts w:hint="eastAsia" w:ascii="宋体" w:hAnsi="宋体" w:eastAsia="宋体" w:cs="宋体"/>
                      <w:sz w:val="21"/>
                      <w:szCs w:val="21"/>
                    </w:rPr>
                  </w:pPr>
                  <w:r>
                    <w:rPr>
                      <w:rFonts w:hint="eastAsia" w:ascii="宋体" w:hAnsi="宋体" w:eastAsia="宋体" w:cs="宋体"/>
                      <w:spacing w:val="6"/>
                      <w:sz w:val="21"/>
                      <w:szCs w:val="21"/>
                    </w:rPr>
                    <w:t>有组织</w:t>
                  </w:r>
                </w:p>
              </w:tc>
              <w:tc>
                <w:tcPr>
                  <w:tcW w:w="2031" w:type="pct"/>
                  <w:tcBorders>
                    <w:tl2br w:val="nil"/>
                    <w:tr2bl w:val="nil"/>
                  </w:tcBorders>
                  <w:noWrap w:val="0"/>
                  <w:vAlign w:val="top"/>
                </w:tcPr>
                <w:p w14:paraId="45E6E32C">
                  <w:pPr>
                    <w:spacing w:before="54" w:line="195" w:lineRule="auto"/>
                    <w:rPr>
                      <w:rFonts w:hint="eastAsia" w:ascii="宋体" w:hAnsi="宋体" w:eastAsia="宋体" w:cs="宋体"/>
                      <w:sz w:val="21"/>
                      <w:szCs w:val="21"/>
                    </w:rPr>
                  </w:pPr>
                  <w:r>
                    <w:rPr>
                      <w:rFonts w:hint="eastAsia" w:ascii="宋体" w:hAnsi="宋体" w:eastAsia="宋体" w:cs="宋体"/>
                      <w:sz w:val="21"/>
                      <w:szCs w:val="21"/>
                    </w:rPr>
                    <w:t>DA</w:t>
                  </w:r>
                  <w:r>
                    <w:rPr>
                      <w:rFonts w:hint="eastAsia" w:ascii="宋体" w:hAnsi="宋体" w:eastAsia="宋体" w:cs="宋体"/>
                      <w:spacing w:val="8"/>
                      <w:sz w:val="21"/>
                      <w:szCs w:val="21"/>
                    </w:rPr>
                    <w:t>001</w:t>
                  </w:r>
                </w:p>
              </w:tc>
              <w:tc>
                <w:tcPr>
                  <w:tcW w:w="1406" w:type="pct"/>
                  <w:tcBorders>
                    <w:tl2br w:val="nil"/>
                    <w:tr2bl w:val="nil"/>
                  </w:tcBorders>
                  <w:noWrap w:val="0"/>
                  <w:vAlign w:val="top"/>
                </w:tcPr>
                <w:p w14:paraId="172D3A7C">
                  <w:pPr>
                    <w:pStyle w:val="52"/>
                    <w:spacing w:before="33" w:line="228" w:lineRule="auto"/>
                    <w:rPr>
                      <w:rFonts w:hint="eastAsia" w:ascii="宋体" w:hAnsi="宋体" w:eastAsia="宋体" w:cs="宋体"/>
                      <w:sz w:val="21"/>
                      <w:szCs w:val="21"/>
                    </w:rPr>
                  </w:pPr>
                  <w:r>
                    <w:rPr>
                      <w:rFonts w:hint="eastAsia" w:ascii="宋体" w:hAnsi="宋体" w:eastAsia="宋体" w:cs="宋体"/>
                      <w:spacing w:val="8"/>
                      <w:sz w:val="21"/>
                      <w:szCs w:val="21"/>
                    </w:rPr>
                    <w:t>颗粒物、硫酸雾</w:t>
                  </w:r>
                </w:p>
              </w:tc>
              <w:tc>
                <w:tcPr>
                  <w:tcW w:w="952" w:type="pct"/>
                  <w:vMerge w:val="restart"/>
                  <w:tcBorders>
                    <w:tl2br w:val="nil"/>
                    <w:tr2bl w:val="nil"/>
                  </w:tcBorders>
                  <w:noWrap w:val="0"/>
                  <w:vAlign w:val="top"/>
                </w:tcPr>
                <w:p w14:paraId="5D9748ED">
                  <w:pPr>
                    <w:pStyle w:val="52"/>
                    <w:spacing w:before="275" w:line="228" w:lineRule="auto"/>
                    <w:rPr>
                      <w:rFonts w:hint="eastAsia" w:ascii="宋体" w:hAnsi="宋体" w:eastAsia="宋体" w:cs="宋体"/>
                      <w:sz w:val="21"/>
                      <w:szCs w:val="21"/>
                    </w:rPr>
                  </w:pPr>
                  <w:r>
                    <w:rPr>
                      <w:rFonts w:hint="eastAsia" w:ascii="宋体" w:hAnsi="宋体" w:eastAsia="宋体" w:cs="宋体"/>
                      <w:spacing w:val="-1"/>
                      <w:sz w:val="21"/>
                      <w:szCs w:val="21"/>
                    </w:rPr>
                    <w:t>1次/年</w:t>
                  </w:r>
                </w:p>
              </w:tc>
            </w:tr>
            <w:tr w14:paraId="1459F62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09" w:type="pct"/>
                  <w:vMerge w:val="continue"/>
                  <w:tcBorders>
                    <w:tl2br w:val="nil"/>
                    <w:tr2bl w:val="nil"/>
                  </w:tcBorders>
                  <w:noWrap w:val="0"/>
                  <w:vAlign w:val="top"/>
                </w:tcPr>
                <w:p w14:paraId="02C8EB56">
                  <w:pPr>
                    <w:rPr>
                      <w:rFonts w:hint="eastAsia" w:ascii="宋体" w:hAnsi="宋体" w:eastAsia="宋体" w:cs="宋体"/>
                      <w:sz w:val="21"/>
                      <w:szCs w:val="21"/>
                    </w:rPr>
                  </w:pPr>
                </w:p>
              </w:tc>
              <w:tc>
                <w:tcPr>
                  <w:tcW w:w="2031" w:type="pct"/>
                  <w:tcBorders>
                    <w:tl2br w:val="nil"/>
                    <w:tr2bl w:val="nil"/>
                  </w:tcBorders>
                  <w:noWrap w:val="0"/>
                  <w:vAlign w:val="top"/>
                </w:tcPr>
                <w:p w14:paraId="1BC0EEFB">
                  <w:pPr>
                    <w:spacing w:before="54" w:line="195" w:lineRule="auto"/>
                    <w:rPr>
                      <w:rFonts w:hint="eastAsia" w:ascii="宋体" w:hAnsi="宋体" w:eastAsia="宋体" w:cs="宋体"/>
                      <w:sz w:val="21"/>
                      <w:szCs w:val="21"/>
                    </w:rPr>
                  </w:pPr>
                  <w:r>
                    <w:rPr>
                      <w:rFonts w:hint="eastAsia" w:ascii="宋体" w:hAnsi="宋体" w:eastAsia="宋体" w:cs="宋体"/>
                      <w:sz w:val="21"/>
                      <w:szCs w:val="21"/>
                    </w:rPr>
                    <w:t>DA</w:t>
                  </w:r>
                  <w:r>
                    <w:rPr>
                      <w:rFonts w:hint="eastAsia" w:ascii="宋体" w:hAnsi="宋体" w:eastAsia="宋体" w:cs="宋体"/>
                      <w:spacing w:val="8"/>
                      <w:sz w:val="21"/>
                      <w:szCs w:val="21"/>
                    </w:rPr>
                    <w:t>002</w:t>
                  </w:r>
                </w:p>
              </w:tc>
              <w:tc>
                <w:tcPr>
                  <w:tcW w:w="1406" w:type="pct"/>
                  <w:tcBorders>
                    <w:tl2br w:val="nil"/>
                    <w:tr2bl w:val="nil"/>
                  </w:tcBorders>
                  <w:noWrap w:val="0"/>
                  <w:vAlign w:val="top"/>
                </w:tcPr>
                <w:p w14:paraId="73F086B9">
                  <w:pPr>
                    <w:pStyle w:val="52"/>
                    <w:spacing w:before="32" w:line="234" w:lineRule="auto"/>
                    <w:ind w:right="106"/>
                    <w:rPr>
                      <w:rFonts w:hint="eastAsia" w:ascii="宋体" w:hAnsi="宋体" w:eastAsia="宋体" w:cs="宋体"/>
                      <w:sz w:val="21"/>
                      <w:szCs w:val="21"/>
                    </w:rPr>
                  </w:pPr>
                  <w:r>
                    <w:rPr>
                      <w:rFonts w:hint="eastAsia" w:ascii="宋体" w:hAnsi="宋体" w:eastAsia="宋体" w:cs="宋体"/>
                      <w:spacing w:val="1"/>
                      <w:sz w:val="21"/>
                      <w:szCs w:val="21"/>
                    </w:rPr>
                    <w:t>颗粒物、二氧化硫、氮氧</w:t>
                  </w:r>
                  <w:r>
                    <w:rPr>
                      <w:rFonts w:hint="eastAsia" w:ascii="宋体" w:hAnsi="宋体" w:eastAsia="宋体" w:cs="宋体"/>
                      <w:spacing w:val="5"/>
                      <w:sz w:val="21"/>
                      <w:szCs w:val="21"/>
                    </w:rPr>
                    <w:t xml:space="preserve"> </w:t>
                  </w:r>
                  <w:r>
                    <w:rPr>
                      <w:rFonts w:hint="eastAsia" w:ascii="宋体" w:hAnsi="宋体" w:eastAsia="宋体" w:cs="宋体"/>
                      <w:spacing w:val="8"/>
                      <w:sz w:val="21"/>
                      <w:szCs w:val="21"/>
                    </w:rPr>
                    <w:t>化物、林格曼黑度</w:t>
                  </w:r>
                </w:p>
              </w:tc>
              <w:tc>
                <w:tcPr>
                  <w:tcW w:w="952" w:type="pct"/>
                  <w:vMerge w:val="continue"/>
                  <w:tcBorders>
                    <w:tl2br w:val="nil"/>
                    <w:tr2bl w:val="nil"/>
                  </w:tcBorders>
                  <w:noWrap w:val="0"/>
                  <w:vAlign w:val="top"/>
                </w:tcPr>
                <w:p w14:paraId="44CF8603">
                  <w:pPr>
                    <w:rPr>
                      <w:rFonts w:hint="eastAsia" w:ascii="宋体" w:hAnsi="宋体" w:eastAsia="宋体" w:cs="宋体"/>
                      <w:sz w:val="21"/>
                      <w:szCs w:val="21"/>
                    </w:rPr>
                  </w:pPr>
                </w:p>
              </w:tc>
            </w:tr>
            <w:tr w14:paraId="5D04557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09" w:type="pct"/>
                  <w:vMerge w:val="continue"/>
                  <w:tcBorders>
                    <w:tl2br w:val="nil"/>
                    <w:tr2bl w:val="nil"/>
                  </w:tcBorders>
                  <w:noWrap w:val="0"/>
                  <w:vAlign w:val="top"/>
                </w:tcPr>
                <w:p w14:paraId="77D935E6">
                  <w:pPr>
                    <w:rPr>
                      <w:rFonts w:hint="eastAsia" w:ascii="宋体" w:hAnsi="宋体" w:eastAsia="宋体" w:cs="宋体"/>
                      <w:sz w:val="21"/>
                      <w:szCs w:val="21"/>
                    </w:rPr>
                  </w:pPr>
                </w:p>
              </w:tc>
              <w:tc>
                <w:tcPr>
                  <w:tcW w:w="2031" w:type="pct"/>
                  <w:tcBorders>
                    <w:tl2br w:val="nil"/>
                    <w:tr2bl w:val="nil"/>
                  </w:tcBorders>
                  <w:noWrap w:val="0"/>
                  <w:vAlign w:val="top"/>
                </w:tcPr>
                <w:p w14:paraId="41F72735">
                  <w:pPr>
                    <w:spacing w:before="54" w:line="195" w:lineRule="auto"/>
                    <w:rPr>
                      <w:rFonts w:hint="eastAsia" w:ascii="宋体" w:hAnsi="宋体" w:eastAsia="宋体" w:cs="宋体"/>
                      <w:sz w:val="21"/>
                      <w:szCs w:val="21"/>
                    </w:rPr>
                  </w:pPr>
                  <w:r>
                    <w:rPr>
                      <w:rFonts w:hint="eastAsia" w:ascii="宋体" w:hAnsi="宋体" w:eastAsia="宋体" w:cs="宋体"/>
                      <w:sz w:val="21"/>
                      <w:szCs w:val="21"/>
                    </w:rPr>
                    <w:t>DA</w:t>
                  </w:r>
                  <w:r>
                    <w:rPr>
                      <w:rFonts w:hint="eastAsia" w:ascii="宋体" w:hAnsi="宋体" w:eastAsia="宋体" w:cs="宋体"/>
                      <w:spacing w:val="8"/>
                      <w:sz w:val="21"/>
                      <w:szCs w:val="21"/>
                    </w:rPr>
                    <w:t>003</w:t>
                  </w:r>
                </w:p>
              </w:tc>
              <w:tc>
                <w:tcPr>
                  <w:tcW w:w="1406" w:type="pct"/>
                  <w:tcBorders>
                    <w:tl2br w:val="nil"/>
                    <w:tr2bl w:val="nil"/>
                  </w:tcBorders>
                  <w:noWrap w:val="0"/>
                  <w:vAlign w:val="top"/>
                </w:tcPr>
                <w:p w14:paraId="7CAD2D94">
                  <w:pPr>
                    <w:pStyle w:val="52"/>
                    <w:spacing w:before="33" w:line="228" w:lineRule="auto"/>
                    <w:rPr>
                      <w:rFonts w:hint="eastAsia" w:ascii="宋体" w:hAnsi="宋体" w:eastAsia="宋体" w:cs="宋体"/>
                      <w:sz w:val="21"/>
                      <w:szCs w:val="21"/>
                    </w:rPr>
                  </w:pPr>
                  <w:r>
                    <w:rPr>
                      <w:rFonts w:hint="eastAsia" w:ascii="宋体" w:hAnsi="宋体" w:eastAsia="宋体" w:cs="宋体"/>
                      <w:spacing w:val="7"/>
                      <w:sz w:val="21"/>
                      <w:szCs w:val="21"/>
                    </w:rPr>
                    <w:t>颗粒物</w:t>
                  </w:r>
                </w:p>
              </w:tc>
              <w:tc>
                <w:tcPr>
                  <w:tcW w:w="952" w:type="pct"/>
                  <w:vMerge w:val="continue"/>
                  <w:tcBorders>
                    <w:tl2br w:val="nil"/>
                    <w:tr2bl w:val="nil"/>
                  </w:tcBorders>
                  <w:noWrap w:val="0"/>
                  <w:vAlign w:val="top"/>
                </w:tcPr>
                <w:p w14:paraId="0130EE1D">
                  <w:pPr>
                    <w:rPr>
                      <w:rFonts w:hint="eastAsia" w:ascii="宋体" w:hAnsi="宋体" w:eastAsia="宋体" w:cs="宋体"/>
                      <w:sz w:val="21"/>
                      <w:szCs w:val="21"/>
                    </w:rPr>
                  </w:pPr>
                </w:p>
              </w:tc>
            </w:tr>
            <w:tr w14:paraId="7761B18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09" w:type="pct"/>
                  <w:tcBorders>
                    <w:tl2br w:val="nil"/>
                    <w:tr2bl w:val="nil"/>
                  </w:tcBorders>
                  <w:noWrap w:val="0"/>
                  <w:vAlign w:val="top"/>
                </w:tcPr>
                <w:p w14:paraId="4BC2E611">
                  <w:pPr>
                    <w:pStyle w:val="52"/>
                    <w:spacing w:before="33" w:line="228" w:lineRule="auto"/>
                    <w:rPr>
                      <w:rFonts w:hint="eastAsia" w:ascii="宋体" w:hAnsi="宋体" w:eastAsia="宋体" w:cs="宋体"/>
                      <w:sz w:val="21"/>
                      <w:szCs w:val="21"/>
                    </w:rPr>
                  </w:pPr>
                  <w:r>
                    <w:rPr>
                      <w:rFonts w:hint="eastAsia" w:ascii="宋体" w:hAnsi="宋体" w:eastAsia="宋体" w:cs="宋体"/>
                      <w:spacing w:val="6"/>
                      <w:sz w:val="21"/>
                      <w:szCs w:val="21"/>
                    </w:rPr>
                    <w:t>无组织</w:t>
                  </w:r>
                </w:p>
              </w:tc>
              <w:tc>
                <w:tcPr>
                  <w:tcW w:w="2031" w:type="pct"/>
                  <w:tcBorders>
                    <w:tl2br w:val="nil"/>
                    <w:tr2bl w:val="nil"/>
                  </w:tcBorders>
                  <w:noWrap w:val="0"/>
                  <w:vAlign w:val="top"/>
                </w:tcPr>
                <w:p w14:paraId="458CD072">
                  <w:pPr>
                    <w:pStyle w:val="52"/>
                    <w:spacing w:before="34" w:line="233" w:lineRule="auto"/>
                    <w:ind w:right="134"/>
                    <w:rPr>
                      <w:rFonts w:hint="eastAsia" w:ascii="宋体" w:hAnsi="宋体" w:eastAsia="宋体" w:cs="宋体"/>
                      <w:sz w:val="21"/>
                      <w:szCs w:val="21"/>
                    </w:rPr>
                  </w:pPr>
                  <w:r>
                    <w:rPr>
                      <w:rFonts w:hint="eastAsia" w:ascii="宋体" w:hAnsi="宋体" w:eastAsia="宋体" w:cs="宋体"/>
                      <w:spacing w:val="9"/>
                      <w:sz w:val="21"/>
                      <w:szCs w:val="21"/>
                    </w:rPr>
                    <w:t>在厂界外主导风向的上风向设置</w:t>
                  </w:r>
                  <w:r>
                    <w:rPr>
                      <w:rFonts w:hint="eastAsia" w:ascii="宋体" w:hAnsi="宋体" w:eastAsia="宋体" w:cs="宋体"/>
                      <w:spacing w:val="4"/>
                      <w:sz w:val="21"/>
                      <w:szCs w:val="21"/>
                    </w:rPr>
                    <w:t>1点、下风向设</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3个监测点</w:t>
                  </w:r>
                </w:p>
              </w:tc>
              <w:tc>
                <w:tcPr>
                  <w:tcW w:w="1406" w:type="pct"/>
                  <w:tcBorders>
                    <w:tl2br w:val="nil"/>
                    <w:tr2bl w:val="nil"/>
                  </w:tcBorders>
                  <w:noWrap w:val="0"/>
                  <w:vAlign w:val="top"/>
                </w:tcPr>
                <w:p w14:paraId="5AE8AA0D">
                  <w:pPr>
                    <w:pStyle w:val="52"/>
                    <w:spacing w:before="33" w:line="228" w:lineRule="auto"/>
                    <w:rPr>
                      <w:rFonts w:hint="eastAsia" w:ascii="宋体" w:hAnsi="宋体" w:eastAsia="宋体" w:cs="宋体"/>
                      <w:sz w:val="21"/>
                      <w:szCs w:val="21"/>
                    </w:rPr>
                  </w:pPr>
                  <w:r>
                    <w:rPr>
                      <w:rFonts w:hint="eastAsia" w:ascii="宋体" w:hAnsi="宋体" w:eastAsia="宋体" w:cs="宋体"/>
                      <w:spacing w:val="8"/>
                      <w:sz w:val="21"/>
                      <w:szCs w:val="21"/>
                    </w:rPr>
                    <w:t>颗粒物、硫酸雾</w:t>
                  </w:r>
                </w:p>
              </w:tc>
              <w:tc>
                <w:tcPr>
                  <w:tcW w:w="952" w:type="pct"/>
                  <w:tcBorders>
                    <w:tl2br w:val="nil"/>
                    <w:tr2bl w:val="nil"/>
                  </w:tcBorders>
                  <w:noWrap w:val="0"/>
                  <w:vAlign w:val="top"/>
                </w:tcPr>
                <w:p w14:paraId="702F79A7">
                  <w:pPr>
                    <w:pStyle w:val="52"/>
                    <w:spacing w:before="33" w:line="228" w:lineRule="auto"/>
                    <w:rPr>
                      <w:rFonts w:hint="eastAsia" w:ascii="宋体" w:hAnsi="宋体" w:eastAsia="宋体" w:cs="宋体"/>
                      <w:sz w:val="21"/>
                      <w:szCs w:val="21"/>
                    </w:rPr>
                  </w:pPr>
                  <w:r>
                    <w:rPr>
                      <w:rFonts w:hint="eastAsia" w:ascii="宋体" w:hAnsi="宋体" w:eastAsia="宋体" w:cs="宋体"/>
                      <w:sz w:val="21"/>
                      <w:szCs w:val="21"/>
                    </w:rPr>
                    <w:t>1次/年</w:t>
                  </w:r>
                </w:p>
              </w:tc>
            </w:tr>
          </w:tbl>
          <w:p w14:paraId="16E92CF4">
            <w:pPr>
              <w:adjustRightInd w:val="0"/>
              <w:snapToGrid w:val="0"/>
              <w:rPr>
                <w:rFonts w:hint="default"/>
                <w:spacing w:val="6"/>
                <w:lang w:val="en-US" w:eastAsia="zh-CN"/>
              </w:rPr>
            </w:pPr>
          </w:p>
        </w:tc>
      </w:tr>
    </w:tbl>
    <w:p w14:paraId="372B3FF9">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2779"/>
      </w:tblGrid>
      <w:tr w14:paraId="3A5F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4" w:hRule="atLeast"/>
        </w:trPr>
        <w:tc>
          <w:tcPr>
            <w:tcW w:w="449" w:type="dxa"/>
            <w:noWrap w:val="0"/>
            <w:vAlign w:val="top"/>
          </w:tcPr>
          <w:p w14:paraId="31AC787F">
            <w:pPr>
              <w:adjustRightInd w:val="0"/>
              <w:snapToGrid w:val="0"/>
              <w:spacing w:line="360" w:lineRule="auto"/>
              <w:rPr>
                <w:rFonts w:hint="eastAsia" w:ascii="宋体" w:cs="宋体"/>
                <w:b/>
                <w:kern w:val="0"/>
                <w:sz w:val="28"/>
                <w:szCs w:val="28"/>
                <w:vertAlign w:val="baseline"/>
              </w:rPr>
            </w:pPr>
          </w:p>
        </w:tc>
        <w:tc>
          <w:tcPr>
            <w:tcW w:w="12779" w:type="dxa"/>
            <w:noWrap w:val="0"/>
            <w:vAlign w:val="top"/>
          </w:tcPr>
          <w:p w14:paraId="544F46E1">
            <w:pPr>
              <w:adjustRightInd w:val="0"/>
              <w:snapToGrid w:val="0"/>
              <w:spacing w:line="360" w:lineRule="auto"/>
              <w:rPr>
                <w:rFonts w:hint="default" w:ascii="宋体" w:eastAsia="宋体" w:cs="宋体"/>
                <w:b/>
                <w:kern w:val="0"/>
                <w:sz w:val="28"/>
                <w:szCs w:val="28"/>
                <w:vertAlign w:val="baseline"/>
                <w:lang w:val="en-US" w:eastAsia="zh-CN"/>
              </w:rPr>
            </w:pPr>
            <w:r>
              <w:rPr>
                <w:rFonts w:hint="eastAsia" w:ascii="宋体" w:cs="宋体"/>
                <w:b/>
                <w:kern w:val="0"/>
                <w:sz w:val="28"/>
                <w:szCs w:val="28"/>
                <w:vertAlign w:val="baseline"/>
                <w:lang w:val="en-US" w:eastAsia="zh-CN"/>
              </w:rPr>
              <w:t xml:space="preserve">                               </w:t>
            </w:r>
            <w:r>
              <w:rPr>
                <w:rFonts w:hint="eastAsia" w:ascii="宋体" w:cs="宋体"/>
                <w:b/>
                <w:kern w:val="0"/>
                <w:sz w:val="21"/>
                <w:szCs w:val="21"/>
                <w:vertAlign w:val="baseline"/>
                <w:lang w:val="en-US" w:eastAsia="zh-CN"/>
              </w:rPr>
              <w:t>表4-3    本项目废气产生和排放一览表</w:t>
            </w:r>
          </w:p>
          <w:tbl>
            <w:tblPr>
              <w:tblStyle w:val="53"/>
              <w:tblW w:w="4996"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401"/>
              <w:gridCol w:w="501"/>
              <w:gridCol w:w="504"/>
              <w:gridCol w:w="386"/>
              <w:gridCol w:w="594"/>
              <w:gridCol w:w="733"/>
              <w:gridCol w:w="680"/>
              <w:gridCol w:w="700"/>
              <w:gridCol w:w="660"/>
              <w:gridCol w:w="500"/>
              <w:gridCol w:w="594"/>
              <w:gridCol w:w="376"/>
              <w:gridCol w:w="684"/>
              <w:gridCol w:w="710"/>
              <w:gridCol w:w="632"/>
              <w:gridCol w:w="622"/>
              <w:gridCol w:w="446"/>
              <w:gridCol w:w="446"/>
              <w:gridCol w:w="416"/>
              <w:gridCol w:w="1279"/>
              <w:gridCol w:w="659"/>
            </w:tblGrid>
            <w:tr w14:paraId="1221B4D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28" w:hRule="atLeast"/>
              </w:trPr>
              <w:tc>
                <w:tcPr>
                  <w:tcW w:w="160" w:type="pct"/>
                  <w:vMerge w:val="restart"/>
                  <w:tcBorders>
                    <w:tl2br w:val="nil"/>
                    <w:tr2bl w:val="nil"/>
                  </w:tcBorders>
                  <w:noWrap w:val="0"/>
                  <w:vAlign w:val="center"/>
                </w:tcPr>
                <w:p w14:paraId="2E3E374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排放方式</w:t>
                  </w:r>
                </w:p>
              </w:tc>
              <w:tc>
                <w:tcPr>
                  <w:tcW w:w="200" w:type="pct"/>
                  <w:vMerge w:val="restart"/>
                  <w:tcBorders>
                    <w:tl2br w:val="nil"/>
                    <w:tr2bl w:val="nil"/>
                  </w:tcBorders>
                  <w:noWrap w:val="0"/>
                  <w:vAlign w:val="center"/>
                </w:tcPr>
                <w:p w14:paraId="2B34E8A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en-US" w:bidi="ar-SA"/>
                    </w:rPr>
                  </w:pPr>
                  <w:r>
                    <w:rPr>
                      <w:rFonts w:hint="eastAsia" w:ascii="宋体" w:hAnsi="宋体" w:eastAsia="宋体" w:cs="宋体"/>
                      <w:spacing w:val="-2"/>
                      <w:sz w:val="18"/>
                      <w:szCs w:val="18"/>
                    </w:rPr>
                    <w:t>产生环节</w:t>
                  </w:r>
                </w:p>
              </w:tc>
              <w:tc>
                <w:tcPr>
                  <w:tcW w:w="201" w:type="pct"/>
                  <w:vMerge w:val="restart"/>
                  <w:tcBorders>
                    <w:tl2br w:val="nil"/>
                    <w:tr2bl w:val="nil"/>
                  </w:tcBorders>
                  <w:noWrap w:val="0"/>
                  <w:vAlign w:val="center"/>
                </w:tcPr>
                <w:p w14:paraId="1DAB9D3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总量</w:t>
                  </w:r>
                  <w:r>
                    <w:rPr>
                      <w:rFonts w:hint="eastAsia" w:ascii="宋体" w:hAnsi="宋体" w:eastAsia="宋体" w:cs="宋体"/>
                      <w:spacing w:val="-2"/>
                      <w:sz w:val="18"/>
                      <w:szCs w:val="18"/>
                    </w:rPr>
                    <w:t>t/a</w:t>
                  </w:r>
                </w:p>
              </w:tc>
              <w:tc>
                <w:tcPr>
                  <w:tcW w:w="154" w:type="pct"/>
                  <w:vMerge w:val="restart"/>
                  <w:tcBorders>
                    <w:tl2br w:val="nil"/>
                    <w:tr2bl w:val="nil"/>
                  </w:tcBorders>
                  <w:noWrap w:val="0"/>
                  <w:vAlign w:val="center"/>
                </w:tcPr>
                <w:p w14:paraId="40B6085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收集率%</w:t>
                  </w:r>
                </w:p>
              </w:tc>
              <w:tc>
                <w:tcPr>
                  <w:tcW w:w="237" w:type="pct"/>
                  <w:vMerge w:val="restart"/>
                  <w:tcBorders>
                    <w:tl2br w:val="nil"/>
                    <w:tr2bl w:val="nil"/>
                  </w:tcBorders>
                  <w:noWrap w:val="0"/>
                  <w:vAlign w:val="center"/>
                </w:tcPr>
                <w:p w14:paraId="26251C8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rPr>
                    <w:t>废气量（m</w:t>
                  </w:r>
                  <w:r>
                    <w:rPr>
                      <w:rFonts w:hint="eastAsia" w:ascii="宋体" w:hAnsi="宋体" w:eastAsia="宋体" w:cs="宋体"/>
                      <w:spacing w:val="-2"/>
                      <w:sz w:val="18"/>
                      <w:szCs w:val="18"/>
                      <w:vertAlign w:val="superscript"/>
                    </w:rPr>
                    <w:t>3</w:t>
                  </w:r>
                  <w:r>
                    <w:rPr>
                      <w:rFonts w:hint="eastAsia" w:ascii="宋体" w:hAnsi="宋体" w:eastAsia="宋体" w:cs="宋体"/>
                      <w:spacing w:val="-2"/>
                      <w:sz w:val="18"/>
                      <w:szCs w:val="18"/>
                    </w:rPr>
                    <w:t>/h）</w:t>
                  </w:r>
                </w:p>
              </w:tc>
              <w:tc>
                <w:tcPr>
                  <w:tcW w:w="292" w:type="pct"/>
                  <w:vMerge w:val="restart"/>
                  <w:tcBorders>
                    <w:tl2br w:val="nil"/>
                    <w:tr2bl w:val="nil"/>
                  </w:tcBorders>
                  <w:noWrap w:val="0"/>
                  <w:vAlign w:val="center"/>
                </w:tcPr>
                <w:p w14:paraId="49F520A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污染物名称</w:t>
                  </w:r>
                </w:p>
              </w:tc>
              <w:tc>
                <w:tcPr>
                  <w:tcW w:w="814" w:type="pct"/>
                  <w:gridSpan w:val="3"/>
                  <w:tcBorders>
                    <w:tl2br w:val="nil"/>
                    <w:tr2bl w:val="nil"/>
                  </w:tcBorders>
                  <w:noWrap w:val="0"/>
                  <w:vAlign w:val="center"/>
                </w:tcPr>
                <w:p w14:paraId="76B5C52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eastAsia="zh-CN"/>
                    </w:rPr>
                  </w:pPr>
                  <w:r>
                    <w:rPr>
                      <w:rFonts w:hint="eastAsia" w:ascii="宋体" w:hAnsi="宋体" w:eastAsia="宋体" w:cs="宋体"/>
                      <w:spacing w:val="-2"/>
                      <w:sz w:val="18"/>
                      <w:szCs w:val="18"/>
                    </w:rPr>
                    <w:t>产生</w:t>
                  </w:r>
                  <w:r>
                    <w:rPr>
                      <w:rFonts w:hint="eastAsia" w:ascii="宋体" w:hAnsi="宋体" w:eastAsia="宋体" w:cs="宋体"/>
                      <w:spacing w:val="-2"/>
                      <w:sz w:val="18"/>
                      <w:szCs w:val="18"/>
                      <w:lang w:val="en-US" w:eastAsia="zh-CN"/>
                    </w:rPr>
                    <w:t>情况</w:t>
                  </w:r>
                </w:p>
              </w:tc>
              <w:tc>
                <w:tcPr>
                  <w:tcW w:w="199" w:type="pct"/>
                  <w:vMerge w:val="restart"/>
                  <w:tcBorders>
                    <w:tl2br w:val="nil"/>
                    <w:tr2bl w:val="nil"/>
                  </w:tcBorders>
                  <w:noWrap w:val="0"/>
                  <w:vAlign w:val="center"/>
                </w:tcPr>
                <w:p w14:paraId="2270129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治理措施</w:t>
                  </w:r>
                </w:p>
              </w:tc>
              <w:tc>
                <w:tcPr>
                  <w:tcW w:w="237" w:type="pct"/>
                  <w:vMerge w:val="restart"/>
                  <w:tcBorders>
                    <w:tl2br w:val="nil"/>
                    <w:tr2bl w:val="nil"/>
                  </w:tcBorders>
                  <w:noWrap w:val="0"/>
                  <w:vAlign w:val="center"/>
                </w:tcPr>
                <w:p w14:paraId="28A0AEB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是否为可行技术</w:t>
                  </w:r>
                </w:p>
              </w:tc>
              <w:tc>
                <w:tcPr>
                  <w:tcW w:w="150" w:type="pct"/>
                  <w:vMerge w:val="restart"/>
                  <w:tcBorders>
                    <w:tl2br w:val="nil"/>
                    <w:tr2bl w:val="nil"/>
                  </w:tcBorders>
                  <w:noWrap w:val="0"/>
                  <w:vAlign w:val="center"/>
                </w:tcPr>
                <w:p w14:paraId="79C5832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去除率%</w:t>
                  </w:r>
                </w:p>
              </w:tc>
              <w:tc>
                <w:tcPr>
                  <w:tcW w:w="808" w:type="pct"/>
                  <w:gridSpan w:val="3"/>
                  <w:tcBorders>
                    <w:tl2br w:val="nil"/>
                    <w:tr2bl w:val="nil"/>
                  </w:tcBorders>
                  <w:noWrap w:val="0"/>
                  <w:vAlign w:val="center"/>
                </w:tcPr>
                <w:p w14:paraId="795FD65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eastAsia="zh-CN"/>
                    </w:rPr>
                  </w:pPr>
                  <w:r>
                    <w:rPr>
                      <w:rFonts w:hint="eastAsia" w:ascii="宋体" w:hAnsi="宋体" w:eastAsia="宋体" w:cs="宋体"/>
                      <w:spacing w:val="-2"/>
                      <w:sz w:val="18"/>
                      <w:szCs w:val="18"/>
                    </w:rPr>
                    <w:t>排放</w:t>
                  </w:r>
                  <w:r>
                    <w:rPr>
                      <w:rFonts w:hint="eastAsia" w:ascii="宋体" w:hAnsi="宋体" w:eastAsia="宋体" w:cs="宋体"/>
                      <w:spacing w:val="-2"/>
                      <w:sz w:val="18"/>
                      <w:szCs w:val="18"/>
                      <w:lang w:val="en-US" w:eastAsia="zh-CN"/>
                    </w:rPr>
                    <w:t>情况</w:t>
                  </w:r>
                </w:p>
              </w:tc>
              <w:tc>
                <w:tcPr>
                  <w:tcW w:w="248" w:type="pct"/>
                  <w:vMerge w:val="restart"/>
                  <w:tcBorders>
                    <w:tl2br w:val="nil"/>
                    <w:tr2bl w:val="nil"/>
                  </w:tcBorders>
                  <w:noWrap w:val="0"/>
                  <w:vAlign w:val="center"/>
                </w:tcPr>
                <w:p w14:paraId="5F8A458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排放时间（h/a）</w:t>
                  </w:r>
                </w:p>
              </w:tc>
              <w:tc>
                <w:tcPr>
                  <w:tcW w:w="522" w:type="pct"/>
                  <w:gridSpan w:val="3"/>
                  <w:tcBorders>
                    <w:tl2br w:val="nil"/>
                    <w:tr2bl w:val="nil"/>
                  </w:tcBorders>
                  <w:noWrap w:val="0"/>
                  <w:vAlign w:val="center"/>
                </w:tcPr>
                <w:p w14:paraId="00803A8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排气筒参数</w:t>
                  </w:r>
                </w:p>
              </w:tc>
              <w:tc>
                <w:tcPr>
                  <w:tcW w:w="510" w:type="pct"/>
                  <w:tcBorders>
                    <w:tl2br w:val="nil"/>
                    <w:tr2bl w:val="nil"/>
                  </w:tcBorders>
                  <w:noWrap w:val="0"/>
                  <w:vAlign w:val="center"/>
                </w:tcPr>
                <w:p w14:paraId="7CD7625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执行标准</w:t>
                  </w:r>
                </w:p>
              </w:tc>
              <w:tc>
                <w:tcPr>
                  <w:tcW w:w="263" w:type="pct"/>
                  <w:tcBorders>
                    <w:tl2br w:val="nil"/>
                    <w:tr2bl w:val="nil"/>
                  </w:tcBorders>
                  <w:noWrap w:val="0"/>
                  <w:vAlign w:val="center"/>
                </w:tcPr>
                <w:p w14:paraId="16C2221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排</w:t>
                  </w:r>
                  <w:r>
                    <w:rPr>
                      <w:rFonts w:hint="eastAsia" w:ascii="宋体" w:hAnsi="宋体" w:eastAsia="宋体" w:cs="宋体"/>
                      <w:spacing w:val="-2"/>
                      <w:sz w:val="18"/>
                      <w:szCs w:val="18"/>
                    </w:rPr>
                    <w:t>气筒</w:t>
                  </w:r>
                </w:p>
              </w:tc>
            </w:tr>
            <w:tr w14:paraId="12642A6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60" w:type="pct"/>
                  <w:vMerge w:val="continue"/>
                  <w:tcBorders>
                    <w:tl2br w:val="nil"/>
                    <w:tr2bl w:val="nil"/>
                  </w:tcBorders>
                  <w:noWrap w:val="0"/>
                  <w:vAlign w:val="center"/>
                </w:tcPr>
                <w:p w14:paraId="18E112E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vMerge w:val="continue"/>
                  <w:tcBorders>
                    <w:tl2br w:val="nil"/>
                    <w:tr2bl w:val="nil"/>
                  </w:tcBorders>
                  <w:noWrap w:val="0"/>
                  <w:textDirection w:val="tbRlV"/>
                  <w:vAlign w:val="center"/>
                </w:tcPr>
                <w:p w14:paraId="6DF00EB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en-US" w:bidi="ar-SA"/>
                    </w:rPr>
                  </w:pPr>
                </w:p>
              </w:tc>
              <w:tc>
                <w:tcPr>
                  <w:tcW w:w="201" w:type="pct"/>
                  <w:vMerge w:val="continue"/>
                  <w:tcBorders>
                    <w:tl2br w:val="nil"/>
                    <w:tr2bl w:val="nil"/>
                  </w:tcBorders>
                  <w:noWrap w:val="0"/>
                  <w:textDirection w:val="tbRlV"/>
                  <w:vAlign w:val="center"/>
                </w:tcPr>
                <w:p w14:paraId="7F2966B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154" w:type="pct"/>
                  <w:vMerge w:val="continue"/>
                  <w:tcBorders>
                    <w:tl2br w:val="nil"/>
                    <w:tr2bl w:val="nil"/>
                  </w:tcBorders>
                  <w:noWrap w:val="0"/>
                  <w:textDirection w:val="tbRlV"/>
                  <w:vAlign w:val="center"/>
                </w:tcPr>
                <w:p w14:paraId="7E1C377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37" w:type="pct"/>
                  <w:vMerge w:val="continue"/>
                  <w:tcBorders>
                    <w:tl2br w:val="nil"/>
                    <w:tr2bl w:val="nil"/>
                  </w:tcBorders>
                  <w:noWrap w:val="0"/>
                  <w:textDirection w:val="tbRlV"/>
                  <w:vAlign w:val="center"/>
                </w:tcPr>
                <w:p w14:paraId="2D26C82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92" w:type="pct"/>
                  <w:vMerge w:val="continue"/>
                  <w:tcBorders>
                    <w:tl2br w:val="nil"/>
                    <w:tr2bl w:val="nil"/>
                  </w:tcBorders>
                  <w:noWrap w:val="0"/>
                  <w:textDirection w:val="tbRlV"/>
                  <w:vAlign w:val="center"/>
                </w:tcPr>
                <w:p w14:paraId="722DCC3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71" w:type="pct"/>
                  <w:tcBorders>
                    <w:tl2br w:val="nil"/>
                    <w:tr2bl w:val="nil"/>
                  </w:tcBorders>
                  <w:noWrap w:val="0"/>
                  <w:vAlign w:val="center"/>
                </w:tcPr>
                <w:p w14:paraId="02D5AA2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浓度</w:t>
                  </w:r>
                </w:p>
                <w:p w14:paraId="12DB159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（mg/m</w:t>
                  </w:r>
                  <w:r>
                    <w:rPr>
                      <w:rFonts w:hint="eastAsia" w:ascii="宋体" w:hAnsi="宋体" w:eastAsia="宋体" w:cs="宋体"/>
                      <w:spacing w:val="-2"/>
                      <w:sz w:val="18"/>
                      <w:szCs w:val="18"/>
                      <w:vertAlign w:val="superscript"/>
                    </w:rPr>
                    <w:t>3</w:t>
                  </w:r>
                  <w:r>
                    <w:rPr>
                      <w:rFonts w:hint="eastAsia" w:ascii="宋体" w:hAnsi="宋体" w:eastAsia="宋体" w:cs="宋体"/>
                      <w:spacing w:val="-2"/>
                      <w:sz w:val="18"/>
                      <w:szCs w:val="18"/>
                    </w:rPr>
                    <w:t>)</w:t>
                  </w:r>
                </w:p>
              </w:tc>
              <w:tc>
                <w:tcPr>
                  <w:tcW w:w="279" w:type="pct"/>
                  <w:tcBorders>
                    <w:tl2br w:val="nil"/>
                    <w:tr2bl w:val="nil"/>
                  </w:tcBorders>
                  <w:noWrap w:val="0"/>
                  <w:vAlign w:val="center"/>
                </w:tcPr>
                <w:p w14:paraId="282DA5B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速率</w:t>
                  </w:r>
                  <w:r>
                    <w:rPr>
                      <w:rFonts w:hint="eastAsia" w:ascii="宋体" w:hAnsi="宋体" w:eastAsia="宋体" w:cs="宋体"/>
                      <w:spacing w:val="-2"/>
                      <w:sz w:val="18"/>
                      <w:szCs w:val="18"/>
                    </w:rPr>
                    <w:t>（kg/h）</w:t>
                  </w:r>
                </w:p>
              </w:tc>
              <w:tc>
                <w:tcPr>
                  <w:tcW w:w="263" w:type="pct"/>
                  <w:tcBorders>
                    <w:tl2br w:val="nil"/>
                    <w:tr2bl w:val="nil"/>
                  </w:tcBorders>
                  <w:noWrap w:val="0"/>
                  <w:vAlign w:val="center"/>
                </w:tcPr>
                <w:p w14:paraId="510AE80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产生量  （t/a）</w:t>
                  </w:r>
                </w:p>
              </w:tc>
              <w:tc>
                <w:tcPr>
                  <w:tcW w:w="199" w:type="pct"/>
                  <w:vMerge w:val="continue"/>
                  <w:tcBorders>
                    <w:tl2br w:val="nil"/>
                    <w:tr2bl w:val="nil"/>
                  </w:tcBorders>
                  <w:noWrap w:val="0"/>
                  <w:textDirection w:val="tbRlV"/>
                  <w:vAlign w:val="center"/>
                </w:tcPr>
                <w:p w14:paraId="528684A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37" w:type="pct"/>
                  <w:vMerge w:val="continue"/>
                  <w:tcBorders>
                    <w:tl2br w:val="nil"/>
                    <w:tr2bl w:val="nil"/>
                  </w:tcBorders>
                  <w:noWrap w:val="0"/>
                  <w:vAlign w:val="center"/>
                </w:tcPr>
                <w:p w14:paraId="5F0C181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150" w:type="pct"/>
                  <w:vMerge w:val="continue"/>
                  <w:tcBorders>
                    <w:tl2br w:val="nil"/>
                    <w:tr2bl w:val="nil"/>
                  </w:tcBorders>
                  <w:noWrap w:val="0"/>
                  <w:vAlign w:val="center"/>
                </w:tcPr>
                <w:p w14:paraId="727C13E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73" w:type="pct"/>
                  <w:tcBorders>
                    <w:tl2br w:val="nil"/>
                    <w:tr2bl w:val="nil"/>
                  </w:tcBorders>
                  <w:noWrap w:val="0"/>
                  <w:vAlign w:val="center"/>
                </w:tcPr>
                <w:p w14:paraId="229C52C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浓度（mg/m</w:t>
                  </w:r>
                  <w:r>
                    <w:rPr>
                      <w:rFonts w:hint="eastAsia" w:ascii="宋体" w:hAnsi="宋体" w:eastAsia="宋体" w:cs="宋体"/>
                      <w:spacing w:val="-2"/>
                      <w:sz w:val="18"/>
                      <w:szCs w:val="18"/>
                      <w:vertAlign w:val="superscript"/>
                    </w:rPr>
                    <w:t>3</w:t>
                  </w:r>
                  <w:r>
                    <w:rPr>
                      <w:rFonts w:hint="eastAsia" w:ascii="宋体" w:hAnsi="宋体" w:eastAsia="宋体" w:cs="宋体"/>
                      <w:spacing w:val="-2"/>
                      <w:sz w:val="18"/>
                      <w:szCs w:val="18"/>
                    </w:rPr>
                    <w:t>)</w:t>
                  </w:r>
                </w:p>
              </w:tc>
              <w:tc>
                <w:tcPr>
                  <w:tcW w:w="283" w:type="pct"/>
                  <w:tcBorders>
                    <w:tl2br w:val="nil"/>
                    <w:tr2bl w:val="nil"/>
                  </w:tcBorders>
                  <w:noWrap w:val="0"/>
                  <w:vAlign w:val="center"/>
                </w:tcPr>
                <w:p w14:paraId="3327EA7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速率（kg/h）</w:t>
                  </w:r>
                </w:p>
              </w:tc>
              <w:tc>
                <w:tcPr>
                  <w:tcW w:w="252" w:type="pct"/>
                  <w:tcBorders>
                    <w:tl2br w:val="nil"/>
                    <w:tr2bl w:val="nil"/>
                  </w:tcBorders>
                  <w:noWrap w:val="0"/>
                  <w:vAlign w:val="center"/>
                </w:tcPr>
                <w:p w14:paraId="79C2FBB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排放量（t/a）</w:t>
                  </w:r>
                </w:p>
              </w:tc>
              <w:tc>
                <w:tcPr>
                  <w:tcW w:w="248" w:type="pct"/>
                  <w:vMerge w:val="continue"/>
                  <w:tcBorders>
                    <w:tl2br w:val="nil"/>
                    <w:tr2bl w:val="nil"/>
                  </w:tcBorders>
                  <w:noWrap w:val="0"/>
                  <w:vAlign w:val="center"/>
                </w:tcPr>
                <w:p w14:paraId="3A95178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178" w:type="pct"/>
                  <w:tcBorders>
                    <w:tl2br w:val="nil"/>
                    <w:tr2bl w:val="nil"/>
                  </w:tcBorders>
                  <w:noWrap w:val="0"/>
                  <w:vAlign w:val="center"/>
                </w:tcPr>
                <w:p w14:paraId="4A6508D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高度（m）</w:t>
                  </w:r>
                </w:p>
              </w:tc>
              <w:tc>
                <w:tcPr>
                  <w:tcW w:w="178" w:type="pct"/>
                  <w:tcBorders>
                    <w:tl2br w:val="nil"/>
                    <w:tr2bl w:val="nil"/>
                  </w:tcBorders>
                  <w:noWrap w:val="0"/>
                  <w:vAlign w:val="center"/>
                </w:tcPr>
                <w:p w14:paraId="1865BA4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直径</w:t>
                  </w:r>
                </w:p>
                <w:p w14:paraId="2CFFE8A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（m）</w:t>
                  </w:r>
                </w:p>
              </w:tc>
              <w:tc>
                <w:tcPr>
                  <w:tcW w:w="166" w:type="pct"/>
                  <w:tcBorders>
                    <w:tl2br w:val="nil"/>
                    <w:tr2bl w:val="nil"/>
                  </w:tcBorders>
                  <w:noWrap w:val="0"/>
                  <w:vAlign w:val="center"/>
                </w:tcPr>
                <w:p w14:paraId="73F52A2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温度(℃)</w:t>
                  </w:r>
                </w:p>
              </w:tc>
              <w:tc>
                <w:tcPr>
                  <w:tcW w:w="510" w:type="pct"/>
                  <w:vMerge w:val="restart"/>
                  <w:tcBorders>
                    <w:tl2br w:val="nil"/>
                    <w:tr2bl w:val="nil"/>
                  </w:tcBorders>
                  <w:noWrap w:val="0"/>
                  <w:vAlign w:val="center"/>
                </w:tcPr>
                <w:p w14:paraId="428251B9">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酸雾</w:t>
                  </w:r>
                </w:p>
                <w:p w14:paraId="5A367CB1">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浓度45mg/m</w:t>
                  </w:r>
                  <w:r>
                    <w:rPr>
                      <w:rFonts w:hint="eastAsia" w:ascii="宋体" w:hAnsi="宋体" w:eastAsia="宋体" w:cs="宋体"/>
                      <w:spacing w:val="-2"/>
                      <w:sz w:val="18"/>
                      <w:szCs w:val="18"/>
                      <w:vertAlign w:val="superscript"/>
                    </w:rPr>
                    <w:t>3</w:t>
                  </w:r>
                  <w:r>
                    <w:rPr>
                      <w:rFonts w:hint="eastAsia" w:ascii="宋体" w:hAnsi="宋体" w:eastAsia="宋体" w:cs="宋体"/>
                      <w:spacing w:val="-2"/>
                      <w:sz w:val="18"/>
                      <w:szCs w:val="18"/>
                    </w:rPr>
                    <w:t>；</w:t>
                  </w:r>
                </w:p>
                <w:p w14:paraId="68E555F8">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 xml:space="preserve">速率 </w:t>
                  </w:r>
                  <w:r>
                    <w:rPr>
                      <w:rFonts w:hint="eastAsia" w:ascii="宋体" w:hAnsi="宋体" w:eastAsia="宋体" w:cs="宋体"/>
                      <w:spacing w:val="-2"/>
                      <w:sz w:val="18"/>
                      <w:szCs w:val="18"/>
                      <w:lang w:val="en-US" w:eastAsia="zh-CN"/>
                    </w:rPr>
                    <w:t>1.5</w:t>
                  </w:r>
                  <w:r>
                    <w:rPr>
                      <w:rFonts w:hint="eastAsia" w:ascii="宋体" w:hAnsi="宋体" w:eastAsia="宋体" w:cs="宋体"/>
                      <w:spacing w:val="-2"/>
                      <w:sz w:val="18"/>
                      <w:szCs w:val="18"/>
                    </w:rPr>
                    <w:t>kg/h</w:t>
                  </w:r>
                </w:p>
                <w:p w14:paraId="6CA72047">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颗粒物</w:t>
                  </w:r>
                </w:p>
                <w:p w14:paraId="5C7004C1">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浓度</w:t>
                  </w:r>
                  <w:r>
                    <w:rPr>
                      <w:rFonts w:hint="eastAsia" w:ascii="宋体" w:hAnsi="宋体" w:eastAsia="宋体" w:cs="宋体"/>
                      <w:spacing w:val="-2"/>
                      <w:sz w:val="18"/>
                      <w:szCs w:val="18"/>
                      <w:lang w:val="en-US" w:eastAsia="zh-CN"/>
                    </w:rPr>
                    <w:t>120</w:t>
                  </w:r>
                  <w:r>
                    <w:rPr>
                      <w:rFonts w:hint="eastAsia" w:ascii="宋体" w:hAnsi="宋体" w:eastAsia="宋体" w:cs="宋体"/>
                      <w:spacing w:val="-2"/>
                      <w:sz w:val="18"/>
                      <w:szCs w:val="18"/>
                    </w:rPr>
                    <w:t>mg/m</w:t>
                  </w:r>
                  <w:r>
                    <w:rPr>
                      <w:rFonts w:hint="eastAsia" w:ascii="宋体" w:hAnsi="宋体" w:eastAsia="宋体" w:cs="宋体"/>
                      <w:spacing w:val="-2"/>
                      <w:sz w:val="18"/>
                      <w:szCs w:val="18"/>
                      <w:vertAlign w:val="superscript"/>
                    </w:rPr>
                    <w:t>3</w:t>
                  </w:r>
                  <w:r>
                    <w:rPr>
                      <w:rFonts w:hint="eastAsia" w:ascii="宋体" w:hAnsi="宋体" w:eastAsia="宋体" w:cs="宋体"/>
                      <w:spacing w:val="-2"/>
                      <w:sz w:val="18"/>
                      <w:szCs w:val="18"/>
                    </w:rPr>
                    <w:t>；</w:t>
                  </w:r>
                </w:p>
                <w:p w14:paraId="13409C33">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rPr>
                    <w:t xml:space="preserve">速率 </w:t>
                  </w:r>
                  <w:r>
                    <w:rPr>
                      <w:rFonts w:hint="eastAsia" w:ascii="宋体" w:hAnsi="宋体" w:eastAsia="宋体" w:cs="宋体"/>
                      <w:spacing w:val="-2"/>
                      <w:sz w:val="18"/>
                      <w:szCs w:val="18"/>
                      <w:lang w:val="en-US" w:eastAsia="zh-CN"/>
                    </w:rPr>
                    <w:t>3.5</w:t>
                  </w:r>
                  <w:r>
                    <w:rPr>
                      <w:rFonts w:hint="eastAsia" w:ascii="宋体" w:hAnsi="宋体" w:eastAsia="宋体" w:cs="宋体"/>
                      <w:spacing w:val="-2"/>
                      <w:sz w:val="18"/>
                      <w:szCs w:val="18"/>
                    </w:rPr>
                    <w:t>kg/h</w:t>
                  </w:r>
                </w:p>
              </w:tc>
              <w:tc>
                <w:tcPr>
                  <w:tcW w:w="263" w:type="pct"/>
                  <w:vMerge w:val="restart"/>
                  <w:tcBorders>
                    <w:tl2br w:val="nil"/>
                    <w:tr2bl w:val="nil"/>
                  </w:tcBorders>
                  <w:noWrap w:val="0"/>
                  <w:vAlign w:val="center"/>
                </w:tcPr>
                <w:p w14:paraId="0466212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p w14:paraId="6BFAD82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DA001</w:t>
                  </w:r>
                </w:p>
              </w:tc>
            </w:tr>
            <w:tr w14:paraId="61FACC0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60" w:type="pct"/>
                  <w:vMerge w:val="restart"/>
                  <w:tcBorders>
                    <w:tl2br w:val="nil"/>
                    <w:tr2bl w:val="nil"/>
                  </w:tcBorders>
                  <w:noWrap w:val="0"/>
                  <w:vAlign w:val="center"/>
                </w:tcPr>
                <w:p w14:paraId="2A08AF4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有组织</w:t>
                  </w:r>
                  <w:r>
                    <w:rPr>
                      <w:rFonts w:hint="eastAsia" w:cs="宋体"/>
                      <w:spacing w:val="-2"/>
                      <w:sz w:val="18"/>
                      <w:szCs w:val="18"/>
                      <w:lang w:val="en-US" w:eastAsia="zh-CN"/>
                    </w:rPr>
                    <w:t>（正常）</w:t>
                  </w:r>
                </w:p>
              </w:tc>
              <w:tc>
                <w:tcPr>
                  <w:tcW w:w="200" w:type="pct"/>
                  <w:tcBorders>
                    <w:tl2br w:val="nil"/>
                    <w:tr2bl w:val="nil"/>
                  </w:tcBorders>
                  <w:noWrap w:val="0"/>
                  <w:vAlign w:val="center"/>
                </w:tcPr>
                <w:p w14:paraId="00DAB97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en-US" w:bidi="ar-SA"/>
                    </w:rPr>
                  </w:pPr>
                  <w:r>
                    <w:rPr>
                      <w:rFonts w:hint="eastAsia" w:ascii="宋体" w:hAnsi="宋体" w:eastAsia="宋体" w:cs="宋体"/>
                      <w:spacing w:val="-2"/>
                      <w:sz w:val="18"/>
                      <w:szCs w:val="18"/>
                      <w:lang w:val="en-US" w:eastAsia="zh-CN"/>
                    </w:rPr>
                    <w:t>插层</w:t>
                  </w:r>
                </w:p>
              </w:tc>
              <w:tc>
                <w:tcPr>
                  <w:tcW w:w="201" w:type="pct"/>
                  <w:tcBorders>
                    <w:tl2br w:val="nil"/>
                    <w:tr2bl w:val="nil"/>
                  </w:tcBorders>
                  <w:noWrap w:val="0"/>
                  <w:vAlign w:val="center"/>
                </w:tcPr>
                <w:p w14:paraId="7DD2C0E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1.267</w:t>
                  </w:r>
                </w:p>
              </w:tc>
              <w:tc>
                <w:tcPr>
                  <w:tcW w:w="154" w:type="pct"/>
                  <w:tcBorders>
                    <w:tl2br w:val="nil"/>
                    <w:tr2bl w:val="nil"/>
                  </w:tcBorders>
                  <w:noWrap w:val="0"/>
                  <w:vAlign w:val="center"/>
                </w:tcPr>
                <w:p w14:paraId="21A7F31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90</w:t>
                  </w:r>
                </w:p>
              </w:tc>
              <w:tc>
                <w:tcPr>
                  <w:tcW w:w="237" w:type="pct"/>
                  <w:vMerge w:val="restart"/>
                  <w:tcBorders>
                    <w:tl2br w:val="nil"/>
                    <w:tr2bl w:val="nil"/>
                  </w:tcBorders>
                  <w:noWrap w:val="0"/>
                  <w:vAlign w:val="center"/>
                </w:tcPr>
                <w:p w14:paraId="650C243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w:t>
                  </w:r>
                  <w:r>
                    <w:rPr>
                      <w:rFonts w:hint="eastAsia" w:ascii="宋体" w:hAnsi="宋体" w:eastAsia="宋体" w:cs="宋体"/>
                      <w:spacing w:val="-2"/>
                      <w:sz w:val="18"/>
                      <w:szCs w:val="18"/>
                    </w:rPr>
                    <w:t>00</w:t>
                  </w:r>
                  <w:r>
                    <w:rPr>
                      <w:rFonts w:hint="eastAsia" w:ascii="宋体" w:hAnsi="宋体" w:eastAsia="宋体" w:cs="宋体"/>
                      <w:spacing w:val="-2"/>
                      <w:sz w:val="18"/>
                      <w:szCs w:val="18"/>
                      <w:lang w:val="en-US" w:eastAsia="zh-CN"/>
                    </w:rPr>
                    <w:t>0</w:t>
                  </w:r>
                </w:p>
              </w:tc>
              <w:tc>
                <w:tcPr>
                  <w:tcW w:w="292" w:type="pct"/>
                  <w:tcBorders>
                    <w:tl2br w:val="nil"/>
                    <w:tr2bl w:val="nil"/>
                  </w:tcBorders>
                  <w:noWrap w:val="0"/>
                  <w:vAlign w:val="center"/>
                </w:tcPr>
                <w:p w14:paraId="68F839F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硫酸雾</w:t>
                  </w:r>
                </w:p>
              </w:tc>
              <w:tc>
                <w:tcPr>
                  <w:tcW w:w="271" w:type="pct"/>
                  <w:tcBorders>
                    <w:tl2br w:val="nil"/>
                    <w:tr2bl w:val="nil"/>
                  </w:tcBorders>
                  <w:noWrap w:val="0"/>
                  <w:vAlign w:val="center"/>
                </w:tcPr>
                <w:p w14:paraId="325148EA">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158</w:t>
                  </w:r>
                </w:p>
              </w:tc>
              <w:tc>
                <w:tcPr>
                  <w:tcW w:w="279" w:type="pct"/>
                  <w:tcBorders>
                    <w:tl2br w:val="nil"/>
                    <w:tr2bl w:val="nil"/>
                  </w:tcBorders>
                  <w:noWrap w:val="0"/>
                  <w:vAlign w:val="center"/>
                </w:tcPr>
                <w:p w14:paraId="21AC09A5">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rPr>
                    <w:t>0.</w:t>
                  </w:r>
                  <w:r>
                    <w:rPr>
                      <w:rFonts w:hint="eastAsia" w:ascii="宋体" w:hAnsi="宋体" w:eastAsia="宋体" w:cs="宋体"/>
                      <w:spacing w:val="-2"/>
                      <w:sz w:val="18"/>
                      <w:szCs w:val="18"/>
                      <w:lang w:val="en-US" w:eastAsia="zh-CN"/>
                    </w:rPr>
                    <w:t>158</w:t>
                  </w:r>
                </w:p>
              </w:tc>
              <w:tc>
                <w:tcPr>
                  <w:tcW w:w="263" w:type="pct"/>
                  <w:tcBorders>
                    <w:tl2br w:val="nil"/>
                    <w:tr2bl w:val="nil"/>
                  </w:tcBorders>
                  <w:noWrap w:val="0"/>
                  <w:vAlign w:val="center"/>
                </w:tcPr>
                <w:p w14:paraId="5DA12383">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rPr>
                    <w:t>1.</w:t>
                  </w:r>
                  <w:r>
                    <w:rPr>
                      <w:rFonts w:hint="eastAsia" w:ascii="宋体" w:hAnsi="宋体" w:eastAsia="宋体" w:cs="宋体"/>
                      <w:spacing w:val="-2"/>
                      <w:sz w:val="18"/>
                      <w:szCs w:val="18"/>
                      <w:lang w:val="en-US" w:eastAsia="zh-CN"/>
                    </w:rPr>
                    <w:t>14</w:t>
                  </w:r>
                </w:p>
              </w:tc>
              <w:tc>
                <w:tcPr>
                  <w:tcW w:w="199" w:type="pct"/>
                  <w:vMerge w:val="restart"/>
                  <w:tcBorders>
                    <w:tl2br w:val="nil"/>
                    <w:tr2bl w:val="nil"/>
                  </w:tcBorders>
                  <w:noWrap w:val="0"/>
                  <w:vAlign w:val="center"/>
                </w:tcPr>
                <w:p w14:paraId="0BA8F2C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喷淋 设施</w:t>
                  </w:r>
                </w:p>
              </w:tc>
              <w:tc>
                <w:tcPr>
                  <w:tcW w:w="237" w:type="pct"/>
                  <w:tcBorders>
                    <w:tl2br w:val="nil"/>
                    <w:tr2bl w:val="nil"/>
                  </w:tcBorders>
                  <w:noWrap w:val="0"/>
                  <w:vAlign w:val="center"/>
                </w:tcPr>
                <w:p w14:paraId="7D12944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是</w:t>
                  </w:r>
                </w:p>
              </w:tc>
              <w:tc>
                <w:tcPr>
                  <w:tcW w:w="150" w:type="pct"/>
                  <w:tcBorders>
                    <w:tl2br w:val="nil"/>
                    <w:tr2bl w:val="nil"/>
                  </w:tcBorders>
                  <w:noWrap w:val="0"/>
                  <w:vAlign w:val="center"/>
                </w:tcPr>
                <w:p w14:paraId="49A0D7E7">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95</w:t>
                  </w:r>
                </w:p>
              </w:tc>
              <w:tc>
                <w:tcPr>
                  <w:tcW w:w="273" w:type="pct"/>
                  <w:tcBorders>
                    <w:tl2br w:val="nil"/>
                    <w:tr2bl w:val="nil"/>
                  </w:tcBorders>
                  <w:noWrap w:val="0"/>
                  <w:vAlign w:val="center"/>
                </w:tcPr>
                <w:p w14:paraId="065F78A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7.9</w:t>
                  </w:r>
                </w:p>
              </w:tc>
              <w:tc>
                <w:tcPr>
                  <w:tcW w:w="283" w:type="pct"/>
                  <w:tcBorders>
                    <w:tl2br w:val="nil"/>
                    <w:tr2bl w:val="nil"/>
                  </w:tcBorders>
                  <w:noWrap w:val="0"/>
                  <w:vAlign w:val="center"/>
                </w:tcPr>
                <w:p w14:paraId="5A3353BE">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eastAsia="zh-CN"/>
                    </w:rPr>
                  </w:pPr>
                  <w:r>
                    <w:rPr>
                      <w:rFonts w:hint="eastAsia" w:ascii="宋体" w:hAnsi="宋体" w:eastAsia="宋体" w:cs="宋体"/>
                      <w:spacing w:val="-2"/>
                      <w:sz w:val="18"/>
                      <w:szCs w:val="18"/>
                    </w:rPr>
                    <w:t>0.00</w:t>
                  </w:r>
                  <w:r>
                    <w:rPr>
                      <w:rFonts w:hint="eastAsia" w:ascii="宋体" w:hAnsi="宋体" w:eastAsia="宋体" w:cs="宋体"/>
                      <w:spacing w:val="-2"/>
                      <w:sz w:val="18"/>
                      <w:szCs w:val="18"/>
                      <w:lang w:val="en-US" w:eastAsia="zh-CN"/>
                    </w:rPr>
                    <w:t>8</w:t>
                  </w:r>
                </w:p>
              </w:tc>
              <w:tc>
                <w:tcPr>
                  <w:tcW w:w="252" w:type="pct"/>
                  <w:tcBorders>
                    <w:tl2br w:val="nil"/>
                    <w:tr2bl w:val="nil"/>
                  </w:tcBorders>
                  <w:noWrap w:val="0"/>
                  <w:vAlign w:val="center"/>
                </w:tcPr>
                <w:p w14:paraId="03B3DF42">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rPr>
                    <w:t>0.0</w:t>
                  </w:r>
                  <w:r>
                    <w:rPr>
                      <w:rFonts w:hint="eastAsia" w:ascii="宋体" w:hAnsi="宋体" w:eastAsia="宋体" w:cs="宋体"/>
                      <w:spacing w:val="-2"/>
                      <w:sz w:val="18"/>
                      <w:szCs w:val="18"/>
                      <w:lang w:val="en-US" w:eastAsia="zh-CN"/>
                    </w:rPr>
                    <w:t>57</w:t>
                  </w:r>
                </w:p>
              </w:tc>
              <w:tc>
                <w:tcPr>
                  <w:tcW w:w="248" w:type="pct"/>
                  <w:tcBorders>
                    <w:tl2br w:val="nil"/>
                    <w:tr2bl w:val="nil"/>
                  </w:tcBorders>
                  <w:noWrap w:val="0"/>
                  <w:vAlign w:val="center"/>
                </w:tcPr>
                <w:p w14:paraId="55E4B5E7">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7200</w:t>
                  </w:r>
                </w:p>
              </w:tc>
              <w:tc>
                <w:tcPr>
                  <w:tcW w:w="178" w:type="pct"/>
                  <w:vMerge w:val="restart"/>
                  <w:tcBorders>
                    <w:tl2br w:val="nil"/>
                    <w:tr2bl w:val="nil"/>
                  </w:tcBorders>
                  <w:noWrap w:val="0"/>
                  <w:vAlign w:val="center"/>
                </w:tcPr>
                <w:p w14:paraId="50F48183">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15</w:t>
                  </w:r>
                </w:p>
              </w:tc>
              <w:tc>
                <w:tcPr>
                  <w:tcW w:w="178" w:type="pct"/>
                  <w:vMerge w:val="restart"/>
                  <w:tcBorders>
                    <w:tl2br w:val="nil"/>
                    <w:tr2bl w:val="nil"/>
                  </w:tcBorders>
                  <w:noWrap w:val="0"/>
                  <w:vAlign w:val="center"/>
                </w:tcPr>
                <w:p w14:paraId="79DBBB3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0.3</w:t>
                  </w:r>
                </w:p>
              </w:tc>
              <w:tc>
                <w:tcPr>
                  <w:tcW w:w="166" w:type="pct"/>
                  <w:vMerge w:val="restart"/>
                  <w:tcBorders>
                    <w:tl2br w:val="nil"/>
                    <w:tr2bl w:val="nil"/>
                  </w:tcBorders>
                  <w:noWrap w:val="0"/>
                  <w:vAlign w:val="center"/>
                </w:tcPr>
                <w:p w14:paraId="5188B65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20</w:t>
                  </w:r>
                </w:p>
              </w:tc>
              <w:tc>
                <w:tcPr>
                  <w:tcW w:w="510" w:type="pct"/>
                  <w:vMerge w:val="continue"/>
                  <w:tcBorders>
                    <w:tl2br w:val="nil"/>
                    <w:tr2bl w:val="nil"/>
                  </w:tcBorders>
                  <w:noWrap w:val="0"/>
                  <w:vAlign w:val="center"/>
                </w:tcPr>
                <w:p w14:paraId="73F564D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vMerge w:val="continue"/>
                  <w:tcBorders>
                    <w:tl2br w:val="nil"/>
                    <w:tr2bl w:val="nil"/>
                  </w:tcBorders>
                  <w:noWrap w:val="0"/>
                  <w:vAlign w:val="center"/>
                </w:tcPr>
                <w:p w14:paraId="3218DDB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r>
            <w:tr w14:paraId="2283C3F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60" w:type="pct"/>
                  <w:vMerge w:val="continue"/>
                  <w:tcBorders>
                    <w:tl2br w:val="nil"/>
                    <w:tr2bl w:val="nil"/>
                  </w:tcBorders>
                  <w:noWrap w:val="0"/>
                  <w:vAlign w:val="center"/>
                </w:tcPr>
                <w:p w14:paraId="215019F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tcBorders>
                    <w:tl2br w:val="nil"/>
                    <w:tr2bl w:val="nil"/>
                  </w:tcBorders>
                  <w:noWrap w:val="0"/>
                  <w:vAlign w:val="center"/>
                </w:tcPr>
                <w:p w14:paraId="090FA1B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en-US" w:bidi="ar-SA"/>
                    </w:rPr>
                  </w:pPr>
                  <w:r>
                    <w:rPr>
                      <w:rFonts w:hint="eastAsia" w:ascii="宋体" w:hAnsi="宋体" w:eastAsia="宋体" w:cs="宋体"/>
                      <w:spacing w:val="-2"/>
                      <w:sz w:val="18"/>
                      <w:szCs w:val="18"/>
                    </w:rPr>
                    <w:t>压滤</w:t>
                  </w:r>
                </w:p>
              </w:tc>
              <w:tc>
                <w:tcPr>
                  <w:tcW w:w="201" w:type="pct"/>
                  <w:tcBorders>
                    <w:tl2br w:val="nil"/>
                    <w:tr2bl w:val="nil"/>
                  </w:tcBorders>
                  <w:noWrap w:val="0"/>
                  <w:vAlign w:val="center"/>
                </w:tcPr>
                <w:p w14:paraId="51E20CB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2.116</w:t>
                  </w:r>
                </w:p>
              </w:tc>
              <w:tc>
                <w:tcPr>
                  <w:tcW w:w="154" w:type="pct"/>
                  <w:tcBorders>
                    <w:tl2br w:val="nil"/>
                    <w:tr2bl w:val="nil"/>
                  </w:tcBorders>
                  <w:noWrap w:val="0"/>
                  <w:vAlign w:val="center"/>
                </w:tcPr>
                <w:p w14:paraId="14C3410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90</w:t>
                  </w:r>
                </w:p>
              </w:tc>
              <w:tc>
                <w:tcPr>
                  <w:tcW w:w="237" w:type="pct"/>
                  <w:vMerge w:val="continue"/>
                  <w:tcBorders>
                    <w:tl2br w:val="nil"/>
                    <w:tr2bl w:val="nil"/>
                  </w:tcBorders>
                  <w:noWrap w:val="0"/>
                  <w:vAlign w:val="center"/>
                </w:tcPr>
                <w:p w14:paraId="20B86F5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92" w:type="pct"/>
                  <w:tcBorders>
                    <w:tl2br w:val="nil"/>
                    <w:tr2bl w:val="nil"/>
                  </w:tcBorders>
                  <w:noWrap w:val="0"/>
                  <w:vAlign w:val="center"/>
                </w:tcPr>
                <w:p w14:paraId="07302B9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eastAsia="zh-CN"/>
                    </w:rPr>
                  </w:pPr>
                  <w:r>
                    <w:rPr>
                      <w:rFonts w:hint="eastAsia" w:ascii="宋体" w:hAnsi="宋体" w:eastAsia="宋体" w:cs="宋体"/>
                      <w:spacing w:val="-2"/>
                      <w:sz w:val="18"/>
                      <w:szCs w:val="18"/>
                    </w:rPr>
                    <w:t>硫酸雾</w:t>
                  </w:r>
                </w:p>
              </w:tc>
              <w:tc>
                <w:tcPr>
                  <w:tcW w:w="271" w:type="pct"/>
                  <w:tcBorders>
                    <w:tl2br w:val="nil"/>
                    <w:tr2bl w:val="nil"/>
                  </w:tcBorders>
                  <w:noWrap w:val="0"/>
                  <w:vAlign w:val="center"/>
                </w:tcPr>
                <w:p w14:paraId="02D5B7B7">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264.5</w:t>
                  </w:r>
                </w:p>
              </w:tc>
              <w:tc>
                <w:tcPr>
                  <w:tcW w:w="279" w:type="pct"/>
                  <w:tcBorders>
                    <w:tl2br w:val="nil"/>
                    <w:tr2bl w:val="nil"/>
                  </w:tcBorders>
                  <w:noWrap w:val="0"/>
                  <w:vAlign w:val="center"/>
                </w:tcPr>
                <w:p w14:paraId="52D5D106">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0.2645</w:t>
                  </w:r>
                </w:p>
              </w:tc>
              <w:tc>
                <w:tcPr>
                  <w:tcW w:w="263" w:type="pct"/>
                  <w:tcBorders>
                    <w:tl2br w:val="nil"/>
                    <w:tr2bl w:val="nil"/>
                  </w:tcBorders>
                  <w:noWrap w:val="0"/>
                  <w:vAlign w:val="center"/>
                </w:tcPr>
                <w:p w14:paraId="77152589">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1.904</w:t>
                  </w:r>
                </w:p>
              </w:tc>
              <w:tc>
                <w:tcPr>
                  <w:tcW w:w="199" w:type="pct"/>
                  <w:vMerge w:val="continue"/>
                  <w:tcBorders>
                    <w:tl2br w:val="nil"/>
                    <w:tr2bl w:val="nil"/>
                  </w:tcBorders>
                  <w:noWrap w:val="0"/>
                  <w:textDirection w:val="tbRlV"/>
                  <w:vAlign w:val="center"/>
                </w:tcPr>
                <w:p w14:paraId="3DACADB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37" w:type="pct"/>
                  <w:tcBorders>
                    <w:tl2br w:val="nil"/>
                    <w:tr2bl w:val="nil"/>
                  </w:tcBorders>
                  <w:noWrap w:val="0"/>
                  <w:vAlign w:val="center"/>
                </w:tcPr>
                <w:p w14:paraId="174E6B93">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是</w:t>
                  </w:r>
                </w:p>
              </w:tc>
              <w:tc>
                <w:tcPr>
                  <w:tcW w:w="150" w:type="pct"/>
                  <w:tcBorders>
                    <w:tl2br w:val="nil"/>
                    <w:tr2bl w:val="nil"/>
                  </w:tcBorders>
                  <w:noWrap w:val="0"/>
                  <w:vAlign w:val="center"/>
                </w:tcPr>
                <w:p w14:paraId="0FADE3EA">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95</w:t>
                  </w:r>
                </w:p>
              </w:tc>
              <w:tc>
                <w:tcPr>
                  <w:tcW w:w="273" w:type="pct"/>
                  <w:tcBorders>
                    <w:tl2br w:val="nil"/>
                    <w:tr2bl w:val="nil"/>
                  </w:tcBorders>
                  <w:noWrap w:val="0"/>
                  <w:vAlign w:val="center"/>
                </w:tcPr>
                <w:p w14:paraId="0FB53BE1">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13.23</w:t>
                  </w:r>
                </w:p>
              </w:tc>
              <w:tc>
                <w:tcPr>
                  <w:tcW w:w="283" w:type="pct"/>
                  <w:tcBorders>
                    <w:tl2br w:val="nil"/>
                    <w:tr2bl w:val="nil"/>
                  </w:tcBorders>
                  <w:noWrap w:val="0"/>
                  <w:vAlign w:val="center"/>
                </w:tcPr>
                <w:p w14:paraId="02444CFE">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eastAsia="zh-CN"/>
                    </w:rPr>
                  </w:pPr>
                  <w:r>
                    <w:rPr>
                      <w:rFonts w:hint="eastAsia" w:ascii="宋体" w:hAnsi="宋体" w:eastAsia="宋体" w:cs="宋体"/>
                      <w:spacing w:val="-2"/>
                      <w:sz w:val="18"/>
                      <w:szCs w:val="18"/>
                    </w:rPr>
                    <w:t>0.01</w:t>
                  </w:r>
                  <w:r>
                    <w:rPr>
                      <w:rFonts w:hint="eastAsia" w:ascii="宋体" w:hAnsi="宋体" w:eastAsia="宋体" w:cs="宋体"/>
                      <w:spacing w:val="-2"/>
                      <w:sz w:val="18"/>
                      <w:szCs w:val="18"/>
                      <w:lang w:val="en-US" w:eastAsia="zh-CN"/>
                    </w:rPr>
                    <w:t>3</w:t>
                  </w:r>
                </w:p>
              </w:tc>
              <w:tc>
                <w:tcPr>
                  <w:tcW w:w="252" w:type="pct"/>
                  <w:tcBorders>
                    <w:tl2br w:val="nil"/>
                    <w:tr2bl w:val="nil"/>
                  </w:tcBorders>
                  <w:noWrap w:val="0"/>
                  <w:vAlign w:val="center"/>
                </w:tcPr>
                <w:p w14:paraId="76FFEAE2">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rPr>
                    <w:t>0.</w:t>
                  </w:r>
                  <w:r>
                    <w:rPr>
                      <w:rFonts w:hint="eastAsia" w:ascii="宋体" w:hAnsi="宋体" w:eastAsia="宋体" w:cs="宋体"/>
                      <w:spacing w:val="-2"/>
                      <w:sz w:val="18"/>
                      <w:szCs w:val="18"/>
                      <w:lang w:val="en-US" w:eastAsia="zh-CN"/>
                    </w:rPr>
                    <w:t>095</w:t>
                  </w:r>
                </w:p>
              </w:tc>
              <w:tc>
                <w:tcPr>
                  <w:tcW w:w="248" w:type="pct"/>
                  <w:tcBorders>
                    <w:tl2br w:val="nil"/>
                    <w:tr2bl w:val="nil"/>
                  </w:tcBorders>
                  <w:noWrap w:val="0"/>
                  <w:vAlign w:val="center"/>
                </w:tcPr>
                <w:p w14:paraId="0591028A">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7200</w:t>
                  </w:r>
                </w:p>
              </w:tc>
              <w:tc>
                <w:tcPr>
                  <w:tcW w:w="178" w:type="pct"/>
                  <w:vMerge w:val="continue"/>
                  <w:tcBorders>
                    <w:tl2br w:val="nil"/>
                    <w:tr2bl w:val="nil"/>
                  </w:tcBorders>
                  <w:noWrap w:val="0"/>
                  <w:vAlign w:val="center"/>
                </w:tcPr>
                <w:p w14:paraId="3BEC6C72">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p>
              </w:tc>
              <w:tc>
                <w:tcPr>
                  <w:tcW w:w="178" w:type="pct"/>
                  <w:vMerge w:val="continue"/>
                  <w:tcBorders>
                    <w:tl2br w:val="nil"/>
                    <w:tr2bl w:val="nil"/>
                  </w:tcBorders>
                  <w:noWrap w:val="0"/>
                  <w:vAlign w:val="center"/>
                </w:tcPr>
                <w:p w14:paraId="75DAD0F8">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p>
              </w:tc>
              <w:tc>
                <w:tcPr>
                  <w:tcW w:w="166" w:type="pct"/>
                  <w:vMerge w:val="continue"/>
                  <w:tcBorders>
                    <w:tl2br w:val="nil"/>
                    <w:tr2bl w:val="nil"/>
                  </w:tcBorders>
                  <w:noWrap w:val="0"/>
                  <w:vAlign w:val="center"/>
                </w:tcPr>
                <w:p w14:paraId="1C7C2F00">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p>
              </w:tc>
              <w:tc>
                <w:tcPr>
                  <w:tcW w:w="510" w:type="pct"/>
                  <w:vMerge w:val="continue"/>
                  <w:tcBorders>
                    <w:tl2br w:val="nil"/>
                    <w:tr2bl w:val="nil"/>
                  </w:tcBorders>
                  <w:noWrap w:val="0"/>
                  <w:vAlign w:val="center"/>
                </w:tcPr>
                <w:p w14:paraId="52D0ADA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vMerge w:val="continue"/>
                  <w:tcBorders>
                    <w:tl2br w:val="nil"/>
                    <w:tr2bl w:val="nil"/>
                  </w:tcBorders>
                  <w:noWrap w:val="0"/>
                  <w:vAlign w:val="center"/>
                </w:tcPr>
                <w:p w14:paraId="2A7C0D7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r>
            <w:tr w14:paraId="3711623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60" w:type="pct"/>
                  <w:vMerge w:val="continue"/>
                  <w:tcBorders>
                    <w:tl2br w:val="nil"/>
                    <w:tr2bl w:val="nil"/>
                  </w:tcBorders>
                  <w:noWrap w:val="0"/>
                  <w:vAlign w:val="center"/>
                </w:tcPr>
                <w:p w14:paraId="7AA2B9F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tcBorders>
                    <w:tl2br w:val="nil"/>
                    <w:tr2bl w:val="nil"/>
                  </w:tcBorders>
                  <w:noWrap w:val="0"/>
                  <w:vAlign w:val="center"/>
                </w:tcPr>
                <w:p w14:paraId="5D67EB0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2"/>
                      <w:sz w:val="18"/>
                      <w:szCs w:val="18"/>
                      <w:lang w:val="en-US" w:eastAsia="zh-CN"/>
                    </w:rPr>
                  </w:pPr>
                  <w:r>
                    <w:rPr>
                      <w:rFonts w:hint="eastAsia" w:ascii="宋体" w:hAnsi="宋体" w:eastAsia="宋体" w:cs="宋体"/>
                      <w:b/>
                      <w:bCs/>
                      <w:spacing w:val="-2"/>
                      <w:sz w:val="18"/>
                      <w:szCs w:val="18"/>
                      <w:lang w:val="en-US" w:eastAsia="zh-CN"/>
                    </w:rPr>
                    <w:t>合计</w:t>
                  </w:r>
                </w:p>
              </w:tc>
              <w:tc>
                <w:tcPr>
                  <w:tcW w:w="201" w:type="pct"/>
                  <w:tcBorders>
                    <w:tl2br w:val="nil"/>
                    <w:tr2bl w:val="nil"/>
                  </w:tcBorders>
                  <w:noWrap w:val="0"/>
                  <w:vAlign w:val="center"/>
                </w:tcPr>
                <w:p w14:paraId="4AEA7D4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2"/>
                      <w:sz w:val="18"/>
                      <w:szCs w:val="18"/>
                      <w:lang w:val="en-US" w:eastAsia="zh-CN"/>
                    </w:rPr>
                  </w:pPr>
                  <w:r>
                    <w:rPr>
                      <w:rFonts w:hint="eastAsia" w:ascii="宋体" w:hAnsi="宋体" w:eastAsia="宋体" w:cs="宋体"/>
                      <w:b/>
                      <w:bCs/>
                      <w:spacing w:val="-2"/>
                      <w:sz w:val="18"/>
                      <w:szCs w:val="18"/>
                      <w:lang w:val="en-US" w:eastAsia="zh-CN"/>
                    </w:rPr>
                    <w:fldChar w:fldCharType="begin"/>
                  </w:r>
                  <w:r>
                    <w:rPr>
                      <w:rFonts w:hint="eastAsia" w:ascii="宋体" w:hAnsi="宋体" w:eastAsia="宋体" w:cs="宋体"/>
                      <w:b/>
                      <w:bCs/>
                      <w:spacing w:val="-2"/>
                      <w:sz w:val="18"/>
                      <w:szCs w:val="18"/>
                      <w:lang w:val="en-US" w:eastAsia="zh-CN"/>
                    </w:rPr>
                    <w:instrText xml:space="preserve"> = sum(C3:C4) \* MERGEFORMAT </w:instrText>
                  </w:r>
                  <w:r>
                    <w:rPr>
                      <w:rFonts w:hint="eastAsia" w:ascii="宋体" w:hAnsi="宋体" w:eastAsia="宋体" w:cs="宋体"/>
                      <w:b/>
                      <w:bCs/>
                      <w:spacing w:val="-2"/>
                      <w:sz w:val="18"/>
                      <w:szCs w:val="18"/>
                      <w:lang w:val="en-US" w:eastAsia="zh-CN"/>
                    </w:rPr>
                    <w:fldChar w:fldCharType="separate"/>
                  </w:r>
                  <w:r>
                    <w:rPr>
                      <w:rFonts w:hint="eastAsia" w:ascii="宋体" w:hAnsi="宋体" w:eastAsia="宋体" w:cs="宋体"/>
                      <w:b/>
                      <w:bCs/>
                      <w:spacing w:val="-2"/>
                      <w:sz w:val="18"/>
                      <w:szCs w:val="18"/>
                      <w:lang w:val="en-US" w:eastAsia="zh-CN"/>
                    </w:rPr>
                    <w:t>3.383</w:t>
                  </w:r>
                  <w:r>
                    <w:rPr>
                      <w:rFonts w:hint="eastAsia" w:ascii="宋体" w:hAnsi="宋体" w:eastAsia="宋体" w:cs="宋体"/>
                      <w:b/>
                      <w:bCs/>
                      <w:spacing w:val="-2"/>
                      <w:sz w:val="18"/>
                      <w:szCs w:val="18"/>
                      <w:lang w:val="en-US" w:eastAsia="zh-CN"/>
                    </w:rPr>
                    <w:fldChar w:fldCharType="end"/>
                  </w:r>
                </w:p>
              </w:tc>
              <w:tc>
                <w:tcPr>
                  <w:tcW w:w="154" w:type="pct"/>
                  <w:tcBorders>
                    <w:tl2br w:val="nil"/>
                    <w:tr2bl w:val="nil"/>
                  </w:tcBorders>
                  <w:noWrap w:val="0"/>
                  <w:vAlign w:val="center"/>
                </w:tcPr>
                <w:p w14:paraId="3898C53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2"/>
                      <w:sz w:val="18"/>
                      <w:szCs w:val="18"/>
                      <w:lang w:val="en-US" w:eastAsia="zh-CN"/>
                    </w:rPr>
                  </w:pPr>
                  <w:r>
                    <w:rPr>
                      <w:rFonts w:hint="eastAsia" w:ascii="宋体" w:hAnsi="宋体" w:eastAsia="宋体" w:cs="宋体"/>
                      <w:b/>
                      <w:bCs/>
                      <w:spacing w:val="-2"/>
                      <w:sz w:val="18"/>
                      <w:szCs w:val="18"/>
                      <w:lang w:val="en-US" w:eastAsia="zh-CN"/>
                    </w:rPr>
                    <w:t>90</w:t>
                  </w:r>
                </w:p>
              </w:tc>
              <w:tc>
                <w:tcPr>
                  <w:tcW w:w="237" w:type="pct"/>
                  <w:vMerge w:val="continue"/>
                  <w:tcBorders>
                    <w:tl2br w:val="nil"/>
                    <w:tr2bl w:val="nil"/>
                  </w:tcBorders>
                  <w:noWrap w:val="0"/>
                  <w:vAlign w:val="center"/>
                </w:tcPr>
                <w:p w14:paraId="6B12E37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92" w:type="pct"/>
                  <w:tcBorders>
                    <w:tl2br w:val="nil"/>
                    <w:tr2bl w:val="nil"/>
                  </w:tcBorders>
                  <w:noWrap w:val="0"/>
                  <w:vAlign w:val="center"/>
                </w:tcPr>
                <w:p w14:paraId="04FFA47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硫酸雾</w:t>
                  </w:r>
                </w:p>
              </w:tc>
              <w:tc>
                <w:tcPr>
                  <w:tcW w:w="271" w:type="pct"/>
                  <w:tcBorders>
                    <w:tl2br w:val="nil"/>
                    <w:tr2bl w:val="nil"/>
                  </w:tcBorders>
                  <w:noWrap w:val="0"/>
                  <w:vAlign w:val="center"/>
                </w:tcPr>
                <w:p w14:paraId="367E29C4">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422.5</w:t>
                  </w:r>
                </w:p>
              </w:tc>
              <w:tc>
                <w:tcPr>
                  <w:tcW w:w="279" w:type="pct"/>
                  <w:tcBorders>
                    <w:tl2br w:val="nil"/>
                    <w:tr2bl w:val="nil"/>
                  </w:tcBorders>
                  <w:noWrap w:val="0"/>
                  <w:vAlign w:val="center"/>
                </w:tcPr>
                <w:p w14:paraId="5DB81D04">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fldChar w:fldCharType="begin"/>
                  </w:r>
                  <w:r>
                    <w:rPr>
                      <w:rFonts w:hint="eastAsia" w:ascii="宋体" w:hAnsi="宋体" w:eastAsia="宋体" w:cs="宋体"/>
                      <w:spacing w:val="-2"/>
                      <w:sz w:val="18"/>
                      <w:szCs w:val="18"/>
                      <w:lang w:val="en-US" w:eastAsia="zh-CN"/>
                    </w:rPr>
                    <w:instrText xml:space="preserve"> = sum(H3:H4) \* MERGEFORMAT </w:instrText>
                  </w:r>
                  <w:r>
                    <w:rPr>
                      <w:rFonts w:hint="eastAsia" w:ascii="宋体" w:hAnsi="宋体" w:eastAsia="宋体" w:cs="宋体"/>
                      <w:spacing w:val="-2"/>
                      <w:sz w:val="18"/>
                      <w:szCs w:val="18"/>
                      <w:lang w:val="en-US" w:eastAsia="zh-CN"/>
                    </w:rPr>
                    <w:fldChar w:fldCharType="separate"/>
                  </w:r>
                  <w:r>
                    <w:rPr>
                      <w:rFonts w:hint="eastAsia" w:ascii="宋体" w:hAnsi="宋体" w:eastAsia="宋体" w:cs="宋体"/>
                      <w:spacing w:val="-2"/>
                      <w:sz w:val="18"/>
                      <w:szCs w:val="18"/>
                      <w:lang w:val="en-US" w:eastAsia="zh-CN"/>
                    </w:rPr>
                    <w:t>0.4225</w:t>
                  </w:r>
                  <w:r>
                    <w:rPr>
                      <w:rFonts w:hint="eastAsia" w:ascii="宋体" w:hAnsi="宋体" w:eastAsia="宋体" w:cs="宋体"/>
                      <w:spacing w:val="-2"/>
                      <w:sz w:val="18"/>
                      <w:szCs w:val="18"/>
                      <w:lang w:val="en-US" w:eastAsia="zh-CN"/>
                    </w:rPr>
                    <w:fldChar w:fldCharType="end"/>
                  </w:r>
                </w:p>
              </w:tc>
              <w:tc>
                <w:tcPr>
                  <w:tcW w:w="263" w:type="pct"/>
                  <w:tcBorders>
                    <w:tl2br w:val="nil"/>
                    <w:tr2bl w:val="nil"/>
                  </w:tcBorders>
                  <w:noWrap w:val="0"/>
                  <w:vAlign w:val="center"/>
                </w:tcPr>
                <w:p w14:paraId="03615A86">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fldChar w:fldCharType="begin"/>
                  </w:r>
                  <w:r>
                    <w:rPr>
                      <w:rFonts w:hint="eastAsia" w:ascii="宋体" w:hAnsi="宋体" w:eastAsia="宋体" w:cs="宋体"/>
                      <w:spacing w:val="-2"/>
                      <w:sz w:val="18"/>
                      <w:szCs w:val="18"/>
                      <w:lang w:val="en-US" w:eastAsia="zh-CN"/>
                    </w:rPr>
                    <w:instrText xml:space="preserve"> = sum(I3:I4) \* MERGEFORMAT </w:instrText>
                  </w:r>
                  <w:r>
                    <w:rPr>
                      <w:rFonts w:hint="eastAsia" w:ascii="宋体" w:hAnsi="宋体" w:eastAsia="宋体" w:cs="宋体"/>
                      <w:spacing w:val="-2"/>
                      <w:sz w:val="18"/>
                      <w:szCs w:val="18"/>
                      <w:lang w:val="en-US" w:eastAsia="zh-CN"/>
                    </w:rPr>
                    <w:fldChar w:fldCharType="separate"/>
                  </w:r>
                  <w:r>
                    <w:rPr>
                      <w:rFonts w:hint="eastAsia" w:ascii="宋体" w:hAnsi="宋体" w:eastAsia="宋体" w:cs="宋体"/>
                      <w:spacing w:val="-2"/>
                      <w:sz w:val="18"/>
                      <w:szCs w:val="18"/>
                      <w:lang w:val="en-US" w:eastAsia="zh-CN"/>
                    </w:rPr>
                    <w:t>3.044</w:t>
                  </w:r>
                  <w:r>
                    <w:rPr>
                      <w:rFonts w:hint="eastAsia" w:ascii="宋体" w:hAnsi="宋体" w:eastAsia="宋体" w:cs="宋体"/>
                      <w:spacing w:val="-2"/>
                      <w:sz w:val="18"/>
                      <w:szCs w:val="18"/>
                      <w:lang w:val="en-US" w:eastAsia="zh-CN"/>
                    </w:rPr>
                    <w:fldChar w:fldCharType="end"/>
                  </w:r>
                </w:p>
              </w:tc>
              <w:tc>
                <w:tcPr>
                  <w:tcW w:w="199" w:type="pct"/>
                  <w:vMerge w:val="continue"/>
                  <w:tcBorders>
                    <w:tl2br w:val="nil"/>
                    <w:tr2bl w:val="nil"/>
                  </w:tcBorders>
                  <w:noWrap w:val="0"/>
                  <w:textDirection w:val="tbRlV"/>
                  <w:vAlign w:val="center"/>
                </w:tcPr>
                <w:p w14:paraId="13CCA34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37" w:type="pct"/>
                  <w:tcBorders>
                    <w:tl2br w:val="nil"/>
                    <w:tr2bl w:val="nil"/>
                  </w:tcBorders>
                  <w:noWrap w:val="0"/>
                  <w:vAlign w:val="center"/>
                </w:tcPr>
                <w:p w14:paraId="7ACE9008">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是</w:t>
                  </w:r>
                </w:p>
              </w:tc>
              <w:tc>
                <w:tcPr>
                  <w:tcW w:w="150" w:type="pct"/>
                  <w:tcBorders>
                    <w:tl2br w:val="nil"/>
                    <w:tr2bl w:val="nil"/>
                  </w:tcBorders>
                  <w:noWrap w:val="0"/>
                  <w:vAlign w:val="center"/>
                </w:tcPr>
                <w:p w14:paraId="24D57A0A">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95</w:t>
                  </w:r>
                </w:p>
              </w:tc>
              <w:tc>
                <w:tcPr>
                  <w:tcW w:w="273" w:type="pct"/>
                  <w:tcBorders>
                    <w:tl2br w:val="nil"/>
                    <w:tr2bl w:val="nil"/>
                  </w:tcBorders>
                  <w:noWrap w:val="0"/>
                  <w:vAlign w:val="center"/>
                </w:tcPr>
                <w:p w14:paraId="6A681AB2">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21.13</w:t>
                  </w:r>
                </w:p>
              </w:tc>
              <w:tc>
                <w:tcPr>
                  <w:tcW w:w="283" w:type="pct"/>
                  <w:tcBorders>
                    <w:tl2br w:val="nil"/>
                    <w:tr2bl w:val="nil"/>
                  </w:tcBorders>
                  <w:noWrap w:val="0"/>
                  <w:vAlign w:val="center"/>
                </w:tcPr>
                <w:p w14:paraId="141B5429">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fldChar w:fldCharType="begin"/>
                  </w:r>
                  <w:r>
                    <w:rPr>
                      <w:rFonts w:hint="eastAsia" w:ascii="宋体" w:hAnsi="宋体" w:eastAsia="宋体" w:cs="宋体"/>
                      <w:spacing w:val="-2"/>
                      <w:sz w:val="18"/>
                      <w:szCs w:val="18"/>
                    </w:rPr>
                    <w:instrText xml:space="preserve"> = sum(N3:N4) \* MERGEFORMAT </w:instrText>
                  </w:r>
                  <w:r>
                    <w:rPr>
                      <w:rFonts w:hint="eastAsia" w:ascii="宋体" w:hAnsi="宋体" w:eastAsia="宋体" w:cs="宋体"/>
                      <w:spacing w:val="-2"/>
                      <w:sz w:val="18"/>
                      <w:szCs w:val="18"/>
                    </w:rPr>
                    <w:fldChar w:fldCharType="separate"/>
                  </w:r>
                  <w:r>
                    <w:rPr>
                      <w:rFonts w:hint="eastAsia" w:ascii="宋体" w:hAnsi="宋体" w:eastAsia="宋体" w:cs="宋体"/>
                      <w:spacing w:val="-2"/>
                      <w:sz w:val="18"/>
                      <w:szCs w:val="18"/>
                    </w:rPr>
                    <w:t>0.021</w:t>
                  </w:r>
                  <w:r>
                    <w:rPr>
                      <w:rFonts w:hint="eastAsia" w:ascii="宋体" w:hAnsi="宋体" w:eastAsia="宋体" w:cs="宋体"/>
                      <w:spacing w:val="-2"/>
                      <w:sz w:val="18"/>
                      <w:szCs w:val="18"/>
                    </w:rPr>
                    <w:fldChar w:fldCharType="end"/>
                  </w:r>
                </w:p>
              </w:tc>
              <w:tc>
                <w:tcPr>
                  <w:tcW w:w="252" w:type="pct"/>
                  <w:tcBorders>
                    <w:tl2br w:val="nil"/>
                    <w:tr2bl w:val="nil"/>
                  </w:tcBorders>
                  <w:noWrap w:val="0"/>
                  <w:vAlign w:val="center"/>
                </w:tcPr>
                <w:p w14:paraId="65663748">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fldChar w:fldCharType="begin"/>
                  </w:r>
                  <w:r>
                    <w:rPr>
                      <w:rFonts w:hint="eastAsia" w:ascii="宋体" w:hAnsi="宋体" w:eastAsia="宋体" w:cs="宋体"/>
                      <w:spacing w:val="-2"/>
                      <w:sz w:val="18"/>
                      <w:szCs w:val="18"/>
                    </w:rPr>
                    <w:instrText xml:space="preserve"> = sum(O3:O4) \* MERGEFORMAT </w:instrText>
                  </w:r>
                  <w:r>
                    <w:rPr>
                      <w:rFonts w:hint="eastAsia" w:ascii="宋体" w:hAnsi="宋体" w:eastAsia="宋体" w:cs="宋体"/>
                      <w:spacing w:val="-2"/>
                      <w:sz w:val="18"/>
                      <w:szCs w:val="18"/>
                    </w:rPr>
                    <w:fldChar w:fldCharType="separate"/>
                  </w:r>
                  <w:r>
                    <w:rPr>
                      <w:rFonts w:hint="eastAsia" w:ascii="宋体" w:hAnsi="宋体" w:eastAsia="宋体" w:cs="宋体"/>
                      <w:spacing w:val="-2"/>
                      <w:sz w:val="18"/>
                      <w:szCs w:val="18"/>
                    </w:rPr>
                    <w:t>0.152</w:t>
                  </w:r>
                  <w:r>
                    <w:rPr>
                      <w:rFonts w:hint="eastAsia" w:ascii="宋体" w:hAnsi="宋体" w:eastAsia="宋体" w:cs="宋体"/>
                      <w:spacing w:val="-2"/>
                      <w:sz w:val="18"/>
                      <w:szCs w:val="18"/>
                    </w:rPr>
                    <w:fldChar w:fldCharType="end"/>
                  </w:r>
                </w:p>
              </w:tc>
              <w:tc>
                <w:tcPr>
                  <w:tcW w:w="248" w:type="pct"/>
                  <w:tcBorders>
                    <w:tl2br w:val="nil"/>
                    <w:tr2bl w:val="nil"/>
                  </w:tcBorders>
                  <w:noWrap w:val="0"/>
                  <w:vAlign w:val="center"/>
                </w:tcPr>
                <w:p w14:paraId="67D391E7">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en-US" w:bidi="ar-SA"/>
                    </w:rPr>
                  </w:pPr>
                  <w:r>
                    <w:rPr>
                      <w:rFonts w:hint="eastAsia" w:ascii="宋体" w:hAnsi="宋体" w:eastAsia="宋体" w:cs="宋体"/>
                      <w:spacing w:val="-2"/>
                      <w:sz w:val="18"/>
                      <w:szCs w:val="18"/>
                    </w:rPr>
                    <w:t>7200</w:t>
                  </w:r>
                </w:p>
              </w:tc>
              <w:tc>
                <w:tcPr>
                  <w:tcW w:w="178" w:type="pct"/>
                  <w:vMerge w:val="continue"/>
                  <w:tcBorders>
                    <w:tl2br w:val="nil"/>
                    <w:tr2bl w:val="nil"/>
                  </w:tcBorders>
                  <w:noWrap w:val="0"/>
                  <w:vAlign w:val="center"/>
                </w:tcPr>
                <w:p w14:paraId="5AB3FEA4">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en-US" w:bidi="ar-SA"/>
                    </w:rPr>
                  </w:pPr>
                </w:p>
              </w:tc>
              <w:tc>
                <w:tcPr>
                  <w:tcW w:w="178" w:type="pct"/>
                  <w:vMerge w:val="continue"/>
                  <w:tcBorders>
                    <w:tl2br w:val="nil"/>
                    <w:tr2bl w:val="nil"/>
                  </w:tcBorders>
                  <w:noWrap w:val="0"/>
                  <w:vAlign w:val="center"/>
                </w:tcPr>
                <w:p w14:paraId="5F601F2D">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en-US" w:bidi="ar-SA"/>
                    </w:rPr>
                  </w:pPr>
                </w:p>
              </w:tc>
              <w:tc>
                <w:tcPr>
                  <w:tcW w:w="166" w:type="pct"/>
                  <w:vMerge w:val="continue"/>
                  <w:tcBorders>
                    <w:tl2br w:val="nil"/>
                    <w:tr2bl w:val="nil"/>
                  </w:tcBorders>
                  <w:noWrap w:val="0"/>
                  <w:vAlign w:val="center"/>
                </w:tcPr>
                <w:p w14:paraId="0CCC0B85">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en-US" w:bidi="ar-SA"/>
                    </w:rPr>
                  </w:pPr>
                </w:p>
              </w:tc>
              <w:tc>
                <w:tcPr>
                  <w:tcW w:w="510" w:type="pct"/>
                  <w:vMerge w:val="continue"/>
                  <w:tcBorders>
                    <w:tl2br w:val="nil"/>
                    <w:tr2bl w:val="nil"/>
                  </w:tcBorders>
                  <w:noWrap w:val="0"/>
                  <w:vAlign w:val="center"/>
                </w:tcPr>
                <w:p w14:paraId="550995F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vMerge w:val="continue"/>
                  <w:tcBorders>
                    <w:tl2br w:val="nil"/>
                    <w:tr2bl w:val="nil"/>
                  </w:tcBorders>
                  <w:noWrap w:val="0"/>
                  <w:vAlign w:val="center"/>
                </w:tcPr>
                <w:p w14:paraId="2B03B7D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r>
            <w:tr w14:paraId="30A17E8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160" w:type="pct"/>
                  <w:vMerge w:val="continue"/>
                  <w:tcBorders>
                    <w:tl2br w:val="nil"/>
                    <w:tr2bl w:val="nil"/>
                  </w:tcBorders>
                  <w:noWrap w:val="0"/>
                  <w:vAlign w:val="center"/>
                </w:tcPr>
                <w:p w14:paraId="6FEAB33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tcBorders>
                    <w:tl2br w:val="nil"/>
                    <w:tr2bl w:val="nil"/>
                  </w:tcBorders>
                  <w:noWrap w:val="0"/>
                  <w:vAlign w:val="center"/>
                </w:tcPr>
                <w:p w14:paraId="0B96439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en-US" w:bidi="ar-SA"/>
                    </w:rPr>
                  </w:pPr>
                  <w:r>
                    <w:rPr>
                      <w:rFonts w:hint="eastAsia" w:cs="宋体"/>
                      <w:spacing w:val="-2"/>
                      <w:sz w:val="18"/>
                      <w:szCs w:val="18"/>
                      <w:lang w:val="en-US" w:eastAsia="zh-CN"/>
                    </w:rPr>
                    <w:t>投料</w:t>
                  </w:r>
                </w:p>
              </w:tc>
              <w:tc>
                <w:tcPr>
                  <w:tcW w:w="201" w:type="pct"/>
                  <w:tcBorders>
                    <w:tl2br w:val="nil"/>
                    <w:tr2bl w:val="nil"/>
                  </w:tcBorders>
                  <w:noWrap w:val="0"/>
                  <w:vAlign w:val="center"/>
                </w:tcPr>
                <w:p w14:paraId="647AC7E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0.045</w:t>
                  </w:r>
                </w:p>
              </w:tc>
              <w:tc>
                <w:tcPr>
                  <w:tcW w:w="154" w:type="pct"/>
                  <w:tcBorders>
                    <w:tl2br w:val="nil"/>
                    <w:tr2bl w:val="nil"/>
                  </w:tcBorders>
                  <w:noWrap w:val="0"/>
                  <w:vAlign w:val="center"/>
                </w:tcPr>
                <w:p w14:paraId="0384AC4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90</w:t>
                  </w:r>
                </w:p>
              </w:tc>
              <w:tc>
                <w:tcPr>
                  <w:tcW w:w="237" w:type="pct"/>
                  <w:vMerge w:val="continue"/>
                  <w:tcBorders>
                    <w:tl2br w:val="nil"/>
                    <w:tr2bl w:val="nil"/>
                  </w:tcBorders>
                  <w:noWrap w:val="0"/>
                  <w:vAlign w:val="center"/>
                </w:tcPr>
                <w:p w14:paraId="3670D36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92" w:type="pct"/>
                  <w:tcBorders>
                    <w:tl2br w:val="nil"/>
                    <w:tr2bl w:val="nil"/>
                  </w:tcBorders>
                  <w:noWrap w:val="0"/>
                  <w:vAlign w:val="center"/>
                </w:tcPr>
                <w:p w14:paraId="7C163FB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eastAsia="zh-CN"/>
                    </w:rPr>
                  </w:pPr>
                  <w:r>
                    <w:rPr>
                      <w:rFonts w:hint="eastAsia" w:ascii="宋体" w:hAnsi="宋体" w:eastAsia="宋体" w:cs="宋体"/>
                      <w:spacing w:val="-2"/>
                      <w:sz w:val="18"/>
                      <w:szCs w:val="18"/>
                      <w:lang w:val="en-US" w:eastAsia="zh-CN"/>
                    </w:rPr>
                    <w:t>投料粉尘</w:t>
                  </w:r>
                </w:p>
              </w:tc>
              <w:tc>
                <w:tcPr>
                  <w:tcW w:w="271" w:type="pct"/>
                  <w:tcBorders>
                    <w:tl2br w:val="nil"/>
                    <w:tr2bl w:val="nil"/>
                  </w:tcBorders>
                  <w:noWrap w:val="0"/>
                  <w:vAlign w:val="center"/>
                </w:tcPr>
                <w:p w14:paraId="4FE26DF1">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135</w:t>
                  </w:r>
                </w:p>
              </w:tc>
              <w:tc>
                <w:tcPr>
                  <w:tcW w:w="279" w:type="pct"/>
                  <w:tcBorders>
                    <w:tl2br w:val="nil"/>
                    <w:tr2bl w:val="nil"/>
                  </w:tcBorders>
                  <w:noWrap w:val="0"/>
                  <w:vAlign w:val="center"/>
                </w:tcPr>
                <w:p w14:paraId="6C8F3D7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0.135</w:t>
                  </w:r>
                </w:p>
              </w:tc>
              <w:tc>
                <w:tcPr>
                  <w:tcW w:w="263" w:type="pct"/>
                  <w:tcBorders>
                    <w:tl2br w:val="nil"/>
                    <w:tr2bl w:val="nil"/>
                  </w:tcBorders>
                  <w:noWrap w:val="0"/>
                  <w:vAlign w:val="center"/>
                </w:tcPr>
                <w:p w14:paraId="0889B11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0.041</w:t>
                  </w:r>
                </w:p>
              </w:tc>
              <w:tc>
                <w:tcPr>
                  <w:tcW w:w="199" w:type="pct"/>
                  <w:vMerge w:val="continue"/>
                  <w:tcBorders>
                    <w:tl2br w:val="nil"/>
                    <w:tr2bl w:val="nil"/>
                  </w:tcBorders>
                  <w:noWrap w:val="0"/>
                  <w:textDirection w:val="tbRlV"/>
                  <w:vAlign w:val="center"/>
                </w:tcPr>
                <w:p w14:paraId="71FF62B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37" w:type="pct"/>
                  <w:tcBorders>
                    <w:tl2br w:val="nil"/>
                    <w:tr2bl w:val="nil"/>
                  </w:tcBorders>
                  <w:noWrap w:val="0"/>
                  <w:vAlign w:val="center"/>
                </w:tcPr>
                <w:p w14:paraId="2DB3490D">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是</w:t>
                  </w:r>
                </w:p>
              </w:tc>
              <w:tc>
                <w:tcPr>
                  <w:tcW w:w="150" w:type="pct"/>
                  <w:tcBorders>
                    <w:tl2br w:val="nil"/>
                    <w:tr2bl w:val="nil"/>
                  </w:tcBorders>
                  <w:noWrap w:val="0"/>
                  <w:vAlign w:val="center"/>
                </w:tcPr>
                <w:p w14:paraId="225A2FE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70</w:t>
                  </w:r>
                </w:p>
              </w:tc>
              <w:tc>
                <w:tcPr>
                  <w:tcW w:w="273" w:type="pct"/>
                  <w:tcBorders>
                    <w:tl2br w:val="nil"/>
                    <w:tr2bl w:val="nil"/>
                  </w:tcBorders>
                  <w:noWrap w:val="0"/>
                  <w:vAlign w:val="center"/>
                </w:tcPr>
                <w:p w14:paraId="0E2E21B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40.5</w:t>
                  </w:r>
                </w:p>
              </w:tc>
              <w:tc>
                <w:tcPr>
                  <w:tcW w:w="283" w:type="pct"/>
                  <w:tcBorders>
                    <w:tl2br w:val="nil"/>
                    <w:tr2bl w:val="nil"/>
                  </w:tcBorders>
                  <w:noWrap w:val="0"/>
                  <w:vAlign w:val="center"/>
                </w:tcPr>
                <w:p w14:paraId="2135BEA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0.041</w:t>
                  </w:r>
                </w:p>
              </w:tc>
              <w:tc>
                <w:tcPr>
                  <w:tcW w:w="252" w:type="pct"/>
                  <w:tcBorders>
                    <w:tl2br w:val="nil"/>
                    <w:tr2bl w:val="nil"/>
                  </w:tcBorders>
                  <w:noWrap w:val="0"/>
                  <w:vAlign w:val="center"/>
                </w:tcPr>
                <w:p w14:paraId="2385745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0.012</w:t>
                  </w:r>
                </w:p>
              </w:tc>
              <w:tc>
                <w:tcPr>
                  <w:tcW w:w="248" w:type="pct"/>
                  <w:tcBorders>
                    <w:tl2br w:val="nil"/>
                    <w:tr2bl w:val="nil"/>
                  </w:tcBorders>
                  <w:noWrap w:val="0"/>
                  <w:vAlign w:val="center"/>
                </w:tcPr>
                <w:p w14:paraId="386762E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w:t>
                  </w:r>
                </w:p>
              </w:tc>
              <w:tc>
                <w:tcPr>
                  <w:tcW w:w="178" w:type="pct"/>
                  <w:vMerge w:val="continue"/>
                  <w:tcBorders>
                    <w:tl2br w:val="nil"/>
                    <w:tr2bl w:val="nil"/>
                  </w:tcBorders>
                  <w:noWrap w:val="0"/>
                  <w:vAlign w:val="center"/>
                </w:tcPr>
                <w:p w14:paraId="245BB2E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178" w:type="pct"/>
                  <w:vMerge w:val="continue"/>
                  <w:tcBorders>
                    <w:tl2br w:val="nil"/>
                    <w:tr2bl w:val="nil"/>
                  </w:tcBorders>
                  <w:noWrap w:val="0"/>
                  <w:vAlign w:val="center"/>
                </w:tcPr>
                <w:p w14:paraId="345D9D1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166" w:type="pct"/>
                  <w:vMerge w:val="continue"/>
                  <w:tcBorders>
                    <w:tl2br w:val="nil"/>
                    <w:tr2bl w:val="nil"/>
                  </w:tcBorders>
                  <w:noWrap w:val="0"/>
                  <w:vAlign w:val="center"/>
                </w:tcPr>
                <w:p w14:paraId="1B59EBA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510" w:type="pct"/>
                  <w:vMerge w:val="continue"/>
                  <w:tcBorders>
                    <w:tl2br w:val="nil"/>
                    <w:tr2bl w:val="nil"/>
                  </w:tcBorders>
                  <w:noWrap w:val="0"/>
                  <w:vAlign w:val="center"/>
                </w:tcPr>
                <w:p w14:paraId="1D575F6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vMerge w:val="continue"/>
                  <w:tcBorders>
                    <w:tl2br w:val="nil"/>
                    <w:tr2bl w:val="nil"/>
                  </w:tcBorders>
                  <w:noWrap w:val="0"/>
                  <w:vAlign w:val="center"/>
                </w:tcPr>
                <w:p w14:paraId="1883FD3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r>
            <w:tr w14:paraId="2574B9A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60" w:type="pct"/>
                  <w:vMerge w:val="continue"/>
                  <w:tcBorders>
                    <w:tl2br w:val="nil"/>
                    <w:tr2bl w:val="nil"/>
                  </w:tcBorders>
                  <w:noWrap w:val="0"/>
                  <w:vAlign w:val="center"/>
                </w:tcPr>
                <w:p w14:paraId="2D2A7C9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tcBorders>
                    <w:tl2br w:val="nil"/>
                    <w:tr2bl w:val="nil"/>
                  </w:tcBorders>
                  <w:noWrap w:val="0"/>
                  <w:vAlign w:val="center"/>
                </w:tcPr>
                <w:p w14:paraId="145F7A1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筛分</w:t>
                  </w:r>
                </w:p>
              </w:tc>
              <w:tc>
                <w:tcPr>
                  <w:tcW w:w="201" w:type="pct"/>
                  <w:tcBorders>
                    <w:tl2br w:val="nil"/>
                    <w:tr2bl w:val="nil"/>
                  </w:tcBorders>
                  <w:noWrap w:val="0"/>
                  <w:vAlign w:val="center"/>
                </w:tcPr>
                <w:p w14:paraId="226112C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9.7</w:t>
                  </w:r>
                </w:p>
              </w:tc>
              <w:tc>
                <w:tcPr>
                  <w:tcW w:w="154" w:type="pct"/>
                  <w:tcBorders>
                    <w:tl2br w:val="nil"/>
                    <w:tr2bl w:val="nil"/>
                  </w:tcBorders>
                  <w:noWrap w:val="0"/>
                  <w:vAlign w:val="center"/>
                </w:tcPr>
                <w:p w14:paraId="12433CE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90</w:t>
                  </w:r>
                </w:p>
              </w:tc>
              <w:tc>
                <w:tcPr>
                  <w:tcW w:w="237" w:type="pct"/>
                  <w:tcBorders>
                    <w:tl2br w:val="nil"/>
                    <w:tr2bl w:val="nil"/>
                  </w:tcBorders>
                  <w:noWrap w:val="0"/>
                  <w:vAlign w:val="center"/>
                </w:tcPr>
                <w:p w14:paraId="77538E9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1000</w:t>
                  </w:r>
                </w:p>
              </w:tc>
              <w:tc>
                <w:tcPr>
                  <w:tcW w:w="292" w:type="pct"/>
                  <w:tcBorders>
                    <w:tl2br w:val="nil"/>
                    <w:tr2bl w:val="nil"/>
                  </w:tcBorders>
                  <w:noWrap w:val="0"/>
                  <w:vAlign w:val="center"/>
                </w:tcPr>
                <w:p w14:paraId="33229F3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粉尘</w:t>
                  </w:r>
                </w:p>
              </w:tc>
              <w:tc>
                <w:tcPr>
                  <w:tcW w:w="271" w:type="pct"/>
                  <w:tcBorders>
                    <w:tl2br w:val="nil"/>
                    <w:tr2bl w:val="nil"/>
                  </w:tcBorders>
                  <w:noWrap w:val="0"/>
                  <w:vAlign w:val="center"/>
                </w:tcPr>
                <w:p w14:paraId="5BAEABB3">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1210</w:t>
                  </w:r>
                </w:p>
              </w:tc>
              <w:tc>
                <w:tcPr>
                  <w:tcW w:w="279" w:type="pct"/>
                  <w:tcBorders>
                    <w:tl2br w:val="nil"/>
                    <w:tr2bl w:val="nil"/>
                  </w:tcBorders>
                  <w:noWrap w:val="0"/>
                  <w:vAlign w:val="center"/>
                </w:tcPr>
                <w:p w14:paraId="305939B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1.21</w:t>
                  </w:r>
                </w:p>
              </w:tc>
              <w:tc>
                <w:tcPr>
                  <w:tcW w:w="263" w:type="pct"/>
                  <w:tcBorders>
                    <w:tl2br w:val="nil"/>
                    <w:tr2bl w:val="nil"/>
                  </w:tcBorders>
                  <w:noWrap w:val="0"/>
                  <w:vAlign w:val="center"/>
                </w:tcPr>
                <w:p w14:paraId="36CFC1D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8.73</w:t>
                  </w:r>
                </w:p>
              </w:tc>
              <w:tc>
                <w:tcPr>
                  <w:tcW w:w="199" w:type="pct"/>
                  <w:tcBorders>
                    <w:tl2br w:val="nil"/>
                    <w:tr2bl w:val="nil"/>
                  </w:tcBorders>
                  <w:noWrap w:val="0"/>
                  <w:vAlign w:val="center"/>
                </w:tcPr>
                <w:p w14:paraId="6CD906D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布除袋尘</w:t>
                  </w:r>
                </w:p>
              </w:tc>
              <w:tc>
                <w:tcPr>
                  <w:tcW w:w="237" w:type="pct"/>
                  <w:tcBorders>
                    <w:tl2br w:val="nil"/>
                    <w:tr2bl w:val="nil"/>
                  </w:tcBorders>
                  <w:noWrap w:val="0"/>
                  <w:vAlign w:val="center"/>
                </w:tcPr>
                <w:p w14:paraId="622DFBC0">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是</w:t>
                  </w:r>
                </w:p>
              </w:tc>
              <w:tc>
                <w:tcPr>
                  <w:tcW w:w="150" w:type="pct"/>
                  <w:tcBorders>
                    <w:tl2br w:val="nil"/>
                    <w:tr2bl w:val="nil"/>
                  </w:tcBorders>
                  <w:noWrap w:val="0"/>
                  <w:vAlign w:val="center"/>
                </w:tcPr>
                <w:p w14:paraId="1B02472E">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99</w:t>
                  </w:r>
                </w:p>
              </w:tc>
              <w:tc>
                <w:tcPr>
                  <w:tcW w:w="273" w:type="pct"/>
                  <w:tcBorders>
                    <w:tl2br w:val="nil"/>
                    <w:tr2bl w:val="nil"/>
                  </w:tcBorders>
                  <w:noWrap w:val="0"/>
                  <w:vAlign w:val="center"/>
                </w:tcPr>
                <w:p w14:paraId="2C57B9C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12.1</w:t>
                  </w:r>
                </w:p>
              </w:tc>
              <w:tc>
                <w:tcPr>
                  <w:tcW w:w="283" w:type="pct"/>
                  <w:tcBorders>
                    <w:tl2br w:val="nil"/>
                    <w:tr2bl w:val="nil"/>
                  </w:tcBorders>
                  <w:noWrap w:val="0"/>
                  <w:vAlign w:val="center"/>
                </w:tcPr>
                <w:p w14:paraId="2F992B8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0.012</w:t>
                  </w:r>
                </w:p>
              </w:tc>
              <w:tc>
                <w:tcPr>
                  <w:tcW w:w="252" w:type="pct"/>
                  <w:tcBorders>
                    <w:tl2br w:val="nil"/>
                    <w:tr2bl w:val="nil"/>
                  </w:tcBorders>
                  <w:noWrap w:val="0"/>
                  <w:vAlign w:val="center"/>
                </w:tcPr>
                <w:p w14:paraId="05D561C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0.087</w:t>
                  </w:r>
                </w:p>
              </w:tc>
              <w:tc>
                <w:tcPr>
                  <w:tcW w:w="248" w:type="pct"/>
                  <w:tcBorders>
                    <w:tl2br w:val="nil"/>
                    <w:tr2bl w:val="nil"/>
                  </w:tcBorders>
                  <w:noWrap w:val="0"/>
                  <w:vAlign w:val="center"/>
                </w:tcPr>
                <w:p w14:paraId="17CEFC8D">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7200</w:t>
                  </w:r>
                </w:p>
              </w:tc>
              <w:tc>
                <w:tcPr>
                  <w:tcW w:w="178" w:type="pct"/>
                  <w:tcBorders>
                    <w:tl2br w:val="nil"/>
                    <w:tr2bl w:val="nil"/>
                  </w:tcBorders>
                  <w:noWrap w:val="0"/>
                  <w:vAlign w:val="center"/>
                </w:tcPr>
                <w:p w14:paraId="5551FC5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15</w:t>
                  </w:r>
                </w:p>
              </w:tc>
              <w:tc>
                <w:tcPr>
                  <w:tcW w:w="178" w:type="pct"/>
                  <w:tcBorders>
                    <w:tl2br w:val="nil"/>
                    <w:tr2bl w:val="nil"/>
                  </w:tcBorders>
                  <w:noWrap w:val="0"/>
                  <w:vAlign w:val="center"/>
                </w:tcPr>
                <w:p w14:paraId="4B95B1D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0.3</w:t>
                  </w:r>
                </w:p>
              </w:tc>
              <w:tc>
                <w:tcPr>
                  <w:tcW w:w="166" w:type="pct"/>
                  <w:tcBorders>
                    <w:tl2br w:val="nil"/>
                    <w:tr2bl w:val="nil"/>
                  </w:tcBorders>
                  <w:noWrap w:val="0"/>
                  <w:vAlign w:val="center"/>
                </w:tcPr>
                <w:p w14:paraId="7DBD8D3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20</w:t>
                  </w:r>
                </w:p>
              </w:tc>
              <w:tc>
                <w:tcPr>
                  <w:tcW w:w="510" w:type="pct"/>
                  <w:vMerge w:val="continue"/>
                  <w:tcBorders>
                    <w:tl2br w:val="nil"/>
                    <w:tr2bl w:val="nil"/>
                  </w:tcBorders>
                  <w:noWrap w:val="0"/>
                  <w:vAlign w:val="center"/>
                </w:tcPr>
                <w:p w14:paraId="1E7F1A4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tcBorders>
                    <w:tl2br w:val="nil"/>
                    <w:tr2bl w:val="nil"/>
                  </w:tcBorders>
                  <w:noWrap w:val="0"/>
                  <w:vAlign w:val="center"/>
                </w:tcPr>
                <w:p w14:paraId="42A2CE9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DA002</w:t>
                  </w:r>
                </w:p>
              </w:tc>
            </w:tr>
            <w:tr w14:paraId="4C5F3D7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160" w:type="pct"/>
                  <w:vMerge w:val="continue"/>
                  <w:tcBorders>
                    <w:tl2br w:val="nil"/>
                    <w:tr2bl w:val="nil"/>
                  </w:tcBorders>
                  <w:noWrap w:val="0"/>
                  <w:vAlign w:val="center"/>
                </w:tcPr>
                <w:p w14:paraId="48C144F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vMerge w:val="restart"/>
                  <w:tcBorders>
                    <w:tl2br w:val="nil"/>
                    <w:tr2bl w:val="nil"/>
                  </w:tcBorders>
                  <w:noWrap w:val="0"/>
                  <w:vAlign w:val="center"/>
                </w:tcPr>
                <w:p w14:paraId="455354B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烘干</w:t>
                  </w:r>
                </w:p>
              </w:tc>
              <w:tc>
                <w:tcPr>
                  <w:tcW w:w="201" w:type="pct"/>
                  <w:tcBorders>
                    <w:tl2br w:val="nil"/>
                    <w:tr2bl w:val="nil"/>
                  </w:tcBorders>
                  <w:noWrap w:val="0"/>
                  <w:vAlign w:val="center"/>
                </w:tcPr>
                <w:p w14:paraId="033E258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0.06</w:t>
                  </w:r>
                </w:p>
              </w:tc>
              <w:tc>
                <w:tcPr>
                  <w:tcW w:w="154" w:type="pct"/>
                  <w:tcBorders>
                    <w:tl2br w:val="nil"/>
                    <w:tr2bl w:val="nil"/>
                  </w:tcBorders>
                  <w:noWrap w:val="0"/>
                  <w:vAlign w:val="center"/>
                </w:tcPr>
                <w:p w14:paraId="314722F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237" w:type="pct"/>
                  <w:vMerge w:val="restart"/>
                  <w:tcBorders>
                    <w:tl2br w:val="nil"/>
                    <w:tr2bl w:val="nil"/>
                  </w:tcBorders>
                  <w:noWrap w:val="0"/>
                  <w:vAlign w:val="center"/>
                </w:tcPr>
                <w:p w14:paraId="6E150AE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2031400</w:t>
                  </w:r>
                </w:p>
              </w:tc>
              <w:tc>
                <w:tcPr>
                  <w:tcW w:w="292" w:type="pct"/>
                  <w:tcBorders>
                    <w:tl2br w:val="nil"/>
                    <w:tr2bl w:val="nil"/>
                  </w:tcBorders>
                  <w:noWrap w:val="0"/>
                  <w:vAlign w:val="center"/>
                </w:tcPr>
                <w:p w14:paraId="653FCC8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烟尘</w:t>
                  </w:r>
                </w:p>
              </w:tc>
              <w:tc>
                <w:tcPr>
                  <w:tcW w:w="271" w:type="pct"/>
                  <w:tcBorders>
                    <w:tl2br w:val="nil"/>
                    <w:tr2bl w:val="nil"/>
                  </w:tcBorders>
                  <w:noWrap w:val="0"/>
                  <w:vAlign w:val="center"/>
                </w:tcPr>
                <w:p w14:paraId="22012DD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w:t>
                  </w:r>
                </w:p>
              </w:tc>
              <w:tc>
                <w:tcPr>
                  <w:tcW w:w="279" w:type="pct"/>
                  <w:tcBorders>
                    <w:tl2br w:val="nil"/>
                    <w:tr2bl w:val="nil"/>
                  </w:tcBorders>
                  <w:noWrap w:val="0"/>
                  <w:vAlign w:val="center"/>
                </w:tcPr>
                <w:p w14:paraId="4714651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0.008</w:t>
                  </w:r>
                </w:p>
              </w:tc>
              <w:tc>
                <w:tcPr>
                  <w:tcW w:w="263" w:type="pct"/>
                  <w:tcBorders>
                    <w:tl2br w:val="nil"/>
                    <w:tr2bl w:val="nil"/>
                  </w:tcBorders>
                  <w:noWrap w:val="0"/>
                  <w:vAlign w:val="center"/>
                </w:tcPr>
                <w:p w14:paraId="4154414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0.06</w:t>
                  </w:r>
                </w:p>
              </w:tc>
              <w:tc>
                <w:tcPr>
                  <w:tcW w:w="199" w:type="pct"/>
                  <w:tcBorders>
                    <w:tl2br w:val="nil"/>
                    <w:tr2bl w:val="nil"/>
                  </w:tcBorders>
                  <w:noWrap w:val="0"/>
                  <w:vAlign w:val="center"/>
                </w:tcPr>
                <w:p w14:paraId="13C0BC4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29439D9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150" w:type="pct"/>
                  <w:tcBorders>
                    <w:tl2br w:val="nil"/>
                    <w:tr2bl w:val="nil"/>
                  </w:tcBorders>
                  <w:noWrap w:val="0"/>
                  <w:vAlign w:val="center"/>
                </w:tcPr>
                <w:p w14:paraId="4CFCF0C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273" w:type="pct"/>
                  <w:tcBorders>
                    <w:tl2br w:val="nil"/>
                    <w:tr2bl w:val="nil"/>
                  </w:tcBorders>
                  <w:noWrap w:val="0"/>
                  <w:vAlign w:val="center"/>
                </w:tcPr>
                <w:p w14:paraId="5296712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30</w:t>
                  </w:r>
                </w:p>
              </w:tc>
              <w:tc>
                <w:tcPr>
                  <w:tcW w:w="283" w:type="pct"/>
                  <w:tcBorders>
                    <w:tl2br w:val="nil"/>
                    <w:tr2bl w:val="nil"/>
                  </w:tcBorders>
                  <w:noWrap w:val="0"/>
                  <w:vAlign w:val="center"/>
                </w:tcPr>
                <w:p w14:paraId="53EF4A2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0.008</w:t>
                  </w:r>
                </w:p>
              </w:tc>
              <w:tc>
                <w:tcPr>
                  <w:tcW w:w="252" w:type="pct"/>
                  <w:tcBorders>
                    <w:tl2br w:val="nil"/>
                    <w:tr2bl w:val="nil"/>
                  </w:tcBorders>
                  <w:noWrap w:val="0"/>
                  <w:vAlign w:val="center"/>
                </w:tcPr>
                <w:p w14:paraId="60CBFBB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0.06</w:t>
                  </w:r>
                </w:p>
              </w:tc>
              <w:tc>
                <w:tcPr>
                  <w:tcW w:w="248" w:type="pct"/>
                  <w:tcBorders>
                    <w:tl2br w:val="nil"/>
                    <w:tr2bl w:val="nil"/>
                  </w:tcBorders>
                  <w:noWrap w:val="0"/>
                  <w:vAlign w:val="center"/>
                </w:tcPr>
                <w:p w14:paraId="1972FD32">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7200</w:t>
                  </w:r>
                </w:p>
              </w:tc>
              <w:tc>
                <w:tcPr>
                  <w:tcW w:w="178" w:type="pct"/>
                  <w:vMerge w:val="restart"/>
                  <w:tcBorders>
                    <w:tl2br w:val="nil"/>
                    <w:tr2bl w:val="nil"/>
                  </w:tcBorders>
                  <w:noWrap w:val="0"/>
                  <w:vAlign w:val="center"/>
                </w:tcPr>
                <w:p w14:paraId="594D237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15</w:t>
                  </w:r>
                </w:p>
              </w:tc>
              <w:tc>
                <w:tcPr>
                  <w:tcW w:w="178" w:type="pct"/>
                  <w:vMerge w:val="restart"/>
                  <w:tcBorders>
                    <w:tl2br w:val="nil"/>
                    <w:tr2bl w:val="nil"/>
                  </w:tcBorders>
                  <w:noWrap w:val="0"/>
                  <w:vAlign w:val="center"/>
                </w:tcPr>
                <w:p w14:paraId="7F88E6C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0.3</w:t>
                  </w:r>
                </w:p>
              </w:tc>
              <w:tc>
                <w:tcPr>
                  <w:tcW w:w="166" w:type="pct"/>
                  <w:vMerge w:val="restart"/>
                  <w:tcBorders>
                    <w:tl2br w:val="nil"/>
                    <w:tr2bl w:val="nil"/>
                  </w:tcBorders>
                  <w:noWrap w:val="0"/>
                  <w:vAlign w:val="center"/>
                </w:tcPr>
                <w:p w14:paraId="71C0AF7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20</w:t>
                  </w:r>
                </w:p>
              </w:tc>
              <w:tc>
                <w:tcPr>
                  <w:tcW w:w="510" w:type="pct"/>
                  <w:vMerge w:val="restart"/>
                  <w:tcBorders>
                    <w:tl2br w:val="nil"/>
                    <w:tr2bl w:val="nil"/>
                  </w:tcBorders>
                  <w:noWrap w:val="0"/>
                  <w:vAlign w:val="center"/>
                </w:tcPr>
                <w:p w14:paraId="3E79DFD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spacing w:val="-2"/>
                      <w:sz w:val="18"/>
                      <w:szCs w:val="18"/>
                      <w:lang w:val="en-US" w:eastAsia="zh-CN"/>
                    </w:rPr>
                    <w:t>烟尘</w:t>
                  </w:r>
                  <w:r>
                    <w:rPr>
                      <w:rFonts w:hint="eastAsia" w:ascii="宋体" w:hAnsi="宋体" w:eastAsia="宋体" w:cs="宋体"/>
                      <w:color w:val="000000"/>
                      <w:sz w:val="18"/>
                      <w:szCs w:val="18"/>
                      <w:highlight w:val="none"/>
                      <w:lang w:val="en-US" w:eastAsia="zh-CN"/>
                    </w:rPr>
                    <w:t>200</w:t>
                  </w:r>
                  <w:r>
                    <w:rPr>
                      <w:rFonts w:hint="eastAsia" w:ascii="宋体" w:hAnsi="宋体" w:eastAsia="宋体" w:cs="宋体"/>
                      <w:spacing w:val="-2"/>
                      <w:sz w:val="18"/>
                      <w:szCs w:val="18"/>
                    </w:rPr>
                    <w:t>mg/m</w:t>
                  </w:r>
                  <w:r>
                    <w:rPr>
                      <w:rFonts w:hint="eastAsia" w:ascii="宋体" w:hAnsi="宋体" w:eastAsia="宋体" w:cs="宋体"/>
                      <w:spacing w:val="-2"/>
                      <w:sz w:val="18"/>
                      <w:szCs w:val="18"/>
                      <w:vertAlign w:val="superscript"/>
                    </w:rPr>
                    <w:t>3</w:t>
                  </w:r>
                </w:p>
                <w:p w14:paraId="56BE5BE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spacing w:val="-2"/>
                      <w:sz w:val="18"/>
                      <w:szCs w:val="18"/>
                      <w:lang w:val="en-US" w:eastAsia="zh-CN"/>
                    </w:rPr>
                    <w:t>SO</w:t>
                  </w:r>
                  <w:r>
                    <w:rPr>
                      <w:rFonts w:hint="eastAsia" w:ascii="宋体" w:hAnsi="宋体" w:eastAsia="宋体" w:cs="宋体"/>
                      <w:spacing w:val="-2"/>
                      <w:sz w:val="18"/>
                      <w:szCs w:val="18"/>
                      <w:vertAlign w:val="subscript"/>
                      <w:lang w:val="en-US" w:eastAsia="zh-CN"/>
                    </w:rPr>
                    <w:t>2</w:t>
                  </w:r>
                  <w:r>
                    <w:rPr>
                      <w:rFonts w:hint="eastAsia" w:ascii="宋体" w:hAnsi="宋体" w:eastAsia="宋体" w:cs="宋体"/>
                      <w:color w:val="000000"/>
                      <w:sz w:val="18"/>
                      <w:szCs w:val="18"/>
                      <w:highlight w:val="none"/>
                      <w:lang w:val="en-US" w:eastAsia="zh-CN"/>
                    </w:rPr>
                    <w:t>850</w:t>
                  </w:r>
                  <w:r>
                    <w:rPr>
                      <w:rFonts w:hint="eastAsia" w:ascii="宋体" w:hAnsi="宋体" w:eastAsia="宋体" w:cs="宋体"/>
                      <w:spacing w:val="-2"/>
                      <w:sz w:val="18"/>
                      <w:szCs w:val="18"/>
                    </w:rPr>
                    <w:t>mg/m</w:t>
                  </w:r>
                  <w:r>
                    <w:rPr>
                      <w:rFonts w:hint="eastAsia" w:ascii="宋体" w:hAnsi="宋体" w:eastAsia="宋体" w:cs="宋体"/>
                      <w:spacing w:val="-2"/>
                      <w:sz w:val="18"/>
                      <w:szCs w:val="18"/>
                      <w:vertAlign w:val="superscript"/>
                    </w:rPr>
                    <w:t>3</w:t>
                  </w:r>
                </w:p>
                <w:p w14:paraId="7107D53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NO</w:t>
                  </w:r>
                  <w:r>
                    <w:rPr>
                      <w:rFonts w:hint="eastAsia" w:ascii="宋体" w:hAnsi="宋体" w:eastAsia="宋体" w:cs="宋体"/>
                      <w:spacing w:val="-2"/>
                      <w:sz w:val="18"/>
                      <w:szCs w:val="18"/>
                      <w:vertAlign w:val="subscript"/>
                      <w:lang w:val="en-US" w:eastAsia="zh-CN"/>
                    </w:rPr>
                    <w:t>X</w:t>
                  </w:r>
                  <w:r>
                    <w:rPr>
                      <w:rFonts w:hint="eastAsia" w:ascii="宋体" w:hAnsi="宋体" w:eastAsia="宋体" w:cs="宋体"/>
                      <w:caps w:val="0"/>
                      <w:color w:val="000000"/>
                      <w:sz w:val="18"/>
                      <w:szCs w:val="18"/>
                      <w:highlight w:val="none"/>
                      <w:lang w:val="en-US" w:eastAsia="zh-CN"/>
                    </w:rPr>
                    <w:t>240</w:t>
                  </w:r>
                  <w:r>
                    <w:rPr>
                      <w:rFonts w:hint="eastAsia" w:ascii="宋体" w:hAnsi="宋体" w:eastAsia="宋体" w:cs="宋体"/>
                      <w:spacing w:val="-2"/>
                      <w:sz w:val="18"/>
                      <w:szCs w:val="18"/>
                    </w:rPr>
                    <w:t>mg/m</w:t>
                  </w:r>
                  <w:r>
                    <w:rPr>
                      <w:rFonts w:hint="eastAsia" w:ascii="宋体" w:hAnsi="宋体" w:eastAsia="宋体" w:cs="宋体"/>
                      <w:spacing w:val="-2"/>
                      <w:sz w:val="18"/>
                      <w:szCs w:val="18"/>
                      <w:vertAlign w:val="superscript"/>
                    </w:rPr>
                    <w:t>3</w:t>
                  </w:r>
                </w:p>
              </w:tc>
              <w:tc>
                <w:tcPr>
                  <w:tcW w:w="263" w:type="pct"/>
                  <w:vMerge w:val="restart"/>
                  <w:tcBorders>
                    <w:tl2br w:val="nil"/>
                    <w:tr2bl w:val="nil"/>
                  </w:tcBorders>
                  <w:noWrap w:val="0"/>
                  <w:vAlign w:val="center"/>
                </w:tcPr>
                <w:p w14:paraId="494789D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DA00</w:t>
                  </w:r>
                  <w:r>
                    <w:rPr>
                      <w:rFonts w:hint="eastAsia" w:cs="宋体"/>
                      <w:spacing w:val="-2"/>
                      <w:sz w:val="18"/>
                      <w:szCs w:val="18"/>
                      <w:lang w:val="en-US" w:eastAsia="zh-CN"/>
                    </w:rPr>
                    <w:t>2</w:t>
                  </w:r>
                </w:p>
              </w:tc>
            </w:tr>
            <w:tr w14:paraId="2E2C4BC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60" w:type="pct"/>
                  <w:vMerge w:val="continue"/>
                  <w:tcBorders>
                    <w:tl2br w:val="nil"/>
                    <w:tr2bl w:val="nil"/>
                  </w:tcBorders>
                  <w:noWrap w:val="0"/>
                  <w:vAlign w:val="center"/>
                </w:tcPr>
                <w:p w14:paraId="29EEF9B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vMerge w:val="continue"/>
                  <w:tcBorders>
                    <w:tl2br w:val="nil"/>
                    <w:tr2bl w:val="nil"/>
                  </w:tcBorders>
                  <w:noWrap w:val="0"/>
                  <w:vAlign w:val="center"/>
                </w:tcPr>
                <w:p w14:paraId="3014C4F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p>
              </w:tc>
              <w:tc>
                <w:tcPr>
                  <w:tcW w:w="201" w:type="pct"/>
                  <w:tcBorders>
                    <w:tl2br w:val="nil"/>
                    <w:tr2bl w:val="nil"/>
                  </w:tcBorders>
                  <w:noWrap w:val="0"/>
                  <w:vAlign w:val="center"/>
                </w:tcPr>
                <w:p w14:paraId="72B6DE0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0.04</w:t>
                  </w:r>
                </w:p>
              </w:tc>
              <w:tc>
                <w:tcPr>
                  <w:tcW w:w="154" w:type="pct"/>
                  <w:tcBorders>
                    <w:tl2br w:val="nil"/>
                    <w:tr2bl w:val="nil"/>
                  </w:tcBorders>
                  <w:noWrap w:val="0"/>
                  <w:vAlign w:val="center"/>
                </w:tcPr>
                <w:p w14:paraId="43498E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237" w:type="pct"/>
                  <w:vMerge w:val="continue"/>
                  <w:tcBorders>
                    <w:tl2br w:val="nil"/>
                    <w:tr2bl w:val="nil"/>
                  </w:tcBorders>
                  <w:noWrap w:val="0"/>
                  <w:vAlign w:val="center"/>
                </w:tcPr>
                <w:p w14:paraId="080B376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92" w:type="pct"/>
                  <w:tcBorders>
                    <w:tl2br w:val="nil"/>
                    <w:tr2bl w:val="nil"/>
                  </w:tcBorders>
                  <w:noWrap w:val="0"/>
                  <w:vAlign w:val="center"/>
                </w:tcPr>
                <w:p w14:paraId="116C121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SO</w:t>
                  </w:r>
                  <w:r>
                    <w:rPr>
                      <w:rFonts w:hint="eastAsia" w:ascii="宋体" w:hAnsi="宋体" w:eastAsia="宋体" w:cs="宋体"/>
                      <w:spacing w:val="-2"/>
                      <w:sz w:val="18"/>
                      <w:szCs w:val="18"/>
                      <w:vertAlign w:val="subscript"/>
                      <w:lang w:val="en-US" w:eastAsia="zh-CN"/>
                    </w:rPr>
                    <w:t>2</w:t>
                  </w:r>
                </w:p>
              </w:tc>
              <w:tc>
                <w:tcPr>
                  <w:tcW w:w="271" w:type="pct"/>
                  <w:tcBorders>
                    <w:tl2br w:val="nil"/>
                    <w:tr2bl w:val="nil"/>
                  </w:tcBorders>
                  <w:noWrap w:val="0"/>
                  <w:vAlign w:val="center"/>
                </w:tcPr>
                <w:p w14:paraId="5A47B6E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19.7</w:t>
                  </w:r>
                </w:p>
              </w:tc>
              <w:tc>
                <w:tcPr>
                  <w:tcW w:w="279" w:type="pct"/>
                  <w:tcBorders>
                    <w:tl2br w:val="nil"/>
                    <w:tr2bl w:val="nil"/>
                  </w:tcBorders>
                  <w:noWrap w:val="0"/>
                  <w:vAlign w:val="center"/>
                </w:tcPr>
                <w:p w14:paraId="73FDE07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0.006</w:t>
                  </w:r>
                </w:p>
              </w:tc>
              <w:tc>
                <w:tcPr>
                  <w:tcW w:w="263" w:type="pct"/>
                  <w:tcBorders>
                    <w:tl2br w:val="nil"/>
                    <w:tr2bl w:val="nil"/>
                  </w:tcBorders>
                  <w:noWrap w:val="0"/>
                  <w:vAlign w:val="center"/>
                </w:tcPr>
                <w:p w14:paraId="663EB55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0.04</w:t>
                  </w:r>
                </w:p>
              </w:tc>
              <w:tc>
                <w:tcPr>
                  <w:tcW w:w="199" w:type="pct"/>
                  <w:tcBorders>
                    <w:tl2br w:val="nil"/>
                    <w:tr2bl w:val="nil"/>
                  </w:tcBorders>
                  <w:noWrap w:val="0"/>
                  <w:vAlign w:val="center"/>
                </w:tcPr>
                <w:p w14:paraId="65B6255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67529AE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150" w:type="pct"/>
                  <w:tcBorders>
                    <w:tl2br w:val="nil"/>
                    <w:tr2bl w:val="nil"/>
                  </w:tcBorders>
                  <w:noWrap w:val="0"/>
                  <w:vAlign w:val="center"/>
                </w:tcPr>
                <w:p w14:paraId="359D84F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273" w:type="pct"/>
                  <w:tcBorders>
                    <w:tl2br w:val="nil"/>
                    <w:tr2bl w:val="nil"/>
                  </w:tcBorders>
                  <w:noWrap w:val="0"/>
                  <w:vAlign w:val="center"/>
                </w:tcPr>
                <w:p w14:paraId="4B9506A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19.7</w:t>
                  </w:r>
                </w:p>
              </w:tc>
              <w:tc>
                <w:tcPr>
                  <w:tcW w:w="283" w:type="pct"/>
                  <w:tcBorders>
                    <w:tl2br w:val="nil"/>
                    <w:tr2bl w:val="nil"/>
                  </w:tcBorders>
                  <w:noWrap w:val="0"/>
                  <w:vAlign w:val="center"/>
                </w:tcPr>
                <w:p w14:paraId="50C83AA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0.006</w:t>
                  </w:r>
                </w:p>
              </w:tc>
              <w:tc>
                <w:tcPr>
                  <w:tcW w:w="252" w:type="pct"/>
                  <w:tcBorders>
                    <w:tl2br w:val="nil"/>
                    <w:tr2bl w:val="nil"/>
                  </w:tcBorders>
                  <w:noWrap w:val="0"/>
                  <w:vAlign w:val="center"/>
                </w:tcPr>
                <w:p w14:paraId="7445A4E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0.04</w:t>
                  </w:r>
                </w:p>
              </w:tc>
              <w:tc>
                <w:tcPr>
                  <w:tcW w:w="248" w:type="pct"/>
                  <w:tcBorders>
                    <w:tl2br w:val="nil"/>
                    <w:tr2bl w:val="nil"/>
                  </w:tcBorders>
                  <w:noWrap w:val="0"/>
                  <w:vAlign w:val="center"/>
                </w:tcPr>
                <w:p w14:paraId="519469B1">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7200</w:t>
                  </w:r>
                </w:p>
              </w:tc>
              <w:tc>
                <w:tcPr>
                  <w:tcW w:w="178" w:type="pct"/>
                  <w:vMerge w:val="continue"/>
                  <w:tcBorders>
                    <w:tl2br w:val="nil"/>
                    <w:tr2bl w:val="nil"/>
                  </w:tcBorders>
                  <w:noWrap w:val="0"/>
                  <w:vAlign w:val="center"/>
                </w:tcPr>
                <w:p w14:paraId="78ACEB4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178" w:type="pct"/>
                  <w:vMerge w:val="continue"/>
                  <w:tcBorders>
                    <w:tl2br w:val="nil"/>
                    <w:tr2bl w:val="nil"/>
                  </w:tcBorders>
                  <w:noWrap w:val="0"/>
                  <w:vAlign w:val="center"/>
                </w:tcPr>
                <w:p w14:paraId="6F56DEB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166" w:type="pct"/>
                  <w:vMerge w:val="continue"/>
                  <w:tcBorders>
                    <w:tl2br w:val="nil"/>
                    <w:tr2bl w:val="nil"/>
                  </w:tcBorders>
                  <w:noWrap w:val="0"/>
                  <w:vAlign w:val="center"/>
                </w:tcPr>
                <w:p w14:paraId="23ACF9F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510" w:type="pct"/>
                  <w:vMerge w:val="continue"/>
                  <w:tcBorders>
                    <w:tl2br w:val="nil"/>
                    <w:tr2bl w:val="nil"/>
                  </w:tcBorders>
                  <w:noWrap w:val="0"/>
                  <w:vAlign w:val="center"/>
                </w:tcPr>
                <w:p w14:paraId="5F838C5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vMerge w:val="continue"/>
                  <w:tcBorders>
                    <w:tl2br w:val="nil"/>
                    <w:tr2bl w:val="nil"/>
                  </w:tcBorders>
                  <w:noWrap w:val="0"/>
                  <w:vAlign w:val="center"/>
                </w:tcPr>
                <w:p w14:paraId="7ADA427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r>
            <w:tr w14:paraId="61132CD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160" w:type="pct"/>
                  <w:vMerge w:val="continue"/>
                  <w:tcBorders>
                    <w:tl2br w:val="nil"/>
                    <w:tr2bl w:val="nil"/>
                  </w:tcBorders>
                  <w:noWrap w:val="0"/>
                  <w:vAlign w:val="center"/>
                </w:tcPr>
                <w:p w14:paraId="0E1A6C3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vMerge w:val="continue"/>
                  <w:tcBorders>
                    <w:tl2br w:val="nil"/>
                    <w:tr2bl w:val="nil"/>
                  </w:tcBorders>
                  <w:noWrap w:val="0"/>
                  <w:vAlign w:val="center"/>
                </w:tcPr>
                <w:p w14:paraId="0086E46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p>
              </w:tc>
              <w:tc>
                <w:tcPr>
                  <w:tcW w:w="201" w:type="pct"/>
                  <w:tcBorders>
                    <w:tl2br w:val="nil"/>
                    <w:tr2bl w:val="nil"/>
                  </w:tcBorders>
                  <w:noWrap w:val="0"/>
                  <w:vAlign w:val="center"/>
                </w:tcPr>
                <w:p w14:paraId="14E20F5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0.18</w:t>
                  </w:r>
                </w:p>
              </w:tc>
              <w:tc>
                <w:tcPr>
                  <w:tcW w:w="154" w:type="pct"/>
                  <w:tcBorders>
                    <w:tl2br w:val="nil"/>
                    <w:tr2bl w:val="nil"/>
                  </w:tcBorders>
                  <w:noWrap w:val="0"/>
                  <w:vAlign w:val="center"/>
                </w:tcPr>
                <w:p w14:paraId="41F327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237" w:type="pct"/>
                  <w:vMerge w:val="continue"/>
                  <w:tcBorders>
                    <w:tl2br w:val="nil"/>
                    <w:tr2bl w:val="nil"/>
                  </w:tcBorders>
                  <w:noWrap w:val="0"/>
                  <w:vAlign w:val="center"/>
                </w:tcPr>
                <w:p w14:paraId="106B121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92" w:type="pct"/>
                  <w:tcBorders>
                    <w:tl2br w:val="nil"/>
                    <w:tr2bl w:val="nil"/>
                  </w:tcBorders>
                  <w:noWrap w:val="0"/>
                  <w:vAlign w:val="center"/>
                </w:tcPr>
                <w:p w14:paraId="4617C7B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NO</w:t>
                  </w:r>
                  <w:r>
                    <w:rPr>
                      <w:rFonts w:hint="eastAsia" w:ascii="宋体" w:hAnsi="宋体" w:eastAsia="宋体" w:cs="宋体"/>
                      <w:spacing w:val="-2"/>
                      <w:sz w:val="18"/>
                      <w:szCs w:val="18"/>
                      <w:vertAlign w:val="subscript"/>
                      <w:lang w:val="en-US" w:eastAsia="zh-CN"/>
                    </w:rPr>
                    <w:t>X</w:t>
                  </w:r>
                </w:p>
              </w:tc>
              <w:tc>
                <w:tcPr>
                  <w:tcW w:w="271" w:type="pct"/>
                  <w:tcBorders>
                    <w:tl2br w:val="nil"/>
                    <w:tr2bl w:val="nil"/>
                  </w:tcBorders>
                  <w:noWrap w:val="0"/>
                  <w:vAlign w:val="center"/>
                </w:tcPr>
                <w:p w14:paraId="3D92A79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88.6</w:t>
                  </w:r>
                </w:p>
              </w:tc>
              <w:tc>
                <w:tcPr>
                  <w:tcW w:w="279" w:type="pct"/>
                  <w:tcBorders>
                    <w:tl2br w:val="nil"/>
                    <w:tr2bl w:val="nil"/>
                  </w:tcBorders>
                  <w:noWrap w:val="0"/>
                  <w:vAlign w:val="center"/>
                </w:tcPr>
                <w:p w14:paraId="659CBAC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0.025</w:t>
                  </w:r>
                </w:p>
              </w:tc>
              <w:tc>
                <w:tcPr>
                  <w:tcW w:w="263" w:type="pct"/>
                  <w:tcBorders>
                    <w:tl2br w:val="nil"/>
                    <w:tr2bl w:val="nil"/>
                  </w:tcBorders>
                  <w:noWrap w:val="0"/>
                  <w:vAlign w:val="center"/>
                </w:tcPr>
                <w:p w14:paraId="223B285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0.18</w:t>
                  </w:r>
                </w:p>
              </w:tc>
              <w:tc>
                <w:tcPr>
                  <w:tcW w:w="199" w:type="pct"/>
                  <w:tcBorders>
                    <w:tl2br w:val="nil"/>
                    <w:tr2bl w:val="nil"/>
                  </w:tcBorders>
                  <w:noWrap w:val="0"/>
                  <w:vAlign w:val="center"/>
                </w:tcPr>
                <w:p w14:paraId="073E677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rPr>
                  </w:pPr>
                  <w:r>
                    <w:rPr>
                      <w:rFonts w:hint="eastAsia" w:cs="宋体"/>
                      <w:spacing w:val="-2"/>
                      <w:sz w:val="18"/>
                      <w:szCs w:val="18"/>
                      <w:lang w:val="en-US" w:eastAsia="zh-CN"/>
                    </w:rPr>
                    <w:t>低氮燃烧</w:t>
                  </w:r>
                </w:p>
              </w:tc>
              <w:tc>
                <w:tcPr>
                  <w:tcW w:w="237" w:type="pct"/>
                  <w:tcBorders>
                    <w:tl2br w:val="nil"/>
                    <w:tr2bl w:val="nil"/>
                  </w:tcBorders>
                  <w:noWrap w:val="0"/>
                  <w:vAlign w:val="center"/>
                </w:tcPr>
                <w:p w14:paraId="1579217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cs="宋体"/>
                      <w:spacing w:val="-2"/>
                      <w:sz w:val="18"/>
                      <w:szCs w:val="18"/>
                      <w:lang w:val="en-US" w:eastAsia="zh-CN"/>
                    </w:rPr>
                    <w:t>是</w:t>
                  </w:r>
                </w:p>
              </w:tc>
              <w:tc>
                <w:tcPr>
                  <w:tcW w:w="150" w:type="pct"/>
                  <w:tcBorders>
                    <w:tl2br w:val="nil"/>
                    <w:tr2bl w:val="nil"/>
                  </w:tcBorders>
                  <w:noWrap w:val="0"/>
                  <w:vAlign w:val="center"/>
                </w:tcPr>
                <w:p w14:paraId="71F94E4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cs="宋体"/>
                      <w:spacing w:val="-2"/>
                      <w:sz w:val="18"/>
                      <w:szCs w:val="18"/>
                      <w:lang w:val="en-US" w:eastAsia="zh-CN"/>
                    </w:rPr>
                    <w:t>30</w:t>
                  </w:r>
                </w:p>
              </w:tc>
              <w:tc>
                <w:tcPr>
                  <w:tcW w:w="273" w:type="pct"/>
                  <w:tcBorders>
                    <w:tl2br w:val="nil"/>
                    <w:tr2bl w:val="nil"/>
                  </w:tcBorders>
                  <w:noWrap w:val="0"/>
                  <w:vAlign w:val="center"/>
                </w:tcPr>
                <w:p w14:paraId="0A1DFC6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kern w:val="2"/>
                      <w:sz w:val="18"/>
                      <w:szCs w:val="18"/>
                      <w:lang w:val="en-US" w:eastAsia="zh-CN" w:bidi="ar-SA"/>
                    </w:rPr>
                  </w:pPr>
                  <w:r>
                    <w:rPr>
                      <w:rFonts w:hint="eastAsia" w:cs="宋体"/>
                      <w:spacing w:val="-2"/>
                      <w:sz w:val="18"/>
                      <w:szCs w:val="18"/>
                      <w:lang w:val="en-US" w:eastAsia="zh-CN"/>
                    </w:rPr>
                    <w:t>62.02</w:t>
                  </w:r>
                </w:p>
              </w:tc>
              <w:tc>
                <w:tcPr>
                  <w:tcW w:w="283" w:type="pct"/>
                  <w:tcBorders>
                    <w:tl2br w:val="nil"/>
                    <w:tr2bl w:val="nil"/>
                  </w:tcBorders>
                  <w:noWrap w:val="0"/>
                  <w:vAlign w:val="center"/>
                </w:tcPr>
                <w:p w14:paraId="1D50BFF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w:t>
                  </w:r>
                  <w:r>
                    <w:rPr>
                      <w:rFonts w:hint="eastAsia" w:cs="宋体"/>
                      <w:spacing w:val="-2"/>
                      <w:sz w:val="18"/>
                      <w:szCs w:val="18"/>
                      <w:lang w:val="en-US" w:eastAsia="zh-CN"/>
                    </w:rPr>
                    <w:t>18</w:t>
                  </w:r>
                </w:p>
              </w:tc>
              <w:tc>
                <w:tcPr>
                  <w:tcW w:w="252" w:type="pct"/>
                  <w:tcBorders>
                    <w:tl2br w:val="nil"/>
                    <w:tr2bl w:val="nil"/>
                  </w:tcBorders>
                  <w:noWrap w:val="0"/>
                  <w:vAlign w:val="center"/>
                </w:tcPr>
                <w:p w14:paraId="20F01D6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w:t>
                  </w:r>
                  <w:r>
                    <w:rPr>
                      <w:rFonts w:hint="eastAsia" w:cs="宋体"/>
                      <w:spacing w:val="-2"/>
                      <w:sz w:val="18"/>
                      <w:szCs w:val="18"/>
                      <w:lang w:val="en-US" w:eastAsia="zh-CN"/>
                    </w:rPr>
                    <w:t>013</w:t>
                  </w:r>
                </w:p>
              </w:tc>
              <w:tc>
                <w:tcPr>
                  <w:tcW w:w="248" w:type="pct"/>
                  <w:tcBorders>
                    <w:tl2br w:val="nil"/>
                    <w:tr2bl w:val="nil"/>
                  </w:tcBorders>
                  <w:noWrap w:val="0"/>
                  <w:vAlign w:val="center"/>
                </w:tcPr>
                <w:p w14:paraId="2542913E">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7200</w:t>
                  </w:r>
                </w:p>
              </w:tc>
              <w:tc>
                <w:tcPr>
                  <w:tcW w:w="178" w:type="pct"/>
                  <w:vMerge w:val="continue"/>
                  <w:tcBorders>
                    <w:tl2br w:val="nil"/>
                    <w:tr2bl w:val="nil"/>
                  </w:tcBorders>
                  <w:noWrap w:val="0"/>
                  <w:vAlign w:val="center"/>
                </w:tcPr>
                <w:p w14:paraId="666E3AF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178" w:type="pct"/>
                  <w:vMerge w:val="continue"/>
                  <w:tcBorders>
                    <w:tl2br w:val="nil"/>
                    <w:tr2bl w:val="nil"/>
                  </w:tcBorders>
                  <w:noWrap w:val="0"/>
                  <w:vAlign w:val="center"/>
                </w:tcPr>
                <w:p w14:paraId="343BA78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166" w:type="pct"/>
                  <w:vMerge w:val="continue"/>
                  <w:tcBorders>
                    <w:tl2br w:val="nil"/>
                    <w:tr2bl w:val="nil"/>
                  </w:tcBorders>
                  <w:noWrap w:val="0"/>
                  <w:vAlign w:val="center"/>
                </w:tcPr>
                <w:p w14:paraId="5FF9718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510" w:type="pct"/>
                  <w:vMerge w:val="continue"/>
                  <w:tcBorders>
                    <w:tl2br w:val="nil"/>
                    <w:tr2bl w:val="nil"/>
                  </w:tcBorders>
                  <w:noWrap w:val="0"/>
                  <w:vAlign w:val="center"/>
                </w:tcPr>
                <w:p w14:paraId="6CCE9C4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vMerge w:val="continue"/>
                  <w:tcBorders>
                    <w:tl2br w:val="nil"/>
                    <w:tr2bl w:val="nil"/>
                  </w:tcBorders>
                  <w:noWrap w:val="0"/>
                  <w:vAlign w:val="center"/>
                </w:tcPr>
                <w:p w14:paraId="6357A8C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r>
            <w:tr w14:paraId="7E35687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160" w:type="pct"/>
                  <w:vMerge w:val="restart"/>
                  <w:tcBorders>
                    <w:tl2br w:val="nil"/>
                    <w:tr2bl w:val="nil"/>
                  </w:tcBorders>
                  <w:noWrap w:val="0"/>
                  <w:vAlign w:val="center"/>
                </w:tcPr>
                <w:p w14:paraId="7FD4582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有组织</w:t>
                  </w:r>
                  <w:r>
                    <w:rPr>
                      <w:rFonts w:hint="eastAsia" w:cs="宋体"/>
                      <w:spacing w:val="-2"/>
                      <w:sz w:val="18"/>
                      <w:szCs w:val="18"/>
                      <w:lang w:val="en-US" w:eastAsia="zh-CN"/>
                    </w:rPr>
                    <w:t>（事故）</w:t>
                  </w:r>
                </w:p>
              </w:tc>
              <w:tc>
                <w:tcPr>
                  <w:tcW w:w="200" w:type="pct"/>
                  <w:tcBorders>
                    <w:tl2br w:val="nil"/>
                    <w:tr2bl w:val="nil"/>
                  </w:tcBorders>
                  <w:noWrap w:val="0"/>
                  <w:vAlign w:val="center"/>
                </w:tcPr>
                <w:p w14:paraId="752C03D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s="宋体"/>
                      <w:spacing w:val="-2"/>
                      <w:sz w:val="18"/>
                      <w:szCs w:val="18"/>
                      <w:lang w:val="en-US" w:eastAsia="zh-CN"/>
                    </w:rPr>
                  </w:pPr>
                  <w:r>
                    <w:rPr>
                      <w:rFonts w:hint="eastAsia" w:cs="宋体"/>
                      <w:spacing w:val="-2"/>
                      <w:sz w:val="18"/>
                      <w:szCs w:val="18"/>
                      <w:lang w:val="en-US" w:eastAsia="zh-CN"/>
                    </w:rPr>
                    <w:t>插层</w:t>
                  </w:r>
                </w:p>
                <w:p w14:paraId="57BFB15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s="宋体"/>
                      <w:spacing w:val="-2"/>
                      <w:sz w:val="18"/>
                      <w:szCs w:val="18"/>
                      <w:lang w:val="en-US" w:eastAsia="zh-CN"/>
                    </w:rPr>
                  </w:pPr>
                  <w:r>
                    <w:rPr>
                      <w:rFonts w:hint="eastAsia" w:cs="宋体"/>
                      <w:spacing w:val="-2"/>
                      <w:sz w:val="18"/>
                      <w:szCs w:val="18"/>
                      <w:lang w:val="en-US" w:eastAsia="zh-CN"/>
                    </w:rPr>
                    <w:t>压滤</w:t>
                  </w:r>
                </w:p>
              </w:tc>
              <w:tc>
                <w:tcPr>
                  <w:tcW w:w="201" w:type="pct"/>
                  <w:tcBorders>
                    <w:tl2br w:val="nil"/>
                    <w:tr2bl w:val="nil"/>
                  </w:tcBorders>
                  <w:shd w:val="clear" w:color="auto" w:fill="auto"/>
                  <w:noWrap w:val="0"/>
                  <w:vAlign w:val="center"/>
                </w:tcPr>
                <w:p w14:paraId="2CC04B8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2"/>
                      <w:kern w:val="2"/>
                      <w:sz w:val="18"/>
                      <w:szCs w:val="18"/>
                      <w:lang w:val="en-US" w:eastAsia="zh-CN" w:bidi="ar-SA"/>
                    </w:rPr>
                  </w:pPr>
                  <w:r>
                    <w:rPr>
                      <w:rFonts w:hint="eastAsia" w:ascii="宋体" w:hAnsi="宋体" w:eastAsia="宋体" w:cs="宋体"/>
                      <w:b/>
                      <w:bCs/>
                      <w:spacing w:val="-2"/>
                      <w:sz w:val="18"/>
                      <w:szCs w:val="18"/>
                      <w:lang w:val="en-US" w:eastAsia="zh-CN"/>
                    </w:rPr>
                    <w:fldChar w:fldCharType="begin"/>
                  </w:r>
                  <w:r>
                    <w:rPr>
                      <w:rFonts w:hint="eastAsia" w:ascii="宋体" w:hAnsi="宋体" w:eastAsia="宋体" w:cs="宋体"/>
                      <w:b/>
                      <w:bCs/>
                      <w:spacing w:val="-2"/>
                      <w:sz w:val="18"/>
                      <w:szCs w:val="18"/>
                      <w:lang w:val="en-US" w:eastAsia="zh-CN"/>
                    </w:rPr>
                    <w:instrText xml:space="preserve"> = sum(C3:C4) \* MERGEFORMAT </w:instrText>
                  </w:r>
                  <w:r>
                    <w:rPr>
                      <w:rFonts w:hint="eastAsia" w:ascii="宋体" w:hAnsi="宋体" w:eastAsia="宋体" w:cs="宋体"/>
                      <w:b/>
                      <w:bCs/>
                      <w:spacing w:val="-2"/>
                      <w:sz w:val="18"/>
                      <w:szCs w:val="18"/>
                      <w:lang w:val="en-US" w:eastAsia="zh-CN"/>
                    </w:rPr>
                    <w:fldChar w:fldCharType="separate"/>
                  </w:r>
                  <w:r>
                    <w:rPr>
                      <w:rFonts w:hint="eastAsia" w:ascii="宋体" w:hAnsi="宋体" w:eastAsia="宋体" w:cs="宋体"/>
                      <w:b/>
                      <w:bCs/>
                      <w:spacing w:val="-2"/>
                      <w:sz w:val="18"/>
                      <w:szCs w:val="18"/>
                      <w:lang w:val="en-US" w:eastAsia="zh-CN"/>
                    </w:rPr>
                    <w:t>3.383</w:t>
                  </w:r>
                  <w:r>
                    <w:rPr>
                      <w:rFonts w:hint="eastAsia" w:ascii="宋体" w:hAnsi="宋体" w:eastAsia="宋体" w:cs="宋体"/>
                      <w:b/>
                      <w:bCs/>
                      <w:spacing w:val="-2"/>
                      <w:sz w:val="18"/>
                      <w:szCs w:val="18"/>
                      <w:lang w:val="en-US" w:eastAsia="zh-CN"/>
                    </w:rPr>
                    <w:fldChar w:fldCharType="end"/>
                  </w:r>
                </w:p>
              </w:tc>
              <w:tc>
                <w:tcPr>
                  <w:tcW w:w="154" w:type="pct"/>
                  <w:tcBorders>
                    <w:tl2br w:val="nil"/>
                    <w:tr2bl w:val="nil"/>
                  </w:tcBorders>
                  <w:shd w:val="clear" w:color="auto" w:fill="auto"/>
                  <w:noWrap w:val="0"/>
                  <w:vAlign w:val="center"/>
                </w:tcPr>
                <w:p w14:paraId="1BC9AE5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2"/>
                      <w:kern w:val="2"/>
                      <w:sz w:val="18"/>
                      <w:szCs w:val="18"/>
                      <w:lang w:val="en-US" w:eastAsia="zh-CN" w:bidi="ar-SA"/>
                    </w:rPr>
                  </w:pPr>
                  <w:r>
                    <w:rPr>
                      <w:rFonts w:hint="eastAsia" w:ascii="宋体" w:hAnsi="宋体" w:eastAsia="宋体" w:cs="宋体"/>
                      <w:b/>
                      <w:bCs/>
                      <w:spacing w:val="-2"/>
                      <w:sz w:val="18"/>
                      <w:szCs w:val="18"/>
                      <w:lang w:val="en-US" w:eastAsia="zh-CN"/>
                    </w:rPr>
                    <w:t>90</w:t>
                  </w:r>
                </w:p>
              </w:tc>
              <w:tc>
                <w:tcPr>
                  <w:tcW w:w="237" w:type="pct"/>
                  <w:tcBorders>
                    <w:tl2br w:val="nil"/>
                    <w:tr2bl w:val="nil"/>
                  </w:tcBorders>
                  <w:noWrap w:val="0"/>
                  <w:vAlign w:val="center"/>
                </w:tcPr>
                <w:p w14:paraId="5DE662C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1</w:t>
                  </w:r>
                  <w:r>
                    <w:rPr>
                      <w:rFonts w:hint="eastAsia" w:ascii="宋体" w:hAnsi="宋体" w:eastAsia="宋体" w:cs="宋体"/>
                      <w:spacing w:val="-2"/>
                      <w:sz w:val="18"/>
                      <w:szCs w:val="18"/>
                    </w:rPr>
                    <w:t>00</w:t>
                  </w:r>
                  <w:r>
                    <w:rPr>
                      <w:rFonts w:hint="eastAsia" w:ascii="宋体" w:hAnsi="宋体" w:eastAsia="宋体" w:cs="宋体"/>
                      <w:spacing w:val="-2"/>
                      <w:sz w:val="18"/>
                      <w:szCs w:val="18"/>
                      <w:lang w:val="en-US" w:eastAsia="zh-CN"/>
                    </w:rPr>
                    <w:t>0</w:t>
                  </w:r>
                </w:p>
              </w:tc>
              <w:tc>
                <w:tcPr>
                  <w:tcW w:w="292" w:type="pct"/>
                  <w:tcBorders>
                    <w:tl2br w:val="nil"/>
                    <w:tr2bl w:val="nil"/>
                  </w:tcBorders>
                  <w:noWrap w:val="0"/>
                  <w:vAlign w:val="center"/>
                </w:tcPr>
                <w:p w14:paraId="0409BFA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rPr>
                    <w:t>硫酸雾</w:t>
                  </w:r>
                </w:p>
              </w:tc>
              <w:tc>
                <w:tcPr>
                  <w:tcW w:w="271" w:type="pct"/>
                  <w:tcBorders>
                    <w:tl2br w:val="nil"/>
                    <w:tr2bl w:val="nil"/>
                  </w:tcBorders>
                  <w:shd w:val="clear" w:color="auto" w:fill="auto"/>
                  <w:noWrap w:val="0"/>
                  <w:vAlign w:val="center"/>
                </w:tcPr>
                <w:p w14:paraId="559C539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422.5</w:t>
                  </w:r>
                </w:p>
              </w:tc>
              <w:tc>
                <w:tcPr>
                  <w:tcW w:w="279" w:type="pct"/>
                  <w:tcBorders>
                    <w:tl2br w:val="nil"/>
                    <w:tr2bl w:val="nil"/>
                  </w:tcBorders>
                  <w:shd w:val="clear" w:color="auto" w:fill="auto"/>
                  <w:noWrap w:val="0"/>
                  <w:vAlign w:val="center"/>
                </w:tcPr>
                <w:p w14:paraId="60BAE8F8">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fldChar w:fldCharType="begin"/>
                  </w:r>
                  <w:r>
                    <w:rPr>
                      <w:rFonts w:hint="eastAsia" w:ascii="宋体" w:hAnsi="宋体" w:eastAsia="宋体" w:cs="宋体"/>
                      <w:spacing w:val="-2"/>
                      <w:sz w:val="18"/>
                      <w:szCs w:val="18"/>
                      <w:lang w:val="en-US" w:eastAsia="zh-CN"/>
                    </w:rPr>
                    <w:instrText xml:space="preserve"> = sum(H3:H4) \* MERGEFORMAT </w:instrText>
                  </w:r>
                  <w:r>
                    <w:rPr>
                      <w:rFonts w:hint="eastAsia" w:ascii="宋体" w:hAnsi="宋体" w:eastAsia="宋体" w:cs="宋体"/>
                      <w:spacing w:val="-2"/>
                      <w:sz w:val="18"/>
                      <w:szCs w:val="18"/>
                      <w:lang w:val="en-US" w:eastAsia="zh-CN"/>
                    </w:rPr>
                    <w:fldChar w:fldCharType="separate"/>
                  </w:r>
                  <w:r>
                    <w:rPr>
                      <w:rFonts w:hint="eastAsia" w:ascii="宋体" w:hAnsi="宋体" w:eastAsia="宋体" w:cs="宋体"/>
                      <w:spacing w:val="-2"/>
                      <w:sz w:val="18"/>
                      <w:szCs w:val="18"/>
                      <w:lang w:val="en-US" w:eastAsia="zh-CN"/>
                    </w:rPr>
                    <w:t>0.4225</w:t>
                  </w:r>
                  <w:r>
                    <w:rPr>
                      <w:rFonts w:hint="eastAsia" w:ascii="宋体" w:hAnsi="宋体" w:eastAsia="宋体" w:cs="宋体"/>
                      <w:spacing w:val="-2"/>
                      <w:sz w:val="18"/>
                      <w:szCs w:val="18"/>
                      <w:lang w:val="en-US" w:eastAsia="zh-CN"/>
                    </w:rPr>
                    <w:fldChar w:fldCharType="end"/>
                  </w:r>
                </w:p>
              </w:tc>
              <w:tc>
                <w:tcPr>
                  <w:tcW w:w="263" w:type="pct"/>
                  <w:tcBorders>
                    <w:tl2br w:val="nil"/>
                    <w:tr2bl w:val="nil"/>
                  </w:tcBorders>
                  <w:shd w:val="clear" w:color="auto" w:fill="auto"/>
                  <w:noWrap w:val="0"/>
                  <w:vAlign w:val="center"/>
                </w:tcPr>
                <w:p w14:paraId="13460271">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fldChar w:fldCharType="begin"/>
                  </w:r>
                  <w:r>
                    <w:rPr>
                      <w:rFonts w:hint="eastAsia" w:ascii="宋体" w:hAnsi="宋体" w:eastAsia="宋体" w:cs="宋体"/>
                      <w:spacing w:val="-2"/>
                      <w:sz w:val="18"/>
                      <w:szCs w:val="18"/>
                      <w:lang w:val="en-US" w:eastAsia="zh-CN"/>
                    </w:rPr>
                    <w:instrText xml:space="preserve"> = sum(I3:I4) \* MERGEFORMAT </w:instrText>
                  </w:r>
                  <w:r>
                    <w:rPr>
                      <w:rFonts w:hint="eastAsia" w:ascii="宋体" w:hAnsi="宋体" w:eastAsia="宋体" w:cs="宋体"/>
                      <w:spacing w:val="-2"/>
                      <w:sz w:val="18"/>
                      <w:szCs w:val="18"/>
                      <w:lang w:val="en-US" w:eastAsia="zh-CN"/>
                    </w:rPr>
                    <w:fldChar w:fldCharType="separate"/>
                  </w:r>
                  <w:r>
                    <w:rPr>
                      <w:rFonts w:hint="eastAsia" w:ascii="宋体" w:hAnsi="宋体" w:eastAsia="宋体" w:cs="宋体"/>
                      <w:spacing w:val="-2"/>
                      <w:sz w:val="18"/>
                      <w:szCs w:val="18"/>
                      <w:lang w:val="en-US" w:eastAsia="zh-CN"/>
                    </w:rPr>
                    <w:t>3.044</w:t>
                  </w:r>
                  <w:r>
                    <w:rPr>
                      <w:rFonts w:hint="eastAsia" w:ascii="宋体" w:hAnsi="宋体" w:eastAsia="宋体" w:cs="宋体"/>
                      <w:spacing w:val="-2"/>
                      <w:sz w:val="18"/>
                      <w:szCs w:val="18"/>
                      <w:lang w:val="en-US" w:eastAsia="zh-CN"/>
                    </w:rPr>
                    <w:fldChar w:fldCharType="end"/>
                  </w:r>
                </w:p>
              </w:tc>
              <w:tc>
                <w:tcPr>
                  <w:tcW w:w="199" w:type="pct"/>
                  <w:vMerge w:val="restart"/>
                  <w:tcBorders>
                    <w:tl2br w:val="nil"/>
                    <w:tr2bl w:val="nil"/>
                  </w:tcBorders>
                  <w:noWrap w:val="0"/>
                  <w:vAlign w:val="center"/>
                </w:tcPr>
                <w:p w14:paraId="736874D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rPr>
                    <w:t>喷淋 设施</w:t>
                  </w:r>
                </w:p>
              </w:tc>
              <w:tc>
                <w:tcPr>
                  <w:tcW w:w="237" w:type="pct"/>
                  <w:tcBorders>
                    <w:tl2br w:val="nil"/>
                    <w:tr2bl w:val="nil"/>
                  </w:tcBorders>
                  <w:noWrap w:val="0"/>
                  <w:vAlign w:val="center"/>
                </w:tcPr>
                <w:p w14:paraId="090970D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是</w:t>
                  </w:r>
                </w:p>
              </w:tc>
              <w:tc>
                <w:tcPr>
                  <w:tcW w:w="150" w:type="pct"/>
                  <w:tcBorders>
                    <w:tl2br w:val="nil"/>
                    <w:tr2bl w:val="nil"/>
                  </w:tcBorders>
                  <w:noWrap w:val="0"/>
                  <w:vAlign w:val="center"/>
                </w:tcPr>
                <w:p w14:paraId="283D131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cs="宋体"/>
                      <w:spacing w:val="-2"/>
                      <w:sz w:val="18"/>
                      <w:szCs w:val="18"/>
                      <w:lang w:val="en-US" w:eastAsia="zh-CN"/>
                    </w:rPr>
                    <w:t>50</w:t>
                  </w:r>
                </w:p>
              </w:tc>
              <w:tc>
                <w:tcPr>
                  <w:tcW w:w="273" w:type="pct"/>
                  <w:tcBorders>
                    <w:tl2br w:val="nil"/>
                    <w:tr2bl w:val="nil"/>
                  </w:tcBorders>
                  <w:shd w:val="clear" w:color="auto" w:fill="auto"/>
                  <w:noWrap w:val="0"/>
                  <w:vAlign w:val="center"/>
                </w:tcPr>
                <w:p w14:paraId="2BAFFDB4">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422.5</w:t>
                  </w:r>
                </w:p>
              </w:tc>
              <w:tc>
                <w:tcPr>
                  <w:tcW w:w="283" w:type="pct"/>
                  <w:tcBorders>
                    <w:tl2br w:val="nil"/>
                    <w:tr2bl w:val="nil"/>
                  </w:tcBorders>
                  <w:shd w:val="clear" w:color="auto" w:fill="auto"/>
                  <w:noWrap w:val="0"/>
                  <w:vAlign w:val="center"/>
                </w:tcPr>
                <w:p w14:paraId="6020CFC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fldChar w:fldCharType="begin"/>
                  </w:r>
                  <w:r>
                    <w:rPr>
                      <w:rFonts w:hint="eastAsia" w:ascii="宋体" w:hAnsi="宋体" w:eastAsia="宋体" w:cs="宋体"/>
                      <w:spacing w:val="-2"/>
                      <w:sz w:val="18"/>
                      <w:szCs w:val="18"/>
                      <w:lang w:val="en-US" w:eastAsia="zh-CN"/>
                    </w:rPr>
                    <w:instrText xml:space="preserve"> = sum(H3:H4) \* MERGEFORMAT </w:instrText>
                  </w:r>
                  <w:r>
                    <w:rPr>
                      <w:rFonts w:hint="eastAsia" w:ascii="宋体" w:hAnsi="宋体" w:eastAsia="宋体" w:cs="宋体"/>
                      <w:spacing w:val="-2"/>
                      <w:sz w:val="18"/>
                      <w:szCs w:val="18"/>
                      <w:lang w:val="en-US" w:eastAsia="zh-CN"/>
                    </w:rPr>
                    <w:fldChar w:fldCharType="separate"/>
                  </w:r>
                  <w:r>
                    <w:rPr>
                      <w:rFonts w:hint="eastAsia" w:ascii="宋体" w:hAnsi="宋体" w:eastAsia="宋体" w:cs="宋体"/>
                      <w:spacing w:val="-2"/>
                      <w:sz w:val="18"/>
                      <w:szCs w:val="18"/>
                      <w:lang w:val="en-US" w:eastAsia="zh-CN"/>
                    </w:rPr>
                    <w:t>0.4225</w:t>
                  </w:r>
                  <w:r>
                    <w:rPr>
                      <w:rFonts w:hint="eastAsia" w:ascii="宋体" w:hAnsi="宋体" w:eastAsia="宋体" w:cs="宋体"/>
                      <w:spacing w:val="-2"/>
                      <w:sz w:val="18"/>
                      <w:szCs w:val="18"/>
                      <w:lang w:val="en-US" w:eastAsia="zh-CN"/>
                    </w:rPr>
                    <w:fldChar w:fldCharType="end"/>
                  </w:r>
                </w:p>
              </w:tc>
              <w:tc>
                <w:tcPr>
                  <w:tcW w:w="252" w:type="pct"/>
                  <w:tcBorders>
                    <w:tl2br w:val="nil"/>
                    <w:tr2bl w:val="nil"/>
                  </w:tcBorders>
                  <w:shd w:val="clear" w:color="auto" w:fill="auto"/>
                  <w:noWrap w:val="0"/>
                  <w:vAlign w:val="center"/>
                </w:tcPr>
                <w:p w14:paraId="50E086F9">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fldChar w:fldCharType="begin"/>
                  </w:r>
                  <w:r>
                    <w:rPr>
                      <w:rFonts w:hint="eastAsia" w:ascii="宋体" w:hAnsi="宋体" w:eastAsia="宋体" w:cs="宋体"/>
                      <w:spacing w:val="-2"/>
                      <w:sz w:val="18"/>
                      <w:szCs w:val="18"/>
                      <w:lang w:val="en-US" w:eastAsia="zh-CN"/>
                    </w:rPr>
                    <w:instrText xml:space="preserve"> = sum(I3:I4) \* MERGEFORMAT </w:instrText>
                  </w:r>
                  <w:r>
                    <w:rPr>
                      <w:rFonts w:hint="eastAsia" w:ascii="宋体" w:hAnsi="宋体" w:eastAsia="宋体" w:cs="宋体"/>
                      <w:spacing w:val="-2"/>
                      <w:sz w:val="18"/>
                      <w:szCs w:val="18"/>
                      <w:lang w:val="en-US" w:eastAsia="zh-CN"/>
                    </w:rPr>
                    <w:fldChar w:fldCharType="separate"/>
                  </w:r>
                  <w:r>
                    <w:rPr>
                      <w:rFonts w:hint="eastAsia" w:ascii="宋体" w:hAnsi="宋体" w:eastAsia="宋体" w:cs="宋体"/>
                      <w:spacing w:val="-2"/>
                      <w:sz w:val="18"/>
                      <w:szCs w:val="18"/>
                      <w:lang w:val="en-US" w:eastAsia="zh-CN"/>
                    </w:rPr>
                    <w:t>3.044</w:t>
                  </w:r>
                  <w:r>
                    <w:rPr>
                      <w:rFonts w:hint="eastAsia" w:ascii="宋体" w:hAnsi="宋体" w:eastAsia="宋体" w:cs="宋体"/>
                      <w:spacing w:val="-2"/>
                      <w:sz w:val="18"/>
                      <w:szCs w:val="18"/>
                      <w:lang w:val="en-US" w:eastAsia="zh-CN"/>
                    </w:rPr>
                    <w:fldChar w:fldCharType="end"/>
                  </w:r>
                </w:p>
              </w:tc>
              <w:tc>
                <w:tcPr>
                  <w:tcW w:w="248" w:type="pct"/>
                  <w:tcBorders>
                    <w:tl2br w:val="nil"/>
                    <w:tr2bl w:val="nil"/>
                  </w:tcBorders>
                  <w:noWrap w:val="0"/>
                  <w:vAlign w:val="center"/>
                </w:tcPr>
                <w:p w14:paraId="177A02A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7200</w:t>
                  </w:r>
                </w:p>
              </w:tc>
              <w:tc>
                <w:tcPr>
                  <w:tcW w:w="178" w:type="pct"/>
                  <w:tcBorders>
                    <w:tl2br w:val="nil"/>
                    <w:tr2bl w:val="nil"/>
                  </w:tcBorders>
                  <w:shd w:val="clear" w:color="auto" w:fill="auto"/>
                  <w:noWrap w:val="0"/>
                  <w:vAlign w:val="center"/>
                </w:tcPr>
                <w:p w14:paraId="7CDAD30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15</w:t>
                  </w:r>
                </w:p>
              </w:tc>
              <w:tc>
                <w:tcPr>
                  <w:tcW w:w="178" w:type="pct"/>
                  <w:tcBorders>
                    <w:tl2br w:val="nil"/>
                    <w:tr2bl w:val="nil"/>
                  </w:tcBorders>
                  <w:shd w:val="clear" w:color="auto" w:fill="auto"/>
                  <w:noWrap w:val="0"/>
                  <w:vAlign w:val="center"/>
                </w:tcPr>
                <w:p w14:paraId="3BE17AC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0.3</w:t>
                  </w:r>
                </w:p>
              </w:tc>
              <w:tc>
                <w:tcPr>
                  <w:tcW w:w="166" w:type="pct"/>
                  <w:tcBorders>
                    <w:tl2br w:val="nil"/>
                    <w:tr2bl w:val="nil"/>
                  </w:tcBorders>
                  <w:shd w:val="clear" w:color="auto" w:fill="auto"/>
                  <w:noWrap w:val="0"/>
                  <w:vAlign w:val="center"/>
                </w:tcPr>
                <w:p w14:paraId="6519653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20</w:t>
                  </w:r>
                </w:p>
              </w:tc>
              <w:tc>
                <w:tcPr>
                  <w:tcW w:w="510" w:type="pct"/>
                  <w:vMerge w:val="restart"/>
                  <w:tcBorders>
                    <w:tl2br w:val="nil"/>
                    <w:tr2bl w:val="nil"/>
                  </w:tcBorders>
                  <w:noWrap w:val="0"/>
                  <w:vAlign w:val="center"/>
                </w:tcPr>
                <w:p w14:paraId="4AC06364">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酸雾</w:t>
                  </w:r>
                </w:p>
                <w:p w14:paraId="0489D6AA">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浓度45mg/m</w:t>
                  </w:r>
                  <w:r>
                    <w:rPr>
                      <w:rFonts w:hint="eastAsia" w:ascii="宋体" w:hAnsi="宋体" w:eastAsia="宋体" w:cs="宋体"/>
                      <w:spacing w:val="-2"/>
                      <w:sz w:val="18"/>
                      <w:szCs w:val="18"/>
                      <w:vertAlign w:val="superscript"/>
                    </w:rPr>
                    <w:t>3</w:t>
                  </w:r>
                  <w:r>
                    <w:rPr>
                      <w:rFonts w:hint="eastAsia" w:ascii="宋体" w:hAnsi="宋体" w:eastAsia="宋体" w:cs="宋体"/>
                      <w:spacing w:val="-2"/>
                      <w:sz w:val="18"/>
                      <w:szCs w:val="18"/>
                    </w:rPr>
                    <w:t>；</w:t>
                  </w:r>
                </w:p>
                <w:p w14:paraId="3ABBBB6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 xml:space="preserve">速率 </w:t>
                  </w:r>
                  <w:r>
                    <w:rPr>
                      <w:rFonts w:hint="eastAsia" w:ascii="宋体" w:hAnsi="宋体" w:eastAsia="宋体" w:cs="宋体"/>
                      <w:spacing w:val="-2"/>
                      <w:sz w:val="18"/>
                      <w:szCs w:val="18"/>
                      <w:lang w:val="en-US" w:eastAsia="zh-CN"/>
                    </w:rPr>
                    <w:t>1.5</w:t>
                  </w:r>
                  <w:r>
                    <w:rPr>
                      <w:rFonts w:hint="eastAsia" w:ascii="宋体" w:hAnsi="宋体" w:eastAsia="宋体" w:cs="宋体"/>
                      <w:spacing w:val="-2"/>
                      <w:sz w:val="18"/>
                      <w:szCs w:val="18"/>
                    </w:rPr>
                    <w:t>kg/h</w:t>
                  </w:r>
                </w:p>
                <w:p w14:paraId="598BF39D">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颗粒物</w:t>
                  </w:r>
                </w:p>
                <w:p w14:paraId="13EBD0F7">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浓度</w:t>
                  </w:r>
                  <w:r>
                    <w:rPr>
                      <w:rFonts w:hint="eastAsia" w:ascii="宋体" w:hAnsi="宋体" w:eastAsia="宋体" w:cs="宋体"/>
                      <w:spacing w:val="-2"/>
                      <w:sz w:val="18"/>
                      <w:szCs w:val="18"/>
                      <w:lang w:val="en-US" w:eastAsia="zh-CN"/>
                    </w:rPr>
                    <w:t>120</w:t>
                  </w:r>
                  <w:r>
                    <w:rPr>
                      <w:rFonts w:hint="eastAsia" w:ascii="宋体" w:hAnsi="宋体" w:eastAsia="宋体" w:cs="宋体"/>
                      <w:spacing w:val="-2"/>
                      <w:sz w:val="18"/>
                      <w:szCs w:val="18"/>
                    </w:rPr>
                    <w:t>mg/m</w:t>
                  </w:r>
                  <w:r>
                    <w:rPr>
                      <w:rFonts w:hint="eastAsia" w:ascii="宋体" w:hAnsi="宋体" w:eastAsia="宋体" w:cs="宋体"/>
                      <w:spacing w:val="-2"/>
                      <w:sz w:val="18"/>
                      <w:szCs w:val="18"/>
                      <w:vertAlign w:val="superscript"/>
                    </w:rPr>
                    <w:t>3</w:t>
                  </w:r>
                  <w:r>
                    <w:rPr>
                      <w:rFonts w:hint="eastAsia" w:ascii="宋体" w:hAnsi="宋体" w:eastAsia="宋体" w:cs="宋体"/>
                      <w:spacing w:val="-2"/>
                      <w:sz w:val="18"/>
                      <w:szCs w:val="18"/>
                    </w:rPr>
                    <w:t>；</w:t>
                  </w:r>
                </w:p>
                <w:p w14:paraId="7E66CA12">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 xml:space="preserve">速率 </w:t>
                  </w:r>
                  <w:r>
                    <w:rPr>
                      <w:rFonts w:hint="eastAsia" w:ascii="宋体" w:hAnsi="宋体" w:eastAsia="宋体" w:cs="宋体"/>
                      <w:spacing w:val="-2"/>
                      <w:sz w:val="18"/>
                      <w:szCs w:val="18"/>
                      <w:lang w:val="en-US" w:eastAsia="zh-CN"/>
                    </w:rPr>
                    <w:t>3.5</w:t>
                  </w:r>
                  <w:r>
                    <w:rPr>
                      <w:rFonts w:hint="eastAsia" w:ascii="宋体" w:hAnsi="宋体" w:eastAsia="宋体" w:cs="宋体"/>
                      <w:spacing w:val="-2"/>
                      <w:sz w:val="18"/>
                      <w:szCs w:val="18"/>
                    </w:rPr>
                    <w:t>kg/h</w:t>
                  </w:r>
                </w:p>
                <w:p w14:paraId="34F1B262">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NO</w:t>
                  </w:r>
                  <w:r>
                    <w:rPr>
                      <w:rFonts w:hint="eastAsia" w:ascii="宋体" w:hAnsi="宋体" w:eastAsia="宋体" w:cs="宋体"/>
                      <w:spacing w:val="-2"/>
                      <w:sz w:val="18"/>
                      <w:szCs w:val="18"/>
                      <w:vertAlign w:val="subscript"/>
                      <w:lang w:val="en-US" w:eastAsia="zh-CN"/>
                    </w:rPr>
                    <w:t>X</w:t>
                  </w:r>
                  <w:r>
                    <w:rPr>
                      <w:rFonts w:hint="eastAsia" w:ascii="宋体" w:hAnsi="宋体" w:eastAsia="宋体" w:cs="宋体"/>
                      <w:caps w:val="0"/>
                      <w:color w:val="000000"/>
                      <w:sz w:val="18"/>
                      <w:szCs w:val="18"/>
                      <w:highlight w:val="none"/>
                      <w:lang w:val="en-US" w:eastAsia="zh-CN"/>
                    </w:rPr>
                    <w:t>240</w:t>
                  </w:r>
                  <w:r>
                    <w:rPr>
                      <w:rFonts w:hint="eastAsia" w:ascii="宋体" w:hAnsi="宋体" w:eastAsia="宋体" w:cs="宋体"/>
                      <w:spacing w:val="-2"/>
                      <w:sz w:val="18"/>
                      <w:szCs w:val="18"/>
                    </w:rPr>
                    <w:t>mg/m</w:t>
                  </w:r>
                  <w:r>
                    <w:rPr>
                      <w:rFonts w:hint="eastAsia" w:ascii="宋体" w:hAnsi="宋体" w:eastAsia="宋体" w:cs="宋体"/>
                      <w:spacing w:val="-2"/>
                      <w:sz w:val="18"/>
                      <w:szCs w:val="18"/>
                      <w:vertAlign w:val="superscript"/>
                    </w:rPr>
                    <w:t>3</w:t>
                  </w:r>
                </w:p>
              </w:tc>
              <w:tc>
                <w:tcPr>
                  <w:tcW w:w="263" w:type="pct"/>
                  <w:tcBorders>
                    <w:tl2br w:val="nil"/>
                    <w:tr2bl w:val="nil"/>
                  </w:tcBorders>
                  <w:noWrap w:val="0"/>
                  <w:vAlign w:val="center"/>
                </w:tcPr>
                <w:p w14:paraId="6697603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DA001</w:t>
                  </w:r>
                </w:p>
              </w:tc>
            </w:tr>
            <w:tr w14:paraId="4FD31A0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160" w:type="pct"/>
                  <w:vMerge w:val="continue"/>
                  <w:tcBorders>
                    <w:tl2br w:val="nil"/>
                    <w:tr2bl w:val="nil"/>
                  </w:tcBorders>
                  <w:noWrap w:val="0"/>
                  <w:vAlign w:val="center"/>
                </w:tcPr>
                <w:p w14:paraId="21F9574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tcBorders>
                    <w:tl2br w:val="nil"/>
                    <w:tr2bl w:val="nil"/>
                  </w:tcBorders>
                  <w:shd w:val="clear" w:color="auto" w:fill="auto"/>
                  <w:noWrap w:val="0"/>
                  <w:vAlign w:val="center"/>
                </w:tcPr>
                <w:p w14:paraId="6E6768D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cs="宋体"/>
                      <w:spacing w:val="-2"/>
                      <w:sz w:val="18"/>
                      <w:szCs w:val="18"/>
                      <w:lang w:val="en-US" w:eastAsia="zh-CN"/>
                    </w:rPr>
                    <w:t>投料</w:t>
                  </w:r>
                </w:p>
              </w:tc>
              <w:tc>
                <w:tcPr>
                  <w:tcW w:w="201" w:type="pct"/>
                  <w:tcBorders>
                    <w:tl2br w:val="nil"/>
                    <w:tr2bl w:val="nil"/>
                  </w:tcBorders>
                  <w:shd w:val="clear" w:color="auto" w:fill="auto"/>
                  <w:noWrap w:val="0"/>
                  <w:vAlign w:val="center"/>
                </w:tcPr>
                <w:p w14:paraId="0EA6228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0.045</w:t>
                  </w:r>
                </w:p>
              </w:tc>
              <w:tc>
                <w:tcPr>
                  <w:tcW w:w="154" w:type="pct"/>
                  <w:tcBorders>
                    <w:tl2br w:val="nil"/>
                    <w:tr2bl w:val="nil"/>
                  </w:tcBorders>
                  <w:shd w:val="clear" w:color="auto" w:fill="auto"/>
                  <w:noWrap w:val="0"/>
                  <w:vAlign w:val="center"/>
                </w:tcPr>
                <w:p w14:paraId="0DE4470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90</w:t>
                  </w:r>
                </w:p>
              </w:tc>
              <w:tc>
                <w:tcPr>
                  <w:tcW w:w="237" w:type="pct"/>
                  <w:tcBorders>
                    <w:tl2br w:val="nil"/>
                    <w:tr2bl w:val="nil"/>
                  </w:tcBorders>
                  <w:noWrap w:val="0"/>
                  <w:vAlign w:val="center"/>
                </w:tcPr>
                <w:p w14:paraId="30E7801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1</w:t>
                  </w:r>
                  <w:r>
                    <w:rPr>
                      <w:rFonts w:hint="eastAsia" w:ascii="宋体" w:hAnsi="宋体" w:eastAsia="宋体" w:cs="宋体"/>
                      <w:spacing w:val="-2"/>
                      <w:sz w:val="18"/>
                      <w:szCs w:val="18"/>
                    </w:rPr>
                    <w:t>00</w:t>
                  </w:r>
                  <w:r>
                    <w:rPr>
                      <w:rFonts w:hint="eastAsia" w:ascii="宋体" w:hAnsi="宋体" w:eastAsia="宋体" w:cs="宋体"/>
                      <w:spacing w:val="-2"/>
                      <w:sz w:val="18"/>
                      <w:szCs w:val="18"/>
                      <w:lang w:val="en-US" w:eastAsia="zh-CN"/>
                    </w:rPr>
                    <w:t>0</w:t>
                  </w:r>
                </w:p>
              </w:tc>
              <w:tc>
                <w:tcPr>
                  <w:tcW w:w="292" w:type="pct"/>
                  <w:tcBorders>
                    <w:tl2br w:val="nil"/>
                    <w:tr2bl w:val="nil"/>
                  </w:tcBorders>
                  <w:noWrap w:val="0"/>
                  <w:vAlign w:val="center"/>
                </w:tcPr>
                <w:p w14:paraId="065305B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粉尘</w:t>
                  </w:r>
                </w:p>
              </w:tc>
              <w:tc>
                <w:tcPr>
                  <w:tcW w:w="271" w:type="pct"/>
                  <w:tcBorders>
                    <w:tl2br w:val="nil"/>
                    <w:tr2bl w:val="nil"/>
                  </w:tcBorders>
                  <w:shd w:val="clear" w:color="auto" w:fill="auto"/>
                  <w:noWrap w:val="0"/>
                  <w:vAlign w:val="center"/>
                </w:tcPr>
                <w:p w14:paraId="61EE54DC">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135</w:t>
                  </w:r>
                </w:p>
              </w:tc>
              <w:tc>
                <w:tcPr>
                  <w:tcW w:w="279" w:type="pct"/>
                  <w:tcBorders>
                    <w:tl2br w:val="nil"/>
                    <w:tr2bl w:val="nil"/>
                  </w:tcBorders>
                  <w:shd w:val="clear" w:color="auto" w:fill="auto"/>
                  <w:noWrap w:val="0"/>
                  <w:vAlign w:val="center"/>
                </w:tcPr>
                <w:p w14:paraId="01032B6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0.135</w:t>
                  </w:r>
                </w:p>
              </w:tc>
              <w:tc>
                <w:tcPr>
                  <w:tcW w:w="263" w:type="pct"/>
                  <w:tcBorders>
                    <w:tl2br w:val="nil"/>
                    <w:tr2bl w:val="nil"/>
                  </w:tcBorders>
                  <w:shd w:val="clear" w:color="auto" w:fill="auto"/>
                  <w:noWrap w:val="0"/>
                  <w:vAlign w:val="center"/>
                </w:tcPr>
                <w:p w14:paraId="4A31E78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0.041</w:t>
                  </w:r>
                </w:p>
              </w:tc>
              <w:tc>
                <w:tcPr>
                  <w:tcW w:w="199" w:type="pct"/>
                  <w:vMerge w:val="continue"/>
                  <w:tcBorders>
                    <w:tl2br w:val="nil"/>
                    <w:tr2bl w:val="nil"/>
                  </w:tcBorders>
                  <w:noWrap w:val="0"/>
                  <w:vAlign w:val="center"/>
                </w:tcPr>
                <w:p w14:paraId="2B47833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p>
              </w:tc>
              <w:tc>
                <w:tcPr>
                  <w:tcW w:w="237" w:type="pct"/>
                  <w:tcBorders>
                    <w:tl2br w:val="nil"/>
                    <w:tr2bl w:val="nil"/>
                  </w:tcBorders>
                  <w:noWrap w:val="0"/>
                  <w:vAlign w:val="center"/>
                </w:tcPr>
                <w:p w14:paraId="7226BA2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是</w:t>
                  </w:r>
                </w:p>
              </w:tc>
              <w:tc>
                <w:tcPr>
                  <w:tcW w:w="150" w:type="pct"/>
                  <w:tcBorders>
                    <w:tl2br w:val="nil"/>
                    <w:tr2bl w:val="nil"/>
                  </w:tcBorders>
                  <w:noWrap w:val="0"/>
                  <w:vAlign w:val="center"/>
                </w:tcPr>
                <w:p w14:paraId="26D47C3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cs="宋体"/>
                      <w:spacing w:val="-2"/>
                      <w:sz w:val="18"/>
                      <w:szCs w:val="18"/>
                      <w:lang w:val="en-US" w:eastAsia="zh-CN"/>
                    </w:rPr>
                    <w:t>50</w:t>
                  </w:r>
                </w:p>
              </w:tc>
              <w:tc>
                <w:tcPr>
                  <w:tcW w:w="273" w:type="pct"/>
                  <w:tcBorders>
                    <w:tl2br w:val="nil"/>
                    <w:tr2bl w:val="nil"/>
                  </w:tcBorders>
                  <w:shd w:val="clear" w:color="auto" w:fill="auto"/>
                  <w:noWrap w:val="0"/>
                  <w:vAlign w:val="center"/>
                </w:tcPr>
                <w:p w14:paraId="34FF9517">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135</w:t>
                  </w:r>
                </w:p>
              </w:tc>
              <w:tc>
                <w:tcPr>
                  <w:tcW w:w="283" w:type="pct"/>
                  <w:tcBorders>
                    <w:tl2br w:val="nil"/>
                    <w:tr2bl w:val="nil"/>
                  </w:tcBorders>
                  <w:shd w:val="clear" w:color="auto" w:fill="auto"/>
                  <w:noWrap w:val="0"/>
                  <w:vAlign w:val="center"/>
                </w:tcPr>
                <w:p w14:paraId="0DFD800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0.135</w:t>
                  </w:r>
                </w:p>
              </w:tc>
              <w:tc>
                <w:tcPr>
                  <w:tcW w:w="252" w:type="pct"/>
                  <w:tcBorders>
                    <w:tl2br w:val="nil"/>
                    <w:tr2bl w:val="nil"/>
                  </w:tcBorders>
                  <w:shd w:val="clear" w:color="auto" w:fill="auto"/>
                  <w:noWrap w:val="0"/>
                  <w:vAlign w:val="center"/>
                </w:tcPr>
                <w:p w14:paraId="73C627A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0.041</w:t>
                  </w:r>
                </w:p>
              </w:tc>
              <w:tc>
                <w:tcPr>
                  <w:tcW w:w="248" w:type="pct"/>
                  <w:tcBorders>
                    <w:tl2br w:val="nil"/>
                    <w:tr2bl w:val="nil"/>
                  </w:tcBorders>
                  <w:noWrap w:val="0"/>
                  <w:vAlign w:val="center"/>
                </w:tcPr>
                <w:p w14:paraId="62F2F853">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cs="宋体"/>
                      <w:spacing w:val="-2"/>
                      <w:sz w:val="18"/>
                      <w:szCs w:val="18"/>
                      <w:lang w:val="en-US" w:eastAsia="zh-CN"/>
                    </w:rPr>
                    <w:t>300</w:t>
                  </w:r>
                </w:p>
              </w:tc>
              <w:tc>
                <w:tcPr>
                  <w:tcW w:w="178" w:type="pct"/>
                  <w:tcBorders>
                    <w:tl2br w:val="nil"/>
                    <w:tr2bl w:val="nil"/>
                  </w:tcBorders>
                  <w:shd w:val="clear" w:color="auto" w:fill="auto"/>
                  <w:noWrap w:val="0"/>
                  <w:vAlign w:val="center"/>
                </w:tcPr>
                <w:p w14:paraId="782A596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15</w:t>
                  </w:r>
                </w:p>
              </w:tc>
              <w:tc>
                <w:tcPr>
                  <w:tcW w:w="178" w:type="pct"/>
                  <w:tcBorders>
                    <w:tl2br w:val="nil"/>
                    <w:tr2bl w:val="nil"/>
                  </w:tcBorders>
                  <w:shd w:val="clear" w:color="auto" w:fill="auto"/>
                  <w:noWrap w:val="0"/>
                  <w:vAlign w:val="center"/>
                </w:tcPr>
                <w:p w14:paraId="71B129F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0.3</w:t>
                  </w:r>
                </w:p>
              </w:tc>
              <w:tc>
                <w:tcPr>
                  <w:tcW w:w="166" w:type="pct"/>
                  <w:tcBorders>
                    <w:tl2br w:val="nil"/>
                    <w:tr2bl w:val="nil"/>
                  </w:tcBorders>
                  <w:shd w:val="clear" w:color="auto" w:fill="auto"/>
                  <w:noWrap w:val="0"/>
                  <w:vAlign w:val="center"/>
                </w:tcPr>
                <w:p w14:paraId="4C36E15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20</w:t>
                  </w:r>
                </w:p>
              </w:tc>
              <w:tc>
                <w:tcPr>
                  <w:tcW w:w="510" w:type="pct"/>
                  <w:vMerge w:val="continue"/>
                  <w:tcBorders>
                    <w:tl2br w:val="nil"/>
                    <w:tr2bl w:val="nil"/>
                  </w:tcBorders>
                  <w:noWrap w:val="0"/>
                  <w:vAlign w:val="center"/>
                </w:tcPr>
                <w:p w14:paraId="0ADF410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tcBorders>
                    <w:tl2br w:val="nil"/>
                    <w:tr2bl w:val="nil"/>
                  </w:tcBorders>
                  <w:noWrap w:val="0"/>
                  <w:vAlign w:val="center"/>
                </w:tcPr>
                <w:p w14:paraId="131C800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rPr>
                    <w:t>DA001</w:t>
                  </w:r>
                </w:p>
              </w:tc>
            </w:tr>
            <w:tr w14:paraId="7FD07EA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160" w:type="pct"/>
                  <w:vMerge w:val="continue"/>
                  <w:tcBorders>
                    <w:tl2br w:val="nil"/>
                    <w:tr2bl w:val="nil"/>
                  </w:tcBorders>
                  <w:noWrap w:val="0"/>
                  <w:vAlign w:val="center"/>
                </w:tcPr>
                <w:p w14:paraId="02DDC78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tcBorders>
                    <w:tl2br w:val="nil"/>
                    <w:tr2bl w:val="nil"/>
                  </w:tcBorders>
                  <w:shd w:val="clear" w:color="auto" w:fill="auto"/>
                  <w:noWrap w:val="0"/>
                  <w:vAlign w:val="center"/>
                </w:tcPr>
                <w:p w14:paraId="785A0FA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筛分</w:t>
                  </w:r>
                </w:p>
              </w:tc>
              <w:tc>
                <w:tcPr>
                  <w:tcW w:w="201" w:type="pct"/>
                  <w:tcBorders>
                    <w:tl2br w:val="nil"/>
                    <w:tr2bl w:val="nil"/>
                  </w:tcBorders>
                  <w:shd w:val="clear" w:color="auto" w:fill="auto"/>
                  <w:noWrap w:val="0"/>
                  <w:vAlign w:val="center"/>
                </w:tcPr>
                <w:p w14:paraId="5BF9B9F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9.7</w:t>
                  </w:r>
                </w:p>
              </w:tc>
              <w:tc>
                <w:tcPr>
                  <w:tcW w:w="154" w:type="pct"/>
                  <w:tcBorders>
                    <w:tl2br w:val="nil"/>
                    <w:tr2bl w:val="nil"/>
                  </w:tcBorders>
                  <w:shd w:val="clear" w:color="auto" w:fill="auto"/>
                  <w:noWrap w:val="0"/>
                  <w:vAlign w:val="center"/>
                </w:tcPr>
                <w:p w14:paraId="19FCD32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90</w:t>
                  </w:r>
                </w:p>
              </w:tc>
              <w:tc>
                <w:tcPr>
                  <w:tcW w:w="237" w:type="pct"/>
                  <w:tcBorders>
                    <w:tl2br w:val="nil"/>
                    <w:tr2bl w:val="nil"/>
                  </w:tcBorders>
                  <w:noWrap w:val="0"/>
                  <w:vAlign w:val="center"/>
                </w:tcPr>
                <w:p w14:paraId="5A50B8C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1</w:t>
                  </w:r>
                  <w:r>
                    <w:rPr>
                      <w:rFonts w:hint="eastAsia" w:ascii="宋体" w:hAnsi="宋体" w:eastAsia="宋体" w:cs="宋体"/>
                      <w:spacing w:val="-2"/>
                      <w:sz w:val="18"/>
                      <w:szCs w:val="18"/>
                    </w:rPr>
                    <w:t>00</w:t>
                  </w:r>
                  <w:r>
                    <w:rPr>
                      <w:rFonts w:hint="eastAsia" w:ascii="宋体" w:hAnsi="宋体" w:eastAsia="宋体" w:cs="宋体"/>
                      <w:spacing w:val="-2"/>
                      <w:sz w:val="18"/>
                      <w:szCs w:val="18"/>
                      <w:lang w:val="en-US" w:eastAsia="zh-CN"/>
                    </w:rPr>
                    <w:t>0</w:t>
                  </w:r>
                </w:p>
              </w:tc>
              <w:tc>
                <w:tcPr>
                  <w:tcW w:w="292" w:type="pct"/>
                  <w:tcBorders>
                    <w:tl2br w:val="nil"/>
                    <w:tr2bl w:val="nil"/>
                  </w:tcBorders>
                  <w:noWrap w:val="0"/>
                  <w:vAlign w:val="center"/>
                </w:tcPr>
                <w:p w14:paraId="54FEF37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粉尘</w:t>
                  </w:r>
                </w:p>
              </w:tc>
              <w:tc>
                <w:tcPr>
                  <w:tcW w:w="271" w:type="pct"/>
                  <w:tcBorders>
                    <w:tl2br w:val="nil"/>
                    <w:tr2bl w:val="nil"/>
                  </w:tcBorders>
                  <w:shd w:val="clear" w:color="auto" w:fill="auto"/>
                  <w:noWrap w:val="0"/>
                  <w:vAlign w:val="center"/>
                </w:tcPr>
                <w:p w14:paraId="55D510BF">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1210</w:t>
                  </w:r>
                </w:p>
              </w:tc>
              <w:tc>
                <w:tcPr>
                  <w:tcW w:w="279" w:type="pct"/>
                  <w:tcBorders>
                    <w:tl2br w:val="nil"/>
                    <w:tr2bl w:val="nil"/>
                  </w:tcBorders>
                  <w:shd w:val="clear" w:color="auto" w:fill="auto"/>
                  <w:noWrap w:val="0"/>
                  <w:vAlign w:val="center"/>
                </w:tcPr>
                <w:p w14:paraId="7E5370C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1.21</w:t>
                  </w:r>
                </w:p>
              </w:tc>
              <w:tc>
                <w:tcPr>
                  <w:tcW w:w="263" w:type="pct"/>
                  <w:tcBorders>
                    <w:tl2br w:val="nil"/>
                    <w:tr2bl w:val="nil"/>
                  </w:tcBorders>
                  <w:shd w:val="clear" w:color="auto" w:fill="auto"/>
                  <w:noWrap w:val="0"/>
                  <w:vAlign w:val="center"/>
                </w:tcPr>
                <w:p w14:paraId="224498E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8.73</w:t>
                  </w:r>
                </w:p>
              </w:tc>
              <w:tc>
                <w:tcPr>
                  <w:tcW w:w="199" w:type="pct"/>
                  <w:tcBorders>
                    <w:tl2br w:val="nil"/>
                    <w:tr2bl w:val="nil"/>
                  </w:tcBorders>
                  <w:noWrap w:val="0"/>
                  <w:vAlign w:val="center"/>
                </w:tcPr>
                <w:p w14:paraId="4EE6A7D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布除袋尘</w:t>
                  </w:r>
                </w:p>
              </w:tc>
              <w:tc>
                <w:tcPr>
                  <w:tcW w:w="237" w:type="pct"/>
                  <w:tcBorders>
                    <w:tl2br w:val="nil"/>
                    <w:tr2bl w:val="nil"/>
                  </w:tcBorders>
                  <w:noWrap w:val="0"/>
                  <w:vAlign w:val="center"/>
                </w:tcPr>
                <w:p w14:paraId="23A388A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是</w:t>
                  </w:r>
                </w:p>
              </w:tc>
              <w:tc>
                <w:tcPr>
                  <w:tcW w:w="150" w:type="pct"/>
                  <w:tcBorders>
                    <w:tl2br w:val="nil"/>
                    <w:tr2bl w:val="nil"/>
                  </w:tcBorders>
                  <w:noWrap w:val="0"/>
                  <w:vAlign w:val="center"/>
                </w:tcPr>
                <w:p w14:paraId="6CC6B31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cs="宋体"/>
                      <w:spacing w:val="-2"/>
                      <w:sz w:val="18"/>
                      <w:szCs w:val="18"/>
                      <w:lang w:val="en-US" w:eastAsia="zh-CN"/>
                    </w:rPr>
                    <w:t>50</w:t>
                  </w:r>
                </w:p>
              </w:tc>
              <w:tc>
                <w:tcPr>
                  <w:tcW w:w="273" w:type="pct"/>
                  <w:tcBorders>
                    <w:tl2br w:val="nil"/>
                    <w:tr2bl w:val="nil"/>
                  </w:tcBorders>
                  <w:shd w:val="clear" w:color="auto" w:fill="auto"/>
                  <w:noWrap w:val="0"/>
                  <w:vAlign w:val="center"/>
                </w:tcPr>
                <w:p w14:paraId="731EB53D">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1210</w:t>
                  </w:r>
                </w:p>
              </w:tc>
              <w:tc>
                <w:tcPr>
                  <w:tcW w:w="283" w:type="pct"/>
                  <w:tcBorders>
                    <w:tl2br w:val="nil"/>
                    <w:tr2bl w:val="nil"/>
                  </w:tcBorders>
                  <w:shd w:val="clear" w:color="auto" w:fill="auto"/>
                  <w:noWrap w:val="0"/>
                  <w:vAlign w:val="center"/>
                </w:tcPr>
                <w:p w14:paraId="69732E7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1.21</w:t>
                  </w:r>
                </w:p>
              </w:tc>
              <w:tc>
                <w:tcPr>
                  <w:tcW w:w="252" w:type="pct"/>
                  <w:tcBorders>
                    <w:tl2br w:val="nil"/>
                    <w:tr2bl w:val="nil"/>
                  </w:tcBorders>
                  <w:shd w:val="clear" w:color="auto" w:fill="auto"/>
                  <w:noWrap w:val="0"/>
                  <w:vAlign w:val="center"/>
                </w:tcPr>
                <w:p w14:paraId="25536D3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8.73</w:t>
                  </w:r>
                </w:p>
              </w:tc>
              <w:tc>
                <w:tcPr>
                  <w:tcW w:w="248" w:type="pct"/>
                  <w:tcBorders>
                    <w:tl2br w:val="nil"/>
                    <w:tr2bl w:val="nil"/>
                  </w:tcBorders>
                  <w:noWrap w:val="0"/>
                  <w:vAlign w:val="center"/>
                </w:tcPr>
                <w:p w14:paraId="600F293F">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7200</w:t>
                  </w:r>
                </w:p>
              </w:tc>
              <w:tc>
                <w:tcPr>
                  <w:tcW w:w="178" w:type="pct"/>
                  <w:tcBorders>
                    <w:tl2br w:val="nil"/>
                    <w:tr2bl w:val="nil"/>
                  </w:tcBorders>
                  <w:shd w:val="clear" w:color="auto" w:fill="auto"/>
                  <w:noWrap w:val="0"/>
                  <w:vAlign w:val="center"/>
                </w:tcPr>
                <w:p w14:paraId="0B01EBC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15</w:t>
                  </w:r>
                </w:p>
              </w:tc>
              <w:tc>
                <w:tcPr>
                  <w:tcW w:w="178" w:type="pct"/>
                  <w:tcBorders>
                    <w:tl2br w:val="nil"/>
                    <w:tr2bl w:val="nil"/>
                  </w:tcBorders>
                  <w:shd w:val="clear" w:color="auto" w:fill="auto"/>
                  <w:noWrap w:val="0"/>
                  <w:vAlign w:val="center"/>
                </w:tcPr>
                <w:p w14:paraId="48E5056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0.3</w:t>
                  </w:r>
                </w:p>
              </w:tc>
              <w:tc>
                <w:tcPr>
                  <w:tcW w:w="166" w:type="pct"/>
                  <w:tcBorders>
                    <w:tl2br w:val="nil"/>
                    <w:tr2bl w:val="nil"/>
                  </w:tcBorders>
                  <w:shd w:val="clear" w:color="auto" w:fill="auto"/>
                  <w:noWrap w:val="0"/>
                  <w:vAlign w:val="center"/>
                </w:tcPr>
                <w:p w14:paraId="49A3518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20</w:t>
                  </w:r>
                </w:p>
              </w:tc>
              <w:tc>
                <w:tcPr>
                  <w:tcW w:w="510" w:type="pct"/>
                  <w:vMerge w:val="continue"/>
                  <w:tcBorders>
                    <w:tl2br w:val="nil"/>
                    <w:tr2bl w:val="nil"/>
                  </w:tcBorders>
                  <w:noWrap w:val="0"/>
                  <w:vAlign w:val="center"/>
                </w:tcPr>
                <w:p w14:paraId="12C5DB9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tcBorders>
                    <w:tl2br w:val="nil"/>
                    <w:tr2bl w:val="nil"/>
                  </w:tcBorders>
                  <w:noWrap w:val="0"/>
                  <w:vAlign w:val="center"/>
                </w:tcPr>
                <w:p w14:paraId="6FC200F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eastAsia="zh-CN"/>
                    </w:rPr>
                  </w:pPr>
                  <w:r>
                    <w:rPr>
                      <w:rFonts w:hint="eastAsia" w:ascii="宋体" w:hAnsi="宋体" w:eastAsia="宋体" w:cs="宋体"/>
                      <w:spacing w:val="-2"/>
                      <w:sz w:val="18"/>
                      <w:szCs w:val="18"/>
                    </w:rPr>
                    <w:t>DA00</w:t>
                  </w:r>
                  <w:r>
                    <w:rPr>
                      <w:rFonts w:hint="eastAsia" w:cs="宋体"/>
                      <w:spacing w:val="-2"/>
                      <w:sz w:val="18"/>
                      <w:szCs w:val="18"/>
                      <w:lang w:val="en-US" w:eastAsia="zh-CN"/>
                    </w:rPr>
                    <w:t>2</w:t>
                  </w:r>
                </w:p>
              </w:tc>
            </w:tr>
            <w:tr w14:paraId="5B880EE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64" w:hRule="atLeast"/>
              </w:trPr>
              <w:tc>
                <w:tcPr>
                  <w:tcW w:w="160" w:type="pct"/>
                  <w:vMerge w:val="continue"/>
                  <w:tcBorders>
                    <w:tl2br w:val="nil"/>
                    <w:tr2bl w:val="nil"/>
                  </w:tcBorders>
                  <w:noWrap w:val="0"/>
                  <w:vAlign w:val="center"/>
                </w:tcPr>
                <w:p w14:paraId="3971823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00" w:type="pct"/>
                  <w:tcBorders>
                    <w:tl2br w:val="nil"/>
                    <w:tr2bl w:val="nil"/>
                  </w:tcBorders>
                  <w:shd w:val="clear" w:color="auto" w:fill="auto"/>
                  <w:noWrap w:val="0"/>
                  <w:vAlign w:val="center"/>
                </w:tcPr>
                <w:p w14:paraId="1B821D7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烘干</w:t>
                  </w:r>
                </w:p>
              </w:tc>
              <w:tc>
                <w:tcPr>
                  <w:tcW w:w="201" w:type="pct"/>
                  <w:tcBorders>
                    <w:tl2br w:val="nil"/>
                    <w:tr2bl w:val="nil"/>
                  </w:tcBorders>
                  <w:noWrap w:val="0"/>
                  <w:vAlign w:val="center"/>
                </w:tcPr>
                <w:p w14:paraId="736F07D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0.18</w:t>
                  </w:r>
                </w:p>
              </w:tc>
              <w:tc>
                <w:tcPr>
                  <w:tcW w:w="154" w:type="pct"/>
                  <w:tcBorders>
                    <w:tl2br w:val="nil"/>
                    <w:tr2bl w:val="nil"/>
                  </w:tcBorders>
                  <w:noWrap w:val="0"/>
                  <w:vAlign w:val="center"/>
                </w:tcPr>
                <w:p w14:paraId="269D82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1775E96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2031400</w:t>
                  </w:r>
                </w:p>
              </w:tc>
              <w:tc>
                <w:tcPr>
                  <w:tcW w:w="292" w:type="pct"/>
                  <w:tcBorders>
                    <w:tl2br w:val="nil"/>
                    <w:tr2bl w:val="nil"/>
                  </w:tcBorders>
                  <w:noWrap w:val="0"/>
                  <w:vAlign w:val="center"/>
                </w:tcPr>
                <w:p w14:paraId="503EC57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NO</w:t>
                  </w:r>
                  <w:r>
                    <w:rPr>
                      <w:rFonts w:hint="eastAsia" w:ascii="宋体" w:hAnsi="宋体" w:eastAsia="宋体" w:cs="宋体"/>
                      <w:spacing w:val="-2"/>
                      <w:sz w:val="18"/>
                      <w:szCs w:val="18"/>
                      <w:vertAlign w:val="subscript"/>
                      <w:lang w:val="en-US" w:eastAsia="zh-CN"/>
                    </w:rPr>
                    <w:t>X</w:t>
                  </w:r>
                </w:p>
              </w:tc>
              <w:tc>
                <w:tcPr>
                  <w:tcW w:w="271" w:type="pct"/>
                  <w:tcBorders>
                    <w:tl2br w:val="nil"/>
                    <w:tr2bl w:val="nil"/>
                  </w:tcBorders>
                  <w:shd w:val="clear" w:color="auto" w:fill="auto"/>
                  <w:noWrap w:val="0"/>
                  <w:vAlign w:val="center"/>
                </w:tcPr>
                <w:p w14:paraId="73E2F7B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88.6</w:t>
                  </w:r>
                </w:p>
              </w:tc>
              <w:tc>
                <w:tcPr>
                  <w:tcW w:w="279" w:type="pct"/>
                  <w:tcBorders>
                    <w:tl2br w:val="nil"/>
                    <w:tr2bl w:val="nil"/>
                  </w:tcBorders>
                  <w:shd w:val="clear" w:color="auto" w:fill="auto"/>
                  <w:noWrap w:val="0"/>
                  <w:vAlign w:val="center"/>
                </w:tcPr>
                <w:p w14:paraId="03F8B13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0.025</w:t>
                  </w:r>
                </w:p>
              </w:tc>
              <w:tc>
                <w:tcPr>
                  <w:tcW w:w="263" w:type="pct"/>
                  <w:tcBorders>
                    <w:tl2br w:val="nil"/>
                    <w:tr2bl w:val="nil"/>
                  </w:tcBorders>
                  <w:shd w:val="clear" w:color="auto" w:fill="auto"/>
                  <w:noWrap w:val="0"/>
                  <w:vAlign w:val="center"/>
                </w:tcPr>
                <w:p w14:paraId="7F54CB8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0.18</w:t>
                  </w:r>
                </w:p>
              </w:tc>
              <w:tc>
                <w:tcPr>
                  <w:tcW w:w="199" w:type="pct"/>
                  <w:tcBorders>
                    <w:tl2br w:val="nil"/>
                    <w:tr2bl w:val="nil"/>
                  </w:tcBorders>
                  <w:noWrap w:val="0"/>
                  <w:vAlign w:val="center"/>
                </w:tcPr>
                <w:p w14:paraId="2F7C5D4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cs="宋体"/>
                      <w:spacing w:val="-2"/>
                      <w:sz w:val="18"/>
                      <w:szCs w:val="18"/>
                      <w:lang w:val="en-US" w:eastAsia="zh-CN"/>
                    </w:rPr>
                    <w:t>低氮燃烧</w:t>
                  </w:r>
                </w:p>
              </w:tc>
              <w:tc>
                <w:tcPr>
                  <w:tcW w:w="237" w:type="pct"/>
                  <w:tcBorders>
                    <w:tl2br w:val="nil"/>
                    <w:tr2bl w:val="nil"/>
                  </w:tcBorders>
                  <w:noWrap w:val="0"/>
                  <w:vAlign w:val="center"/>
                </w:tcPr>
                <w:p w14:paraId="6439036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是</w:t>
                  </w:r>
                </w:p>
              </w:tc>
              <w:tc>
                <w:tcPr>
                  <w:tcW w:w="150" w:type="pct"/>
                  <w:tcBorders>
                    <w:tl2br w:val="nil"/>
                    <w:tr2bl w:val="nil"/>
                  </w:tcBorders>
                  <w:noWrap w:val="0"/>
                  <w:vAlign w:val="center"/>
                </w:tcPr>
                <w:p w14:paraId="217AA3D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cs="宋体"/>
                      <w:spacing w:val="-2"/>
                      <w:sz w:val="18"/>
                      <w:szCs w:val="18"/>
                      <w:lang w:val="en-US" w:eastAsia="zh-CN"/>
                    </w:rPr>
                    <w:t>0</w:t>
                  </w:r>
                </w:p>
              </w:tc>
              <w:tc>
                <w:tcPr>
                  <w:tcW w:w="273" w:type="pct"/>
                  <w:tcBorders>
                    <w:tl2br w:val="nil"/>
                    <w:tr2bl w:val="nil"/>
                  </w:tcBorders>
                  <w:shd w:val="clear" w:color="auto" w:fill="auto"/>
                  <w:noWrap w:val="0"/>
                  <w:vAlign w:val="center"/>
                </w:tcPr>
                <w:p w14:paraId="55F0CFE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88.6</w:t>
                  </w:r>
                </w:p>
              </w:tc>
              <w:tc>
                <w:tcPr>
                  <w:tcW w:w="283" w:type="pct"/>
                  <w:tcBorders>
                    <w:tl2br w:val="nil"/>
                    <w:tr2bl w:val="nil"/>
                  </w:tcBorders>
                  <w:shd w:val="clear" w:color="auto" w:fill="auto"/>
                  <w:noWrap w:val="0"/>
                  <w:vAlign w:val="center"/>
                </w:tcPr>
                <w:p w14:paraId="0D636FF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0.025</w:t>
                  </w:r>
                </w:p>
              </w:tc>
              <w:tc>
                <w:tcPr>
                  <w:tcW w:w="252" w:type="pct"/>
                  <w:tcBorders>
                    <w:tl2br w:val="nil"/>
                    <w:tr2bl w:val="nil"/>
                  </w:tcBorders>
                  <w:shd w:val="clear" w:color="auto" w:fill="auto"/>
                  <w:noWrap w:val="0"/>
                  <w:vAlign w:val="center"/>
                </w:tcPr>
                <w:p w14:paraId="040CAC1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0.18</w:t>
                  </w:r>
                </w:p>
              </w:tc>
              <w:tc>
                <w:tcPr>
                  <w:tcW w:w="248" w:type="pct"/>
                  <w:tcBorders>
                    <w:tl2br w:val="nil"/>
                    <w:tr2bl w:val="nil"/>
                  </w:tcBorders>
                  <w:noWrap w:val="0"/>
                  <w:vAlign w:val="center"/>
                </w:tcPr>
                <w:p w14:paraId="6DCDBFC9">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7200</w:t>
                  </w:r>
                </w:p>
              </w:tc>
              <w:tc>
                <w:tcPr>
                  <w:tcW w:w="178" w:type="pct"/>
                  <w:tcBorders>
                    <w:tl2br w:val="nil"/>
                    <w:tr2bl w:val="nil"/>
                  </w:tcBorders>
                  <w:shd w:val="clear" w:color="auto" w:fill="auto"/>
                  <w:noWrap w:val="0"/>
                  <w:vAlign w:val="center"/>
                </w:tcPr>
                <w:p w14:paraId="3E9F45B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15</w:t>
                  </w:r>
                </w:p>
              </w:tc>
              <w:tc>
                <w:tcPr>
                  <w:tcW w:w="178" w:type="pct"/>
                  <w:tcBorders>
                    <w:tl2br w:val="nil"/>
                    <w:tr2bl w:val="nil"/>
                  </w:tcBorders>
                  <w:shd w:val="clear" w:color="auto" w:fill="auto"/>
                  <w:noWrap w:val="0"/>
                  <w:vAlign w:val="center"/>
                </w:tcPr>
                <w:p w14:paraId="0FFC190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0.3</w:t>
                  </w:r>
                </w:p>
              </w:tc>
              <w:tc>
                <w:tcPr>
                  <w:tcW w:w="166" w:type="pct"/>
                  <w:tcBorders>
                    <w:tl2br w:val="nil"/>
                    <w:tr2bl w:val="nil"/>
                  </w:tcBorders>
                  <w:shd w:val="clear" w:color="auto" w:fill="auto"/>
                  <w:noWrap w:val="0"/>
                  <w:vAlign w:val="center"/>
                </w:tcPr>
                <w:p w14:paraId="0ADE6FE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20</w:t>
                  </w:r>
                </w:p>
              </w:tc>
              <w:tc>
                <w:tcPr>
                  <w:tcW w:w="510" w:type="pct"/>
                  <w:vMerge w:val="continue"/>
                  <w:tcBorders>
                    <w:tl2br w:val="nil"/>
                    <w:tr2bl w:val="nil"/>
                  </w:tcBorders>
                  <w:noWrap w:val="0"/>
                  <w:vAlign w:val="center"/>
                </w:tcPr>
                <w:p w14:paraId="61BF21F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tcBorders>
                    <w:tl2br w:val="nil"/>
                    <w:tr2bl w:val="nil"/>
                  </w:tcBorders>
                  <w:noWrap w:val="0"/>
                  <w:vAlign w:val="center"/>
                </w:tcPr>
                <w:p w14:paraId="08F16A7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eastAsia="zh-CN"/>
                    </w:rPr>
                  </w:pPr>
                  <w:r>
                    <w:rPr>
                      <w:rFonts w:hint="eastAsia" w:ascii="宋体" w:hAnsi="宋体" w:eastAsia="宋体" w:cs="宋体"/>
                      <w:spacing w:val="-2"/>
                      <w:sz w:val="18"/>
                      <w:szCs w:val="18"/>
                    </w:rPr>
                    <w:t>DA00</w:t>
                  </w:r>
                  <w:r>
                    <w:rPr>
                      <w:rFonts w:hint="eastAsia" w:cs="宋体"/>
                      <w:spacing w:val="-2"/>
                      <w:sz w:val="18"/>
                      <w:szCs w:val="18"/>
                      <w:lang w:val="en-US" w:eastAsia="zh-CN"/>
                    </w:rPr>
                    <w:t>2</w:t>
                  </w:r>
                </w:p>
              </w:tc>
            </w:tr>
            <w:tr w14:paraId="6C43075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60" w:type="pct"/>
                  <w:vMerge w:val="restart"/>
                  <w:tcBorders>
                    <w:tl2br w:val="nil"/>
                    <w:tr2bl w:val="nil"/>
                  </w:tcBorders>
                  <w:noWrap w:val="0"/>
                  <w:vAlign w:val="center"/>
                </w:tcPr>
                <w:p w14:paraId="3695CEB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cs="宋体"/>
                      <w:spacing w:val="-2"/>
                      <w:sz w:val="18"/>
                      <w:szCs w:val="18"/>
                      <w:lang w:val="en-US" w:eastAsia="zh-CN"/>
                    </w:rPr>
                    <w:t>无组织</w:t>
                  </w:r>
                </w:p>
                <w:p w14:paraId="63540C5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p>
              </w:tc>
              <w:tc>
                <w:tcPr>
                  <w:tcW w:w="200" w:type="pct"/>
                  <w:tcBorders>
                    <w:tl2br w:val="nil"/>
                    <w:tr2bl w:val="nil"/>
                  </w:tcBorders>
                  <w:noWrap w:val="0"/>
                  <w:vAlign w:val="center"/>
                </w:tcPr>
                <w:p w14:paraId="796DE1B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插层</w:t>
                  </w:r>
                </w:p>
              </w:tc>
              <w:tc>
                <w:tcPr>
                  <w:tcW w:w="201" w:type="pct"/>
                  <w:tcBorders>
                    <w:tl2br w:val="nil"/>
                    <w:tr2bl w:val="nil"/>
                  </w:tcBorders>
                  <w:noWrap w:val="0"/>
                  <w:vAlign w:val="center"/>
                </w:tcPr>
                <w:p w14:paraId="5E06DA6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1.267</w:t>
                  </w:r>
                </w:p>
              </w:tc>
              <w:tc>
                <w:tcPr>
                  <w:tcW w:w="154" w:type="pct"/>
                  <w:tcBorders>
                    <w:tl2br w:val="nil"/>
                    <w:tr2bl w:val="nil"/>
                  </w:tcBorders>
                  <w:noWrap w:val="0"/>
                  <w:vAlign w:val="center"/>
                </w:tcPr>
                <w:p w14:paraId="05DAA12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90</w:t>
                  </w:r>
                </w:p>
              </w:tc>
              <w:tc>
                <w:tcPr>
                  <w:tcW w:w="237" w:type="pct"/>
                  <w:tcBorders>
                    <w:tl2br w:val="nil"/>
                    <w:tr2bl w:val="nil"/>
                  </w:tcBorders>
                  <w:noWrap w:val="0"/>
                  <w:vAlign w:val="center"/>
                </w:tcPr>
                <w:p w14:paraId="7278723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eastAsia="zh-CN"/>
                    </w:rPr>
                  </w:pPr>
                  <w:r>
                    <w:rPr>
                      <w:rFonts w:hint="eastAsia" w:ascii="宋体" w:hAnsi="宋体" w:eastAsia="宋体" w:cs="宋体"/>
                      <w:spacing w:val="-2"/>
                      <w:sz w:val="18"/>
                      <w:szCs w:val="18"/>
                      <w:lang w:val="en-US" w:eastAsia="zh-CN"/>
                    </w:rPr>
                    <w:t>/</w:t>
                  </w:r>
                </w:p>
              </w:tc>
              <w:tc>
                <w:tcPr>
                  <w:tcW w:w="292" w:type="pct"/>
                  <w:tcBorders>
                    <w:tl2br w:val="nil"/>
                    <w:tr2bl w:val="nil"/>
                  </w:tcBorders>
                  <w:noWrap w:val="0"/>
                  <w:vAlign w:val="center"/>
                </w:tcPr>
                <w:p w14:paraId="25157BB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rPr>
                    <w:t>硫酸雾</w:t>
                  </w:r>
                </w:p>
              </w:tc>
              <w:tc>
                <w:tcPr>
                  <w:tcW w:w="271" w:type="pct"/>
                  <w:vMerge w:val="restart"/>
                  <w:tcBorders>
                    <w:tl2br w:val="nil"/>
                    <w:tr2bl w:val="nil"/>
                  </w:tcBorders>
                  <w:noWrap w:val="0"/>
                  <w:vAlign w:val="center"/>
                </w:tcPr>
                <w:p w14:paraId="45BEAE1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color w:val="00B050"/>
                      <w:spacing w:val="-2"/>
                      <w:sz w:val="18"/>
                      <w:szCs w:val="18"/>
                      <w:u w:val="single"/>
                      <w:lang w:val="en-US" w:eastAsia="zh-CN"/>
                    </w:rPr>
                    <w:t>周界外浓度最高点满足标准要求</w:t>
                  </w:r>
                </w:p>
              </w:tc>
              <w:tc>
                <w:tcPr>
                  <w:tcW w:w="279" w:type="pct"/>
                  <w:tcBorders>
                    <w:tl2br w:val="nil"/>
                    <w:tr2bl w:val="nil"/>
                  </w:tcBorders>
                  <w:noWrap w:val="0"/>
                  <w:vAlign w:val="center"/>
                </w:tcPr>
                <w:p w14:paraId="0D9A9CC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0.018</w:t>
                  </w:r>
                </w:p>
              </w:tc>
              <w:tc>
                <w:tcPr>
                  <w:tcW w:w="263" w:type="pct"/>
                  <w:tcBorders>
                    <w:tl2br w:val="nil"/>
                    <w:tr2bl w:val="nil"/>
                  </w:tcBorders>
                  <w:noWrap w:val="0"/>
                  <w:vAlign w:val="center"/>
                </w:tcPr>
                <w:p w14:paraId="17388D6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0.13</w:t>
                  </w:r>
                </w:p>
              </w:tc>
              <w:tc>
                <w:tcPr>
                  <w:tcW w:w="199" w:type="pct"/>
                  <w:tcBorders>
                    <w:tl2br w:val="nil"/>
                    <w:tr2bl w:val="nil"/>
                  </w:tcBorders>
                  <w:noWrap w:val="0"/>
                  <w:vAlign w:val="center"/>
                </w:tcPr>
                <w:p w14:paraId="49292F3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403B323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150" w:type="pct"/>
                  <w:tcBorders>
                    <w:tl2br w:val="nil"/>
                    <w:tr2bl w:val="nil"/>
                  </w:tcBorders>
                  <w:noWrap w:val="0"/>
                  <w:vAlign w:val="center"/>
                </w:tcPr>
                <w:p w14:paraId="3BC1EDF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73" w:type="pct"/>
                  <w:vMerge w:val="restart"/>
                  <w:tcBorders>
                    <w:tl2br w:val="nil"/>
                    <w:tr2bl w:val="nil"/>
                  </w:tcBorders>
                  <w:noWrap w:val="0"/>
                  <w:vAlign w:val="center"/>
                </w:tcPr>
                <w:p w14:paraId="60A54BD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color w:val="00B050"/>
                      <w:spacing w:val="-2"/>
                      <w:sz w:val="18"/>
                      <w:szCs w:val="18"/>
                      <w:u w:val="single"/>
                      <w:lang w:val="en-US" w:eastAsia="zh-CN"/>
                    </w:rPr>
                    <w:t>周界外浓度最高点满足标准要求</w:t>
                  </w:r>
                </w:p>
              </w:tc>
              <w:tc>
                <w:tcPr>
                  <w:tcW w:w="283" w:type="pct"/>
                  <w:tcBorders>
                    <w:tl2br w:val="nil"/>
                    <w:tr2bl w:val="nil"/>
                  </w:tcBorders>
                  <w:noWrap w:val="0"/>
                  <w:vAlign w:val="center"/>
                </w:tcPr>
                <w:p w14:paraId="75834EC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0.018</w:t>
                  </w:r>
                </w:p>
              </w:tc>
              <w:tc>
                <w:tcPr>
                  <w:tcW w:w="252" w:type="pct"/>
                  <w:tcBorders>
                    <w:tl2br w:val="nil"/>
                    <w:tr2bl w:val="nil"/>
                  </w:tcBorders>
                  <w:noWrap w:val="0"/>
                  <w:vAlign w:val="center"/>
                </w:tcPr>
                <w:p w14:paraId="4470A2A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0.13</w:t>
                  </w:r>
                </w:p>
              </w:tc>
              <w:tc>
                <w:tcPr>
                  <w:tcW w:w="248" w:type="pct"/>
                  <w:tcBorders>
                    <w:tl2br w:val="nil"/>
                    <w:tr2bl w:val="nil"/>
                  </w:tcBorders>
                  <w:noWrap w:val="0"/>
                  <w:vAlign w:val="center"/>
                </w:tcPr>
                <w:p w14:paraId="1592705A">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en-US" w:bidi="ar-SA"/>
                    </w:rPr>
                  </w:pPr>
                  <w:r>
                    <w:rPr>
                      <w:rFonts w:hint="eastAsia" w:ascii="宋体" w:hAnsi="宋体" w:eastAsia="宋体" w:cs="宋体"/>
                      <w:spacing w:val="-2"/>
                      <w:sz w:val="18"/>
                      <w:szCs w:val="18"/>
                    </w:rPr>
                    <w:t>7200</w:t>
                  </w:r>
                </w:p>
              </w:tc>
              <w:tc>
                <w:tcPr>
                  <w:tcW w:w="178" w:type="pct"/>
                  <w:tcBorders>
                    <w:tl2br w:val="nil"/>
                    <w:tr2bl w:val="nil"/>
                  </w:tcBorders>
                  <w:noWrap w:val="0"/>
                  <w:vAlign w:val="center"/>
                </w:tcPr>
                <w:p w14:paraId="1089345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178" w:type="pct"/>
                  <w:tcBorders>
                    <w:tl2br w:val="nil"/>
                    <w:tr2bl w:val="nil"/>
                  </w:tcBorders>
                  <w:noWrap w:val="0"/>
                  <w:vAlign w:val="center"/>
                </w:tcPr>
                <w:p w14:paraId="283AF3F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166" w:type="pct"/>
                  <w:tcBorders>
                    <w:tl2br w:val="nil"/>
                    <w:tr2bl w:val="nil"/>
                  </w:tcBorders>
                  <w:noWrap w:val="0"/>
                  <w:vAlign w:val="center"/>
                </w:tcPr>
                <w:p w14:paraId="1A8FAAA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510" w:type="pct"/>
                  <w:vMerge w:val="restart"/>
                  <w:tcBorders>
                    <w:tl2br w:val="nil"/>
                    <w:tr2bl w:val="nil"/>
                  </w:tcBorders>
                  <w:noWrap w:val="0"/>
                  <w:vAlign w:val="center"/>
                </w:tcPr>
                <w:p w14:paraId="3F67478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vertAlign w:val="superscript"/>
                    </w:rPr>
                  </w:pPr>
                  <w:r>
                    <w:rPr>
                      <w:rFonts w:hint="eastAsia" w:ascii="宋体" w:hAnsi="宋体" w:eastAsia="宋体" w:cs="宋体"/>
                      <w:spacing w:val="-2"/>
                      <w:sz w:val="18"/>
                      <w:szCs w:val="18"/>
                      <w:lang w:val="en-US" w:eastAsia="zh-CN"/>
                    </w:rPr>
                    <w:t>颗粒物1.0</w:t>
                  </w:r>
                  <w:r>
                    <w:rPr>
                      <w:rFonts w:hint="eastAsia" w:ascii="宋体" w:hAnsi="宋体" w:eastAsia="宋体" w:cs="宋体"/>
                      <w:spacing w:val="-2"/>
                      <w:sz w:val="18"/>
                      <w:szCs w:val="18"/>
                    </w:rPr>
                    <w:t>mg/m</w:t>
                  </w:r>
                  <w:r>
                    <w:rPr>
                      <w:rFonts w:hint="eastAsia" w:ascii="宋体" w:hAnsi="宋体" w:eastAsia="宋体" w:cs="宋体"/>
                      <w:spacing w:val="-2"/>
                      <w:sz w:val="18"/>
                      <w:szCs w:val="18"/>
                      <w:vertAlign w:val="superscript"/>
                    </w:rPr>
                    <w:t>3</w:t>
                  </w:r>
                </w:p>
                <w:p w14:paraId="5200292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硫酸雾1.2</w:t>
                  </w:r>
                  <w:r>
                    <w:rPr>
                      <w:rFonts w:hint="eastAsia" w:ascii="宋体" w:hAnsi="宋体" w:eastAsia="宋体" w:cs="宋体"/>
                      <w:spacing w:val="-2"/>
                      <w:sz w:val="18"/>
                      <w:szCs w:val="18"/>
                    </w:rPr>
                    <w:t>mg/m</w:t>
                  </w:r>
                  <w:r>
                    <w:rPr>
                      <w:rFonts w:hint="eastAsia" w:ascii="宋体" w:hAnsi="宋体" w:eastAsia="宋体" w:cs="宋体"/>
                      <w:spacing w:val="-2"/>
                      <w:sz w:val="18"/>
                      <w:szCs w:val="18"/>
                      <w:vertAlign w:val="superscript"/>
                    </w:rPr>
                    <w:t>3</w:t>
                  </w:r>
                </w:p>
              </w:tc>
              <w:tc>
                <w:tcPr>
                  <w:tcW w:w="263" w:type="pct"/>
                  <w:tcBorders>
                    <w:tl2br w:val="nil"/>
                    <w:tr2bl w:val="nil"/>
                  </w:tcBorders>
                  <w:noWrap w:val="0"/>
                  <w:vAlign w:val="center"/>
                </w:tcPr>
                <w:p w14:paraId="7167D56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r>
            <w:tr w14:paraId="5E9F02D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60" w:type="pct"/>
                  <w:vMerge w:val="continue"/>
                  <w:tcBorders>
                    <w:tl2br w:val="nil"/>
                    <w:tr2bl w:val="nil"/>
                  </w:tcBorders>
                  <w:noWrap w:val="0"/>
                  <w:vAlign w:val="center"/>
                </w:tcPr>
                <w:p w14:paraId="36F1381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p>
              </w:tc>
              <w:tc>
                <w:tcPr>
                  <w:tcW w:w="200" w:type="pct"/>
                  <w:tcBorders>
                    <w:tl2br w:val="nil"/>
                    <w:tr2bl w:val="nil"/>
                  </w:tcBorders>
                  <w:noWrap w:val="0"/>
                  <w:vAlign w:val="center"/>
                </w:tcPr>
                <w:p w14:paraId="064028E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rPr>
                    <w:t>压滤</w:t>
                  </w:r>
                </w:p>
              </w:tc>
              <w:tc>
                <w:tcPr>
                  <w:tcW w:w="201" w:type="pct"/>
                  <w:tcBorders>
                    <w:tl2br w:val="nil"/>
                    <w:tr2bl w:val="nil"/>
                  </w:tcBorders>
                  <w:noWrap w:val="0"/>
                  <w:vAlign w:val="center"/>
                </w:tcPr>
                <w:p w14:paraId="741E47E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2.116</w:t>
                  </w:r>
                </w:p>
              </w:tc>
              <w:tc>
                <w:tcPr>
                  <w:tcW w:w="154" w:type="pct"/>
                  <w:tcBorders>
                    <w:tl2br w:val="nil"/>
                    <w:tr2bl w:val="nil"/>
                  </w:tcBorders>
                  <w:noWrap w:val="0"/>
                  <w:vAlign w:val="center"/>
                </w:tcPr>
                <w:p w14:paraId="44483EE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90</w:t>
                  </w:r>
                </w:p>
              </w:tc>
              <w:tc>
                <w:tcPr>
                  <w:tcW w:w="237" w:type="pct"/>
                  <w:tcBorders>
                    <w:tl2br w:val="nil"/>
                    <w:tr2bl w:val="nil"/>
                  </w:tcBorders>
                  <w:noWrap w:val="0"/>
                  <w:vAlign w:val="center"/>
                </w:tcPr>
                <w:p w14:paraId="440A031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292" w:type="pct"/>
                  <w:tcBorders>
                    <w:tl2br w:val="nil"/>
                    <w:tr2bl w:val="nil"/>
                  </w:tcBorders>
                  <w:noWrap w:val="0"/>
                  <w:vAlign w:val="center"/>
                </w:tcPr>
                <w:p w14:paraId="199A9BE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rPr>
                    <w:t>硫酸雾</w:t>
                  </w:r>
                </w:p>
              </w:tc>
              <w:tc>
                <w:tcPr>
                  <w:tcW w:w="271" w:type="pct"/>
                  <w:vMerge w:val="continue"/>
                  <w:tcBorders>
                    <w:tl2br w:val="nil"/>
                    <w:tr2bl w:val="nil"/>
                  </w:tcBorders>
                  <w:noWrap w:val="0"/>
                  <w:vAlign w:val="center"/>
                </w:tcPr>
                <w:p w14:paraId="2A2E1FD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79" w:type="pct"/>
                  <w:tcBorders>
                    <w:tl2br w:val="nil"/>
                    <w:tr2bl w:val="nil"/>
                  </w:tcBorders>
                  <w:noWrap w:val="0"/>
                  <w:vAlign w:val="center"/>
                </w:tcPr>
                <w:p w14:paraId="4F7AF7C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0.029</w:t>
                  </w:r>
                </w:p>
              </w:tc>
              <w:tc>
                <w:tcPr>
                  <w:tcW w:w="263" w:type="pct"/>
                  <w:tcBorders>
                    <w:tl2br w:val="nil"/>
                    <w:tr2bl w:val="nil"/>
                  </w:tcBorders>
                  <w:noWrap w:val="0"/>
                  <w:vAlign w:val="center"/>
                </w:tcPr>
                <w:p w14:paraId="790B154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0.21</w:t>
                  </w:r>
                </w:p>
              </w:tc>
              <w:tc>
                <w:tcPr>
                  <w:tcW w:w="199" w:type="pct"/>
                  <w:tcBorders>
                    <w:tl2br w:val="nil"/>
                    <w:tr2bl w:val="nil"/>
                  </w:tcBorders>
                  <w:noWrap w:val="0"/>
                  <w:vAlign w:val="center"/>
                </w:tcPr>
                <w:p w14:paraId="13D570B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2A1D02C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150" w:type="pct"/>
                  <w:tcBorders>
                    <w:tl2br w:val="nil"/>
                    <w:tr2bl w:val="nil"/>
                  </w:tcBorders>
                  <w:noWrap w:val="0"/>
                  <w:vAlign w:val="center"/>
                </w:tcPr>
                <w:p w14:paraId="122F0C0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73" w:type="pct"/>
                  <w:vMerge w:val="continue"/>
                  <w:tcBorders>
                    <w:tl2br w:val="nil"/>
                    <w:tr2bl w:val="nil"/>
                  </w:tcBorders>
                  <w:noWrap w:val="0"/>
                  <w:vAlign w:val="center"/>
                </w:tcPr>
                <w:p w14:paraId="6673720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83" w:type="pct"/>
                  <w:tcBorders>
                    <w:tl2br w:val="nil"/>
                    <w:tr2bl w:val="nil"/>
                  </w:tcBorders>
                  <w:noWrap w:val="0"/>
                  <w:vAlign w:val="center"/>
                </w:tcPr>
                <w:p w14:paraId="479E48D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0.029</w:t>
                  </w:r>
                </w:p>
              </w:tc>
              <w:tc>
                <w:tcPr>
                  <w:tcW w:w="252" w:type="pct"/>
                  <w:tcBorders>
                    <w:tl2br w:val="nil"/>
                    <w:tr2bl w:val="nil"/>
                  </w:tcBorders>
                  <w:noWrap w:val="0"/>
                  <w:vAlign w:val="center"/>
                </w:tcPr>
                <w:p w14:paraId="02CB924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0.21</w:t>
                  </w:r>
                </w:p>
              </w:tc>
              <w:tc>
                <w:tcPr>
                  <w:tcW w:w="248" w:type="pct"/>
                  <w:tcBorders>
                    <w:tl2br w:val="nil"/>
                    <w:tr2bl w:val="nil"/>
                  </w:tcBorders>
                  <w:noWrap w:val="0"/>
                  <w:vAlign w:val="center"/>
                </w:tcPr>
                <w:p w14:paraId="6703CA18">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en-US" w:bidi="ar-SA"/>
                    </w:rPr>
                  </w:pPr>
                  <w:r>
                    <w:rPr>
                      <w:rFonts w:hint="eastAsia" w:ascii="宋体" w:hAnsi="宋体" w:eastAsia="宋体" w:cs="宋体"/>
                      <w:spacing w:val="-2"/>
                      <w:sz w:val="18"/>
                      <w:szCs w:val="18"/>
                    </w:rPr>
                    <w:t>7200</w:t>
                  </w:r>
                </w:p>
              </w:tc>
              <w:tc>
                <w:tcPr>
                  <w:tcW w:w="178" w:type="pct"/>
                  <w:tcBorders>
                    <w:tl2br w:val="nil"/>
                    <w:tr2bl w:val="nil"/>
                  </w:tcBorders>
                  <w:noWrap w:val="0"/>
                  <w:vAlign w:val="center"/>
                </w:tcPr>
                <w:p w14:paraId="1DE6FBA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178" w:type="pct"/>
                  <w:tcBorders>
                    <w:tl2br w:val="nil"/>
                    <w:tr2bl w:val="nil"/>
                  </w:tcBorders>
                  <w:noWrap w:val="0"/>
                  <w:vAlign w:val="center"/>
                </w:tcPr>
                <w:p w14:paraId="0F293B6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166" w:type="pct"/>
                  <w:tcBorders>
                    <w:tl2br w:val="nil"/>
                    <w:tr2bl w:val="nil"/>
                  </w:tcBorders>
                  <w:noWrap w:val="0"/>
                  <w:vAlign w:val="center"/>
                </w:tcPr>
                <w:p w14:paraId="02E2C1B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510" w:type="pct"/>
                  <w:vMerge w:val="continue"/>
                  <w:tcBorders>
                    <w:tl2br w:val="nil"/>
                    <w:tr2bl w:val="nil"/>
                  </w:tcBorders>
                  <w:noWrap w:val="0"/>
                  <w:vAlign w:val="center"/>
                </w:tcPr>
                <w:p w14:paraId="64EADF7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tcBorders>
                    <w:tl2br w:val="nil"/>
                    <w:tr2bl w:val="nil"/>
                  </w:tcBorders>
                  <w:noWrap w:val="0"/>
                  <w:vAlign w:val="center"/>
                </w:tcPr>
                <w:p w14:paraId="5344BDC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r>
            <w:tr w14:paraId="46EA9CE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60" w:type="pct"/>
                  <w:vMerge w:val="continue"/>
                  <w:tcBorders>
                    <w:tl2br w:val="nil"/>
                    <w:tr2bl w:val="nil"/>
                  </w:tcBorders>
                  <w:noWrap w:val="0"/>
                  <w:vAlign w:val="center"/>
                </w:tcPr>
                <w:p w14:paraId="09EAF84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p>
              </w:tc>
              <w:tc>
                <w:tcPr>
                  <w:tcW w:w="200" w:type="pct"/>
                  <w:tcBorders>
                    <w:tl2br w:val="nil"/>
                    <w:tr2bl w:val="nil"/>
                  </w:tcBorders>
                  <w:noWrap w:val="0"/>
                  <w:vAlign w:val="center"/>
                </w:tcPr>
                <w:p w14:paraId="22534A2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pacing w:val="-2"/>
                      <w:kern w:val="2"/>
                      <w:sz w:val="18"/>
                      <w:szCs w:val="18"/>
                      <w:lang w:val="en-US" w:eastAsia="zh-CN" w:bidi="ar-SA"/>
                    </w:rPr>
                  </w:pPr>
                  <w:r>
                    <w:rPr>
                      <w:rFonts w:hint="eastAsia" w:ascii="宋体" w:hAnsi="宋体" w:eastAsia="宋体" w:cs="宋体"/>
                      <w:b w:val="0"/>
                      <w:bCs w:val="0"/>
                      <w:spacing w:val="-2"/>
                      <w:sz w:val="18"/>
                      <w:szCs w:val="18"/>
                      <w:lang w:val="en-US" w:eastAsia="zh-CN"/>
                    </w:rPr>
                    <w:t>插层</w:t>
                  </w:r>
                </w:p>
              </w:tc>
              <w:tc>
                <w:tcPr>
                  <w:tcW w:w="201" w:type="pct"/>
                  <w:tcBorders>
                    <w:tl2br w:val="nil"/>
                    <w:tr2bl w:val="nil"/>
                  </w:tcBorders>
                  <w:noWrap w:val="0"/>
                  <w:vAlign w:val="center"/>
                </w:tcPr>
                <w:p w14:paraId="5A3C2F5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spacing w:val="-2"/>
                      <w:kern w:val="2"/>
                      <w:sz w:val="18"/>
                      <w:szCs w:val="18"/>
                      <w:lang w:val="en-US" w:eastAsia="zh-CN" w:bidi="ar-SA"/>
                    </w:rPr>
                  </w:pPr>
                  <w:r>
                    <w:rPr>
                      <w:rFonts w:hint="eastAsia" w:ascii="宋体" w:hAnsi="宋体" w:eastAsia="宋体" w:cs="宋体"/>
                      <w:b w:val="0"/>
                      <w:bCs w:val="0"/>
                      <w:spacing w:val="-2"/>
                      <w:kern w:val="2"/>
                      <w:sz w:val="18"/>
                      <w:szCs w:val="18"/>
                      <w:lang w:val="en-US" w:eastAsia="zh-CN" w:bidi="ar-SA"/>
                    </w:rPr>
                    <w:t>0.045</w:t>
                  </w:r>
                </w:p>
              </w:tc>
              <w:tc>
                <w:tcPr>
                  <w:tcW w:w="154" w:type="pct"/>
                  <w:tcBorders>
                    <w:tl2br w:val="nil"/>
                    <w:tr2bl w:val="nil"/>
                  </w:tcBorders>
                  <w:noWrap w:val="0"/>
                  <w:vAlign w:val="center"/>
                </w:tcPr>
                <w:p w14:paraId="7D7BEF5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spacing w:val="-2"/>
                      <w:kern w:val="2"/>
                      <w:sz w:val="18"/>
                      <w:szCs w:val="18"/>
                      <w:lang w:val="en-US" w:eastAsia="zh-CN" w:bidi="ar-SA"/>
                    </w:rPr>
                  </w:pPr>
                  <w:r>
                    <w:rPr>
                      <w:rFonts w:hint="eastAsia" w:ascii="宋体" w:hAnsi="宋体" w:eastAsia="宋体" w:cs="宋体"/>
                      <w:b w:val="0"/>
                      <w:bCs w:val="0"/>
                      <w:spacing w:val="-2"/>
                      <w:kern w:val="2"/>
                      <w:sz w:val="18"/>
                      <w:szCs w:val="18"/>
                      <w:lang w:val="en-US" w:eastAsia="zh-CN" w:bidi="ar-SA"/>
                    </w:rPr>
                    <w:t>90</w:t>
                  </w:r>
                </w:p>
              </w:tc>
              <w:tc>
                <w:tcPr>
                  <w:tcW w:w="237" w:type="pct"/>
                  <w:tcBorders>
                    <w:tl2br w:val="nil"/>
                    <w:tr2bl w:val="nil"/>
                  </w:tcBorders>
                  <w:noWrap w:val="0"/>
                  <w:vAlign w:val="center"/>
                </w:tcPr>
                <w:p w14:paraId="48502C9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292" w:type="pct"/>
                  <w:tcBorders>
                    <w:tl2br w:val="nil"/>
                    <w:tr2bl w:val="nil"/>
                  </w:tcBorders>
                  <w:noWrap w:val="0"/>
                  <w:vAlign w:val="center"/>
                </w:tcPr>
                <w:p w14:paraId="0923187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粉尘</w:t>
                  </w:r>
                </w:p>
              </w:tc>
              <w:tc>
                <w:tcPr>
                  <w:tcW w:w="271" w:type="pct"/>
                  <w:vMerge w:val="continue"/>
                  <w:tcBorders>
                    <w:tl2br w:val="nil"/>
                    <w:tr2bl w:val="nil"/>
                  </w:tcBorders>
                  <w:noWrap w:val="0"/>
                  <w:vAlign w:val="center"/>
                </w:tcPr>
                <w:p w14:paraId="361D733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79" w:type="pct"/>
                  <w:tcBorders>
                    <w:tl2br w:val="nil"/>
                    <w:tr2bl w:val="nil"/>
                  </w:tcBorders>
                  <w:noWrap w:val="0"/>
                  <w:vAlign w:val="center"/>
                </w:tcPr>
                <w:p w14:paraId="6F4D208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0.015</w:t>
                  </w:r>
                </w:p>
              </w:tc>
              <w:tc>
                <w:tcPr>
                  <w:tcW w:w="263" w:type="pct"/>
                  <w:tcBorders>
                    <w:tl2br w:val="nil"/>
                    <w:tr2bl w:val="nil"/>
                  </w:tcBorders>
                  <w:noWrap w:val="0"/>
                  <w:vAlign w:val="center"/>
                </w:tcPr>
                <w:p w14:paraId="3D40DE4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0.0045</w:t>
                  </w:r>
                </w:p>
              </w:tc>
              <w:tc>
                <w:tcPr>
                  <w:tcW w:w="199" w:type="pct"/>
                  <w:tcBorders>
                    <w:tl2br w:val="nil"/>
                    <w:tr2bl w:val="nil"/>
                  </w:tcBorders>
                  <w:noWrap w:val="0"/>
                  <w:vAlign w:val="center"/>
                </w:tcPr>
                <w:p w14:paraId="3B8180C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09AF53B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150" w:type="pct"/>
                  <w:tcBorders>
                    <w:tl2br w:val="nil"/>
                    <w:tr2bl w:val="nil"/>
                  </w:tcBorders>
                  <w:noWrap w:val="0"/>
                  <w:vAlign w:val="center"/>
                </w:tcPr>
                <w:p w14:paraId="2ECF0F1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73" w:type="pct"/>
                  <w:vMerge w:val="continue"/>
                  <w:tcBorders>
                    <w:tl2br w:val="nil"/>
                    <w:tr2bl w:val="nil"/>
                  </w:tcBorders>
                  <w:noWrap w:val="0"/>
                  <w:vAlign w:val="center"/>
                </w:tcPr>
                <w:p w14:paraId="7839517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83" w:type="pct"/>
                  <w:tcBorders>
                    <w:tl2br w:val="nil"/>
                    <w:tr2bl w:val="nil"/>
                  </w:tcBorders>
                  <w:noWrap w:val="0"/>
                  <w:vAlign w:val="center"/>
                </w:tcPr>
                <w:p w14:paraId="5C08E99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0.015</w:t>
                  </w:r>
                </w:p>
              </w:tc>
              <w:tc>
                <w:tcPr>
                  <w:tcW w:w="252" w:type="pct"/>
                  <w:tcBorders>
                    <w:tl2br w:val="nil"/>
                    <w:tr2bl w:val="nil"/>
                  </w:tcBorders>
                  <w:noWrap w:val="0"/>
                  <w:vAlign w:val="center"/>
                </w:tcPr>
                <w:p w14:paraId="438529B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0.0045</w:t>
                  </w:r>
                </w:p>
              </w:tc>
              <w:tc>
                <w:tcPr>
                  <w:tcW w:w="248" w:type="pct"/>
                  <w:tcBorders>
                    <w:tl2br w:val="nil"/>
                    <w:tr2bl w:val="nil"/>
                  </w:tcBorders>
                  <w:noWrap w:val="0"/>
                  <w:vAlign w:val="center"/>
                </w:tcPr>
                <w:p w14:paraId="307729CE">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300</w:t>
                  </w:r>
                </w:p>
              </w:tc>
              <w:tc>
                <w:tcPr>
                  <w:tcW w:w="178" w:type="pct"/>
                  <w:tcBorders>
                    <w:tl2br w:val="nil"/>
                    <w:tr2bl w:val="nil"/>
                  </w:tcBorders>
                  <w:noWrap w:val="0"/>
                  <w:vAlign w:val="center"/>
                </w:tcPr>
                <w:p w14:paraId="22F7879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178" w:type="pct"/>
                  <w:tcBorders>
                    <w:tl2br w:val="nil"/>
                    <w:tr2bl w:val="nil"/>
                  </w:tcBorders>
                  <w:noWrap w:val="0"/>
                  <w:vAlign w:val="center"/>
                </w:tcPr>
                <w:p w14:paraId="74053D9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166" w:type="pct"/>
                  <w:tcBorders>
                    <w:tl2br w:val="nil"/>
                    <w:tr2bl w:val="nil"/>
                  </w:tcBorders>
                  <w:noWrap w:val="0"/>
                  <w:vAlign w:val="center"/>
                </w:tcPr>
                <w:p w14:paraId="197195D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510" w:type="pct"/>
                  <w:vMerge w:val="continue"/>
                  <w:tcBorders>
                    <w:tl2br w:val="nil"/>
                    <w:tr2bl w:val="nil"/>
                  </w:tcBorders>
                  <w:noWrap w:val="0"/>
                  <w:vAlign w:val="center"/>
                </w:tcPr>
                <w:p w14:paraId="04A65E6B">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tcBorders>
                    <w:tl2br w:val="nil"/>
                    <w:tr2bl w:val="nil"/>
                  </w:tcBorders>
                  <w:noWrap w:val="0"/>
                  <w:vAlign w:val="center"/>
                </w:tcPr>
                <w:p w14:paraId="5285E665">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r>
            <w:tr w14:paraId="5B61C1B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60" w:type="pct"/>
                  <w:vMerge w:val="continue"/>
                  <w:tcBorders>
                    <w:tl2br w:val="nil"/>
                    <w:tr2bl w:val="nil"/>
                  </w:tcBorders>
                  <w:noWrap w:val="0"/>
                  <w:vAlign w:val="center"/>
                </w:tcPr>
                <w:p w14:paraId="18CA413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p>
              </w:tc>
              <w:tc>
                <w:tcPr>
                  <w:tcW w:w="200" w:type="pct"/>
                  <w:tcBorders>
                    <w:tl2br w:val="nil"/>
                    <w:tr2bl w:val="nil"/>
                  </w:tcBorders>
                  <w:noWrap w:val="0"/>
                  <w:vAlign w:val="center"/>
                </w:tcPr>
                <w:p w14:paraId="50EA263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筛分</w:t>
                  </w:r>
                </w:p>
              </w:tc>
              <w:tc>
                <w:tcPr>
                  <w:tcW w:w="201" w:type="pct"/>
                  <w:tcBorders>
                    <w:tl2br w:val="nil"/>
                    <w:tr2bl w:val="nil"/>
                  </w:tcBorders>
                  <w:noWrap w:val="0"/>
                  <w:vAlign w:val="center"/>
                </w:tcPr>
                <w:p w14:paraId="485ADB1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9.7</w:t>
                  </w:r>
                </w:p>
              </w:tc>
              <w:tc>
                <w:tcPr>
                  <w:tcW w:w="154" w:type="pct"/>
                  <w:tcBorders>
                    <w:tl2br w:val="nil"/>
                    <w:tr2bl w:val="nil"/>
                  </w:tcBorders>
                  <w:noWrap w:val="0"/>
                  <w:vAlign w:val="center"/>
                </w:tcPr>
                <w:p w14:paraId="08A1A56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90</w:t>
                  </w:r>
                </w:p>
              </w:tc>
              <w:tc>
                <w:tcPr>
                  <w:tcW w:w="237" w:type="pct"/>
                  <w:tcBorders>
                    <w:tl2br w:val="nil"/>
                    <w:tr2bl w:val="nil"/>
                  </w:tcBorders>
                  <w:noWrap w:val="0"/>
                  <w:vAlign w:val="center"/>
                </w:tcPr>
                <w:p w14:paraId="5A4A2A8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292" w:type="pct"/>
                  <w:tcBorders>
                    <w:tl2br w:val="nil"/>
                    <w:tr2bl w:val="nil"/>
                  </w:tcBorders>
                  <w:noWrap w:val="0"/>
                  <w:vAlign w:val="center"/>
                </w:tcPr>
                <w:p w14:paraId="7CDF455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kern w:val="2"/>
                      <w:sz w:val="18"/>
                      <w:szCs w:val="18"/>
                      <w:lang w:val="en-US" w:eastAsia="zh-CN" w:bidi="ar-SA"/>
                    </w:rPr>
                    <w:t>粉尘</w:t>
                  </w:r>
                </w:p>
              </w:tc>
              <w:tc>
                <w:tcPr>
                  <w:tcW w:w="271" w:type="pct"/>
                  <w:vMerge w:val="continue"/>
                  <w:tcBorders>
                    <w:tl2br w:val="nil"/>
                    <w:tr2bl w:val="nil"/>
                  </w:tcBorders>
                  <w:noWrap w:val="0"/>
                  <w:vAlign w:val="center"/>
                </w:tcPr>
                <w:p w14:paraId="64D000A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79" w:type="pct"/>
                  <w:tcBorders>
                    <w:tl2br w:val="nil"/>
                    <w:tr2bl w:val="nil"/>
                  </w:tcBorders>
                  <w:noWrap w:val="0"/>
                  <w:vAlign w:val="center"/>
                </w:tcPr>
                <w:p w14:paraId="38ED9B8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0.13</w:t>
                  </w:r>
                </w:p>
              </w:tc>
              <w:tc>
                <w:tcPr>
                  <w:tcW w:w="263" w:type="pct"/>
                  <w:tcBorders>
                    <w:tl2br w:val="nil"/>
                    <w:tr2bl w:val="nil"/>
                  </w:tcBorders>
                  <w:noWrap w:val="0"/>
                  <w:vAlign w:val="center"/>
                </w:tcPr>
                <w:p w14:paraId="2E4BFA7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0.97</w:t>
                  </w:r>
                </w:p>
              </w:tc>
              <w:tc>
                <w:tcPr>
                  <w:tcW w:w="199" w:type="pct"/>
                  <w:tcBorders>
                    <w:tl2br w:val="nil"/>
                    <w:tr2bl w:val="nil"/>
                  </w:tcBorders>
                  <w:noWrap w:val="0"/>
                  <w:vAlign w:val="center"/>
                </w:tcPr>
                <w:p w14:paraId="25228F0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077E299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150" w:type="pct"/>
                  <w:tcBorders>
                    <w:tl2br w:val="nil"/>
                    <w:tr2bl w:val="nil"/>
                  </w:tcBorders>
                  <w:noWrap w:val="0"/>
                  <w:vAlign w:val="center"/>
                </w:tcPr>
                <w:p w14:paraId="0663016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73" w:type="pct"/>
                  <w:vMerge w:val="continue"/>
                  <w:tcBorders>
                    <w:tl2br w:val="nil"/>
                    <w:tr2bl w:val="nil"/>
                  </w:tcBorders>
                  <w:noWrap w:val="0"/>
                  <w:vAlign w:val="center"/>
                </w:tcPr>
                <w:p w14:paraId="70E1B6D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83" w:type="pct"/>
                  <w:tcBorders>
                    <w:tl2br w:val="nil"/>
                    <w:tr2bl w:val="nil"/>
                  </w:tcBorders>
                  <w:noWrap w:val="0"/>
                  <w:vAlign w:val="center"/>
                </w:tcPr>
                <w:p w14:paraId="508AF64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0.13</w:t>
                  </w:r>
                </w:p>
              </w:tc>
              <w:tc>
                <w:tcPr>
                  <w:tcW w:w="252" w:type="pct"/>
                  <w:tcBorders>
                    <w:tl2br w:val="nil"/>
                    <w:tr2bl w:val="nil"/>
                  </w:tcBorders>
                  <w:noWrap w:val="0"/>
                  <w:vAlign w:val="center"/>
                </w:tcPr>
                <w:p w14:paraId="48699C12">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0.97</w:t>
                  </w:r>
                </w:p>
              </w:tc>
              <w:tc>
                <w:tcPr>
                  <w:tcW w:w="248" w:type="pct"/>
                  <w:tcBorders>
                    <w:tl2br w:val="nil"/>
                    <w:tr2bl w:val="nil"/>
                  </w:tcBorders>
                  <w:noWrap w:val="0"/>
                  <w:vAlign w:val="center"/>
                </w:tcPr>
                <w:p w14:paraId="70615984">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7200</w:t>
                  </w:r>
                </w:p>
              </w:tc>
              <w:tc>
                <w:tcPr>
                  <w:tcW w:w="178" w:type="pct"/>
                  <w:tcBorders>
                    <w:tl2br w:val="nil"/>
                    <w:tr2bl w:val="nil"/>
                  </w:tcBorders>
                  <w:noWrap w:val="0"/>
                  <w:vAlign w:val="center"/>
                </w:tcPr>
                <w:p w14:paraId="0C5FA49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178" w:type="pct"/>
                  <w:tcBorders>
                    <w:tl2br w:val="nil"/>
                    <w:tr2bl w:val="nil"/>
                  </w:tcBorders>
                  <w:noWrap w:val="0"/>
                  <w:vAlign w:val="center"/>
                </w:tcPr>
                <w:p w14:paraId="0DF0161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166" w:type="pct"/>
                  <w:tcBorders>
                    <w:tl2br w:val="nil"/>
                    <w:tr2bl w:val="nil"/>
                  </w:tcBorders>
                  <w:noWrap w:val="0"/>
                  <w:vAlign w:val="center"/>
                </w:tcPr>
                <w:p w14:paraId="7380307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c>
                <w:tcPr>
                  <w:tcW w:w="510" w:type="pct"/>
                  <w:vMerge w:val="continue"/>
                  <w:tcBorders>
                    <w:tl2br w:val="nil"/>
                    <w:tr2bl w:val="nil"/>
                  </w:tcBorders>
                  <w:noWrap w:val="0"/>
                  <w:vAlign w:val="center"/>
                </w:tcPr>
                <w:p w14:paraId="7932767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tcBorders>
                    <w:tl2br w:val="nil"/>
                    <w:tr2bl w:val="nil"/>
                  </w:tcBorders>
                  <w:noWrap w:val="0"/>
                  <w:vAlign w:val="center"/>
                </w:tcPr>
                <w:p w14:paraId="3A80ED8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r>
                    <w:rPr>
                      <w:rFonts w:hint="eastAsia" w:ascii="宋体" w:hAnsi="宋体" w:eastAsia="宋体" w:cs="宋体"/>
                      <w:spacing w:val="-2"/>
                      <w:sz w:val="18"/>
                      <w:szCs w:val="18"/>
                      <w:lang w:val="en-US" w:eastAsia="zh-CN"/>
                    </w:rPr>
                    <w:t>/</w:t>
                  </w:r>
                </w:p>
              </w:tc>
            </w:tr>
            <w:tr w14:paraId="21CE37E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60" w:type="pct"/>
                  <w:vMerge w:val="continue"/>
                  <w:tcBorders>
                    <w:tl2br w:val="nil"/>
                    <w:tr2bl w:val="nil"/>
                  </w:tcBorders>
                  <w:noWrap w:val="0"/>
                  <w:vAlign w:val="center"/>
                </w:tcPr>
                <w:p w14:paraId="6E2E963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p>
              </w:tc>
              <w:tc>
                <w:tcPr>
                  <w:tcW w:w="200" w:type="pct"/>
                  <w:tcBorders>
                    <w:tl2br w:val="nil"/>
                    <w:tr2bl w:val="nil"/>
                  </w:tcBorders>
                  <w:noWrap w:val="0"/>
                  <w:vAlign w:val="center"/>
                </w:tcPr>
                <w:p w14:paraId="1971AC3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大小呼吸</w:t>
                  </w:r>
                </w:p>
              </w:tc>
              <w:tc>
                <w:tcPr>
                  <w:tcW w:w="201" w:type="pct"/>
                  <w:tcBorders>
                    <w:tl2br w:val="nil"/>
                    <w:tr2bl w:val="nil"/>
                  </w:tcBorders>
                  <w:noWrap w:val="0"/>
                  <w:vAlign w:val="center"/>
                </w:tcPr>
                <w:p w14:paraId="5090B3C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0.11</w:t>
                  </w:r>
                </w:p>
              </w:tc>
              <w:tc>
                <w:tcPr>
                  <w:tcW w:w="154" w:type="pct"/>
                  <w:tcBorders>
                    <w:tl2br w:val="nil"/>
                    <w:tr2bl w:val="nil"/>
                  </w:tcBorders>
                  <w:noWrap w:val="0"/>
                  <w:vAlign w:val="center"/>
                </w:tcPr>
                <w:p w14:paraId="1336887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1C411D5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92" w:type="pct"/>
                  <w:tcBorders>
                    <w:tl2br w:val="nil"/>
                    <w:tr2bl w:val="nil"/>
                  </w:tcBorders>
                  <w:noWrap w:val="0"/>
                  <w:vAlign w:val="center"/>
                </w:tcPr>
                <w:p w14:paraId="470735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rPr>
                    <w:t>硫酸雾</w:t>
                  </w:r>
                </w:p>
              </w:tc>
              <w:tc>
                <w:tcPr>
                  <w:tcW w:w="271" w:type="pct"/>
                  <w:vMerge w:val="continue"/>
                  <w:tcBorders>
                    <w:tl2br w:val="nil"/>
                    <w:tr2bl w:val="nil"/>
                  </w:tcBorders>
                  <w:noWrap w:val="0"/>
                  <w:vAlign w:val="center"/>
                </w:tcPr>
                <w:p w14:paraId="0897FF6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79" w:type="pct"/>
                  <w:tcBorders>
                    <w:tl2br w:val="nil"/>
                    <w:tr2bl w:val="nil"/>
                  </w:tcBorders>
                  <w:noWrap w:val="0"/>
                  <w:vAlign w:val="center"/>
                </w:tcPr>
                <w:p w14:paraId="14A6AFE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0.015</w:t>
                  </w:r>
                </w:p>
              </w:tc>
              <w:tc>
                <w:tcPr>
                  <w:tcW w:w="263" w:type="pct"/>
                  <w:tcBorders>
                    <w:tl2br w:val="nil"/>
                    <w:tr2bl w:val="nil"/>
                  </w:tcBorders>
                  <w:noWrap w:val="0"/>
                  <w:vAlign w:val="center"/>
                </w:tcPr>
                <w:p w14:paraId="23379E4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0.11</w:t>
                  </w:r>
                </w:p>
              </w:tc>
              <w:tc>
                <w:tcPr>
                  <w:tcW w:w="199" w:type="pct"/>
                  <w:tcBorders>
                    <w:tl2br w:val="nil"/>
                    <w:tr2bl w:val="nil"/>
                  </w:tcBorders>
                  <w:noWrap w:val="0"/>
                  <w:vAlign w:val="center"/>
                </w:tcPr>
                <w:p w14:paraId="467E880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52A4807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150" w:type="pct"/>
                  <w:tcBorders>
                    <w:tl2br w:val="nil"/>
                    <w:tr2bl w:val="nil"/>
                  </w:tcBorders>
                  <w:noWrap w:val="0"/>
                  <w:vAlign w:val="center"/>
                </w:tcPr>
                <w:p w14:paraId="6CE2D52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273" w:type="pct"/>
                  <w:vMerge w:val="continue"/>
                  <w:tcBorders>
                    <w:tl2br w:val="nil"/>
                    <w:tr2bl w:val="nil"/>
                  </w:tcBorders>
                  <w:noWrap w:val="0"/>
                  <w:vAlign w:val="center"/>
                </w:tcPr>
                <w:p w14:paraId="5C451D3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83" w:type="pct"/>
                  <w:tcBorders>
                    <w:tl2br w:val="nil"/>
                    <w:tr2bl w:val="nil"/>
                  </w:tcBorders>
                  <w:noWrap w:val="0"/>
                  <w:vAlign w:val="center"/>
                </w:tcPr>
                <w:p w14:paraId="15820C8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0.015</w:t>
                  </w:r>
                </w:p>
              </w:tc>
              <w:tc>
                <w:tcPr>
                  <w:tcW w:w="252" w:type="pct"/>
                  <w:tcBorders>
                    <w:tl2br w:val="nil"/>
                    <w:tr2bl w:val="nil"/>
                  </w:tcBorders>
                  <w:noWrap w:val="0"/>
                  <w:vAlign w:val="center"/>
                </w:tcPr>
                <w:p w14:paraId="18E1AD5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0.11</w:t>
                  </w:r>
                </w:p>
              </w:tc>
              <w:tc>
                <w:tcPr>
                  <w:tcW w:w="248" w:type="pct"/>
                  <w:tcBorders>
                    <w:tl2br w:val="nil"/>
                    <w:tr2bl w:val="nil"/>
                  </w:tcBorders>
                  <w:noWrap w:val="0"/>
                  <w:vAlign w:val="center"/>
                </w:tcPr>
                <w:p w14:paraId="5656DED5">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7200</w:t>
                  </w:r>
                </w:p>
              </w:tc>
              <w:tc>
                <w:tcPr>
                  <w:tcW w:w="178" w:type="pct"/>
                  <w:tcBorders>
                    <w:tl2br w:val="nil"/>
                    <w:tr2bl w:val="nil"/>
                  </w:tcBorders>
                  <w:noWrap w:val="0"/>
                  <w:vAlign w:val="center"/>
                </w:tcPr>
                <w:p w14:paraId="7CAB9D9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178" w:type="pct"/>
                  <w:tcBorders>
                    <w:tl2br w:val="nil"/>
                    <w:tr2bl w:val="nil"/>
                  </w:tcBorders>
                  <w:noWrap w:val="0"/>
                  <w:vAlign w:val="center"/>
                </w:tcPr>
                <w:p w14:paraId="7ED6C60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166" w:type="pct"/>
                  <w:tcBorders>
                    <w:tl2br w:val="nil"/>
                    <w:tr2bl w:val="nil"/>
                  </w:tcBorders>
                  <w:noWrap w:val="0"/>
                  <w:vAlign w:val="center"/>
                </w:tcPr>
                <w:p w14:paraId="1E35DC5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510" w:type="pct"/>
                  <w:vMerge w:val="continue"/>
                  <w:tcBorders>
                    <w:tl2br w:val="nil"/>
                    <w:tr2bl w:val="nil"/>
                  </w:tcBorders>
                  <w:noWrap w:val="0"/>
                  <w:vAlign w:val="center"/>
                </w:tcPr>
                <w:p w14:paraId="529ABC0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tcBorders>
                    <w:tl2br w:val="nil"/>
                    <w:tr2bl w:val="nil"/>
                  </w:tcBorders>
                  <w:noWrap w:val="0"/>
                  <w:vAlign w:val="center"/>
                </w:tcPr>
                <w:p w14:paraId="0AFAA76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r>
            <w:tr w14:paraId="67DCAF6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60" w:type="pct"/>
                  <w:vMerge w:val="continue"/>
                  <w:tcBorders>
                    <w:tl2br w:val="nil"/>
                    <w:tr2bl w:val="nil"/>
                  </w:tcBorders>
                  <w:noWrap w:val="0"/>
                  <w:vAlign w:val="center"/>
                </w:tcPr>
                <w:p w14:paraId="200C117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p>
              </w:tc>
              <w:tc>
                <w:tcPr>
                  <w:tcW w:w="200" w:type="pct"/>
                  <w:tcBorders>
                    <w:tl2br w:val="nil"/>
                    <w:tr2bl w:val="nil"/>
                  </w:tcBorders>
                  <w:noWrap w:val="0"/>
                  <w:vAlign w:val="center"/>
                </w:tcPr>
                <w:p w14:paraId="54F77E89">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其它</w:t>
                  </w:r>
                </w:p>
              </w:tc>
              <w:tc>
                <w:tcPr>
                  <w:tcW w:w="201" w:type="pct"/>
                  <w:tcBorders>
                    <w:tl2br w:val="nil"/>
                    <w:tr2bl w:val="nil"/>
                  </w:tcBorders>
                  <w:noWrap w:val="0"/>
                  <w:vAlign w:val="center"/>
                </w:tcPr>
                <w:p w14:paraId="08C64C7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0.045</w:t>
                  </w:r>
                </w:p>
              </w:tc>
              <w:tc>
                <w:tcPr>
                  <w:tcW w:w="154" w:type="pct"/>
                  <w:tcBorders>
                    <w:tl2br w:val="nil"/>
                    <w:tr2bl w:val="nil"/>
                  </w:tcBorders>
                  <w:noWrap w:val="0"/>
                  <w:vAlign w:val="center"/>
                </w:tcPr>
                <w:p w14:paraId="516D44D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2B9D2CE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c>
                <w:tcPr>
                  <w:tcW w:w="292" w:type="pct"/>
                  <w:tcBorders>
                    <w:tl2br w:val="nil"/>
                    <w:tr2bl w:val="nil"/>
                  </w:tcBorders>
                  <w:noWrap w:val="0"/>
                  <w:vAlign w:val="center"/>
                </w:tcPr>
                <w:p w14:paraId="4DB705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rPr>
                    <w:t>硫酸雾</w:t>
                  </w:r>
                </w:p>
              </w:tc>
              <w:tc>
                <w:tcPr>
                  <w:tcW w:w="271" w:type="pct"/>
                  <w:vMerge w:val="continue"/>
                  <w:tcBorders>
                    <w:tl2br w:val="nil"/>
                    <w:tr2bl w:val="nil"/>
                  </w:tcBorders>
                  <w:noWrap w:val="0"/>
                  <w:vAlign w:val="center"/>
                </w:tcPr>
                <w:p w14:paraId="5B61B304">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79" w:type="pct"/>
                  <w:tcBorders>
                    <w:tl2br w:val="nil"/>
                    <w:tr2bl w:val="nil"/>
                  </w:tcBorders>
                  <w:noWrap w:val="0"/>
                  <w:vAlign w:val="center"/>
                </w:tcPr>
                <w:p w14:paraId="199481E3">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0.006</w:t>
                  </w:r>
                </w:p>
              </w:tc>
              <w:tc>
                <w:tcPr>
                  <w:tcW w:w="263" w:type="pct"/>
                  <w:tcBorders>
                    <w:tl2br w:val="nil"/>
                    <w:tr2bl w:val="nil"/>
                  </w:tcBorders>
                  <w:noWrap w:val="0"/>
                  <w:vAlign w:val="center"/>
                </w:tcPr>
                <w:p w14:paraId="40DAFEE8">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0.045</w:t>
                  </w:r>
                </w:p>
              </w:tc>
              <w:tc>
                <w:tcPr>
                  <w:tcW w:w="199" w:type="pct"/>
                  <w:tcBorders>
                    <w:tl2br w:val="nil"/>
                    <w:tr2bl w:val="nil"/>
                  </w:tcBorders>
                  <w:noWrap w:val="0"/>
                  <w:vAlign w:val="center"/>
                </w:tcPr>
                <w:p w14:paraId="30E957D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237" w:type="pct"/>
                  <w:tcBorders>
                    <w:tl2br w:val="nil"/>
                    <w:tr2bl w:val="nil"/>
                  </w:tcBorders>
                  <w:noWrap w:val="0"/>
                  <w:vAlign w:val="center"/>
                </w:tcPr>
                <w:p w14:paraId="61BA20CC">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150" w:type="pct"/>
                  <w:tcBorders>
                    <w:tl2br w:val="nil"/>
                    <w:tr2bl w:val="nil"/>
                  </w:tcBorders>
                  <w:noWrap w:val="0"/>
                  <w:vAlign w:val="center"/>
                </w:tcPr>
                <w:p w14:paraId="7F8EF690">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273" w:type="pct"/>
                  <w:vMerge w:val="continue"/>
                  <w:tcBorders>
                    <w:tl2br w:val="nil"/>
                    <w:tr2bl w:val="nil"/>
                  </w:tcBorders>
                  <w:noWrap w:val="0"/>
                  <w:vAlign w:val="center"/>
                </w:tcPr>
                <w:p w14:paraId="678EBD1F">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83" w:type="pct"/>
                  <w:tcBorders>
                    <w:tl2br w:val="nil"/>
                    <w:tr2bl w:val="nil"/>
                  </w:tcBorders>
                  <w:noWrap w:val="0"/>
                  <w:vAlign w:val="center"/>
                </w:tcPr>
                <w:p w14:paraId="06E86656">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0.006</w:t>
                  </w:r>
                </w:p>
              </w:tc>
              <w:tc>
                <w:tcPr>
                  <w:tcW w:w="252" w:type="pct"/>
                  <w:tcBorders>
                    <w:tl2br w:val="nil"/>
                    <w:tr2bl w:val="nil"/>
                  </w:tcBorders>
                  <w:noWrap w:val="0"/>
                  <w:vAlign w:val="center"/>
                </w:tcPr>
                <w:p w14:paraId="4BA36992">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0.045</w:t>
                  </w:r>
                </w:p>
              </w:tc>
              <w:tc>
                <w:tcPr>
                  <w:tcW w:w="248" w:type="pct"/>
                  <w:tcBorders>
                    <w:tl2br w:val="nil"/>
                    <w:tr2bl w:val="nil"/>
                  </w:tcBorders>
                  <w:noWrap w:val="0"/>
                  <w:vAlign w:val="center"/>
                </w:tcPr>
                <w:p w14:paraId="31B1E716">
                  <w:pPr>
                    <w:pStyle w:val="52"/>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7200</w:t>
                  </w:r>
                </w:p>
              </w:tc>
              <w:tc>
                <w:tcPr>
                  <w:tcW w:w="178" w:type="pct"/>
                  <w:tcBorders>
                    <w:tl2br w:val="nil"/>
                    <w:tr2bl w:val="nil"/>
                  </w:tcBorders>
                  <w:noWrap w:val="0"/>
                  <w:vAlign w:val="center"/>
                </w:tcPr>
                <w:p w14:paraId="02C9A3DD">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178" w:type="pct"/>
                  <w:tcBorders>
                    <w:tl2br w:val="nil"/>
                    <w:tr2bl w:val="nil"/>
                  </w:tcBorders>
                  <w:noWrap w:val="0"/>
                  <w:vAlign w:val="center"/>
                </w:tcPr>
                <w:p w14:paraId="3CF520AE">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166" w:type="pct"/>
                  <w:tcBorders>
                    <w:tl2br w:val="nil"/>
                    <w:tr2bl w:val="nil"/>
                  </w:tcBorders>
                  <w:noWrap w:val="0"/>
                  <w:vAlign w:val="center"/>
                </w:tcPr>
                <w:p w14:paraId="0FBE0681">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w:t>
                  </w:r>
                </w:p>
              </w:tc>
              <w:tc>
                <w:tcPr>
                  <w:tcW w:w="510" w:type="pct"/>
                  <w:vMerge w:val="continue"/>
                  <w:tcBorders>
                    <w:tl2br w:val="nil"/>
                    <w:tr2bl w:val="nil"/>
                  </w:tcBorders>
                  <w:noWrap w:val="0"/>
                  <w:vAlign w:val="center"/>
                </w:tcPr>
                <w:p w14:paraId="7DBCE8CA">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sz w:val="18"/>
                      <w:szCs w:val="18"/>
                    </w:rPr>
                  </w:pPr>
                </w:p>
              </w:tc>
              <w:tc>
                <w:tcPr>
                  <w:tcW w:w="263" w:type="pct"/>
                  <w:tcBorders>
                    <w:tl2br w:val="nil"/>
                    <w:tr2bl w:val="nil"/>
                  </w:tcBorders>
                  <w:noWrap w:val="0"/>
                  <w:vAlign w:val="center"/>
                </w:tcPr>
                <w:p w14:paraId="66CF49E7">
                  <w:pPr>
                    <w:pStyle w:val="52"/>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2"/>
                      <w:kern w:val="2"/>
                      <w:sz w:val="18"/>
                      <w:szCs w:val="18"/>
                      <w:lang w:val="en-US" w:eastAsia="zh-CN" w:bidi="ar-SA"/>
                    </w:rPr>
                  </w:pPr>
                  <w:r>
                    <w:rPr>
                      <w:rFonts w:hint="eastAsia" w:ascii="宋体" w:hAnsi="宋体" w:eastAsia="宋体" w:cs="宋体"/>
                      <w:spacing w:val="-2"/>
                      <w:sz w:val="18"/>
                      <w:szCs w:val="18"/>
                      <w:lang w:val="en-US" w:eastAsia="zh-CN"/>
                    </w:rPr>
                    <w:t>/</w:t>
                  </w:r>
                </w:p>
              </w:tc>
            </w:tr>
          </w:tbl>
          <w:p w14:paraId="07C6F4C4">
            <w:pPr>
              <w:adjustRightInd w:val="0"/>
              <w:snapToGrid w:val="0"/>
              <w:spacing w:line="360" w:lineRule="auto"/>
              <w:rPr>
                <w:rFonts w:hint="eastAsia" w:ascii="宋体" w:cs="宋体"/>
                <w:b/>
                <w:kern w:val="0"/>
                <w:sz w:val="28"/>
                <w:szCs w:val="28"/>
                <w:vertAlign w:val="baseline"/>
              </w:rPr>
            </w:pPr>
          </w:p>
        </w:tc>
      </w:tr>
    </w:tbl>
    <w:p w14:paraId="3C9577B4">
      <w:pPr>
        <w:adjustRightInd w:val="0"/>
        <w:snapToGrid w:val="0"/>
        <w:spacing w:line="360" w:lineRule="auto"/>
        <w:rPr>
          <w:rFonts w:hint="eastAsia" w:ascii="宋体" w:cs="宋体"/>
          <w:b/>
          <w:kern w:val="0"/>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565"/>
      </w:tblGrid>
      <w:tr w14:paraId="75D7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1" w:hRule="atLeast"/>
        </w:trPr>
        <w:tc>
          <w:tcPr>
            <w:tcW w:w="496" w:type="dxa"/>
          </w:tcPr>
          <w:p w14:paraId="345FD171">
            <w:pPr>
              <w:adjustRightInd w:val="0"/>
              <w:snapToGrid w:val="0"/>
              <w:spacing w:line="360" w:lineRule="auto"/>
              <w:rPr>
                <w:rFonts w:hint="eastAsia" w:ascii="宋体" w:cs="宋体"/>
                <w:b/>
                <w:kern w:val="0"/>
                <w:sz w:val="28"/>
                <w:szCs w:val="28"/>
                <w:vertAlign w:val="baseline"/>
              </w:rPr>
            </w:pPr>
          </w:p>
        </w:tc>
        <w:tc>
          <w:tcPr>
            <w:tcW w:w="8565" w:type="dxa"/>
          </w:tcPr>
          <w:p w14:paraId="60C04385">
            <w:pPr>
              <w:pStyle w:val="52"/>
              <w:keepNext w:val="0"/>
              <w:keepLines w:val="0"/>
              <w:pageBreakBefore w:val="0"/>
              <w:widowControl w:val="0"/>
              <w:kinsoku/>
              <w:wordWrap/>
              <w:overflowPunct/>
              <w:topLinePunct w:val="0"/>
              <w:autoSpaceDE/>
              <w:autoSpaceDN/>
              <w:bidi w:val="0"/>
              <w:adjustRightInd/>
              <w:snapToGrid/>
              <w:spacing w:line="360" w:lineRule="auto"/>
              <w:ind w:left="115"/>
              <w:textAlignment w:val="auto"/>
              <w:rPr>
                <w:rFonts w:hint="eastAsia" w:ascii="宋体" w:hAnsi="宋体" w:eastAsia="宋体" w:cs="宋体"/>
                <w:sz w:val="24"/>
                <w:szCs w:val="24"/>
              </w:rPr>
            </w:pPr>
            <w:r>
              <w:rPr>
                <w:rFonts w:hint="eastAsia" w:ascii="宋体" w:hAnsi="宋体" w:eastAsia="宋体" w:cs="宋体"/>
                <w:b/>
                <w:bCs/>
                <w:spacing w:val="5"/>
                <w:sz w:val="24"/>
                <w:szCs w:val="24"/>
              </w:rPr>
              <w:t>二、废水</w:t>
            </w:r>
          </w:p>
          <w:p w14:paraId="472F07D1">
            <w:pPr>
              <w:pStyle w:val="52"/>
              <w:keepNext w:val="0"/>
              <w:keepLines w:val="0"/>
              <w:pageBreakBefore w:val="0"/>
              <w:widowControl w:val="0"/>
              <w:kinsoku/>
              <w:wordWrap/>
              <w:overflowPunct/>
              <w:topLinePunct w:val="0"/>
              <w:autoSpaceDE/>
              <w:autoSpaceDN/>
              <w:bidi w:val="0"/>
              <w:adjustRightInd/>
              <w:snapToGrid/>
              <w:spacing w:line="360" w:lineRule="auto"/>
              <w:ind w:left="548"/>
              <w:textAlignment w:val="auto"/>
              <w:rPr>
                <w:rFonts w:hint="eastAsia" w:ascii="宋体" w:hAnsi="宋体" w:eastAsia="宋体" w:cs="宋体"/>
                <w:b/>
                <w:bCs/>
                <w:spacing w:val="5"/>
                <w:sz w:val="24"/>
                <w:szCs w:val="24"/>
              </w:rPr>
            </w:pPr>
            <w:r>
              <w:rPr>
                <w:rFonts w:hint="eastAsia" w:ascii="宋体" w:hAnsi="宋体" w:eastAsia="宋体" w:cs="宋体"/>
                <w:b/>
                <w:bCs/>
                <w:spacing w:val="5"/>
                <w:sz w:val="24"/>
                <w:szCs w:val="24"/>
              </w:rPr>
              <w:t>1</w:t>
            </w:r>
            <w:r>
              <w:rPr>
                <w:rFonts w:hint="eastAsia" w:ascii="宋体" w:hAnsi="宋体" w:eastAsia="宋体" w:cs="宋体"/>
                <w:b/>
                <w:bCs/>
                <w:spacing w:val="-27"/>
                <w:sz w:val="24"/>
                <w:szCs w:val="24"/>
                <w:lang w:eastAsia="zh-CN"/>
              </w:rPr>
              <w:t>、</w:t>
            </w:r>
            <w:r>
              <w:rPr>
                <w:rFonts w:hint="eastAsia" w:ascii="宋体" w:hAnsi="宋体" w:eastAsia="宋体" w:cs="宋体"/>
                <w:b/>
                <w:bCs/>
                <w:spacing w:val="5"/>
                <w:sz w:val="24"/>
                <w:szCs w:val="24"/>
              </w:rPr>
              <w:t>废水源强与治理措施</w:t>
            </w:r>
          </w:p>
          <w:p w14:paraId="5C5EB9D4">
            <w:pPr>
              <w:pStyle w:val="52"/>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本项目排水实行“雨污分流”、“清污分流”。本项目</w:t>
            </w:r>
            <w:r>
              <w:rPr>
                <w:rFonts w:hint="eastAsia" w:ascii="宋体" w:hAnsi="宋体" w:eastAsia="宋体" w:cs="宋体"/>
                <w:spacing w:val="7"/>
                <w:sz w:val="24"/>
                <w:szCs w:val="24"/>
              </w:rPr>
              <w:t>产生的废水包括生产废</w:t>
            </w:r>
            <w:r>
              <w:rPr>
                <w:rFonts w:hint="eastAsia" w:ascii="宋体" w:hAnsi="宋体" w:eastAsia="宋体" w:cs="宋体"/>
                <w:spacing w:val="8"/>
                <w:sz w:val="24"/>
                <w:szCs w:val="24"/>
              </w:rPr>
              <w:t>水和生活污水。</w:t>
            </w:r>
          </w:p>
          <w:p w14:paraId="3A39E62E">
            <w:pPr>
              <w:pStyle w:val="52"/>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（1）生活污水</w:t>
            </w:r>
          </w:p>
          <w:p w14:paraId="75F8E449">
            <w:pPr>
              <w:pStyle w:val="52"/>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z w:val="24"/>
                <w:szCs w:val="24"/>
              </w:rPr>
            </w:pPr>
            <w:r>
              <w:rPr>
                <w:rFonts w:hint="eastAsia" w:ascii="宋体" w:hAnsi="宋体" w:eastAsia="宋体" w:cs="宋体"/>
                <w:spacing w:val="8"/>
                <w:sz w:val="24"/>
                <w:szCs w:val="24"/>
              </w:rPr>
              <w:t>企业设置员工</w:t>
            </w:r>
            <w:r>
              <w:rPr>
                <w:rFonts w:hint="eastAsia" w:ascii="宋体" w:hAnsi="宋体" w:eastAsia="宋体" w:cs="宋体"/>
                <w:spacing w:val="8"/>
                <w:sz w:val="24"/>
                <w:szCs w:val="24"/>
                <w:lang w:val="en-US" w:eastAsia="zh-CN"/>
              </w:rPr>
              <w:t>23</w:t>
            </w:r>
            <w:r>
              <w:rPr>
                <w:rFonts w:hint="eastAsia" w:ascii="宋体" w:hAnsi="宋体" w:eastAsia="宋体" w:cs="宋体"/>
                <w:spacing w:val="8"/>
                <w:sz w:val="24"/>
                <w:szCs w:val="24"/>
              </w:rPr>
              <w:t>人，生活用水量为</w:t>
            </w:r>
            <w:r>
              <w:rPr>
                <w:rFonts w:hint="eastAsia" w:ascii="宋体" w:hAnsi="宋体" w:eastAsia="宋体" w:cs="宋体"/>
                <w:spacing w:val="8"/>
                <w:sz w:val="24"/>
                <w:szCs w:val="24"/>
                <w:lang w:val="en-US" w:eastAsia="zh-CN"/>
              </w:rPr>
              <w:t>80</w:t>
            </w:r>
            <w:r>
              <w:rPr>
                <w:rFonts w:hint="eastAsia" w:ascii="宋体" w:hAnsi="宋体" w:eastAsia="宋体" w:cs="宋体"/>
                <w:spacing w:val="8"/>
                <w:sz w:val="24"/>
                <w:szCs w:val="24"/>
              </w:rPr>
              <w:t>L/人•d ，则每天生活用水量为</w:t>
            </w:r>
            <w:r>
              <w:rPr>
                <w:rFonts w:hint="eastAsia" w:ascii="宋体" w:hAnsi="宋体" w:eastAsia="宋体" w:cs="宋体"/>
                <w:spacing w:val="8"/>
                <w:sz w:val="24"/>
                <w:szCs w:val="24"/>
                <w:lang w:val="en-US" w:eastAsia="zh-CN"/>
              </w:rPr>
              <w:t>1.84</w:t>
            </w:r>
            <w:r>
              <w:rPr>
                <w:rFonts w:hint="eastAsia" w:ascii="宋体" w:hAnsi="宋体" w:eastAsia="宋体" w:cs="宋体"/>
                <w:spacing w:val="8"/>
                <w:sz w:val="24"/>
                <w:szCs w:val="24"/>
              </w:rPr>
              <w:t>t/d、</w:t>
            </w:r>
            <w:r>
              <w:rPr>
                <w:rFonts w:hint="eastAsia" w:ascii="宋体" w:hAnsi="宋体" w:eastAsia="宋体" w:cs="宋体"/>
                <w:spacing w:val="8"/>
                <w:sz w:val="24"/>
                <w:szCs w:val="24"/>
                <w:lang w:val="en-US" w:eastAsia="zh-CN"/>
              </w:rPr>
              <w:t>552</w:t>
            </w:r>
            <w:r>
              <w:rPr>
                <w:rFonts w:hint="eastAsia" w:ascii="宋体" w:hAnsi="宋体" w:eastAsia="宋体" w:cs="宋体"/>
                <w:spacing w:val="8"/>
                <w:sz w:val="24"/>
                <w:szCs w:val="24"/>
              </w:rPr>
              <w:t>t/a，排放按8</w:t>
            </w:r>
            <w:r>
              <w:rPr>
                <w:rFonts w:hint="eastAsia" w:ascii="宋体" w:hAnsi="宋体" w:eastAsia="宋体" w:cs="宋体"/>
                <w:spacing w:val="8"/>
                <w:sz w:val="24"/>
                <w:szCs w:val="24"/>
                <w:lang w:val="en-US" w:eastAsia="zh-CN"/>
              </w:rPr>
              <w:t>5</w:t>
            </w:r>
            <w:r>
              <w:rPr>
                <w:rFonts w:hint="eastAsia" w:ascii="宋体" w:hAnsi="宋体" w:eastAsia="宋体" w:cs="宋体"/>
                <w:spacing w:val="8"/>
                <w:sz w:val="24"/>
                <w:szCs w:val="24"/>
              </w:rPr>
              <w:t>%计，则每天污水排放量为</w:t>
            </w:r>
            <w:r>
              <w:rPr>
                <w:rFonts w:hint="eastAsia" w:ascii="宋体" w:hAnsi="宋体" w:eastAsia="宋体" w:cs="宋体"/>
                <w:spacing w:val="8"/>
                <w:sz w:val="24"/>
                <w:szCs w:val="24"/>
                <w:lang w:val="en-US" w:eastAsia="zh-CN"/>
              </w:rPr>
              <w:t>1.56</w:t>
            </w:r>
            <w:r>
              <w:rPr>
                <w:rFonts w:hint="eastAsia" w:ascii="宋体" w:hAnsi="宋体" w:eastAsia="宋体" w:cs="宋体"/>
                <w:spacing w:val="8"/>
                <w:sz w:val="24"/>
                <w:szCs w:val="24"/>
              </w:rPr>
              <w:t>t/d，</w:t>
            </w:r>
            <w:r>
              <w:rPr>
                <w:rFonts w:hint="eastAsia" w:ascii="宋体" w:hAnsi="宋体" w:eastAsia="宋体" w:cs="宋体"/>
                <w:spacing w:val="8"/>
                <w:sz w:val="24"/>
                <w:szCs w:val="24"/>
                <w:lang w:val="en-US" w:eastAsia="zh-CN"/>
              </w:rPr>
              <w:t>469.2</w:t>
            </w:r>
            <w:r>
              <w:rPr>
                <w:rFonts w:hint="eastAsia" w:ascii="宋体" w:hAnsi="宋体" w:eastAsia="宋体" w:cs="宋体"/>
                <w:spacing w:val="8"/>
                <w:sz w:val="24"/>
                <w:szCs w:val="24"/>
              </w:rPr>
              <w:t>t/a，</w:t>
            </w:r>
            <w:r>
              <w:rPr>
                <w:rFonts w:hint="eastAsia" w:ascii="宋体" w:hAnsi="宋体" w:eastAsia="宋体" w:cs="宋体"/>
                <w:spacing w:val="4"/>
                <w:sz w:val="24"/>
                <w:szCs w:val="24"/>
              </w:rPr>
              <w:t>主要污染物为</w:t>
            </w:r>
            <w:r>
              <w:rPr>
                <w:rFonts w:hint="eastAsia" w:ascii="宋体" w:hAnsi="宋体" w:eastAsia="宋体" w:cs="宋体"/>
                <w:spacing w:val="-37"/>
                <w:sz w:val="24"/>
                <w:szCs w:val="24"/>
              </w:rPr>
              <w:t xml:space="preserve"> </w:t>
            </w:r>
            <w:r>
              <w:rPr>
                <w:rFonts w:hint="eastAsia" w:ascii="宋体" w:hAnsi="宋体" w:eastAsia="宋体" w:cs="宋体"/>
                <w:sz w:val="24"/>
                <w:szCs w:val="24"/>
              </w:rPr>
              <w:t>COD</w:t>
            </w:r>
            <w:r>
              <w:rPr>
                <w:rFonts w:hint="eastAsia" w:ascii="宋体" w:hAnsi="宋体" w:eastAsia="宋体" w:cs="宋体"/>
                <w:spacing w:val="4"/>
                <w:sz w:val="24"/>
                <w:szCs w:val="24"/>
              </w:rPr>
              <w:t>、</w:t>
            </w:r>
            <w:r>
              <w:rPr>
                <w:rFonts w:hint="eastAsia" w:ascii="宋体" w:hAnsi="宋体" w:eastAsia="宋体" w:cs="宋体"/>
                <w:sz w:val="24"/>
                <w:szCs w:val="24"/>
              </w:rPr>
              <w:t>BOD</w:t>
            </w:r>
            <w:r>
              <w:rPr>
                <w:rFonts w:hint="eastAsia" w:ascii="宋体" w:hAnsi="宋体" w:eastAsia="宋体" w:cs="宋体"/>
                <w:spacing w:val="4"/>
                <w:position w:val="-1"/>
                <w:sz w:val="24"/>
                <w:szCs w:val="24"/>
                <w:vertAlign w:val="subscript"/>
              </w:rPr>
              <w:t>5</w:t>
            </w:r>
            <w:r>
              <w:rPr>
                <w:rFonts w:hint="eastAsia" w:ascii="宋体" w:hAnsi="宋体" w:eastAsia="宋体" w:cs="宋体"/>
                <w:spacing w:val="-8"/>
                <w:position w:val="-1"/>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SS</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NH</w:t>
            </w:r>
            <w:r>
              <w:rPr>
                <w:rFonts w:hint="eastAsia" w:ascii="宋体" w:hAnsi="宋体" w:eastAsia="宋体" w:cs="宋体"/>
                <w:spacing w:val="4"/>
                <w:sz w:val="24"/>
                <w:szCs w:val="24"/>
                <w:vertAlign w:val="subscript"/>
              </w:rPr>
              <w:t>3</w:t>
            </w:r>
            <w:r>
              <w:rPr>
                <w:rFonts w:hint="eastAsia" w:ascii="宋体" w:hAnsi="宋体" w:eastAsia="宋体" w:cs="宋体"/>
                <w:spacing w:val="4"/>
                <w:sz w:val="24"/>
                <w:szCs w:val="24"/>
              </w:rPr>
              <w:t>-N</w:t>
            </w:r>
            <w:r>
              <w:rPr>
                <w:rFonts w:hint="eastAsia" w:ascii="宋体" w:hAnsi="宋体" w:eastAsia="宋体" w:cs="宋体"/>
                <w:spacing w:val="5"/>
                <w:sz w:val="24"/>
                <w:szCs w:val="24"/>
              </w:rPr>
              <w:t>等；</w:t>
            </w:r>
          </w:p>
          <w:p w14:paraId="4857AEA0">
            <w:pPr>
              <w:pStyle w:val="52"/>
              <w:keepNext w:val="0"/>
              <w:keepLines w:val="0"/>
              <w:pageBreakBefore w:val="0"/>
              <w:widowControl w:val="0"/>
              <w:kinsoku/>
              <w:wordWrap/>
              <w:overflowPunct/>
              <w:topLinePunct w:val="0"/>
              <w:autoSpaceDE/>
              <w:autoSpaceDN/>
              <w:bidi w:val="0"/>
              <w:adjustRightInd/>
              <w:snapToGrid/>
              <w:spacing w:line="360" w:lineRule="auto"/>
              <w:ind w:left="111" w:right="107" w:firstLine="421"/>
              <w:textAlignment w:val="auto"/>
              <w:rPr>
                <w:rFonts w:hint="eastAsia" w:ascii="宋体" w:hAnsi="宋体" w:eastAsia="宋体" w:cs="宋体"/>
                <w:sz w:val="24"/>
                <w:szCs w:val="24"/>
              </w:rPr>
            </w:pPr>
            <w:r>
              <w:rPr>
                <w:rFonts w:hint="eastAsia" w:ascii="宋体" w:hAnsi="宋体" w:eastAsia="宋体" w:cs="宋体"/>
                <w:spacing w:val="17"/>
                <w:sz w:val="24"/>
                <w:szCs w:val="24"/>
              </w:rPr>
              <w:t>本项目</w:t>
            </w:r>
            <w:r>
              <w:rPr>
                <w:rFonts w:hint="eastAsia" w:cs="宋体"/>
                <w:spacing w:val="17"/>
                <w:sz w:val="24"/>
                <w:szCs w:val="24"/>
                <w:lang w:eastAsia="zh-CN"/>
              </w:rPr>
              <w:t>生活污水</w:t>
            </w:r>
            <w:r>
              <w:rPr>
                <w:rFonts w:hint="eastAsia" w:ascii="宋体" w:hAnsi="宋体" w:eastAsia="宋体" w:cs="宋体"/>
                <w:spacing w:val="17"/>
                <w:sz w:val="24"/>
                <w:szCs w:val="24"/>
              </w:rPr>
              <w:t>排入城市污水管</w:t>
            </w:r>
            <w:r>
              <w:rPr>
                <w:rFonts w:hint="eastAsia" w:ascii="宋体" w:hAnsi="宋体" w:eastAsia="宋体" w:cs="宋体"/>
                <w:spacing w:val="9"/>
                <w:sz w:val="24"/>
                <w:szCs w:val="24"/>
              </w:rPr>
              <w:t>网，</w:t>
            </w:r>
            <w:r>
              <w:rPr>
                <w:rFonts w:hint="eastAsia" w:ascii="宋体" w:hAnsi="宋体" w:eastAsia="宋体" w:cs="宋体"/>
                <w:spacing w:val="9"/>
                <w:sz w:val="24"/>
                <w:szCs w:val="24"/>
                <w:lang w:val="en-US" w:eastAsia="zh-CN"/>
              </w:rPr>
              <w:t>通过四平市污水处理厂处理后排入条子河</w:t>
            </w:r>
            <w:r>
              <w:rPr>
                <w:rFonts w:hint="eastAsia" w:ascii="宋体" w:hAnsi="宋体" w:eastAsia="宋体" w:cs="宋体"/>
                <w:spacing w:val="8"/>
                <w:sz w:val="24"/>
                <w:szCs w:val="24"/>
              </w:rPr>
              <w:t>。</w:t>
            </w:r>
          </w:p>
          <w:p w14:paraId="1B2A53BE">
            <w:pPr>
              <w:pStyle w:val="52"/>
              <w:keepNext w:val="0"/>
              <w:keepLines w:val="0"/>
              <w:pageBreakBefore w:val="0"/>
              <w:widowControl w:val="0"/>
              <w:kinsoku/>
              <w:wordWrap/>
              <w:overflowPunct/>
              <w:topLinePunct w:val="0"/>
              <w:autoSpaceDE/>
              <w:autoSpaceDN/>
              <w:bidi w:val="0"/>
              <w:adjustRightInd/>
              <w:snapToGrid/>
              <w:spacing w:line="360" w:lineRule="auto"/>
              <w:ind w:left="604"/>
              <w:textAlignment w:val="auto"/>
              <w:rPr>
                <w:rFonts w:hint="eastAsia" w:ascii="宋体" w:hAnsi="宋体" w:eastAsia="宋体" w:cs="宋体"/>
                <w:sz w:val="24"/>
                <w:szCs w:val="24"/>
              </w:rPr>
            </w:pPr>
            <w:r>
              <w:rPr>
                <w:rFonts w:hint="eastAsia" w:ascii="宋体" w:hAnsi="宋体" w:eastAsia="宋体" w:cs="宋体"/>
                <w:spacing w:val="6"/>
                <w:sz w:val="24"/>
                <w:szCs w:val="24"/>
              </w:rPr>
              <w:t>（2）生产废水</w:t>
            </w:r>
          </w:p>
          <w:p w14:paraId="7DD366D8">
            <w:pPr>
              <w:pStyle w:val="52"/>
              <w:keepNext w:val="0"/>
              <w:keepLines w:val="0"/>
              <w:pageBreakBefore w:val="0"/>
              <w:widowControl w:val="0"/>
              <w:kinsoku/>
              <w:wordWrap/>
              <w:overflowPunct/>
              <w:topLinePunct w:val="0"/>
              <w:autoSpaceDE/>
              <w:autoSpaceDN/>
              <w:bidi w:val="0"/>
              <w:adjustRightInd/>
              <w:snapToGrid/>
              <w:spacing w:line="360" w:lineRule="auto"/>
              <w:ind w:left="112" w:right="108" w:firstLine="421"/>
              <w:textAlignment w:val="auto"/>
              <w:rPr>
                <w:rFonts w:hint="eastAsia" w:ascii="宋体" w:hAnsi="宋体" w:eastAsia="宋体" w:cs="宋体"/>
                <w:sz w:val="24"/>
                <w:szCs w:val="24"/>
              </w:rPr>
            </w:pPr>
            <w:r>
              <w:rPr>
                <w:rFonts w:hint="eastAsia" w:ascii="宋体" w:hAnsi="宋体" w:eastAsia="宋体" w:cs="宋体"/>
                <w:spacing w:val="11"/>
                <w:sz w:val="24"/>
                <w:szCs w:val="24"/>
              </w:rPr>
              <w:t>生产废水为水洗后脱水产生的含酸废水，该部分废水中主要含有硫酸和少量的石墨，不</w:t>
            </w:r>
            <w:r>
              <w:rPr>
                <w:rFonts w:hint="eastAsia" w:ascii="宋体" w:hAnsi="宋体" w:eastAsia="宋体" w:cs="宋体"/>
                <w:spacing w:val="7"/>
                <w:sz w:val="24"/>
                <w:szCs w:val="24"/>
              </w:rPr>
              <w:t>含有机化合物。</w:t>
            </w:r>
          </w:p>
          <w:p w14:paraId="21E33508">
            <w:pPr>
              <w:pStyle w:val="52"/>
              <w:keepNext w:val="0"/>
              <w:keepLines w:val="0"/>
              <w:pageBreakBefore w:val="0"/>
              <w:widowControl w:val="0"/>
              <w:kinsoku/>
              <w:wordWrap/>
              <w:overflowPunct/>
              <w:topLinePunct w:val="0"/>
              <w:autoSpaceDE/>
              <w:autoSpaceDN/>
              <w:bidi w:val="0"/>
              <w:adjustRightInd/>
              <w:snapToGrid/>
              <w:spacing w:line="360" w:lineRule="auto"/>
              <w:ind w:left="112" w:right="20" w:firstLine="422"/>
              <w:jc w:val="both"/>
              <w:textAlignment w:val="auto"/>
              <w:rPr>
                <w:rFonts w:hint="eastAsia" w:ascii="宋体" w:hAnsi="宋体" w:eastAsia="宋体" w:cs="宋体"/>
                <w:sz w:val="24"/>
                <w:szCs w:val="24"/>
              </w:rPr>
            </w:pPr>
            <w:r>
              <w:rPr>
                <w:rFonts w:hint="eastAsia" w:ascii="宋体" w:hAnsi="宋体" w:eastAsia="宋体" w:cs="宋体"/>
                <w:spacing w:val="11"/>
                <w:sz w:val="24"/>
                <w:szCs w:val="24"/>
              </w:rPr>
              <w:t>工艺废水经过企业自建污水处理</w:t>
            </w:r>
            <w:r>
              <w:rPr>
                <w:rFonts w:hint="eastAsia" w:ascii="宋体" w:hAnsi="宋体" w:eastAsia="宋体" w:cs="宋体"/>
                <w:spacing w:val="11"/>
                <w:sz w:val="24"/>
                <w:szCs w:val="24"/>
                <w:lang w:val="en-US" w:eastAsia="zh-CN"/>
              </w:rPr>
              <w:t>系统</w:t>
            </w:r>
            <w:r>
              <w:rPr>
                <w:rFonts w:hint="eastAsia" w:ascii="宋体" w:hAnsi="宋体" w:eastAsia="宋体" w:cs="宋体"/>
                <w:spacing w:val="11"/>
                <w:sz w:val="24"/>
                <w:szCs w:val="24"/>
              </w:rPr>
              <w:t>处理后各项水污染物浓度达到《城市污水再生利用</w:t>
            </w:r>
            <w:r>
              <w:rPr>
                <w:rFonts w:hint="eastAsia" w:ascii="宋体" w:hAnsi="宋体" w:eastAsia="宋体" w:cs="宋体"/>
                <w:spacing w:val="7"/>
                <w:sz w:val="24"/>
                <w:szCs w:val="24"/>
              </w:rPr>
              <w:t xml:space="preserve">  工业用水水质》（</w:t>
            </w:r>
            <w:r>
              <w:rPr>
                <w:rFonts w:hint="eastAsia" w:ascii="宋体" w:hAnsi="宋体" w:eastAsia="宋体" w:cs="宋体"/>
                <w:sz w:val="24"/>
                <w:szCs w:val="24"/>
              </w:rPr>
              <w:t>GB</w:t>
            </w:r>
            <w:r>
              <w:rPr>
                <w:rFonts w:hint="eastAsia" w:ascii="宋体" w:hAnsi="宋体" w:eastAsia="宋体" w:cs="宋体"/>
                <w:spacing w:val="7"/>
                <w:sz w:val="24"/>
                <w:szCs w:val="24"/>
              </w:rPr>
              <w:t>/T19923-20</w:t>
            </w:r>
            <w:r>
              <w:rPr>
                <w:rFonts w:hint="eastAsia" w:ascii="宋体" w:hAnsi="宋体" w:eastAsia="宋体" w:cs="宋体"/>
                <w:spacing w:val="7"/>
                <w:sz w:val="24"/>
                <w:szCs w:val="24"/>
                <w:lang w:val="en-US" w:eastAsia="zh-CN"/>
              </w:rPr>
              <w:t>24</w:t>
            </w:r>
            <w:r>
              <w:rPr>
                <w:rFonts w:hint="eastAsia" w:ascii="宋体" w:hAnsi="宋体" w:eastAsia="宋体" w:cs="宋体"/>
                <w:spacing w:val="7"/>
                <w:sz w:val="24"/>
                <w:szCs w:val="24"/>
              </w:rPr>
              <w:t>）中工艺用水-原水标准后部分回用，回用率为</w:t>
            </w:r>
            <w:r>
              <w:rPr>
                <w:rFonts w:hint="eastAsia" w:ascii="宋体" w:hAnsi="宋体" w:eastAsia="宋体" w:cs="宋体"/>
                <w:spacing w:val="7"/>
                <w:sz w:val="24"/>
                <w:szCs w:val="24"/>
                <w:lang w:val="en-US" w:eastAsia="zh-CN"/>
              </w:rPr>
              <w:t>90</w:t>
            </w:r>
            <w:r>
              <w:rPr>
                <w:rFonts w:hint="eastAsia" w:ascii="宋体" w:hAnsi="宋体" w:eastAsia="宋体" w:cs="宋体"/>
                <w:spacing w:val="7"/>
                <w:sz w:val="24"/>
                <w:szCs w:val="24"/>
              </w:rPr>
              <w:t>%；</w:t>
            </w:r>
            <w:r>
              <w:rPr>
                <w:rFonts w:hint="eastAsia" w:ascii="宋体" w:hAnsi="宋体" w:eastAsia="宋体" w:cs="宋体"/>
                <w:spacing w:val="7"/>
                <w:sz w:val="24"/>
                <w:szCs w:val="24"/>
                <w:highlight w:val="none"/>
              </w:rPr>
              <w:t>剩余</w:t>
            </w:r>
            <w:r>
              <w:rPr>
                <w:rFonts w:hint="eastAsia" w:ascii="宋体" w:hAnsi="宋体" w:eastAsia="宋体" w:cs="宋体"/>
                <w:spacing w:val="3"/>
                <w:sz w:val="24"/>
                <w:szCs w:val="24"/>
                <w:highlight w:val="none"/>
              </w:rPr>
              <w:t>排入</w:t>
            </w:r>
            <w:r>
              <w:rPr>
                <w:rFonts w:hint="eastAsia" w:ascii="宋体" w:hAnsi="宋体" w:eastAsia="宋体" w:cs="宋体"/>
                <w:spacing w:val="3"/>
                <w:sz w:val="24"/>
                <w:szCs w:val="24"/>
                <w:lang w:val="en-US" w:eastAsia="zh-CN"/>
              </w:rPr>
              <w:t>四平市</w:t>
            </w:r>
            <w:r>
              <w:rPr>
                <w:rFonts w:hint="eastAsia" w:ascii="宋体" w:hAnsi="宋体" w:eastAsia="宋体" w:cs="宋体"/>
                <w:spacing w:val="3"/>
                <w:sz w:val="24"/>
                <w:szCs w:val="24"/>
              </w:rPr>
              <w:t>污水处理厂，</w:t>
            </w:r>
            <w:r>
              <w:rPr>
                <w:rFonts w:hint="eastAsia" w:ascii="宋体" w:hAnsi="宋体" w:eastAsia="宋体" w:cs="宋体"/>
                <w:spacing w:val="6"/>
                <w:sz w:val="24"/>
                <w:szCs w:val="24"/>
              </w:rPr>
              <w:t>生产废水拟采取的处理工艺如下。</w:t>
            </w:r>
          </w:p>
          <w:p w14:paraId="5EC2F6E9">
            <w:pPr>
              <w:pStyle w:val="52"/>
              <w:keepNext w:val="0"/>
              <w:keepLines w:val="0"/>
              <w:pageBreakBefore w:val="0"/>
              <w:widowControl w:val="0"/>
              <w:kinsoku/>
              <w:wordWrap/>
              <w:overflowPunct/>
              <w:topLinePunct w:val="0"/>
              <w:autoSpaceDE/>
              <w:autoSpaceDN/>
              <w:bidi w:val="0"/>
              <w:adjustRightInd/>
              <w:snapToGrid/>
              <w:spacing w:line="360" w:lineRule="auto"/>
              <w:ind w:right="110" w:firstLine="496" w:firstLineChars="200"/>
              <w:textAlignment w:val="auto"/>
              <w:rPr>
                <w:rFonts w:hint="eastAsia" w:ascii="宋体" w:hAnsi="宋体" w:eastAsia="宋体" w:cs="宋体"/>
                <w:spacing w:val="8"/>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）中和反应：在</w:t>
            </w:r>
            <w:r>
              <w:rPr>
                <w:rFonts w:hint="eastAsia" w:ascii="宋体" w:hAnsi="宋体" w:eastAsia="宋体" w:cs="宋体"/>
                <w:spacing w:val="4"/>
                <w:sz w:val="24"/>
                <w:szCs w:val="24"/>
                <w:lang w:val="en-US" w:eastAsia="zh-CN"/>
              </w:rPr>
              <w:t>污水</w:t>
            </w:r>
            <w:r>
              <w:rPr>
                <w:rFonts w:hint="eastAsia" w:ascii="宋体" w:hAnsi="宋体" w:eastAsia="宋体" w:cs="宋体"/>
                <w:spacing w:val="4"/>
                <w:sz w:val="24"/>
                <w:szCs w:val="24"/>
              </w:rPr>
              <w:t>罐中加入一定量的</w:t>
            </w:r>
            <w:r>
              <w:rPr>
                <w:rFonts w:hint="eastAsia" w:ascii="宋体" w:hAnsi="宋体" w:eastAsia="宋体" w:cs="宋体"/>
                <w:spacing w:val="4"/>
                <w:sz w:val="24"/>
                <w:szCs w:val="24"/>
                <w:lang w:val="en-US" w:eastAsia="zh-CN"/>
              </w:rPr>
              <w:t>氢氧化钙</w:t>
            </w:r>
            <w:r>
              <w:rPr>
                <w:rFonts w:hint="eastAsia" w:ascii="宋体" w:hAnsi="宋体" w:eastAsia="宋体" w:cs="宋体"/>
                <w:spacing w:val="-10"/>
                <w:sz w:val="24"/>
                <w:szCs w:val="24"/>
              </w:rPr>
              <w:t>，</w:t>
            </w:r>
            <w:r>
              <w:rPr>
                <w:rFonts w:hint="eastAsia" w:ascii="宋体" w:hAnsi="宋体" w:eastAsia="宋体" w:cs="宋体"/>
                <w:spacing w:val="4"/>
                <w:sz w:val="24"/>
                <w:szCs w:val="24"/>
              </w:rPr>
              <w:t>进行中和搅拌反应</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1小时，</w:t>
            </w:r>
            <w:r>
              <w:rPr>
                <w:rFonts w:hint="eastAsia" w:ascii="宋体" w:hAnsi="宋体" w:eastAsia="宋体" w:cs="宋体"/>
                <w:spacing w:val="8"/>
                <w:sz w:val="24"/>
                <w:szCs w:val="24"/>
              </w:rPr>
              <w:t>反应到水</w:t>
            </w:r>
            <w:r>
              <w:rPr>
                <w:rFonts w:hint="eastAsia" w:ascii="宋体" w:hAnsi="宋体" w:eastAsia="宋体" w:cs="宋体"/>
                <w:spacing w:val="-44"/>
                <w:sz w:val="24"/>
                <w:szCs w:val="24"/>
              </w:rPr>
              <w:t xml:space="preserve"> </w:t>
            </w:r>
            <w:r>
              <w:rPr>
                <w:rFonts w:hint="eastAsia" w:cs="宋体"/>
                <w:spacing w:val="-44"/>
                <w:sz w:val="24"/>
                <w:szCs w:val="24"/>
                <w:lang w:eastAsia="zh-CN"/>
              </w:rPr>
              <w:t>pH值</w:t>
            </w:r>
            <w:r>
              <w:rPr>
                <w:rFonts w:hint="eastAsia" w:ascii="宋体" w:hAnsi="宋体" w:eastAsia="宋体" w:cs="宋体"/>
                <w:spacing w:val="8"/>
                <w:sz w:val="24"/>
                <w:szCs w:val="24"/>
              </w:rPr>
              <w:t>达到6-9之间，</w:t>
            </w:r>
            <w:r>
              <w:rPr>
                <w:rFonts w:hint="eastAsia" w:ascii="宋体" w:hAnsi="宋体" w:eastAsia="宋体" w:cs="宋体"/>
                <w:spacing w:val="7"/>
                <w:sz w:val="24"/>
                <w:szCs w:val="24"/>
              </w:rPr>
              <w:t>石灰与</w:t>
            </w:r>
            <w:r>
              <w:rPr>
                <w:rFonts w:hint="eastAsia" w:ascii="宋体" w:hAnsi="宋体" w:eastAsia="宋体" w:cs="宋体"/>
                <w:spacing w:val="8"/>
                <w:sz w:val="24"/>
                <w:szCs w:val="24"/>
              </w:rPr>
              <w:t>硫酸反应生成硫酸钙沉淀。</w:t>
            </w:r>
          </w:p>
          <w:p w14:paraId="2E130659">
            <w:pPr>
              <w:pStyle w:val="52"/>
              <w:keepNext w:val="0"/>
              <w:keepLines w:val="0"/>
              <w:pageBreakBefore w:val="0"/>
              <w:widowControl w:val="0"/>
              <w:kinsoku/>
              <w:wordWrap/>
              <w:overflowPunct/>
              <w:topLinePunct w:val="0"/>
              <w:autoSpaceDE/>
              <w:autoSpaceDN/>
              <w:bidi w:val="0"/>
              <w:adjustRightInd/>
              <w:snapToGrid/>
              <w:spacing w:line="360" w:lineRule="auto"/>
              <w:ind w:left="113" w:right="107" w:firstLine="428"/>
              <w:textAlignment w:val="auto"/>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2</w:t>
            </w:r>
            <w:r>
              <w:rPr>
                <w:rFonts w:hint="eastAsia" w:ascii="宋体" w:hAnsi="宋体" w:eastAsia="宋体" w:cs="宋体"/>
                <w:spacing w:val="8"/>
                <w:sz w:val="24"/>
                <w:szCs w:val="24"/>
              </w:rPr>
              <w:t>）</w:t>
            </w:r>
            <w:r>
              <w:rPr>
                <w:rFonts w:hint="eastAsia" w:ascii="宋体" w:hAnsi="宋体" w:eastAsia="宋体" w:cs="宋体"/>
                <w:sz w:val="24"/>
                <w:szCs w:val="24"/>
              </w:rPr>
              <w:t>PAC</w:t>
            </w:r>
            <w:r>
              <w:rPr>
                <w:rFonts w:hint="eastAsia" w:ascii="宋体" w:hAnsi="宋体" w:eastAsia="宋体" w:cs="宋体"/>
                <w:spacing w:val="8"/>
                <w:sz w:val="24"/>
                <w:szCs w:val="24"/>
              </w:rPr>
              <w:t>絮凝沉淀：向</w:t>
            </w:r>
            <w:r>
              <w:rPr>
                <w:rFonts w:hint="eastAsia" w:ascii="宋体" w:hAnsi="宋体" w:eastAsia="宋体" w:cs="宋体"/>
                <w:spacing w:val="8"/>
                <w:sz w:val="24"/>
                <w:szCs w:val="24"/>
                <w:lang w:val="en-US" w:eastAsia="zh-CN"/>
              </w:rPr>
              <w:t>污水</w:t>
            </w:r>
            <w:r>
              <w:rPr>
                <w:rFonts w:hint="eastAsia" w:ascii="宋体" w:hAnsi="宋体" w:eastAsia="宋体" w:cs="宋体"/>
                <w:spacing w:val="8"/>
                <w:sz w:val="24"/>
                <w:szCs w:val="24"/>
              </w:rPr>
              <w:t>罐中的废水投加聚合氯化铝（</w:t>
            </w:r>
            <w:r>
              <w:rPr>
                <w:rFonts w:hint="eastAsia" w:ascii="宋体" w:hAnsi="宋体" w:eastAsia="宋体" w:cs="宋体"/>
                <w:sz w:val="24"/>
                <w:szCs w:val="24"/>
              </w:rPr>
              <w:t>PAC</w:t>
            </w:r>
            <w:r>
              <w:rPr>
                <w:rFonts w:hint="eastAsia" w:ascii="宋体" w:hAnsi="宋体" w:eastAsia="宋体" w:cs="宋体"/>
                <w:spacing w:val="8"/>
                <w:sz w:val="24"/>
                <w:szCs w:val="24"/>
              </w:rPr>
              <w:t>），进</w:t>
            </w:r>
            <w:r>
              <w:rPr>
                <w:rFonts w:hint="eastAsia" w:ascii="宋体" w:hAnsi="宋体" w:eastAsia="宋体" w:cs="宋体"/>
                <w:spacing w:val="11"/>
                <w:sz w:val="24"/>
                <w:szCs w:val="24"/>
              </w:rPr>
              <w:t>行混凝反应，进一步去除水中的硫酸钙等悬浮物，可降低污水色度，也可将污水中大部分悬</w:t>
            </w:r>
            <w:r>
              <w:rPr>
                <w:rFonts w:hint="eastAsia" w:ascii="宋体" w:hAnsi="宋体" w:eastAsia="宋体" w:cs="宋体"/>
                <w:spacing w:val="8"/>
                <w:sz w:val="24"/>
                <w:szCs w:val="24"/>
              </w:rPr>
              <w:t>浮物截留下来，进入压滤脱水工序。</w:t>
            </w:r>
          </w:p>
          <w:p w14:paraId="3E328DE2">
            <w:pPr>
              <w:pStyle w:val="52"/>
              <w:keepNext w:val="0"/>
              <w:keepLines w:val="0"/>
              <w:pageBreakBefore w:val="0"/>
              <w:widowControl w:val="0"/>
              <w:kinsoku/>
              <w:wordWrap/>
              <w:overflowPunct/>
              <w:topLinePunct w:val="0"/>
              <w:autoSpaceDE/>
              <w:autoSpaceDN/>
              <w:bidi w:val="0"/>
              <w:adjustRightInd/>
              <w:snapToGrid/>
              <w:spacing w:line="360" w:lineRule="auto"/>
              <w:ind w:right="110" w:firstLine="516" w:firstLineChars="200"/>
              <w:textAlignment w:val="auto"/>
              <w:rPr>
                <w:rFonts w:hint="eastAsia" w:ascii="宋体" w:hAnsi="宋体" w:eastAsia="宋体" w:cs="宋体"/>
                <w:spacing w:val="7"/>
                <w:sz w:val="24"/>
                <w:szCs w:val="24"/>
                <w:highlight w:val="none"/>
              </w:rPr>
            </w:pP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）压滤脱水：经絮凝反应后的含泥废水打入压滤机进行固液分离，压滤</w:t>
            </w:r>
            <w:r>
              <w:rPr>
                <w:rFonts w:hint="eastAsia" w:ascii="宋体" w:hAnsi="宋体" w:eastAsia="宋体" w:cs="宋体"/>
                <w:spacing w:val="11"/>
                <w:sz w:val="24"/>
                <w:szCs w:val="24"/>
              </w:rPr>
              <w:t>脱水后进入沉淀罐，脱出的污泥外运。沉淀罐上清液出水部分回用，</w:t>
            </w:r>
            <w:r>
              <w:rPr>
                <w:rFonts w:hint="eastAsia" w:ascii="宋体" w:hAnsi="宋体" w:eastAsia="宋体" w:cs="宋体"/>
                <w:spacing w:val="11"/>
                <w:sz w:val="24"/>
                <w:szCs w:val="24"/>
                <w:highlight w:val="none"/>
              </w:rPr>
              <w:t>剩余部分</w:t>
            </w:r>
            <w:r>
              <w:rPr>
                <w:rFonts w:hint="eastAsia" w:ascii="宋体" w:hAnsi="宋体" w:eastAsia="宋体" w:cs="宋体"/>
                <w:spacing w:val="7"/>
                <w:sz w:val="24"/>
                <w:szCs w:val="24"/>
                <w:highlight w:val="none"/>
              </w:rPr>
              <w:t>排入园区污水管网。</w:t>
            </w:r>
          </w:p>
          <w:p w14:paraId="1DBC7AED">
            <w:pPr>
              <w:pStyle w:val="52"/>
              <w:keepNext w:val="0"/>
              <w:keepLines w:val="0"/>
              <w:pageBreakBefore w:val="0"/>
              <w:widowControl w:val="0"/>
              <w:kinsoku/>
              <w:wordWrap/>
              <w:overflowPunct/>
              <w:topLinePunct w:val="0"/>
              <w:autoSpaceDE/>
              <w:autoSpaceDN/>
              <w:bidi w:val="0"/>
              <w:adjustRightInd/>
              <w:snapToGrid/>
              <w:spacing w:line="360" w:lineRule="auto"/>
              <w:ind w:right="110" w:firstLine="508" w:firstLineChars="200"/>
              <w:textAlignment w:val="auto"/>
              <w:rPr>
                <w:rFonts w:hint="eastAsia" w:ascii="宋体" w:hAnsi="宋体" w:eastAsia="宋体" w:cs="宋体"/>
                <w:spacing w:val="7"/>
                <w:sz w:val="24"/>
                <w:szCs w:val="24"/>
                <w:highlight w:val="none"/>
              </w:rPr>
            </w:pPr>
          </w:p>
          <w:p w14:paraId="37F010C4">
            <w:pPr>
              <w:pStyle w:val="52"/>
              <w:keepNext w:val="0"/>
              <w:keepLines w:val="0"/>
              <w:pageBreakBefore w:val="0"/>
              <w:widowControl w:val="0"/>
              <w:kinsoku/>
              <w:wordWrap/>
              <w:overflowPunct/>
              <w:topLinePunct w:val="0"/>
              <w:autoSpaceDE/>
              <w:autoSpaceDN/>
              <w:bidi w:val="0"/>
              <w:adjustRightInd/>
              <w:snapToGrid/>
              <w:spacing w:line="360" w:lineRule="auto"/>
              <w:ind w:right="110"/>
              <w:textAlignment w:val="auto"/>
              <w:rPr>
                <w:rFonts w:hint="eastAsia" w:ascii="宋体" w:hAnsi="宋体" w:eastAsia="宋体" w:cs="宋体"/>
                <w:spacing w:val="7"/>
                <w:sz w:val="24"/>
                <w:szCs w:val="24"/>
                <w:highlight w:val="none"/>
              </w:rPr>
            </w:pPr>
          </w:p>
          <w:p w14:paraId="1B492D97">
            <w:pPr>
              <w:adjustRightInd w:val="0"/>
              <w:snapToGrid w:val="0"/>
              <w:rPr>
                <w:rFonts w:hint="eastAsia" w:ascii="Times New Roman" w:hAnsi="Times New Roman" w:eastAsia="宋体" w:cs="Times New Roman"/>
                <w:b/>
                <w:bCs/>
                <w:spacing w:val="6"/>
                <w:lang w:val="en-US" w:eastAsia="zh-CN"/>
              </w:rPr>
            </w:pPr>
            <w:r>
              <w:rPr>
                <w:rFonts w:hint="eastAsia" w:ascii="Times New Roman" w:hAnsi="Times New Roman" w:eastAsia="宋体" w:cs="Times New Roman"/>
                <w:b/>
                <w:bCs/>
                <w:spacing w:val="6"/>
                <w:lang w:val="en-US" w:eastAsia="zh-CN"/>
              </w:rPr>
              <w:t xml:space="preserve">  </w:t>
            </w:r>
          </w:p>
          <w:p w14:paraId="202655D1">
            <w:pPr>
              <w:adjustRightInd w:val="0"/>
              <w:snapToGrid w:val="0"/>
              <w:rPr>
                <w:rFonts w:hint="default" w:ascii="Times New Roman" w:hAnsi="Times New Roman" w:eastAsia="宋体" w:cs="Times New Roman"/>
                <w:b/>
                <w:bCs/>
                <w:spacing w:val="6"/>
                <w:lang w:val="en-US" w:eastAsia="zh-CN"/>
              </w:rPr>
            </w:pPr>
            <w:r>
              <w:rPr>
                <w:rFonts w:hint="eastAsia" w:ascii="Times New Roman" w:hAnsi="Times New Roman" w:eastAsia="宋体" w:cs="Times New Roman"/>
                <w:b/>
                <w:bCs/>
                <w:spacing w:val="6"/>
                <w:lang w:val="en-US" w:eastAsia="zh-CN"/>
              </w:rPr>
              <w:t xml:space="preserve">   </w:t>
            </w:r>
            <w:r>
              <w:rPr>
                <w:rFonts w:hint="eastAsia" w:cs="Times New Roman"/>
                <w:b/>
                <w:bCs/>
                <w:spacing w:val="6"/>
                <w:lang w:val="en-US" w:eastAsia="zh-CN"/>
              </w:rPr>
              <w:t xml:space="preserve">  </w:t>
            </w:r>
            <w:r>
              <w:rPr>
                <w:b/>
                <w:bCs/>
                <w:spacing w:val="6"/>
              </w:rPr>
              <w:t>表</w:t>
            </w:r>
            <w:r>
              <w:rPr>
                <w:spacing w:val="-26"/>
              </w:rPr>
              <w:t xml:space="preserve"> </w:t>
            </w:r>
            <w:r>
              <w:rPr>
                <w:rFonts w:ascii="Times New Roman" w:hAnsi="Times New Roman" w:eastAsia="Times New Roman" w:cs="Times New Roman"/>
                <w:b/>
                <w:bCs/>
                <w:spacing w:val="6"/>
              </w:rPr>
              <w:t>4-</w:t>
            </w:r>
            <w:r>
              <w:rPr>
                <w:rFonts w:hint="eastAsia" w:eastAsia="宋体" w:cs="Times New Roman"/>
                <w:b/>
                <w:bCs/>
                <w:spacing w:val="6"/>
                <w:lang w:val="en-US" w:eastAsia="zh-CN"/>
              </w:rPr>
              <w:t>4</w:t>
            </w:r>
            <w:r>
              <w:rPr>
                <w:rFonts w:ascii="Times New Roman" w:hAnsi="Times New Roman" w:eastAsia="Times New Roman" w:cs="Times New Roman"/>
                <w:b/>
                <w:bCs/>
                <w:spacing w:val="6"/>
              </w:rPr>
              <w:t xml:space="preserve">    </w:t>
            </w:r>
            <w:r>
              <w:rPr>
                <w:b/>
                <w:bCs/>
                <w:spacing w:val="6"/>
              </w:rPr>
              <w:t>废水各工艺构筑物去除率效果分析表</w:t>
            </w:r>
            <w:r>
              <w:rPr>
                <w:spacing w:val="6"/>
              </w:rPr>
              <w:t xml:space="preserve">    </w:t>
            </w:r>
            <w:r>
              <w:rPr>
                <w:b/>
                <w:bCs/>
                <w:spacing w:val="6"/>
              </w:rPr>
              <w:t>单位：</w:t>
            </w:r>
            <w:r>
              <w:rPr>
                <w:rFonts w:ascii="Times New Roman" w:hAnsi="Times New Roman" w:eastAsia="Times New Roman" w:cs="Times New Roman"/>
                <w:b/>
                <w:bCs/>
              </w:rPr>
              <w:t>mg</w:t>
            </w:r>
            <w:r>
              <w:rPr>
                <w:rFonts w:ascii="Times New Roman" w:hAnsi="Times New Roman" w:eastAsia="Times New Roman" w:cs="Times New Roman"/>
                <w:b/>
                <w:bCs/>
                <w:spacing w:val="6"/>
              </w:rPr>
              <w:t>/L</w:t>
            </w:r>
          </w:p>
          <w:tbl>
            <w:tblPr>
              <w:tblStyle w:val="53"/>
              <w:tblW w:w="4998"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Layout w:type="fixed"/>
              <w:tblCellMar>
                <w:top w:w="0" w:type="dxa"/>
                <w:left w:w="0" w:type="dxa"/>
                <w:bottom w:w="0" w:type="dxa"/>
                <w:right w:w="0" w:type="dxa"/>
              </w:tblCellMar>
            </w:tblPr>
            <w:tblGrid>
              <w:gridCol w:w="818"/>
              <w:gridCol w:w="1116"/>
              <w:gridCol w:w="755"/>
              <w:gridCol w:w="627"/>
              <w:gridCol w:w="700"/>
              <w:gridCol w:w="743"/>
              <w:gridCol w:w="820"/>
              <w:gridCol w:w="875"/>
              <w:gridCol w:w="582"/>
              <w:gridCol w:w="627"/>
              <w:gridCol w:w="653"/>
            </w:tblGrid>
            <w:tr w14:paraId="5D8CB2C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295" w:hRule="atLeast"/>
                <w:jc w:val="center"/>
              </w:trPr>
              <w:tc>
                <w:tcPr>
                  <w:tcW w:w="491" w:type="pct"/>
                  <w:vMerge w:val="restart"/>
                  <w:tcBorders>
                    <w:tl2br w:val="nil"/>
                    <w:tr2bl w:val="nil"/>
                  </w:tcBorders>
                  <w:noWrap w:val="0"/>
                  <w:vAlign w:val="center"/>
                </w:tcPr>
                <w:p w14:paraId="754CDB55">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来源</w:t>
                  </w:r>
                </w:p>
              </w:tc>
              <w:tc>
                <w:tcPr>
                  <w:tcW w:w="670" w:type="pct"/>
                  <w:vMerge w:val="restart"/>
                  <w:tcBorders>
                    <w:tl2br w:val="nil"/>
                    <w:tr2bl w:val="nil"/>
                  </w:tcBorders>
                  <w:noWrap w:val="0"/>
                  <w:vAlign w:val="center"/>
                </w:tcPr>
                <w:p w14:paraId="0CA1C4A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项目</w:t>
                  </w:r>
                </w:p>
              </w:tc>
              <w:tc>
                <w:tcPr>
                  <w:tcW w:w="453" w:type="pct"/>
                  <w:vMerge w:val="restart"/>
                  <w:tcBorders>
                    <w:tl2br w:val="nil"/>
                    <w:tr2bl w:val="nil"/>
                  </w:tcBorders>
                  <w:noWrap w:val="0"/>
                  <w:vAlign w:val="center"/>
                </w:tcPr>
                <w:p w14:paraId="7DE2C81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PH</w:t>
                  </w:r>
                </w:p>
              </w:tc>
              <w:tc>
                <w:tcPr>
                  <w:tcW w:w="797" w:type="pct"/>
                  <w:gridSpan w:val="2"/>
                  <w:tcBorders>
                    <w:tl2br w:val="nil"/>
                    <w:tr2bl w:val="nil"/>
                  </w:tcBorders>
                  <w:noWrap w:val="0"/>
                  <w:vAlign w:val="center"/>
                </w:tcPr>
                <w:p w14:paraId="50E9548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COD</w:t>
                  </w:r>
                </w:p>
              </w:tc>
              <w:tc>
                <w:tcPr>
                  <w:tcW w:w="939" w:type="pct"/>
                  <w:gridSpan w:val="2"/>
                  <w:tcBorders>
                    <w:tl2br w:val="nil"/>
                    <w:tr2bl w:val="nil"/>
                  </w:tcBorders>
                  <w:noWrap w:val="0"/>
                  <w:vAlign w:val="center"/>
                </w:tcPr>
                <w:p w14:paraId="4AB64CE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氨氮</w:t>
                  </w:r>
                </w:p>
              </w:tc>
              <w:tc>
                <w:tcPr>
                  <w:tcW w:w="876" w:type="pct"/>
                  <w:gridSpan w:val="2"/>
                  <w:tcBorders>
                    <w:tl2br w:val="nil"/>
                    <w:tr2bl w:val="nil"/>
                  </w:tcBorders>
                  <w:noWrap w:val="0"/>
                  <w:vAlign w:val="center"/>
                </w:tcPr>
                <w:p w14:paraId="33103AD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SS</w:t>
                  </w:r>
                </w:p>
              </w:tc>
              <w:tc>
                <w:tcPr>
                  <w:tcW w:w="769" w:type="pct"/>
                  <w:gridSpan w:val="2"/>
                  <w:tcBorders>
                    <w:tl2br w:val="nil"/>
                    <w:tr2bl w:val="nil"/>
                  </w:tcBorders>
                  <w:noWrap w:val="0"/>
                  <w:vAlign w:val="center"/>
                </w:tcPr>
                <w:p w14:paraId="408A2691">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硫酸盐</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中和后）</w:t>
                  </w:r>
                </w:p>
              </w:tc>
            </w:tr>
            <w:tr w14:paraId="3A7FC5A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295" w:hRule="atLeast"/>
                <w:jc w:val="center"/>
              </w:trPr>
              <w:tc>
                <w:tcPr>
                  <w:tcW w:w="491" w:type="pct"/>
                  <w:vMerge w:val="continue"/>
                  <w:tcBorders>
                    <w:tl2br w:val="nil"/>
                    <w:tr2bl w:val="nil"/>
                  </w:tcBorders>
                  <w:noWrap w:val="0"/>
                  <w:vAlign w:val="center"/>
                </w:tcPr>
                <w:p w14:paraId="4B8FB137">
                  <w:pPr>
                    <w:jc w:val="center"/>
                    <w:rPr>
                      <w:rFonts w:hint="eastAsia" w:ascii="宋体" w:hAnsi="宋体" w:eastAsia="宋体" w:cs="宋体"/>
                      <w:b w:val="0"/>
                      <w:bCs w:val="0"/>
                      <w:sz w:val="18"/>
                      <w:szCs w:val="18"/>
                      <w:lang w:val="en-US" w:eastAsia="zh-CN"/>
                    </w:rPr>
                  </w:pPr>
                </w:p>
              </w:tc>
              <w:tc>
                <w:tcPr>
                  <w:tcW w:w="670" w:type="pct"/>
                  <w:vMerge w:val="continue"/>
                  <w:tcBorders>
                    <w:tl2br w:val="nil"/>
                    <w:tr2bl w:val="nil"/>
                  </w:tcBorders>
                  <w:noWrap w:val="0"/>
                  <w:vAlign w:val="center"/>
                </w:tcPr>
                <w:p w14:paraId="087333E9">
                  <w:pPr>
                    <w:jc w:val="center"/>
                    <w:rPr>
                      <w:rFonts w:hint="eastAsia" w:ascii="宋体" w:hAnsi="宋体" w:eastAsia="宋体" w:cs="宋体"/>
                      <w:b w:val="0"/>
                      <w:bCs w:val="0"/>
                      <w:sz w:val="18"/>
                      <w:szCs w:val="18"/>
                    </w:rPr>
                  </w:pPr>
                </w:p>
              </w:tc>
              <w:tc>
                <w:tcPr>
                  <w:tcW w:w="453" w:type="pct"/>
                  <w:vMerge w:val="continue"/>
                  <w:tcBorders>
                    <w:tl2br w:val="nil"/>
                    <w:tr2bl w:val="nil"/>
                  </w:tcBorders>
                  <w:noWrap w:val="0"/>
                  <w:vAlign w:val="center"/>
                </w:tcPr>
                <w:p w14:paraId="5A1098D9">
                  <w:pPr>
                    <w:jc w:val="center"/>
                    <w:rPr>
                      <w:rFonts w:hint="eastAsia" w:ascii="宋体" w:hAnsi="宋体" w:eastAsia="宋体" w:cs="宋体"/>
                      <w:b w:val="0"/>
                      <w:bCs w:val="0"/>
                      <w:sz w:val="18"/>
                      <w:szCs w:val="18"/>
                    </w:rPr>
                  </w:pPr>
                </w:p>
              </w:tc>
              <w:tc>
                <w:tcPr>
                  <w:tcW w:w="376" w:type="pct"/>
                  <w:tcBorders>
                    <w:tl2br w:val="nil"/>
                    <w:tr2bl w:val="nil"/>
                  </w:tcBorders>
                  <w:noWrap w:val="0"/>
                  <w:vAlign w:val="center"/>
                </w:tcPr>
                <w:p w14:paraId="6B144090">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浓度</w:t>
                  </w:r>
                  <w:r>
                    <w:rPr>
                      <w:rFonts w:hint="eastAsia" w:ascii="宋体" w:hAnsi="宋体" w:eastAsia="宋体" w:cs="宋体"/>
                      <w:b w:val="0"/>
                      <w:bCs w:val="0"/>
                      <w:sz w:val="18"/>
                      <w:szCs w:val="18"/>
                    </w:rPr>
                    <w:t>mg</w:t>
                  </w:r>
                  <w:r>
                    <w:rPr>
                      <w:rFonts w:hint="eastAsia" w:ascii="宋体" w:hAnsi="宋体" w:eastAsia="宋体" w:cs="宋体"/>
                      <w:b w:val="0"/>
                      <w:bCs w:val="0"/>
                      <w:spacing w:val="6"/>
                      <w:sz w:val="18"/>
                      <w:szCs w:val="18"/>
                    </w:rPr>
                    <w:t>/L</w:t>
                  </w:r>
                </w:p>
              </w:tc>
              <w:tc>
                <w:tcPr>
                  <w:tcW w:w="420" w:type="pct"/>
                  <w:tcBorders>
                    <w:tl2br w:val="nil"/>
                    <w:tr2bl w:val="nil"/>
                  </w:tcBorders>
                  <w:noWrap w:val="0"/>
                  <w:vAlign w:val="center"/>
                </w:tcPr>
                <w:p w14:paraId="7C54D7F5">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量t/a</w:t>
                  </w:r>
                </w:p>
              </w:tc>
              <w:tc>
                <w:tcPr>
                  <w:tcW w:w="446" w:type="pct"/>
                  <w:tcBorders>
                    <w:tl2br w:val="nil"/>
                    <w:tr2bl w:val="nil"/>
                  </w:tcBorders>
                  <w:noWrap w:val="0"/>
                  <w:vAlign w:val="center"/>
                </w:tcPr>
                <w:p w14:paraId="068634F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浓度</w:t>
                  </w:r>
                  <w:r>
                    <w:rPr>
                      <w:rFonts w:hint="eastAsia" w:ascii="宋体" w:hAnsi="宋体" w:eastAsia="宋体" w:cs="宋体"/>
                      <w:b w:val="0"/>
                      <w:bCs w:val="0"/>
                      <w:sz w:val="18"/>
                      <w:szCs w:val="18"/>
                    </w:rPr>
                    <w:t>mg</w:t>
                  </w:r>
                  <w:r>
                    <w:rPr>
                      <w:rFonts w:hint="eastAsia" w:ascii="宋体" w:hAnsi="宋体" w:eastAsia="宋体" w:cs="宋体"/>
                      <w:b w:val="0"/>
                      <w:bCs w:val="0"/>
                      <w:spacing w:val="6"/>
                      <w:sz w:val="18"/>
                      <w:szCs w:val="18"/>
                    </w:rPr>
                    <w:t>/L</w:t>
                  </w:r>
                </w:p>
              </w:tc>
              <w:tc>
                <w:tcPr>
                  <w:tcW w:w="493" w:type="pct"/>
                  <w:tcBorders>
                    <w:tl2br w:val="nil"/>
                    <w:tr2bl w:val="nil"/>
                  </w:tcBorders>
                  <w:noWrap w:val="0"/>
                  <w:vAlign w:val="center"/>
                </w:tcPr>
                <w:p w14:paraId="74B609C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量t/a</w:t>
                  </w:r>
                </w:p>
              </w:tc>
              <w:tc>
                <w:tcPr>
                  <w:tcW w:w="526" w:type="pct"/>
                  <w:tcBorders>
                    <w:tl2br w:val="nil"/>
                    <w:tr2bl w:val="nil"/>
                  </w:tcBorders>
                  <w:noWrap w:val="0"/>
                  <w:vAlign w:val="center"/>
                </w:tcPr>
                <w:p w14:paraId="7CF7F28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浓度</w:t>
                  </w:r>
                  <w:r>
                    <w:rPr>
                      <w:rFonts w:hint="eastAsia" w:ascii="宋体" w:hAnsi="宋体" w:eastAsia="宋体" w:cs="宋体"/>
                      <w:b w:val="0"/>
                      <w:bCs w:val="0"/>
                      <w:sz w:val="18"/>
                      <w:szCs w:val="18"/>
                    </w:rPr>
                    <w:t>mg</w:t>
                  </w:r>
                  <w:r>
                    <w:rPr>
                      <w:rFonts w:hint="eastAsia" w:ascii="宋体" w:hAnsi="宋体" w:eastAsia="宋体" w:cs="宋体"/>
                      <w:b w:val="0"/>
                      <w:bCs w:val="0"/>
                      <w:spacing w:val="6"/>
                      <w:sz w:val="18"/>
                      <w:szCs w:val="18"/>
                    </w:rPr>
                    <w:t>/L</w:t>
                  </w:r>
                </w:p>
              </w:tc>
              <w:tc>
                <w:tcPr>
                  <w:tcW w:w="349" w:type="pct"/>
                  <w:tcBorders>
                    <w:tl2br w:val="nil"/>
                    <w:tr2bl w:val="nil"/>
                  </w:tcBorders>
                  <w:noWrap w:val="0"/>
                  <w:vAlign w:val="center"/>
                </w:tcPr>
                <w:p w14:paraId="3F28214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量t/a</w:t>
                  </w:r>
                </w:p>
              </w:tc>
              <w:tc>
                <w:tcPr>
                  <w:tcW w:w="376" w:type="pct"/>
                  <w:tcBorders>
                    <w:tl2br w:val="nil"/>
                    <w:tr2bl w:val="nil"/>
                  </w:tcBorders>
                  <w:noWrap w:val="0"/>
                  <w:vAlign w:val="center"/>
                </w:tcPr>
                <w:p w14:paraId="084F668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浓度</w:t>
                  </w:r>
                  <w:r>
                    <w:rPr>
                      <w:rFonts w:hint="eastAsia" w:ascii="宋体" w:hAnsi="宋体" w:eastAsia="宋体" w:cs="宋体"/>
                      <w:b w:val="0"/>
                      <w:bCs w:val="0"/>
                      <w:sz w:val="18"/>
                      <w:szCs w:val="18"/>
                    </w:rPr>
                    <w:t>mg</w:t>
                  </w:r>
                  <w:r>
                    <w:rPr>
                      <w:rFonts w:hint="eastAsia" w:ascii="宋体" w:hAnsi="宋体" w:eastAsia="宋体" w:cs="宋体"/>
                      <w:b w:val="0"/>
                      <w:bCs w:val="0"/>
                      <w:spacing w:val="6"/>
                      <w:sz w:val="18"/>
                      <w:szCs w:val="18"/>
                    </w:rPr>
                    <w:t>/L</w:t>
                  </w:r>
                </w:p>
              </w:tc>
              <w:tc>
                <w:tcPr>
                  <w:tcW w:w="392" w:type="pct"/>
                  <w:tcBorders>
                    <w:tl2br w:val="nil"/>
                    <w:tr2bl w:val="nil"/>
                  </w:tcBorders>
                  <w:noWrap w:val="0"/>
                  <w:vAlign w:val="center"/>
                </w:tcPr>
                <w:p w14:paraId="38D89FD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量t/a</w:t>
                  </w:r>
                </w:p>
              </w:tc>
            </w:tr>
            <w:tr w14:paraId="4F1F2FB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295" w:hRule="atLeast"/>
                <w:jc w:val="center"/>
              </w:trPr>
              <w:tc>
                <w:tcPr>
                  <w:tcW w:w="5000" w:type="pct"/>
                  <w:gridSpan w:val="11"/>
                  <w:tcBorders>
                    <w:tl2br w:val="nil"/>
                    <w:tr2bl w:val="nil"/>
                  </w:tcBorders>
                  <w:noWrap w:val="0"/>
                  <w:vAlign w:val="center"/>
                </w:tcPr>
                <w:p w14:paraId="134F66DC">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生活污水</w:t>
                  </w:r>
                </w:p>
              </w:tc>
            </w:tr>
            <w:tr w14:paraId="5FD807C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295" w:hRule="atLeast"/>
                <w:jc w:val="center"/>
              </w:trPr>
              <w:tc>
                <w:tcPr>
                  <w:tcW w:w="1162" w:type="pct"/>
                  <w:gridSpan w:val="2"/>
                  <w:tcBorders>
                    <w:tl2br w:val="nil"/>
                    <w:tr2bl w:val="nil"/>
                  </w:tcBorders>
                  <w:noWrap w:val="0"/>
                  <w:vAlign w:val="center"/>
                </w:tcPr>
                <w:p w14:paraId="116E14CC">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生活污水</w:t>
                  </w:r>
                  <w:r>
                    <w:rPr>
                      <w:rFonts w:hint="eastAsia" w:ascii="宋体" w:hAnsi="宋体" w:cs="宋体"/>
                      <w:b w:val="0"/>
                      <w:bCs w:val="0"/>
                      <w:sz w:val="18"/>
                      <w:szCs w:val="18"/>
                      <w:lang w:val="en-US" w:eastAsia="zh-CN"/>
                    </w:rPr>
                    <w:t>586.5</w:t>
                  </w:r>
                  <w:r>
                    <w:rPr>
                      <w:rFonts w:hint="eastAsia" w:ascii="宋体" w:hAnsi="宋体" w:eastAsia="宋体" w:cs="宋体"/>
                      <w:b w:val="0"/>
                      <w:bCs w:val="0"/>
                      <w:sz w:val="18"/>
                      <w:szCs w:val="18"/>
                      <w:lang w:val="en-US" w:eastAsia="zh-CN"/>
                    </w:rPr>
                    <w:t>/a</w:t>
                  </w:r>
                </w:p>
              </w:tc>
              <w:tc>
                <w:tcPr>
                  <w:tcW w:w="453" w:type="pct"/>
                  <w:tcBorders>
                    <w:tl2br w:val="nil"/>
                    <w:tr2bl w:val="nil"/>
                  </w:tcBorders>
                  <w:noWrap w:val="0"/>
                  <w:vAlign w:val="center"/>
                </w:tcPr>
                <w:p w14:paraId="2F554C0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6-9</w:t>
                  </w:r>
                </w:p>
              </w:tc>
              <w:tc>
                <w:tcPr>
                  <w:tcW w:w="376" w:type="pct"/>
                  <w:tcBorders>
                    <w:tl2br w:val="nil"/>
                    <w:tr2bl w:val="nil"/>
                  </w:tcBorders>
                  <w:noWrap w:val="0"/>
                  <w:vAlign w:val="center"/>
                </w:tcPr>
                <w:p w14:paraId="5A46FB9F">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300</w:t>
                  </w:r>
                </w:p>
              </w:tc>
              <w:tc>
                <w:tcPr>
                  <w:tcW w:w="420" w:type="pct"/>
                  <w:tcBorders>
                    <w:tl2br w:val="nil"/>
                    <w:tr2bl w:val="nil"/>
                  </w:tcBorders>
                  <w:noWrap w:val="0"/>
                  <w:vAlign w:val="center"/>
                </w:tcPr>
                <w:p w14:paraId="27B6EF8F">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0.1</w:t>
                  </w:r>
                  <w:r>
                    <w:rPr>
                      <w:rFonts w:hint="eastAsia" w:ascii="宋体" w:hAnsi="宋体" w:cs="宋体"/>
                      <w:b w:val="0"/>
                      <w:bCs w:val="0"/>
                      <w:sz w:val="18"/>
                      <w:szCs w:val="18"/>
                      <w:lang w:val="en-US" w:eastAsia="zh-CN"/>
                    </w:rPr>
                    <w:t>8</w:t>
                  </w:r>
                </w:p>
              </w:tc>
              <w:tc>
                <w:tcPr>
                  <w:tcW w:w="446" w:type="pct"/>
                  <w:tcBorders>
                    <w:tl2br w:val="nil"/>
                    <w:tr2bl w:val="nil"/>
                  </w:tcBorders>
                  <w:noWrap w:val="0"/>
                  <w:vAlign w:val="center"/>
                </w:tcPr>
                <w:p w14:paraId="552EB1D1">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25</w:t>
                  </w:r>
                </w:p>
              </w:tc>
              <w:tc>
                <w:tcPr>
                  <w:tcW w:w="493" w:type="pct"/>
                  <w:tcBorders>
                    <w:tl2br w:val="nil"/>
                    <w:tr2bl w:val="nil"/>
                  </w:tcBorders>
                  <w:noWrap w:val="0"/>
                  <w:vAlign w:val="center"/>
                </w:tcPr>
                <w:p w14:paraId="466C81C8">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0.01</w:t>
                  </w:r>
                  <w:r>
                    <w:rPr>
                      <w:rFonts w:hint="eastAsia" w:ascii="宋体" w:hAnsi="宋体" w:cs="宋体"/>
                      <w:b w:val="0"/>
                      <w:bCs w:val="0"/>
                      <w:sz w:val="18"/>
                      <w:szCs w:val="18"/>
                      <w:lang w:val="en-US" w:eastAsia="zh-CN"/>
                    </w:rPr>
                    <w:t>5</w:t>
                  </w:r>
                </w:p>
              </w:tc>
              <w:tc>
                <w:tcPr>
                  <w:tcW w:w="526" w:type="pct"/>
                  <w:tcBorders>
                    <w:tl2br w:val="nil"/>
                    <w:tr2bl w:val="nil"/>
                  </w:tcBorders>
                  <w:noWrap w:val="0"/>
                  <w:vAlign w:val="center"/>
                </w:tcPr>
                <w:p w14:paraId="09FD8C71">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300</w:t>
                  </w:r>
                </w:p>
              </w:tc>
              <w:tc>
                <w:tcPr>
                  <w:tcW w:w="349" w:type="pct"/>
                  <w:tcBorders>
                    <w:tl2br w:val="nil"/>
                    <w:tr2bl w:val="nil"/>
                  </w:tcBorders>
                  <w:noWrap w:val="0"/>
                  <w:vAlign w:val="center"/>
                </w:tcPr>
                <w:p w14:paraId="084EC746">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0.1</w:t>
                  </w:r>
                  <w:r>
                    <w:rPr>
                      <w:rFonts w:hint="eastAsia" w:ascii="宋体" w:hAnsi="宋体" w:cs="宋体"/>
                      <w:b w:val="0"/>
                      <w:bCs w:val="0"/>
                      <w:sz w:val="18"/>
                      <w:szCs w:val="18"/>
                      <w:lang w:val="en-US" w:eastAsia="zh-CN"/>
                    </w:rPr>
                    <w:t>8</w:t>
                  </w:r>
                </w:p>
              </w:tc>
              <w:tc>
                <w:tcPr>
                  <w:tcW w:w="376" w:type="pct"/>
                  <w:tcBorders>
                    <w:tl2br w:val="nil"/>
                    <w:tr2bl w:val="nil"/>
                  </w:tcBorders>
                  <w:noWrap w:val="0"/>
                  <w:vAlign w:val="center"/>
                </w:tcPr>
                <w:p w14:paraId="52F8108A">
                  <w:pPr>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392" w:type="pct"/>
                  <w:tcBorders>
                    <w:tl2br w:val="nil"/>
                    <w:tr2bl w:val="nil"/>
                  </w:tcBorders>
                  <w:noWrap w:val="0"/>
                  <w:vAlign w:val="center"/>
                </w:tcPr>
                <w:p w14:paraId="2B31E3D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w:t>
                  </w:r>
                </w:p>
              </w:tc>
            </w:tr>
            <w:tr w14:paraId="30B62DC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295" w:hRule="atLeast"/>
                <w:jc w:val="center"/>
              </w:trPr>
              <w:tc>
                <w:tcPr>
                  <w:tcW w:w="1162" w:type="pct"/>
                  <w:gridSpan w:val="2"/>
                  <w:tcBorders>
                    <w:tl2br w:val="nil"/>
                    <w:tr2bl w:val="nil"/>
                  </w:tcBorders>
                  <w:noWrap w:val="0"/>
                  <w:vAlign w:val="center"/>
                </w:tcPr>
                <w:p w14:paraId="74A23BEC">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标准</w:t>
                  </w:r>
                </w:p>
              </w:tc>
              <w:tc>
                <w:tcPr>
                  <w:tcW w:w="453" w:type="pct"/>
                  <w:tcBorders>
                    <w:tl2br w:val="nil"/>
                    <w:tr2bl w:val="nil"/>
                  </w:tcBorders>
                  <w:noWrap w:val="0"/>
                  <w:vAlign w:val="center"/>
                </w:tcPr>
                <w:p w14:paraId="1511B4D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6-9</w:t>
                  </w:r>
                </w:p>
              </w:tc>
              <w:tc>
                <w:tcPr>
                  <w:tcW w:w="376" w:type="pct"/>
                  <w:tcBorders>
                    <w:tl2br w:val="nil"/>
                    <w:tr2bl w:val="nil"/>
                  </w:tcBorders>
                  <w:shd w:val="clear" w:color="auto" w:fill="auto"/>
                  <w:noWrap w:val="0"/>
                  <w:vAlign w:val="center"/>
                </w:tcPr>
                <w:p w14:paraId="3848C937">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300</w:t>
                  </w:r>
                </w:p>
              </w:tc>
              <w:tc>
                <w:tcPr>
                  <w:tcW w:w="420" w:type="pct"/>
                  <w:tcBorders>
                    <w:tl2br w:val="nil"/>
                    <w:tr2bl w:val="nil"/>
                  </w:tcBorders>
                  <w:shd w:val="clear" w:color="auto" w:fill="auto"/>
                  <w:noWrap w:val="0"/>
                  <w:vAlign w:val="center"/>
                </w:tcPr>
                <w:p w14:paraId="717BCD93">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0.1</w:t>
                  </w:r>
                  <w:r>
                    <w:rPr>
                      <w:rFonts w:hint="eastAsia" w:ascii="宋体" w:hAnsi="宋体" w:cs="宋体"/>
                      <w:b w:val="0"/>
                      <w:bCs w:val="0"/>
                      <w:sz w:val="18"/>
                      <w:szCs w:val="18"/>
                      <w:lang w:val="en-US" w:eastAsia="zh-CN"/>
                    </w:rPr>
                    <w:t>8</w:t>
                  </w:r>
                </w:p>
              </w:tc>
              <w:tc>
                <w:tcPr>
                  <w:tcW w:w="446" w:type="pct"/>
                  <w:tcBorders>
                    <w:tl2br w:val="nil"/>
                    <w:tr2bl w:val="nil"/>
                  </w:tcBorders>
                  <w:shd w:val="clear" w:color="auto" w:fill="auto"/>
                  <w:noWrap w:val="0"/>
                  <w:vAlign w:val="center"/>
                </w:tcPr>
                <w:p w14:paraId="2E77BBF2">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25</w:t>
                  </w:r>
                </w:p>
              </w:tc>
              <w:tc>
                <w:tcPr>
                  <w:tcW w:w="493" w:type="pct"/>
                  <w:tcBorders>
                    <w:tl2br w:val="nil"/>
                    <w:tr2bl w:val="nil"/>
                  </w:tcBorders>
                  <w:shd w:val="clear" w:color="auto" w:fill="auto"/>
                  <w:noWrap w:val="0"/>
                  <w:vAlign w:val="center"/>
                </w:tcPr>
                <w:p w14:paraId="51D5E866">
                  <w:pPr>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0.01</w:t>
                  </w:r>
                  <w:r>
                    <w:rPr>
                      <w:rFonts w:hint="eastAsia" w:ascii="宋体" w:hAnsi="宋体" w:cs="宋体"/>
                      <w:b w:val="0"/>
                      <w:bCs w:val="0"/>
                      <w:sz w:val="18"/>
                      <w:szCs w:val="18"/>
                      <w:lang w:val="en-US" w:eastAsia="zh-CN"/>
                    </w:rPr>
                    <w:t>5</w:t>
                  </w:r>
                </w:p>
              </w:tc>
              <w:tc>
                <w:tcPr>
                  <w:tcW w:w="526" w:type="pct"/>
                  <w:tcBorders>
                    <w:tl2br w:val="nil"/>
                    <w:tr2bl w:val="nil"/>
                  </w:tcBorders>
                  <w:shd w:val="clear" w:color="auto" w:fill="auto"/>
                  <w:noWrap w:val="0"/>
                  <w:vAlign w:val="center"/>
                </w:tcPr>
                <w:p w14:paraId="6A093EFB">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300</w:t>
                  </w:r>
                </w:p>
              </w:tc>
              <w:tc>
                <w:tcPr>
                  <w:tcW w:w="349" w:type="pct"/>
                  <w:tcBorders>
                    <w:tl2br w:val="nil"/>
                    <w:tr2bl w:val="nil"/>
                  </w:tcBorders>
                  <w:shd w:val="clear" w:color="auto" w:fill="auto"/>
                  <w:noWrap w:val="0"/>
                  <w:vAlign w:val="center"/>
                </w:tcPr>
                <w:p w14:paraId="7F5523AF">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0.1</w:t>
                  </w:r>
                  <w:r>
                    <w:rPr>
                      <w:rFonts w:hint="eastAsia" w:ascii="宋体" w:hAnsi="宋体" w:cs="宋体"/>
                      <w:b w:val="0"/>
                      <w:bCs w:val="0"/>
                      <w:sz w:val="18"/>
                      <w:szCs w:val="18"/>
                      <w:lang w:val="en-US" w:eastAsia="zh-CN"/>
                    </w:rPr>
                    <w:t>8</w:t>
                  </w:r>
                </w:p>
              </w:tc>
              <w:tc>
                <w:tcPr>
                  <w:tcW w:w="376" w:type="pct"/>
                  <w:tcBorders>
                    <w:tl2br w:val="nil"/>
                    <w:tr2bl w:val="nil"/>
                  </w:tcBorders>
                  <w:noWrap w:val="0"/>
                  <w:vAlign w:val="center"/>
                </w:tcPr>
                <w:p w14:paraId="59CF8645">
                  <w:pPr>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392" w:type="pct"/>
                  <w:tcBorders>
                    <w:tl2br w:val="nil"/>
                    <w:tr2bl w:val="nil"/>
                  </w:tcBorders>
                  <w:noWrap w:val="0"/>
                  <w:vAlign w:val="center"/>
                </w:tcPr>
                <w:p w14:paraId="5D5A008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w:t>
                  </w:r>
                </w:p>
              </w:tc>
            </w:tr>
            <w:tr w14:paraId="6FD8AD9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295" w:hRule="atLeast"/>
                <w:jc w:val="center"/>
              </w:trPr>
              <w:tc>
                <w:tcPr>
                  <w:tcW w:w="5000" w:type="pct"/>
                  <w:gridSpan w:val="11"/>
                  <w:tcBorders>
                    <w:tl2br w:val="nil"/>
                    <w:tr2bl w:val="nil"/>
                  </w:tcBorders>
                  <w:noWrap w:val="0"/>
                  <w:vAlign w:val="center"/>
                </w:tcPr>
                <w:p w14:paraId="1C027CEE">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生产污水</w:t>
                  </w:r>
                </w:p>
              </w:tc>
            </w:tr>
            <w:tr w14:paraId="7D68231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314" w:hRule="atLeast"/>
                <w:jc w:val="center"/>
              </w:trPr>
              <w:tc>
                <w:tcPr>
                  <w:tcW w:w="491" w:type="pct"/>
                  <w:vMerge w:val="restart"/>
                  <w:tcBorders>
                    <w:tl2br w:val="nil"/>
                    <w:tr2bl w:val="nil"/>
                  </w:tcBorders>
                  <w:noWrap w:val="0"/>
                  <w:vAlign w:val="center"/>
                </w:tcPr>
                <w:p w14:paraId="4D0BBE82">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中和+混凝沉淀+压滤</w:t>
                  </w:r>
                  <w:r>
                    <w:rPr>
                      <w:rFonts w:hint="eastAsia" w:ascii="宋体" w:hAnsi="宋体" w:cs="宋体"/>
                      <w:b w:val="0"/>
                      <w:bCs w:val="0"/>
                      <w:sz w:val="18"/>
                      <w:szCs w:val="18"/>
                      <w:lang w:val="en-US" w:eastAsia="zh-CN"/>
                    </w:rPr>
                    <w:t>2622</w:t>
                  </w:r>
                  <w:r>
                    <w:rPr>
                      <w:rFonts w:hint="eastAsia" w:ascii="宋体" w:hAnsi="宋体" w:eastAsia="宋体" w:cs="宋体"/>
                      <w:b w:val="0"/>
                      <w:bCs w:val="0"/>
                      <w:sz w:val="18"/>
                      <w:szCs w:val="18"/>
                      <w:lang w:val="en-US" w:eastAsia="zh-CN"/>
                    </w:rPr>
                    <w:t>t/a</w:t>
                  </w:r>
                </w:p>
              </w:tc>
              <w:tc>
                <w:tcPr>
                  <w:tcW w:w="670" w:type="pct"/>
                  <w:tcBorders>
                    <w:tl2br w:val="nil"/>
                    <w:tr2bl w:val="nil"/>
                  </w:tcBorders>
                  <w:noWrap w:val="0"/>
                  <w:vAlign w:val="center"/>
                </w:tcPr>
                <w:p w14:paraId="37FF36D6">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水洗</w:t>
                  </w:r>
                  <w:r>
                    <w:rPr>
                      <w:rFonts w:hint="eastAsia" w:ascii="宋体" w:hAnsi="宋体" w:eastAsia="宋体" w:cs="宋体"/>
                      <w:b w:val="0"/>
                      <w:bCs w:val="0"/>
                      <w:sz w:val="18"/>
                      <w:szCs w:val="18"/>
                    </w:rPr>
                    <w:t>进水</w:t>
                  </w:r>
                  <w:r>
                    <w:rPr>
                      <w:rFonts w:hint="eastAsia" w:ascii="宋体" w:hAnsi="宋体" w:cs="宋体"/>
                      <w:b w:val="0"/>
                      <w:bCs w:val="0"/>
                      <w:sz w:val="18"/>
                      <w:szCs w:val="18"/>
                      <w:lang w:val="en-US" w:eastAsia="zh-CN"/>
                    </w:rPr>
                    <w:t>2010</w:t>
                  </w:r>
                </w:p>
              </w:tc>
              <w:tc>
                <w:tcPr>
                  <w:tcW w:w="453" w:type="pct"/>
                  <w:tcBorders>
                    <w:tl2br w:val="nil"/>
                    <w:tr2bl w:val="nil"/>
                  </w:tcBorders>
                  <w:noWrap w:val="0"/>
                  <w:vAlign w:val="center"/>
                </w:tcPr>
                <w:p w14:paraId="02EE9D32">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0.33</w:t>
                  </w:r>
                </w:p>
              </w:tc>
              <w:tc>
                <w:tcPr>
                  <w:tcW w:w="376" w:type="pct"/>
                  <w:tcBorders>
                    <w:tl2br w:val="nil"/>
                    <w:tr2bl w:val="nil"/>
                  </w:tcBorders>
                  <w:noWrap w:val="0"/>
                  <w:vAlign w:val="center"/>
                </w:tcPr>
                <w:p w14:paraId="7BC071F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w:t>
                  </w:r>
                </w:p>
              </w:tc>
              <w:tc>
                <w:tcPr>
                  <w:tcW w:w="420" w:type="pct"/>
                  <w:tcBorders>
                    <w:tl2br w:val="nil"/>
                    <w:tr2bl w:val="nil"/>
                  </w:tcBorders>
                  <w:noWrap w:val="0"/>
                  <w:vAlign w:val="center"/>
                </w:tcPr>
                <w:p w14:paraId="56AA9A5B">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0.1</w:t>
                  </w:r>
                </w:p>
              </w:tc>
              <w:tc>
                <w:tcPr>
                  <w:tcW w:w="446" w:type="pct"/>
                  <w:tcBorders>
                    <w:tl2br w:val="nil"/>
                    <w:tr2bl w:val="nil"/>
                  </w:tcBorders>
                  <w:noWrap w:val="0"/>
                  <w:vAlign w:val="center"/>
                </w:tcPr>
                <w:p w14:paraId="65AF8FE1">
                  <w:pPr>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0</w:t>
                  </w:r>
                </w:p>
              </w:tc>
              <w:tc>
                <w:tcPr>
                  <w:tcW w:w="493" w:type="pct"/>
                  <w:tcBorders>
                    <w:tl2br w:val="nil"/>
                    <w:tr2bl w:val="nil"/>
                  </w:tcBorders>
                  <w:noWrap w:val="0"/>
                  <w:vAlign w:val="center"/>
                </w:tcPr>
                <w:p w14:paraId="4445FEEF">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w:t>
                  </w:r>
                  <w:r>
                    <w:rPr>
                      <w:rFonts w:hint="eastAsia" w:ascii="宋体" w:hAnsi="宋体" w:cs="宋体"/>
                      <w:b w:val="0"/>
                      <w:bCs w:val="0"/>
                      <w:sz w:val="18"/>
                      <w:szCs w:val="18"/>
                      <w:lang w:val="en-US" w:eastAsia="zh-CN"/>
                    </w:rPr>
                    <w:t>5</w:t>
                  </w:r>
                </w:p>
              </w:tc>
              <w:tc>
                <w:tcPr>
                  <w:tcW w:w="526" w:type="pct"/>
                  <w:tcBorders>
                    <w:tl2br w:val="nil"/>
                    <w:tr2bl w:val="nil"/>
                  </w:tcBorders>
                  <w:noWrap w:val="0"/>
                  <w:vAlign w:val="center"/>
                </w:tcPr>
                <w:p w14:paraId="17162C23">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w:t>
                  </w:r>
                </w:p>
              </w:tc>
              <w:tc>
                <w:tcPr>
                  <w:tcW w:w="349" w:type="pct"/>
                  <w:tcBorders>
                    <w:tl2br w:val="nil"/>
                    <w:tr2bl w:val="nil"/>
                  </w:tcBorders>
                  <w:noWrap w:val="0"/>
                  <w:vAlign w:val="center"/>
                </w:tcPr>
                <w:p w14:paraId="7C397482">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10.0</w:t>
                  </w:r>
                </w:p>
              </w:tc>
              <w:tc>
                <w:tcPr>
                  <w:tcW w:w="376" w:type="pct"/>
                  <w:tcBorders>
                    <w:tl2br w:val="nil"/>
                    <w:tr2bl w:val="nil"/>
                  </w:tcBorders>
                  <w:noWrap w:val="0"/>
                  <w:vAlign w:val="center"/>
                </w:tcPr>
                <w:p w14:paraId="2DD3FE53">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2400</w:t>
                  </w:r>
                </w:p>
              </w:tc>
              <w:tc>
                <w:tcPr>
                  <w:tcW w:w="392" w:type="pct"/>
                  <w:tcBorders>
                    <w:tl2br w:val="nil"/>
                    <w:tr2bl w:val="nil"/>
                  </w:tcBorders>
                  <w:noWrap w:val="0"/>
                  <w:vAlign w:val="center"/>
                </w:tcPr>
                <w:p w14:paraId="6A7D6B47">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4.82</w:t>
                  </w:r>
                </w:p>
              </w:tc>
            </w:tr>
            <w:tr w14:paraId="62B38EA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314" w:hRule="atLeast"/>
                <w:jc w:val="center"/>
              </w:trPr>
              <w:tc>
                <w:tcPr>
                  <w:tcW w:w="491" w:type="pct"/>
                  <w:vMerge w:val="continue"/>
                  <w:tcBorders>
                    <w:tl2br w:val="nil"/>
                    <w:tr2bl w:val="nil"/>
                  </w:tcBorders>
                  <w:noWrap w:val="0"/>
                  <w:vAlign w:val="center"/>
                </w:tcPr>
                <w:p w14:paraId="2D94E97B">
                  <w:pPr>
                    <w:jc w:val="center"/>
                    <w:rPr>
                      <w:rFonts w:hint="eastAsia" w:ascii="宋体" w:hAnsi="宋体" w:eastAsia="宋体" w:cs="宋体"/>
                      <w:b w:val="0"/>
                      <w:bCs w:val="0"/>
                      <w:sz w:val="18"/>
                      <w:szCs w:val="18"/>
                    </w:rPr>
                  </w:pPr>
                </w:p>
              </w:tc>
              <w:tc>
                <w:tcPr>
                  <w:tcW w:w="670" w:type="pct"/>
                  <w:tcBorders>
                    <w:tl2br w:val="nil"/>
                    <w:tr2bl w:val="nil"/>
                  </w:tcBorders>
                  <w:noWrap w:val="0"/>
                  <w:vAlign w:val="center"/>
                </w:tcPr>
                <w:p w14:paraId="0CAF0104">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喷淋进水612</w:t>
                  </w:r>
                </w:p>
              </w:tc>
              <w:tc>
                <w:tcPr>
                  <w:tcW w:w="453" w:type="pct"/>
                  <w:tcBorders>
                    <w:tl2br w:val="nil"/>
                    <w:tr2bl w:val="nil"/>
                  </w:tcBorders>
                  <w:noWrap w:val="0"/>
                  <w:vAlign w:val="center"/>
                </w:tcPr>
                <w:p w14:paraId="224C5B2D">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-0.4</w:t>
                  </w:r>
                </w:p>
              </w:tc>
              <w:tc>
                <w:tcPr>
                  <w:tcW w:w="376" w:type="pct"/>
                  <w:tcBorders>
                    <w:tl2br w:val="nil"/>
                    <w:tr2bl w:val="nil"/>
                  </w:tcBorders>
                  <w:noWrap w:val="0"/>
                  <w:vAlign w:val="center"/>
                </w:tcPr>
                <w:p w14:paraId="70E22E38">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50</w:t>
                  </w:r>
                </w:p>
              </w:tc>
              <w:tc>
                <w:tcPr>
                  <w:tcW w:w="420" w:type="pct"/>
                  <w:tcBorders>
                    <w:tl2br w:val="nil"/>
                    <w:tr2bl w:val="nil"/>
                  </w:tcBorders>
                  <w:noWrap w:val="0"/>
                  <w:vAlign w:val="center"/>
                </w:tcPr>
                <w:p w14:paraId="1B971584">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0.03</w:t>
                  </w:r>
                </w:p>
              </w:tc>
              <w:tc>
                <w:tcPr>
                  <w:tcW w:w="446" w:type="pct"/>
                  <w:tcBorders>
                    <w:tl2br w:val="nil"/>
                    <w:tr2bl w:val="nil"/>
                  </w:tcBorders>
                  <w:noWrap w:val="0"/>
                  <w:vAlign w:val="center"/>
                </w:tcPr>
                <w:p w14:paraId="0D6067AB">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w:t>
                  </w:r>
                </w:p>
              </w:tc>
              <w:tc>
                <w:tcPr>
                  <w:tcW w:w="493" w:type="pct"/>
                  <w:tcBorders>
                    <w:tl2br w:val="nil"/>
                    <w:tr2bl w:val="nil"/>
                  </w:tcBorders>
                  <w:noWrap w:val="0"/>
                  <w:vAlign w:val="center"/>
                </w:tcPr>
                <w:p w14:paraId="3504E957">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0.006</w:t>
                  </w:r>
                </w:p>
              </w:tc>
              <w:tc>
                <w:tcPr>
                  <w:tcW w:w="526" w:type="pct"/>
                  <w:tcBorders>
                    <w:tl2br w:val="nil"/>
                    <w:tr2bl w:val="nil"/>
                  </w:tcBorders>
                  <w:noWrap w:val="0"/>
                  <w:vAlign w:val="center"/>
                </w:tcPr>
                <w:p w14:paraId="520008DB">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70</w:t>
                  </w:r>
                </w:p>
              </w:tc>
              <w:tc>
                <w:tcPr>
                  <w:tcW w:w="349" w:type="pct"/>
                  <w:tcBorders>
                    <w:tl2br w:val="nil"/>
                    <w:tr2bl w:val="nil"/>
                  </w:tcBorders>
                  <w:noWrap w:val="0"/>
                  <w:vAlign w:val="center"/>
                </w:tcPr>
                <w:p w14:paraId="3BCAB1E1">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0.04</w:t>
                  </w:r>
                </w:p>
              </w:tc>
              <w:tc>
                <w:tcPr>
                  <w:tcW w:w="376" w:type="pct"/>
                  <w:tcBorders>
                    <w:tl2br w:val="nil"/>
                    <w:tr2bl w:val="nil"/>
                  </w:tcBorders>
                  <w:noWrap w:val="0"/>
                  <w:vAlign w:val="center"/>
                </w:tcPr>
                <w:p w14:paraId="1BE60844">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800</w:t>
                  </w:r>
                </w:p>
              </w:tc>
              <w:tc>
                <w:tcPr>
                  <w:tcW w:w="392" w:type="pct"/>
                  <w:tcBorders>
                    <w:tl2br w:val="nil"/>
                    <w:tr2bl w:val="nil"/>
                  </w:tcBorders>
                  <w:noWrap w:val="0"/>
                  <w:vAlign w:val="center"/>
                </w:tcPr>
                <w:p w14:paraId="264633F5">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0.49</w:t>
                  </w:r>
                </w:p>
              </w:tc>
            </w:tr>
            <w:tr w14:paraId="6DEAF52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314" w:hRule="atLeast"/>
                <w:jc w:val="center"/>
              </w:trPr>
              <w:tc>
                <w:tcPr>
                  <w:tcW w:w="491" w:type="pct"/>
                  <w:vMerge w:val="continue"/>
                  <w:tcBorders>
                    <w:tl2br w:val="nil"/>
                    <w:tr2bl w:val="nil"/>
                  </w:tcBorders>
                  <w:noWrap w:val="0"/>
                  <w:vAlign w:val="center"/>
                </w:tcPr>
                <w:p w14:paraId="71DAE8E6">
                  <w:pPr>
                    <w:jc w:val="center"/>
                    <w:rPr>
                      <w:rFonts w:hint="eastAsia" w:ascii="宋体" w:hAnsi="宋体" w:eastAsia="宋体" w:cs="宋体"/>
                      <w:b w:val="0"/>
                      <w:bCs w:val="0"/>
                      <w:sz w:val="18"/>
                      <w:szCs w:val="18"/>
                    </w:rPr>
                  </w:pPr>
                </w:p>
              </w:tc>
              <w:tc>
                <w:tcPr>
                  <w:tcW w:w="670" w:type="pct"/>
                  <w:tcBorders>
                    <w:tl2br w:val="nil"/>
                    <w:tr2bl w:val="nil"/>
                  </w:tcBorders>
                  <w:noWrap w:val="0"/>
                  <w:vAlign w:val="center"/>
                </w:tcPr>
                <w:p w14:paraId="48B3FEEF">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进水小计</w:t>
                  </w:r>
                </w:p>
              </w:tc>
              <w:tc>
                <w:tcPr>
                  <w:tcW w:w="453" w:type="pct"/>
                  <w:tcBorders>
                    <w:tl2br w:val="nil"/>
                    <w:tr2bl w:val="nil"/>
                  </w:tcBorders>
                  <w:noWrap w:val="0"/>
                  <w:vAlign w:val="center"/>
                </w:tcPr>
                <w:p w14:paraId="4033F27D">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-0.34</w:t>
                  </w:r>
                </w:p>
              </w:tc>
              <w:tc>
                <w:tcPr>
                  <w:tcW w:w="376" w:type="pct"/>
                  <w:tcBorders>
                    <w:tl2br w:val="nil"/>
                    <w:tr2bl w:val="nil"/>
                  </w:tcBorders>
                  <w:noWrap w:val="0"/>
                  <w:vAlign w:val="center"/>
                </w:tcPr>
                <w:p w14:paraId="40EDAF15">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50</w:t>
                  </w:r>
                </w:p>
              </w:tc>
              <w:tc>
                <w:tcPr>
                  <w:tcW w:w="420" w:type="pct"/>
                  <w:tcBorders>
                    <w:tl2br w:val="nil"/>
                    <w:tr2bl w:val="nil"/>
                  </w:tcBorders>
                  <w:noWrap w:val="0"/>
                  <w:vAlign w:val="center"/>
                </w:tcPr>
                <w:p w14:paraId="7574DB7B">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0.13</w:t>
                  </w:r>
                </w:p>
              </w:tc>
              <w:tc>
                <w:tcPr>
                  <w:tcW w:w="446" w:type="pct"/>
                  <w:tcBorders>
                    <w:tl2br w:val="nil"/>
                    <w:tr2bl w:val="nil"/>
                  </w:tcBorders>
                  <w:noWrap w:val="0"/>
                  <w:vAlign w:val="center"/>
                </w:tcPr>
                <w:p w14:paraId="724DD61E">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w:t>
                  </w:r>
                </w:p>
              </w:tc>
              <w:tc>
                <w:tcPr>
                  <w:tcW w:w="493" w:type="pct"/>
                  <w:tcBorders>
                    <w:tl2br w:val="nil"/>
                    <w:tr2bl w:val="nil"/>
                  </w:tcBorders>
                  <w:noWrap w:val="0"/>
                  <w:vAlign w:val="center"/>
                </w:tcPr>
                <w:p w14:paraId="24329CAF">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w:t>
                  </w:r>
                  <w:r>
                    <w:rPr>
                      <w:rFonts w:hint="eastAsia" w:ascii="宋体" w:hAnsi="宋体" w:cs="宋体"/>
                      <w:b w:val="0"/>
                      <w:bCs w:val="0"/>
                      <w:sz w:val="18"/>
                      <w:szCs w:val="18"/>
                      <w:lang w:val="en-US" w:eastAsia="zh-CN"/>
                    </w:rPr>
                    <w:t>56</w:t>
                  </w:r>
                </w:p>
              </w:tc>
              <w:tc>
                <w:tcPr>
                  <w:tcW w:w="526" w:type="pct"/>
                  <w:tcBorders>
                    <w:tl2br w:val="nil"/>
                    <w:tr2bl w:val="nil"/>
                  </w:tcBorders>
                  <w:noWrap w:val="0"/>
                  <w:vAlign w:val="center"/>
                </w:tcPr>
                <w:p w14:paraId="3487DB27">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382.9</w:t>
                  </w:r>
                </w:p>
              </w:tc>
              <w:tc>
                <w:tcPr>
                  <w:tcW w:w="349" w:type="pct"/>
                  <w:tcBorders>
                    <w:tl2br w:val="nil"/>
                    <w:tr2bl w:val="nil"/>
                  </w:tcBorders>
                  <w:noWrap w:val="0"/>
                  <w:vAlign w:val="center"/>
                </w:tcPr>
                <w:p w14:paraId="14639BA3">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10.04</w:t>
                  </w:r>
                </w:p>
              </w:tc>
              <w:tc>
                <w:tcPr>
                  <w:tcW w:w="376" w:type="pct"/>
                  <w:tcBorders>
                    <w:tl2br w:val="nil"/>
                    <w:tr2bl w:val="nil"/>
                  </w:tcBorders>
                  <w:noWrap w:val="0"/>
                  <w:vAlign w:val="center"/>
                </w:tcPr>
                <w:p w14:paraId="634F1C99">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2025.2</w:t>
                  </w:r>
                </w:p>
              </w:tc>
              <w:tc>
                <w:tcPr>
                  <w:tcW w:w="392" w:type="pct"/>
                  <w:tcBorders>
                    <w:tl2br w:val="nil"/>
                    <w:tr2bl w:val="nil"/>
                  </w:tcBorders>
                  <w:noWrap w:val="0"/>
                  <w:vAlign w:val="center"/>
                </w:tcPr>
                <w:p w14:paraId="2D3A214E">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5.31</w:t>
                  </w:r>
                </w:p>
              </w:tc>
            </w:tr>
            <w:tr w14:paraId="4CD8962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278" w:hRule="atLeast"/>
                <w:jc w:val="center"/>
              </w:trPr>
              <w:tc>
                <w:tcPr>
                  <w:tcW w:w="491" w:type="pct"/>
                  <w:vMerge w:val="continue"/>
                  <w:tcBorders>
                    <w:tl2br w:val="nil"/>
                    <w:tr2bl w:val="nil"/>
                  </w:tcBorders>
                  <w:noWrap w:val="0"/>
                  <w:vAlign w:val="center"/>
                </w:tcPr>
                <w:p w14:paraId="4FD6B1E2">
                  <w:pPr>
                    <w:jc w:val="center"/>
                    <w:rPr>
                      <w:rFonts w:hint="eastAsia" w:ascii="宋体" w:hAnsi="宋体" w:eastAsia="宋体" w:cs="宋体"/>
                      <w:b w:val="0"/>
                      <w:bCs w:val="0"/>
                      <w:sz w:val="18"/>
                      <w:szCs w:val="18"/>
                    </w:rPr>
                  </w:pPr>
                </w:p>
              </w:tc>
              <w:tc>
                <w:tcPr>
                  <w:tcW w:w="670" w:type="pct"/>
                  <w:tcBorders>
                    <w:tl2br w:val="nil"/>
                    <w:tr2bl w:val="nil"/>
                  </w:tcBorders>
                  <w:noWrap w:val="0"/>
                  <w:vAlign w:val="center"/>
                </w:tcPr>
                <w:p w14:paraId="0F24D63D">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出水</w:t>
                  </w:r>
                  <w:r>
                    <w:rPr>
                      <w:rFonts w:hint="eastAsia" w:ascii="宋体" w:hAnsi="宋体" w:eastAsia="宋体" w:cs="宋体"/>
                      <w:b w:val="0"/>
                      <w:bCs w:val="0"/>
                      <w:sz w:val="18"/>
                      <w:szCs w:val="18"/>
                      <w:lang w:val="en-US" w:eastAsia="zh-CN"/>
                    </w:rPr>
                    <w:t>小计</w:t>
                  </w:r>
                </w:p>
              </w:tc>
              <w:tc>
                <w:tcPr>
                  <w:tcW w:w="453" w:type="pct"/>
                  <w:tcBorders>
                    <w:tl2br w:val="nil"/>
                    <w:tr2bl w:val="nil"/>
                  </w:tcBorders>
                  <w:noWrap w:val="0"/>
                  <w:vAlign w:val="center"/>
                </w:tcPr>
                <w:p w14:paraId="37BFB702">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6.5-8.5</w:t>
                  </w:r>
                </w:p>
              </w:tc>
              <w:tc>
                <w:tcPr>
                  <w:tcW w:w="376" w:type="pct"/>
                  <w:tcBorders>
                    <w:tl2br w:val="nil"/>
                    <w:tr2bl w:val="nil"/>
                  </w:tcBorders>
                  <w:noWrap w:val="0"/>
                  <w:vAlign w:val="center"/>
                </w:tcPr>
                <w:p w14:paraId="644FBA0D">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w:t>
                  </w:r>
                </w:p>
              </w:tc>
              <w:tc>
                <w:tcPr>
                  <w:tcW w:w="420" w:type="pct"/>
                  <w:tcBorders>
                    <w:tl2br w:val="nil"/>
                    <w:tr2bl w:val="nil"/>
                  </w:tcBorders>
                  <w:noWrap w:val="0"/>
                  <w:vAlign w:val="center"/>
                </w:tcPr>
                <w:p w14:paraId="1811A8E1">
                  <w:pPr>
                    <w:jc w:val="center"/>
                    <w:rPr>
                      <w:rFonts w:hint="default" w:ascii="宋体" w:hAnsi="宋体" w:eastAsia="宋体" w:cs="宋体"/>
                      <w:b w:val="0"/>
                      <w:bCs w:val="0"/>
                      <w:sz w:val="18"/>
                      <w:szCs w:val="18"/>
                      <w:lang w:val="en-US"/>
                    </w:rPr>
                  </w:pPr>
                  <w:r>
                    <w:rPr>
                      <w:rFonts w:hint="eastAsia" w:ascii="宋体" w:hAnsi="宋体" w:cs="宋体"/>
                      <w:b w:val="0"/>
                      <w:bCs w:val="0"/>
                      <w:sz w:val="18"/>
                      <w:szCs w:val="18"/>
                      <w:lang w:val="en-US" w:eastAsia="zh-CN"/>
                    </w:rPr>
                    <w:t>0.13</w:t>
                  </w:r>
                </w:p>
              </w:tc>
              <w:tc>
                <w:tcPr>
                  <w:tcW w:w="446" w:type="pct"/>
                  <w:tcBorders>
                    <w:tl2br w:val="nil"/>
                    <w:tr2bl w:val="nil"/>
                  </w:tcBorders>
                  <w:noWrap w:val="0"/>
                  <w:vAlign w:val="center"/>
                </w:tcPr>
                <w:p w14:paraId="0DB3858A">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w:t>
                  </w:r>
                </w:p>
              </w:tc>
              <w:tc>
                <w:tcPr>
                  <w:tcW w:w="493" w:type="pct"/>
                  <w:tcBorders>
                    <w:tl2br w:val="nil"/>
                    <w:tr2bl w:val="nil"/>
                  </w:tcBorders>
                  <w:noWrap w:val="0"/>
                  <w:vAlign w:val="center"/>
                </w:tcPr>
                <w:p w14:paraId="45D9EE48">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w:t>
                  </w:r>
                  <w:r>
                    <w:rPr>
                      <w:rFonts w:hint="eastAsia" w:ascii="宋体" w:hAnsi="宋体" w:cs="宋体"/>
                      <w:b w:val="0"/>
                      <w:bCs w:val="0"/>
                      <w:sz w:val="18"/>
                      <w:szCs w:val="18"/>
                      <w:lang w:val="en-US" w:eastAsia="zh-CN"/>
                    </w:rPr>
                    <w:t>56</w:t>
                  </w:r>
                </w:p>
              </w:tc>
              <w:tc>
                <w:tcPr>
                  <w:tcW w:w="526" w:type="pct"/>
                  <w:tcBorders>
                    <w:tl2br w:val="nil"/>
                    <w:tr2bl w:val="nil"/>
                  </w:tcBorders>
                  <w:noWrap w:val="0"/>
                  <w:vAlign w:val="center"/>
                </w:tcPr>
                <w:p w14:paraId="5F84A8C8">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38.3</w:t>
                  </w:r>
                </w:p>
              </w:tc>
              <w:tc>
                <w:tcPr>
                  <w:tcW w:w="349" w:type="pct"/>
                  <w:tcBorders>
                    <w:tl2br w:val="nil"/>
                    <w:tr2bl w:val="nil"/>
                  </w:tcBorders>
                  <w:noWrap w:val="0"/>
                  <w:vAlign w:val="center"/>
                </w:tcPr>
                <w:p w14:paraId="39B9B146">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1.0</w:t>
                  </w:r>
                </w:p>
              </w:tc>
              <w:tc>
                <w:tcPr>
                  <w:tcW w:w="376" w:type="pct"/>
                  <w:tcBorders>
                    <w:tl2br w:val="nil"/>
                    <w:tr2bl w:val="nil"/>
                  </w:tcBorders>
                  <w:noWrap w:val="0"/>
                  <w:vAlign w:val="center"/>
                </w:tcPr>
                <w:p w14:paraId="28662FEA">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405.0</w:t>
                  </w:r>
                </w:p>
              </w:tc>
              <w:tc>
                <w:tcPr>
                  <w:tcW w:w="392" w:type="pct"/>
                  <w:tcBorders>
                    <w:tl2br w:val="nil"/>
                    <w:tr2bl w:val="nil"/>
                  </w:tcBorders>
                  <w:noWrap w:val="0"/>
                  <w:vAlign w:val="center"/>
                </w:tcPr>
                <w:p w14:paraId="04DE5EFB">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0.53</w:t>
                  </w:r>
                </w:p>
              </w:tc>
            </w:tr>
            <w:tr w14:paraId="1EABC71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277" w:hRule="atLeast"/>
                <w:jc w:val="center"/>
              </w:trPr>
              <w:tc>
                <w:tcPr>
                  <w:tcW w:w="491" w:type="pct"/>
                  <w:vMerge w:val="continue"/>
                  <w:tcBorders>
                    <w:tl2br w:val="nil"/>
                    <w:tr2bl w:val="nil"/>
                  </w:tcBorders>
                  <w:noWrap w:val="0"/>
                  <w:vAlign w:val="center"/>
                </w:tcPr>
                <w:p w14:paraId="34D6967A">
                  <w:pPr>
                    <w:jc w:val="center"/>
                    <w:rPr>
                      <w:rFonts w:hint="eastAsia" w:ascii="宋体" w:hAnsi="宋体" w:eastAsia="宋体" w:cs="宋体"/>
                      <w:b w:val="0"/>
                      <w:bCs w:val="0"/>
                      <w:sz w:val="18"/>
                      <w:szCs w:val="18"/>
                    </w:rPr>
                  </w:pPr>
                </w:p>
              </w:tc>
              <w:tc>
                <w:tcPr>
                  <w:tcW w:w="670" w:type="pct"/>
                  <w:tcBorders>
                    <w:tl2br w:val="nil"/>
                    <w:tr2bl w:val="nil"/>
                  </w:tcBorders>
                  <w:noWrap w:val="0"/>
                  <w:vAlign w:val="center"/>
                </w:tcPr>
                <w:p w14:paraId="502B032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去除率（%）</w:t>
                  </w:r>
                </w:p>
              </w:tc>
              <w:tc>
                <w:tcPr>
                  <w:tcW w:w="453" w:type="pct"/>
                  <w:tcBorders>
                    <w:tl2br w:val="nil"/>
                    <w:tr2bl w:val="nil"/>
                  </w:tcBorders>
                  <w:noWrap w:val="0"/>
                  <w:vAlign w:val="center"/>
                </w:tcPr>
                <w:p w14:paraId="3364314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376" w:type="pct"/>
                  <w:tcBorders>
                    <w:tl2br w:val="nil"/>
                    <w:tr2bl w:val="nil"/>
                  </w:tcBorders>
                  <w:noWrap w:val="0"/>
                  <w:vAlign w:val="center"/>
                </w:tcPr>
                <w:p w14:paraId="7C2DA1F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tc>
              <w:tc>
                <w:tcPr>
                  <w:tcW w:w="420" w:type="pct"/>
                  <w:tcBorders>
                    <w:tl2br w:val="nil"/>
                    <w:tr2bl w:val="nil"/>
                  </w:tcBorders>
                  <w:noWrap w:val="0"/>
                  <w:vAlign w:val="center"/>
                </w:tcPr>
                <w:p w14:paraId="5E91DE9C">
                  <w:pPr>
                    <w:jc w:val="center"/>
                    <w:rPr>
                      <w:rFonts w:hint="default" w:ascii="宋体" w:hAnsi="宋体" w:eastAsia="宋体" w:cs="宋体"/>
                      <w:b w:val="0"/>
                      <w:bCs w:val="0"/>
                      <w:sz w:val="18"/>
                      <w:szCs w:val="18"/>
                      <w:lang w:val="en-US"/>
                    </w:rPr>
                  </w:pPr>
                  <w:r>
                    <w:rPr>
                      <w:rFonts w:hint="eastAsia" w:ascii="宋体" w:hAnsi="宋体" w:eastAsia="宋体" w:cs="宋体"/>
                      <w:b w:val="0"/>
                      <w:bCs w:val="0"/>
                      <w:sz w:val="18"/>
                      <w:szCs w:val="18"/>
                    </w:rPr>
                    <w:t>——</w:t>
                  </w:r>
                </w:p>
              </w:tc>
              <w:tc>
                <w:tcPr>
                  <w:tcW w:w="446" w:type="pct"/>
                  <w:tcBorders>
                    <w:tl2br w:val="nil"/>
                    <w:tr2bl w:val="nil"/>
                  </w:tcBorders>
                  <w:noWrap w:val="0"/>
                  <w:vAlign w:val="center"/>
                </w:tcPr>
                <w:p w14:paraId="1D28837F">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493" w:type="pct"/>
                  <w:tcBorders>
                    <w:tl2br w:val="nil"/>
                    <w:tr2bl w:val="nil"/>
                  </w:tcBorders>
                  <w:noWrap w:val="0"/>
                  <w:vAlign w:val="center"/>
                </w:tcPr>
                <w:p w14:paraId="0F94C734">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c>
                <w:tcPr>
                  <w:tcW w:w="526" w:type="pct"/>
                  <w:tcBorders>
                    <w:tl2br w:val="nil"/>
                    <w:tr2bl w:val="nil"/>
                  </w:tcBorders>
                  <w:noWrap w:val="0"/>
                  <w:vAlign w:val="center"/>
                </w:tcPr>
                <w:p w14:paraId="567234F6">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90</w:t>
                  </w:r>
                </w:p>
              </w:tc>
              <w:tc>
                <w:tcPr>
                  <w:tcW w:w="349" w:type="pct"/>
                  <w:tcBorders>
                    <w:tl2br w:val="nil"/>
                    <w:tr2bl w:val="nil"/>
                  </w:tcBorders>
                  <w:noWrap w:val="0"/>
                  <w:vAlign w:val="center"/>
                </w:tcPr>
                <w:p w14:paraId="70137C65">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c>
                <w:tcPr>
                  <w:tcW w:w="376" w:type="pct"/>
                  <w:tcBorders>
                    <w:tl2br w:val="nil"/>
                    <w:tr2bl w:val="nil"/>
                  </w:tcBorders>
                  <w:noWrap w:val="0"/>
                  <w:vAlign w:val="center"/>
                </w:tcPr>
                <w:p w14:paraId="4EB5126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0</w:t>
                  </w:r>
                </w:p>
              </w:tc>
              <w:tc>
                <w:tcPr>
                  <w:tcW w:w="392" w:type="pct"/>
                  <w:tcBorders>
                    <w:tl2br w:val="nil"/>
                    <w:tr2bl w:val="nil"/>
                  </w:tcBorders>
                  <w:noWrap w:val="0"/>
                  <w:vAlign w:val="center"/>
                </w:tcPr>
                <w:p w14:paraId="7B757918">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r>
            <w:tr w14:paraId="65C6880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277" w:hRule="atLeast"/>
                <w:jc w:val="center"/>
              </w:trPr>
              <w:tc>
                <w:tcPr>
                  <w:tcW w:w="1162" w:type="pct"/>
                  <w:gridSpan w:val="2"/>
                  <w:tcBorders>
                    <w:tl2br w:val="nil"/>
                    <w:tr2bl w:val="nil"/>
                  </w:tcBorders>
                  <w:noWrap w:val="0"/>
                  <w:vAlign w:val="center"/>
                </w:tcPr>
                <w:p w14:paraId="4CD023BC">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标准</w:t>
                  </w:r>
                </w:p>
              </w:tc>
              <w:tc>
                <w:tcPr>
                  <w:tcW w:w="453" w:type="pct"/>
                  <w:tcBorders>
                    <w:tl2br w:val="nil"/>
                    <w:tr2bl w:val="nil"/>
                  </w:tcBorders>
                  <w:noWrap w:val="0"/>
                  <w:vAlign w:val="center"/>
                </w:tcPr>
                <w:p w14:paraId="744317C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6-9</w:t>
                  </w:r>
                </w:p>
              </w:tc>
              <w:tc>
                <w:tcPr>
                  <w:tcW w:w="376" w:type="pct"/>
                  <w:tcBorders>
                    <w:tl2br w:val="nil"/>
                    <w:tr2bl w:val="nil"/>
                  </w:tcBorders>
                  <w:noWrap w:val="0"/>
                  <w:vAlign w:val="center"/>
                </w:tcPr>
                <w:p w14:paraId="32C3C57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300</w:t>
                  </w:r>
                </w:p>
              </w:tc>
              <w:tc>
                <w:tcPr>
                  <w:tcW w:w="420" w:type="pct"/>
                  <w:tcBorders>
                    <w:tl2br w:val="nil"/>
                    <w:tr2bl w:val="nil"/>
                  </w:tcBorders>
                  <w:noWrap w:val="0"/>
                  <w:vAlign w:val="center"/>
                </w:tcPr>
                <w:p w14:paraId="13FEBA32">
                  <w:pPr>
                    <w:jc w:val="center"/>
                    <w:rPr>
                      <w:rFonts w:hint="eastAsia" w:ascii="宋体" w:hAnsi="宋体" w:eastAsia="宋体" w:cs="宋体"/>
                      <w:b w:val="0"/>
                      <w:bCs w:val="0"/>
                      <w:sz w:val="18"/>
                      <w:szCs w:val="18"/>
                    </w:rPr>
                  </w:pPr>
                </w:p>
              </w:tc>
              <w:tc>
                <w:tcPr>
                  <w:tcW w:w="446" w:type="pct"/>
                  <w:tcBorders>
                    <w:tl2br w:val="nil"/>
                    <w:tr2bl w:val="nil"/>
                  </w:tcBorders>
                  <w:noWrap w:val="0"/>
                  <w:vAlign w:val="center"/>
                </w:tcPr>
                <w:p w14:paraId="5DDC1F36">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30</w:t>
                  </w:r>
                </w:p>
              </w:tc>
              <w:tc>
                <w:tcPr>
                  <w:tcW w:w="493" w:type="pct"/>
                  <w:tcBorders>
                    <w:tl2br w:val="nil"/>
                    <w:tr2bl w:val="nil"/>
                  </w:tcBorders>
                  <w:noWrap w:val="0"/>
                  <w:vAlign w:val="center"/>
                </w:tcPr>
                <w:p w14:paraId="454A7B93">
                  <w:pPr>
                    <w:jc w:val="center"/>
                    <w:rPr>
                      <w:rFonts w:hint="default" w:ascii="宋体" w:hAnsi="宋体" w:eastAsia="宋体" w:cs="宋体"/>
                      <w:b w:val="0"/>
                      <w:bCs w:val="0"/>
                      <w:sz w:val="18"/>
                      <w:szCs w:val="18"/>
                      <w:lang w:val="en-US" w:eastAsia="zh-CN"/>
                    </w:rPr>
                  </w:pPr>
                </w:p>
              </w:tc>
              <w:tc>
                <w:tcPr>
                  <w:tcW w:w="526" w:type="pct"/>
                  <w:tcBorders>
                    <w:tl2br w:val="nil"/>
                    <w:tr2bl w:val="nil"/>
                  </w:tcBorders>
                  <w:noWrap w:val="0"/>
                  <w:vAlign w:val="center"/>
                </w:tcPr>
                <w:p w14:paraId="054AEE33">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300</w:t>
                  </w:r>
                </w:p>
              </w:tc>
              <w:tc>
                <w:tcPr>
                  <w:tcW w:w="349" w:type="pct"/>
                  <w:tcBorders>
                    <w:tl2br w:val="nil"/>
                    <w:tr2bl w:val="nil"/>
                  </w:tcBorders>
                  <w:noWrap w:val="0"/>
                  <w:vAlign w:val="center"/>
                </w:tcPr>
                <w:p w14:paraId="7FDF3CB5">
                  <w:pPr>
                    <w:jc w:val="center"/>
                    <w:rPr>
                      <w:rFonts w:hint="default" w:ascii="宋体" w:hAnsi="宋体" w:eastAsia="宋体" w:cs="宋体"/>
                      <w:b w:val="0"/>
                      <w:bCs w:val="0"/>
                      <w:sz w:val="18"/>
                      <w:szCs w:val="18"/>
                      <w:lang w:val="en-US" w:eastAsia="zh-CN"/>
                    </w:rPr>
                  </w:pPr>
                </w:p>
              </w:tc>
              <w:tc>
                <w:tcPr>
                  <w:tcW w:w="376" w:type="pct"/>
                  <w:tcBorders>
                    <w:tl2br w:val="nil"/>
                    <w:tr2bl w:val="nil"/>
                  </w:tcBorders>
                  <w:noWrap w:val="0"/>
                  <w:vAlign w:val="center"/>
                </w:tcPr>
                <w:p w14:paraId="39381D2F">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600</w:t>
                  </w:r>
                </w:p>
              </w:tc>
              <w:tc>
                <w:tcPr>
                  <w:tcW w:w="392" w:type="pct"/>
                  <w:tcBorders>
                    <w:tl2br w:val="nil"/>
                    <w:tr2bl w:val="nil"/>
                  </w:tcBorders>
                  <w:noWrap w:val="0"/>
                  <w:vAlign w:val="center"/>
                </w:tcPr>
                <w:p w14:paraId="066639E9">
                  <w:pPr>
                    <w:jc w:val="center"/>
                    <w:rPr>
                      <w:rFonts w:hint="eastAsia" w:ascii="宋体" w:hAnsi="宋体" w:eastAsia="宋体" w:cs="宋体"/>
                      <w:b w:val="0"/>
                      <w:bCs w:val="0"/>
                      <w:sz w:val="18"/>
                      <w:szCs w:val="18"/>
                      <w:lang w:val="en-US" w:eastAsia="zh-CN"/>
                    </w:rPr>
                  </w:pPr>
                </w:p>
              </w:tc>
            </w:tr>
            <w:tr w14:paraId="32D1023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4" w:space="0"/>
                </w:tblBorders>
                <w:tblCellMar>
                  <w:top w:w="0" w:type="dxa"/>
                  <w:left w:w="0" w:type="dxa"/>
                  <w:bottom w:w="0" w:type="dxa"/>
                  <w:right w:w="0" w:type="dxa"/>
                </w:tblCellMar>
              </w:tblPrEx>
              <w:trPr>
                <w:trHeight w:val="372" w:hRule="atLeast"/>
                <w:jc w:val="center"/>
              </w:trPr>
              <w:tc>
                <w:tcPr>
                  <w:tcW w:w="1162" w:type="pct"/>
                  <w:gridSpan w:val="2"/>
                  <w:tcBorders>
                    <w:tl2br w:val="nil"/>
                    <w:tr2bl w:val="nil"/>
                  </w:tcBorders>
                  <w:noWrap w:val="0"/>
                  <w:vAlign w:val="center"/>
                </w:tcPr>
                <w:p w14:paraId="2EB5DAC0">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总计</w:t>
                  </w:r>
                  <w:r>
                    <w:rPr>
                      <w:rFonts w:hint="eastAsia" w:ascii="宋体" w:hAnsi="宋体" w:cs="宋体"/>
                      <w:b w:val="0"/>
                      <w:bCs w:val="0"/>
                      <w:sz w:val="18"/>
                      <w:szCs w:val="18"/>
                      <w:lang w:val="en-US" w:eastAsia="zh-CN"/>
                    </w:rPr>
                    <w:t>2622</w:t>
                  </w:r>
                </w:p>
              </w:tc>
              <w:tc>
                <w:tcPr>
                  <w:tcW w:w="453" w:type="pct"/>
                  <w:tcBorders>
                    <w:tl2br w:val="nil"/>
                    <w:tr2bl w:val="nil"/>
                  </w:tcBorders>
                  <w:noWrap w:val="0"/>
                  <w:vAlign w:val="center"/>
                </w:tcPr>
                <w:p w14:paraId="30E3F09F">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6-9</w:t>
                  </w:r>
                </w:p>
              </w:tc>
              <w:tc>
                <w:tcPr>
                  <w:tcW w:w="376" w:type="pct"/>
                  <w:tcBorders>
                    <w:tl2br w:val="nil"/>
                    <w:tr2bl w:val="nil"/>
                  </w:tcBorders>
                  <w:noWrap w:val="0"/>
                  <w:vAlign w:val="center"/>
                </w:tcPr>
                <w:p w14:paraId="59C5D58F">
                  <w:pPr>
                    <w:jc w:val="center"/>
                    <w:rPr>
                      <w:rFonts w:hint="eastAsia" w:ascii="宋体" w:hAnsi="宋体" w:eastAsia="宋体" w:cs="宋体"/>
                      <w:b w:val="0"/>
                      <w:bCs w:val="0"/>
                      <w:sz w:val="18"/>
                      <w:szCs w:val="18"/>
                    </w:rPr>
                  </w:pPr>
                </w:p>
              </w:tc>
              <w:tc>
                <w:tcPr>
                  <w:tcW w:w="420" w:type="pct"/>
                  <w:tcBorders>
                    <w:tl2br w:val="nil"/>
                    <w:tr2bl w:val="nil"/>
                  </w:tcBorders>
                  <w:noWrap w:val="0"/>
                  <w:vAlign w:val="center"/>
                </w:tcPr>
                <w:p w14:paraId="650639E5">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0.31</w:t>
                  </w:r>
                </w:p>
              </w:tc>
              <w:tc>
                <w:tcPr>
                  <w:tcW w:w="446" w:type="pct"/>
                  <w:tcBorders>
                    <w:tl2br w:val="nil"/>
                    <w:tr2bl w:val="nil"/>
                  </w:tcBorders>
                  <w:noWrap w:val="0"/>
                  <w:vAlign w:val="center"/>
                </w:tcPr>
                <w:p w14:paraId="5922C696">
                  <w:pPr>
                    <w:jc w:val="center"/>
                    <w:rPr>
                      <w:rFonts w:hint="eastAsia" w:ascii="宋体" w:hAnsi="宋体" w:eastAsia="宋体" w:cs="宋体"/>
                      <w:b w:val="0"/>
                      <w:bCs w:val="0"/>
                      <w:sz w:val="18"/>
                      <w:szCs w:val="18"/>
                      <w:lang w:val="en-US" w:eastAsia="zh-CN"/>
                    </w:rPr>
                  </w:pPr>
                </w:p>
              </w:tc>
              <w:tc>
                <w:tcPr>
                  <w:tcW w:w="493" w:type="pct"/>
                  <w:tcBorders>
                    <w:tl2br w:val="nil"/>
                    <w:tr2bl w:val="nil"/>
                  </w:tcBorders>
                  <w:noWrap w:val="0"/>
                  <w:vAlign w:val="center"/>
                </w:tcPr>
                <w:p w14:paraId="09D96D50">
                  <w:pPr>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w:t>
                  </w:r>
                  <w:r>
                    <w:rPr>
                      <w:rFonts w:hint="eastAsia" w:ascii="宋体" w:hAnsi="宋体" w:cs="宋体"/>
                      <w:b w:val="0"/>
                      <w:bCs w:val="0"/>
                      <w:sz w:val="18"/>
                      <w:szCs w:val="18"/>
                      <w:lang w:val="en-US" w:eastAsia="zh-CN"/>
                    </w:rPr>
                    <w:t>71</w:t>
                  </w:r>
                </w:p>
              </w:tc>
              <w:tc>
                <w:tcPr>
                  <w:tcW w:w="526" w:type="pct"/>
                  <w:tcBorders>
                    <w:tl2br w:val="nil"/>
                    <w:tr2bl w:val="nil"/>
                  </w:tcBorders>
                  <w:noWrap w:val="0"/>
                  <w:vAlign w:val="center"/>
                </w:tcPr>
                <w:p w14:paraId="69AE0980">
                  <w:pPr>
                    <w:jc w:val="center"/>
                    <w:rPr>
                      <w:rFonts w:hint="eastAsia" w:ascii="宋体" w:hAnsi="宋体" w:eastAsia="宋体" w:cs="宋体"/>
                      <w:b w:val="0"/>
                      <w:bCs w:val="0"/>
                      <w:sz w:val="18"/>
                      <w:szCs w:val="18"/>
                      <w:lang w:val="en-US" w:eastAsia="zh-CN"/>
                    </w:rPr>
                  </w:pPr>
                </w:p>
              </w:tc>
              <w:tc>
                <w:tcPr>
                  <w:tcW w:w="349" w:type="pct"/>
                  <w:tcBorders>
                    <w:tl2br w:val="nil"/>
                    <w:tr2bl w:val="nil"/>
                  </w:tcBorders>
                  <w:noWrap w:val="0"/>
                  <w:vAlign w:val="center"/>
                </w:tcPr>
                <w:p w14:paraId="2C227473">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1.18</w:t>
                  </w:r>
                </w:p>
              </w:tc>
              <w:tc>
                <w:tcPr>
                  <w:tcW w:w="376" w:type="pct"/>
                  <w:tcBorders>
                    <w:tl2br w:val="nil"/>
                    <w:tr2bl w:val="nil"/>
                  </w:tcBorders>
                  <w:noWrap w:val="0"/>
                  <w:vAlign w:val="center"/>
                </w:tcPr>
                <w:p w14:paraId="174C71CC">
                  <w:pPr>
                    <w:jc w:val="center"/>
                    <w:rPr>
                      <w:rFonts w:hint="eastAsia" w:ascii="宋体" w:hAnsi="宋体" w:eastAsia="宋体" w:cs="宋体"/>
                      <w:b w:val="0"/>
                      <w:bCs w:val="0"/>
                      <w:sz w:val="18"/>
                      <w:szCs w:val="18"/>
                      <w:lang w:val="en-US" w:eastAsia="zh-CN"/>
                    </w:rPr>
                  </w:pPr>
                </w:p>
              </w:tc>
              <w:tc>
                <w:tcPr>
                  <w:tcW w:w="392" w:type="pct"/>
                  <w:tcBorders>
                    <w:tl2br w:val="nil"/>
                    <w:tr2bl w:val="nil"/>
                  </w:tcBorders>
                  <w:noWrap w:val="0"/>
                  <w:vAlign w:val="center"/>
                </w:tcPr>
                <w:p w14:paraId="22C3A53C">
                  <w:pPr>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0.53</w:t>
                  </w:r>
                </w:p>
              </w:tc>
            </w:tr>
          </w:tbl>
          <w:p w14:paraId="1C4D89BA">
            <w:pPr>
              <w:pStyle w:val="52"/>
              <w:keepNext w:val="0"/>
              <w:keepLines w:val="0"/>
              <w:pageBreakBefore w:val="0"/>
              <w:widowControl w:val="0"/>
              <w:kinsoku/>
              <w:wordWrap/>
              <w:overflowPunct/>
              <w:topLinePunct w:val="0"/>
              <w:autoSpaceDE/>
              <w:autoSpaceDN/>
              <w:bidi w:val="0"/>
              <w:spacing w:line="360" w:lineRule="auto"/>
              <w:ind w:right="107" w:firstLine="516" w:firstLineChars="200"/>
              <w:jc w:val="both"/>
              <w:textAlignment w:val="auto"/>
              <w:rPr>
                <w:rFonts w:hint="eastAsia" w:ascii="宋体" w:hAnsi="宋体" w:eastAsia="宋体" w:cs="宋体"/>
                <w:spacing w:val="8"/>
                <w:sz w:val="24"/>
                <w:szCs w:val="24"/>
              </w:rPr>
            </w:pPr>
            <w:r>
              <w:rPr>
                <w:rFonts w:hint="eastAsia" w:ascii="宋体" w:hAnsi="宋体" w:eastAsia="宋体" w:cs="宋体"/>
                <w:spacing w:val="9"/>
                <w:sz w:val="24"/>
                <w:szCs w:val="24"/>
              </w:rPr>
              <w:t>由于硫酸钙沉淀较慢，所排含硫酸钙废水容易在</w:t>
            </w:r>
            <w:r>
              <w:rPr>
                <w:rFonts w:hint="eastAsia" w:cs="宋体"/>
                <w:spacing w:val="9"/>
                <w:sz w:val="24"/>
                <w:szCs w:val="24"/>
                <w:lang w:eastAsia="zh-CN"/>
              </w:rPr>
              <w:t>接收管网</w:t>
            </w:r>
            <w:r>
              <w:rPr>
                <w:rFonts w:hint="eastAsia" w:ascii="宋体" w:hAnsi="宋体" w:eastAsia="宋体" w:cs="宋体"/>
                <w:spacing w:val="9"/>
                <w:sz w:val="24"/>
                <w:szCs w:val="24"/>
              </w:rPr>
              <w:t>结垢阻塞管网，故根据《污水</w:t>
            </w:r>
            <w:r>
              <w:rPr>
                <w:rFonts w:hint="eastAsia" w:ascii="宋体" w:hAnsi="宋体" w:eastAsia="宋体" w:cs="宋体"/>
                <w:spacing w:val="10"/>
                <w:sz w:val="24"/>
                <w:szCs w:val="24"/>
              </w:rPr>
              <w:t>排入城镇下水道水质标准》（</w:t>
            </w:r>
            <w:r>
              <w:rPr>
                <w:rFonts w:hint="eastAsia" w:ascii="宋体" w:hAnsi="宋体" w:eastAsia="宋体" w:cs="宋体"/>
                <w:sz w:val="24"/>
                <w:szCs w:val="24"/>
              </w:rPr>
              <w:t>GB</w:t>
            </w:r>
            <w:r>
              <w:rPr>
                <w:rFonts w:hint="eastAsia" w:ascii="宋体" w:hAnsi="宋体" w:eastAsia="宋体" w:cs="宋体"/>
                <w:spacing w:val="10"/>
                <w:sz w:val="24"/>
                <w:szCs w:val="24"/>
              </w:rPr>
              <w:t>/T31962-2015）要求，企</w:t>
            </w:r>
            <w:r>
              <w:rPr>
                <w:rFonts w:hint="eastAsia" w:ascii="宋体" w:hAnsi="宋体" w:eastAsia="宋体" w:cs="宋体"/>
                <w:spacing w:val="9"/>
                <w:sz w:val="24"/>
                <w:szCs w:val="24"/>
              </w:rPr>
              <w:t>业排水指标中硫酸根的限值需满足</w:t>
            </w:r>
            <w:r>
              <w:rPr>
                <w:rFonts w:hint="eastAsia" w:ascii="宋体" w:hAnsi="宋体" w:eastAsia="宋体" w:cs="宋体"/>
                <w:spacing w:val="11"/>
                <w:sz w:val="24"/>
                <w:szCs w:val="24"/>
                <w:lang w:val="en-US" w:eastAsia="zh-CN"/>
              </w:rPr>
              <w:t>洗涤用水</w:t>
            </w:r>
            <w:r>
              <w:rPr>
                <w:rFonts w:hint="eastAsia" w:ascii="宋体" w:hAnsi="宋体" w:eastAsia="宋体" w:cs="宋体"/>
                <w:spacing w:val="11"/>
                <w:sz w:val="24"/>
                <w:szCs w:val="24"/>
              </w:rPr>
              <w:t>的规定要求（即</w:t>
            </w:r>
            <w:r>
              <w:rPr>
                <w:rFonts w:hint="eastAsia" w:ascii="宋体" w:hAnsi="宋体" w:eastAsia="宋体" w:cs="宋体"/>
                <w:spacing w:val="-33"/>
                <w:sz w:val="24"/>
                <w:szCs w:val="24"/>
              </w:rPr>
              <w:t xml:space="preserve"> </w:t>
            </w:r>
            <w:r>
              <w:rPr>
                <w:rFonts w:hint="eastAsia" w:ascii="宋体" w:hAnsi="宋体" w:eastAsia="宋体" w:cs="宋体"/>
                <w:spacing w:val="11"/>
                <w:sz w:val="24"/>
                <w:szCs w:val="24"/>
              </w:rPr>
              <w:t>600</w:t>
            </w:r>
            <w:r>
              <w:rPr>
                <w:rFonts w:hint="eastAsia" w:ascii="宋体" w:hAnsi="宋体" w:eastAsia="宋体" w:cs="宋体"/>
                <w:sz w:val="24"/>
                <w:szCs w:val="24"/>
              </w:rPr>
              <w:t>mg</w:t>
            </w:r>
            <w:r>
              <w:rPr>
                <w:rFonts w:hint="eastAsia" w:ascii="宋体" w:hAnsi="宋体" w:eastAsia="宋体" w:cs="宋体"/>
                <w:spacing w:val="11"/>
                <w:sz w:val="24"/>
                <w:szCs w:val="24"/>
              </w:rPr>
              <w:t>/L</w:t>
            </w:r>
            <w:r>
              <w:rPr>
                <w:rFonts w:hint="eastAsia" w:ascii="宋体" w:hAnsi="宋体" w:eastAsia="宋体" w:cs="宋体"/>
                <w:spacing w:val="1"/>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8"/>
                <w:sz w:val="24"/>
                <w:szCs w:val="24"/>
              </w:rPr>
              <w:t>达标后方能排入市政污水管网。</w:t>
            </w:r>
          </w:p>
          <w:p w14:paraId="3546446B">
            <w:pPr>
              <w:pStyle w:val="52"/>
              <w:keepNext w:val="0"/>
              <w:keepLines w:val="0"/>
              <w:pageBreakBefore w:val="0"/>
              <w:widowControl w:val="0"/>
              <w:kinsoku/>
              <w:wordWrap/>
              <w:overflowPunct/>
              <w:topLinePunct w:val="0"/>
              <w:autoSpaceDE/>
              <w:autoSpaceDN/>
              <w:bidi w:val="0"/>
              <w:spacing w:line="360" w:lineRule="auto"/>
              <w:ind w:left="542"/>
              <w:textAlignment w:val="auto"/>
              <w:rPr>
                <w:rFonts w:hint="eastAsia" w:ascii="宋体" w:hAnsi="宋体" w:eastAsia="宋体" w:cs="宋体"/>
                <w:b/>
                <w:bCs/>
                <w:sz w:val="24"/>
                <w:szCs w:val="24"/>
                <w:highlight w:val="none"/>
              </w:rPr>
            </w:pPr>
            <w:r>
              <w:rPr>
                <w:rFonts w:hint="eastAsia" w:ascii="宋体" w:hAnsi="宋体" w:eastAsia="宋体" w:cs="宋体"/>
                <w:b/>
                <w:bCs/>
                <w:spacing w:val="6"/>
                <w:sz w:val="24"/>
                <w:szCs w:val="24"/>
                <w:highlight w:val="none"/>
              </w:rPr>
              <w:t>2</w:t>
            </w:r>
            <w:r>
              <w:rPr>
                <w:rFonts w:hint="eastAsia" w:ascii="宋体" w:hAnsi="宋体" w:eastAsia="宋体" w:cs="宋体"/>
                <w:b/>
                <w:bCs/>
                <w:spacing w:val="6"/>
                <w:sz w:val="24"/>
                <w:szCs w:val="24"/>
                <w:highlight w:val="none"/>
                <w:lang w:eastAsia="zh-CN"/>
              </w:rPr>
              <w:t>、</w:t>
            </w:r>
            <w:r>
              <w:rPr>
                <w:rFonts w:hint="eastAsia" w:ascii="宋体" w:hAnsi="宋体" w:eastAsia="宋体" w:cs="宋体"/>
                <w:b/>
                <w:bCs/>
                <w:spacing w:val="6"/>
                <w:sz w:val="24"/>
                <w:szCs w:val="24"/>
                <w:highlight w:val="none"/>
              </w:rPr>
              <w:t>治理措施可行性分析</w:t>
            </w:r>
          </w:p>
          <w:p w14:paraId="49B64DCD">
            <w:pPr>
              <w:keepNext w:val="0"/>
              <w:keepLines w:val="0"/>
              <w:pageBreakBefore w:val="0"/>
              <w:widowControl w:val="0"/>
              <w:kinsoku/>
              <w:wordWrap/>
              <w:overflowPunct/>
              <w:topLinePunct w:val="0"/>
              <w:autoSpaceDE/>
              <w:autoSpaceDN/>
              <w:bidi w:val="0"/>
              <w:adjustRightInd/>
              <w:snapToGrid/>
              <w:spacing w:line="360" w:lineRule="auto"/>
              <w:ind w:firstLine="524" w:firstLineChars="200"/>
              <w:jc w:val="both"/>
              <w:textAlignment w:val="auto"/>
              <w:rPr>
                <w:rFonts w:hint="eastAsia" w:ascii="宋体" w:hAnsi="宋体" w:eastAsia="宋体" w:cs="宋体"/>
                <w:sz w:val="24"/>
                <w:szCs w:val="24"/>
              </w:rPr>
            </w:pPr>
            <w:r>
              <w:rPr>
                <w:rFonts w:hint="eastAsia" w:ascii="宋体" w:hAnsi="宋体" w:eastAsia="宋体" w:cs="宋体"/>
                <w:spacing w:val="11"/>
                <w:sz w:val="24"/>
                <w:szCs w:val="24"/>
              </w:rPr>
              <w:t>本项目综合废水处理工艺不在《排污许可证申请与核发技术规范石墨及其他非金属矿物</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制品制造》（</w:t>
            </w:r>
            <w:r>
              <w:rPr>
                <w:rFonts w:hint="eastAsia" w:ascii="宋体" w:hAnsi="宋体" w:eastAsia="宋体" w:cs="宋体"/>
                <w:sz w:val="24"/>
                <w:szCs w:val="24"/>
              </w:rPr>
              <w:t>HJ</w:t>
            </w:r>
            <w:r>
              <w:rPr>
                <w:rFonts w:hint="eastAsia" w:ascii="宋体" w:hAnsi="宋体" w:eastAsia="宋体" w:cs="宋体"/>
                <w:spacing w:val="4"/>
                <w:sz w:val="24"/>
                <w:szCs w:val="24"/>
              </w:rPr>
              <w:t>1119-2020）中推荐的可行技术中</w:t>
            </w:r>
            <w:r>
              <w:rPr>
                <w:rFonts w:hint="eastAsia" w:cs="宋体"/>
                <w:spacing w:val="4"/>
                <w:sz w:val="24"/>
                <w:szCs w:val="24"/>
                <w:lang w:eastAsia="zh-CN"/>
              </w:rPr>
              <w:t>。</w:t>
            </w:r>
            <w:r>
              <w:rPr>
                <w:sz w:val="24"/>
                <w:szCs w:val="24"/>
              </w:rPr>
              <w:t>生产废水统一排入厂区拟建污水处理</w:t>
            </w:r>
            <w:r>
              <w:rPr>
                <w:rFonts w:hint="eastAsia"/>
                <w:sz w:val="24"/>
                <w:szCs w:val="24"/>
              </w:rPr>
              <w:t>装置</w:t>
            </w:r>
            <w:r>
              <w:rPr>
                <w:sz w:val="24"/>
                <w:szCs w:val="24"/>
              </w:rPr>
              <w:t>（设计污水处理规模为</w:t>
            </w:r>
            <w:r>
              <w:rPr>
                <w:rFonts w:hint="eastAsia"/>
                <w:sz w:val="24"/>
                <w:szCs w:val="24"/>
                <w:lang w:val="en-US" w:eastAsia="zh-CN"/>
              </w:rPr>
              <w:t>90</w:t>
            </w:r>
            <w:r>
              <w:rPr>
                <w:sz w:val="24"/>
                <w:szCs w:val="24"/>
              </w:rPr>
              <w:t xml:space="preserve"> m</w:t>
            </w:r>
            <w:r>
              <w:rPr>
                <w:sz w:val="24"/>
                <w:szCs w:val="24"/>
                <w:vertAlign w:val="superscript"/>
              </w:rPr>
              <w:t>3</w:t>
            </w:r>
            <w:r>
              <w:rPr>
                <w:sz w:val="24"/>
                <w:szCs w:val="24"/>
              </w:rPr>
              <w:t>/d，采用</w:t>
            </w:r>
            <w:r>
              <w:rPr>
                <w:rFonts w:hint="eastAsia"/>
                <w:sz w:val="24"/>
                <w:szCs w:val="24"/>
              </w:rPr>
              <w:t>沉淀+</w:t>
            </w:r>
            <w:r>
              <w:rPr>
                <w:sz w:val="24"/>
                <w:szCs w:val="24"/>
              </w:rPr>
              <w:t>中和</w:t>
            </w:r>
            <w:r>
              <w:rPr>
                <w:rFonts w:hint="eastAsia"/>
                <w:sz w:val="24"/>
                <w:szCs w:val="24"/>
              </w:rPr>
              <w:t>的</w:t>
            </w:r>
            <w:r>
              <w:rPr>
                <w:sz w:val="24"/>
                <w:szCs w:val="24"/>
              </w:rPr>
              <w:t>处理工艺，经其处理达标后统一排放。</w:t>
            </w:r>
            <w:r>
              <w:rPr>
                <w:rFonts w:hint="eastAsia" w:ascii="宋体" w:hAnsi="宋体" w:eastAsia="宋体" w:cs="宋体"/>
                <w:spacing w:val="4"/>
                <w:sz w:val="24"/>
                <w:szCs w:val="24"/>
              </w:rPr>
              <w:t>本项</w:t>
            </w:r>
            <w:r>
              <w:rPr>
                <w:rFonts w:hint="eastAsia" w:ascii="宋体" w:hAnsi="宋体" w:eastAsia="宋体" w:cs="宋体"/>
                <w:spacing w:val="3"/>
                <w:sz w:val="24"/>
                <w:szCs w:val="24"/>
              </w:rPr>
              <w:t>目生产污水处理的核心技术主要是“中</w:t>
            </w:r>
            <w:r>
              <w:rPr>
                <w:rFonts w:hint="eastAsia" w:ascii="宋体" w:hAnsi="宋体" w:eastAsia="宋体" w:cs="宋体"/>
                <w:spacing w:val="7"/>
                <w:sz w:val="24"/>
                <w:szCs w:val="24"/>
              </w:rPr>
              <w:t>和+沉淀</w:t>
            </w:r>
            <w:r>
              <w:rPr>
                <w:rFonts w:hint="eastAsia" w:ascii="宋体" w:hAnsi="宋体" w:eastAsia="宋体" w:cs="宋体"/>
                <w:spacing w:val="-53"/>
                <w:sz w:val="24"/>
                <w:szCs w:val="24"/>
              </w:rPr>
              <w:t xml:space="preserve"> </w:t>
            </w:r>
            <w:r>
              <w:rPr>
                <w:rFonts w:hint="eastAsia" w:ascii="宋体" w:hAnsi="宋体" w:eastAsia="宋体" w:cs="宋体"/>
                <w:spacing w:val="7"/>
                <w:sz w:val="24"/>
                <w:szCs w:val="24"/>
              </w:rPr>
              <w:t>”，符合水质</w:t>
            </w:r>
            <w:r>
              <w:rPr>
                <w:rFonts w:hint="eastAsia" w:ascii="宋体" w:hAnsi="宋体" w:cs="宋体"/>
                <w:spacing w:val="7"/>
                <w:sz w:val="24"/>
                <w:szCs w:val="24"/>
                <w:lang w:eastAsia="zh-CN"/>
              </w:rPr>
              <w:t>pH值</w:t>
            </w:r>
            <w:r>
              <w:rPr>
                <w:rFonts w:hint="eastAsia" w:ascii="宋体" w:hAnsi="宋体" w:eastAsia="宋体" w:cs="宋体"/>
                <w:spacing w:val="7"/>
                <w:sz w:val="24"/>
                <w:szCs w:val="24"/>
              </w:rPr>
              <w:t>较小并含有</w:t>
            </w:r>
            <w:r>
              <w:rPr>
                <w:rFonts w:hint="eastAsia" w:ascii="宋体" w:hAnsi="宋体" w:eastAsia="宋体" w:cs="宋体"/>
                <w:spacing w:val="-31"/>
                <w:sz w:val="24"/>
                <w:szCs w:val="24"/>
              </w:rPr>
              <w:t xml:space="preserve"> </w:t>
            </w:r>
            <w:r>
              <w:rPr>
                <w:rFonts w:hint="eastAsia" w:ascii="宋体" w:hAnsi="宋体" w:eastAsia="宋体" w:cs="宋体"/>
                <w:sz w:val="24"/>
                <w:szCs w:val="24"/>
              </w:rPr>
              <w:t>SS</w:t>
            </w:r>
            <w:r>
              <w:rPr>
                <w:rFonts w:hint="eastAsia" w:cs="宋体"/>
                <w:sz w:val="24"/>
                <w:szCs w:val="24"/>
                <w:lang w:eastAsia="zh-CN"/>
              </w:rPr>
              <w:t>及硫酸盐</w:t>
            </w:r>
            <w:r>
              <w:rPr>
                <w:rFonts w:hint="eastAsia" w:ascii="宋体" w:hAnsi="宋体" w:eastAsia="宋体" w:cs="宋体"/>
                <w:spacing w:val="7"/>
                <w:sz w:val="24"/>
                <w:szCs w:val="24"/>
              </w:rPr>
              <w:t>的特点，处理后的水质满足排放标准要求。</w:t>
            </w:r>
            <w:r>
              <w:rPr>
                <w:rFonts w:hint="eastAsia" w:ascii="宋体" w:hAnsi="宋体" w:eastAsia="宋体" w:cs="宋体"/>
                <w:b w:val="0"/>
                <w:bCs w:val="0"/>
                <w:color w:val="00B050"/>
                <w:sz w:val="24"/>
                <w:szCs w:val="24"/>
                <w:u w:val="single"/>
                <w:lang w:val="en-US" w:eastAsia="zh-CN"/>
              </w:rPr>
              <w:t>根据水洗用水量与98%硫酸每天用量15吨，与C反应量用量1.68吨，每天水洗用水量为</w:t>
            </w:r>
            <w:r>
              <w:rPr>
                <w:rFonts w:hint="eastAsia" w:ascii="宋体" w:hAnsi="宋体" w:cs="宋体"/>
                <w:b w:val="0"/>
                <w:bCs w:val="0"/>
                <w:color w:val="00B050"/>
                <w:sz w:val="24"/>
                <w:szCs w:val="24"/>
                <w:u w:val="single"/>
                <w:lang w:val="en-US" w:eastAsia="zh-CN"/>
              </w:rPr>
              <w:t>90</w:t>
            </w:r>
            <w:r>
              <w:rPr>
                <w:rFonts w:hint="eastAsia" w:ascii="宋体" w:hAnsi="宋体" w:eastAsia="宋体" w:cs="宋体"/>
                <w:b w:val="0"/>
                <w:bCs w:val="0"/>
                <w:color w:val="00B050"/>
                <w:sz w:val="24"/>
                <w:szCs w:val="24"/>
                <w:u w:val="single"/>
                <w:lang w:val="en-US" w:eastAsia="zh-CN"/>
              </w:rPr>
              <w:t>吨，则</w:t>
            </w:r>
            <w:r>
              <w:rPr>
                <w:rFonts w:hint="eastAsia" w:ascii="宋体" w:hAnsi="宋体" w:cs="宋体"/>
                <w:b w:val="0"/>
                <w:bCs w:val="0"/>
                <w:color w:val="00B050"/>
                <w:sz w:val="24"/>
                <w:szCs w:val="24"/>
                <w:u w:val="single"/>
                <w:lang w:val="en-US" w:eastAsia="zh-CN"/>
              </w:rPr>
              <w:t>pH值</w:t>
            </w:r>
            <w:r>
              <w:rPr>
                <w:rFonts w:hint="eastAsia" w:ascii="宋体" w:hAnsi="宋体" w:eastAsia="宋体" w:cs="宋体"/>
                <w:b w:val="0"/>
                <w:bCs w:val="0"/>
                <w:color w:val="00B050"/>
                <w:sz w:val="24"/>
                <w:szCs w:val="24"/>
                <w:u w:val="single"/>
                <w:lang w:val="en-US" w:eastAsia="zh-CN"/>
              </w:rPr>
              <w:t>约为-0.33。由于水洗后的硫酸溶液相对含水率较高，硫酸钙为微溶物（20℃溶解度约0.24 g/100 mL），细小颗粒（如胶体或微米级悬浮物）因布朗运动和电荷排斥难以自然沉降。因此硫酸盐产生浓度按2400</w:t>
            </w:r>
            <w:r>
              <w:rPr>
                <w:rFonts w:hint="eastAsia" w:ascii="宋体" w:hAnsi="宋体" w:eastAsia="宋体" w:cs="宋体"/>
                <w:b w:val="0"/>
                <w:bCs w:val="0"/>
                <w:color w:val="00B050"/>
                <w:sz w:val="24"/>
                <w:szCs w:val="24"/>
                <w:u w:val="single"/>
              </w:rPr>
              <w:t>mg</w:t>
            </w:r>
            <w:r>
              <w:rPr>
                <w:rFonts w:hint="eastAsia" w:ascii="宋体" w:hAnsi="宋体" w:eastAsia="宋体" w:cs="宋体"/>
                <w:b w:val="0"/>
                <w:bCs w:val="0"/>
                <w:color w:val="00B050"/>
                <w:spacing w:val="6"/>
                <w:sz w:val="24"/>
                <w:szCs w:val="24"/>
                <w:u w:val="single"/>
              </w:rPr>
              <w:t>/L</w:t>
            </w:r>
            <w:r>
              <w:rPr>
                <w:rFonts w:hint="eastAsia" w:ascii="宋体" w:hAnsi="宋体" w:eastAsia="宋体" w:cs="宋体"/>
                <w:b w:val="0"/>
                <w:bCs w:val="0"/>
                <w:color w:val="00B050"/>
                <w:spacing w:val="6"/>
                <w:sz w:val="24"/>
                <w:szCs w:val="24"/>
                <w:u w:val="single"/>
                <w:lang w:val="en-US" w:eastAsia="zh-CN"/>
              </w:rPr>
              <w:t>计算</w:t>
            </w:r>
            <w:r>
              <w:rPr>
                <w:rFonts w:hint="eastAsia" w:ascii="宋体" w:hAnsi="宋体" w:eastAsia="宋体" w:cs="宋体"/>
                <w:b w:val="0"/>
                <w:bCs w:val="0"/>
                <w:spacing w:val="6"/>
                <w:sz w:val="24"/>
                <w:szCs w:val="24"/>
                <w:lang w:val="en-US" w:eastAsia="zh-CN"/>
              </w:rPr>
              <w:t>，需通过絮凝作用将细小颗粒聚集成大絮体，使其重力大于水阻力而沉降。无机絮凝剂（如聚合氯化铝PAC、硫酸铁）：通过压缩双电层、中和颗粒电荷促进聚集，去除率约80%。</w:t>
            </w:r>
            <w:r>
              <w:rPr>
                <w:rFonts w:hint="eastAsia" w:ascii="宋体" w:hAnsi="宋体" w:eastAsia="宋体" w:cs="宋体"/>
                <w:spacing w:val="7"/>
                <w:sz w:val="24"/>
                <w:szCs w:val="24"/>
              </w:rPr>
              <w:t>因此，</w:t>
            </w:r>
            <w:r>
              <w:rPr>
                <w:rFonts w:hint="eastAsia" w:ascii="宋体" w:hAnsi="宋体" w:eastAsia="宋体" w:cs="宋体"/>
                <w:spacing w:val="8"/>
                <w:sz w:val="24"/>
                <w:szCs w:val="24"/>
              </w:rPr>
              <w:t>本项目废水污染防治措施可行。</w:t>
            </w:r>
          </w:p>
          <w:p w14:paraId="552BCE25">
            <w:pPr>
              <w:pStyle w:val="52"/>
              <w:keepNext w:val="0"/>
              <w:keepLines w:val="0"/>
              <w:pageBreakBefore w:val="0"/>
              <w:widowControl w:val="0"/>
              <w:kinsoku/>
              <w:wordWrap/>
              <w:overflowPunct/>
              <w:topLinePunct w:val="0"/>
              <w:autoSpaceDE/>
              <w:autoSpaceDN/>
              <w:bidi w:val="0"/>
              <w:spacing w:line="360" w:lineRule="auto"/>
              <w:ind w:left="530"/>
              <w:textAlignment w:val="auto"/>
              <w:rPr>
                <w:rFonts w:hint="eastAsia" w:ascii="宋体" w:hAnsi="宋体" w:eastAsia="宋体" w:cs="宋体"/>
                <w:b/>
                <w:bCs/>
                <w:sz w:val="24"/>
                <w:szCs w:val="24"/>
              </w:rPr>
            </w:pPr>
            <w:r>
              <w:rPr>
                <w:rFonts w:hint="eastAsia" w:ascii="宋体" w:hAnsi="宋体" w:eastAsia="宋体" w:cs="宋体"/>
                <w:b/>
                <w:bCs/>
                <w:spacing w:val="9"/>
                <w:sz w:val="24"/>
                <w:szCs w:val="24"/>
                <w:lang w:val="en-US" w:eastAsia="zh-CN"/>
              </w:rPr>
              <w:t>3、</w:t>
            </w:r>
            <w:r>
              <w:rPr>
                <w:rFonts w:hint="eastAsia" w:ascii="宋体" w:hAnsi="宋体" w:eastAsia="宋体" w:cs="宋体"/>
                <w:b/>
                <w:bCs/>
                <w:spacing w:val="9"/>
                <w:sz w:val="24"/>
                <w:szCs w:val="24"/>
              </w:rPr>
              <w:t>本项目废水依托可行性</w:t>
            </w:r>
          </w:p>
          <w:p w14:paraId="4DCD8B46">
            <w:pPr>
              <w:pStyle w:val="52"/>
              <w:keepNext w:val="0"/>
              <w:keepLines w:val="0"/>
              <w:pageBreakBefore w:val="0"/>
              <w:widowControl w:val="0"/>
              <w:kinsoku/>
              <w:wordWrap/>
              <w:overflowPunct/>
              <w:topLinePunct w:val="0"/>
              <w:autoSpaceDE/>
              <w:autoSpaceDN/>
              <w:bidi w:val="0"/>
              <w:spacing w:line="360" w:lineRule="auto"/>
              <w:ind w:left="113" w:right="107" w:firstLine="420"/>
              <w:textAlignment w:val="auto"/>
              <w:rPr>
                <w:rFonts w:hint="eastAsia" w:ascii="宋体" w:hAnsi="宋体" w:eastAsia="宋体" w:cs="宋体"/>
                <w:sz w:val="24"/>
                <w:szCs w:val="24"/>
              </w:rPr>
            </w:pPr>
            <w:r>
              <w:rPr>
                <w:rFonts w:hint="eastAsia" w:ascii="宋体" w:hAnsi="宋体" w:eastAsia="宋体" w:cs="宋体"/>
                <w:spacing w:val="11"/>
                <w:sz w:val="24"/>
                <w:szCs w:val="24"/>
              </w:rPr>
              <w:t>本项目废水出水水质均符合</w:t>
            </w:r>
            <w:r>
              <w:rPr>
                <w:rFonts w:hint="eastAsia" w:ascii="宋体" w:hAnsi="宋体" w:eastAsia="宋体" w:cs="宋体"/>
                <w:spacing w:val="11"/>
                <w:sz w:val="24"/>
                <w:szCs w:val="24"/>
                <w:lang w:val="en-US" w:eastAsia="zh-CN"/>
              </w:rPr>
              <w:t>四平市</w:t>
            </w:r>
            <w:r>
              <w:rPr>
                <w:rFonts w:hint="eastAsia" w:ascii="宋体" w:hAnsi="宋体" w:eastAsia="宋体" w:cs="宋体"/>
                <w:spacing w:val="11"/>
                <w:sz w:val="24"/>
                <w:szCs w:val="24"/>
              </w:rPr>
              <w:t>污水处理厂设计进水水质指标要求</w:t>
            </w:r>
            <w:r>
              <w:rPr>
                <w:rFonts w:hint="eastAsia" w:cs="宋体"/>
                <w:spacing w:val="11"/>
                <w:sz w:val="24"/>
                <w:szCs w:val="24"/>
                <w:lang w:val="en-US" w:eastAsia="zh-CN"/>
              </w:rPr>
              <w:t>及余量</w:t>
            </w:r>
            <w:r>
              <w:rPr>
                <w:rFonts w:hint="eastAsia" w:cs="宋体"/>
                <w:spacing w:val="11"/>
                <w:sz w:val="24"/>
                <w:szCs w:val="24"/>
                <w:lang w:eastAsia="zh-CN"/>
              </w:rPr>
              <w:t>，</w:t>
            </w:r>
            <w:r>
              <w:rPr>
                <w:rFonts w:hint="eastAsia" w:ascii="Times New Roman" w:hAnsi="Times New Roman" w:eastAsia="宋体"/>
                <w:color w:val="000000"/>
                <w:sz w:val="24"/>
                <w:szCs w:val="24"/>
                <w:lang w:val="en-US" w:eastAsia="zh-CN"/>
              </w:rPr>
              <w:t>四平市</w:t>
            </w:r>
            <w:r>
              <w:rPr>
                <w:rFonts w:hint="default" w:ascii="Times New Roman" w:hAnsi="Times New Roman" w:eastAsia="宋体"/>
                <w:color w:val="000000"/>
                <w:sz w:val="24"/>
                <w:szCs w:val="24"/>
                <w:lang w:val="en-US" w:eastAsia="zh-CN"/>
              </w:rPr>
              <w:t>污水处理厂污水处理总能力</w:t>
            </w:r>
            <w:r>
              <w:rPr>
                <w:rFonts w:hint="eastAsia" w:ascii="Times New Roman" w:hAnsi="Times New Roman" w:eastAsia="宋体"/>
                <w:color w:val="000000"/>
                <w:sz w:val="24"/>
                <w:szCs w:val="24"/>
                <w:lang w:val="en-US" w:eastAsia="zh-CN"/>
              </w:rPr>
              <w:t>18</w:t>
            </w:r>
            <w:r>
              <w:rPr>
                <w:rFonts w:hint="default" w:ascii="Times New Roman" w:hAnsi="Times New Roman" w:eastAsia="宋体"/>
                <w:color w:val="000000"/>
                <w:sz w:val="24"/>
                <w:szCs w:val="24"/>
                <w:lang w:val="en-US" w:eastAsia="zh-CN"/>
              </w:rPr>
              <w:t>万</w:t>
            </w:r>
            <w:r>
              <w:rPr>
                <w:rFonts w:hint="eastAsia" w:ascii="Times New Roman" w:hAnsi="Times New Roman" w:eastAsia="宋体"/>
                <w:color w:val="000000"/>
                <w:sz w:val="24"/>
                <w:szCs w:val="24"/>
                <w:lang w:val="en-US" w:eastAsia="zh-CN"/>
              </w:rPr>
              <w:t>吨</w:t>
            </w:r>
            <w:r>
              <w:rPr>
                <w:rFonts w:hint="default" w:ascii="Times New Roman" w:hAnsi="Times New Roman" w:eastAsia="宋体"/>
                <w:color w:val="000000"/>
                <w:sz w:val="24"/>
                <w:szCs w:val="24"/>
                <w:lang w:val="en-US" w:eastAsia="zh-CN"/>
              </w:rPr>
              <w:t>/</w:t>
            </w:r>
            <w:r>
              <w:rPr>
                <w:rFonts w:hint="eastAsia" w:ascii="Times New Roman" w:hAnsi="Times New Roman"/>
                <w:color w:val="000000"/>
                <w:sz w:val="24"/>
                <w:szCs w:val="24"/>
                <w:lang w:val="en-US" w:eastAsia="zh-CN"/>
              </w:rPr>
              <w:t>天</w:t>
            </w:r>
            <w:r>
              <w:rPr>
                <w:rFonts w:hint="default" w:ascii="Times New Roman" w:hAnsi="Times New Roman" w:eastAsia="宋体"/>
                <w:color w:val="000000"/>
                <w:sz w:val="24"/>
                <w:szCs w:val="24"/>
                <w:lang w:val="en-US" w:eastAsia="zh-CN"/>
              </w:rPr>
              <w:t>，投入运行以来污水处理设备运转良好，厂区主体工艺采用改良</w:t>
            </w:r>
            <w:r>
              <w:rPr>
                <w:rFonts w:hint="eastAsia" w:ascii="Times New Roman" w:hAnsi="Times New Roman" w:eastAsia="宋体"/>
                <w:color w:val="000000"/>
                <w:sz w:val="24"/>
                <w:szCs w:val="24"/>
                <w:lang w:val="en-US" w:eastAsia="zh-CN"/>
              </w:rPr>
              <w:t>A</w:t>
            </w:r>
            <w:r>
              <w:rPr>
                <w:rFonts w:hint="eastAsia" w:ascii="Times New Roman" w:hAnsi="Times New Roman" w:eastAsia="宋体"/>
                <w:color w:val="000000"/>
                <w:sz w:val="24"/>
                <w:szCs w:val="24"/>
                <w:vertAlign w:val="superscript"/>
                <w:lang w:val="en-US" w:eastAsia="zh-CN"/>
              </w:rPr>
              <w:t>2</w:t>
            </w:r>
            <w:r>
              <w:rPr>
                <w:rFonts w:hint="eastAsia" w:ascii="Times New Roman" w:hAnsi="Times New Roman" w:eastAsia="宋体"/>
                <w:color w:val="000000"/>
                <w:sz w:val="24"/>
                <w:szCs w:val="24"/>
                <w:lang w:val="en-US" w:eastAsia="zh-CN"/>
              </w:rPr>
              <w:t>O</w:t>
            </w:r>
            <w:r>
              <w:rPr>
                <w:rFonts w:hint="default" w:ascii="Times New Roman" w:hAnsi="Times New Roman" w:eastAsia="宋体"/>
                <w:color w:val="000000"/>
                <w:sz w:val="24"/>
                <w:szCs w:val="24"/>
                <w:lang w:val="en-US" w:eastAsia="zh-CN"/>
              </w:rPr>
              <w:t>处理工艺</w:t>
            </w:r>
            <w:r>
              <w:rPr>
                <w:rFonts w:hint="eastAsia" w:ascii="Times New Roman" w:hAnsi="Times New Roman" w:eastAsia="宋体"/>
                <w:color w:val="000000"/>
                <w:sz w:val="24"/>
                <w:szCs w:val="24"/>
                <w:lang w:val="en-US" w:eastAsia="zh-CN"/>
              </w:rPr>
              <w:t>，</w:t>
            </w:r>
            <w:r>
              <w:rPr>
                <w:rFonts w:hint="default" w:ascii="Times New Roman" w:hAnsi="Times New Roman" w:eastAsia="宋体"/>
                <w:color w:val="000000"/>
                <w:sz w:val="24"/>
                <w:szCs w:val="24"/>
                <w:lang w:val="en-US" w:eastAsia="zh-CN"/>
              </w:rPr>
              <w:t>接纳处理</w:t>
            </w:r>
            <w:r>
              <w:rPr>
                <w:rFonts w:hint="eastAsia" w:ascii="Times New Roman" w:hAnsi="Times New Roman" w:eastAsia="宋体"/>
                <w:color w:val="000000"/>
                <w:sz w:val="24"/>
                <w:szCs w:val="24"/>
                <w:lang w:val="en-US" w:eastAsia="zh-CN"/>
              </w:rPr>
              <w:t>中心城区污水</w:t>
            </w:r>
            <w:r>
              <w:rPr>
                <w:rFonts w:hint="default" w:ascii="Times New Roman" w:hAnsi="Times New Roman" w:eastAsia="宋体"/>
                <w:color w:val="000000"/>
                <w:sz w:val="24"/>
                <w:szCs w:val="24"/>
                <w:lang w:val="en-US" w:eastAsia="zh-CN"/>
              </w:rPr>
              <w:t>，出水水质执行《城镇污水处理</w:t>
            </w:r>
            <w:r>
              <w:rPr>
                <w:rFonts w:hint="default" w:ascii="Times New Roman" w:hAnsi="Times New Roman" w:eastAsia="宋体"/>
                <w:iCs/>
                <w:smallCaps w:val="0"/>
                <w:color w:val="000000"/>
                <w:sz w:val="24"/>
                <w:szCs w:val="24"/>
                <w:highlight w:val="none"/>
                <w:lang w:val="en-US" w:eastAsia="zh-CN"/>
              </w:rPr>
              <w:t>厂污染物排放标准》（GB18918-2002）中一级A标准，</w:t>
            </w:r>
            <w:r>
              <w:rPr>
                <w:rFonts w:hint="default" w:ascii="Times New Roman" w:hAnsi="Times New Roman" w:eastAsia="宋体"/>
                <w:iCs/>
                <w:smallCaps w:val="0"/>
                <w:color w:val="000000"/>
                <w:sz w:val="24"/>
                <w:szCs w:val="24"/>
                <w:highlight w:val="none"/>
                <w:u w:val="none"/>
                <w:lang w:val="en-US" w:eastAsia="zh-CN"/>
              </w:rPr>
              <w:t>处理后的废水排入</w:t>
            </w:r>
            <w:r>
              <w:rPr>
                <w:rFonts w:hint="eastAsia" w:ascii="Times New Roman" w:hAnsi="Times New Roman" w:eastAsia="宋体"/>
                <w:iCs/>
                <w:smallCaps w:val="0"/>
                <w:color w:val="000000"/>
                <w:sz w:val="24"/>
                <w:szCs w:val="24"/>
                <w:highlight w:val="none"/>
                <w:u w:val="none"/>
                <w:lang w:val="en-US" w:eastAsia="zh-CN"/>
              </w:rPr>
              <w:t>条子河</w:t>
            </w:r>
            <w:r>
              <w:rPr>
                <w:rFonts w:hint="eastAsia" w:ascii="Times New Roman" w:hAnsi="Times New Roman" w:eastAsia="宋体"/>
                <w:iCs/>
                <w:smallCaps w:val="0"/>
                <w:color w:val="000000"/>
                <w:sz w:val="24"/>
                <w:szCs w:val="24"/>
                <w:highlight w:val="none"/>
                <w:lang w:val="en-US" w:eastAsia="zh-CN"/>
              </w:rPr>
              <w:t>。</w:t>
            </w:r>
            <w:r>
              <w:rPr>
                <w:rFonts w:hint="eastAsia" w:ascii="宋体" w:hAnsi="宋体" w:eastAsia="宋体" w:cs="宋体"/>
                <w:spacing w:val="9"/>
                <w:sz w:val="24"/>
                <w:szCs w:val="24"/>
              </w:rPr>
              <w:t>因此</w:t>
            </w:r>
            <w:r>
              <w:rPr>
                <w:rFonts w:hint="eastAsia" w:ascii="宋体" w:hAnsi="宋体" w:eastAsia="宋体" w:cs="宋体"/>
                <w:spacing w:val="9"/>
                <w:sz w:val="24"/>
                <w:szCs w:val="24"/>
                <w:lang w:val="en-US" w:eastAsia="zh-CN"/>
              </w:rPr>
              <w:t>四平市</w:t>
            </w:r>
            <w:r>
              <w:rPr>
                <w:rFonts w:hint="eastAsia" w:ascii="宋体" w:hAnsi="宋体" w:eastAsia="宋体" w:cs="宋体"/>
                <w:spacing w:val="9"/>
                <w:sz w:val="24"/>
                <w:szCs w:val="24"/>
              </w:rPr>
              <w:t>污水处理厂可以接纳本项目废水。</w:t>
            </w:r>
          </w:p>
          <w:p w14:paraId="0E66E369">
            <w:pPr>
              <w:pStyle w:val="52"/>
              <w:keepNext w:val="0"/>
              <w:keepLines w:val="0"/>
              <w:pageBreakBefore w:val="0"/>
              <w:widowControl w:val="0"/>
              <w:kinsoku/>
              <w:wordWrap/>
              <w:overflowPunct/>
              <w:topLinePunct w:val="0"/>
              <w:autoSpaceDE/>
              <w:autoSpaceDN/>
              <w:bidi w:val="0"/>
              <w:adjustRightInd/>
              <w:snapToGrid/>
              <w:spacing w:line="360" w:lineRule="auto"/>
              <w:ind w:right="31" w:firstLine="516" w:firstLineChars="200"/>
              <w:jc w:val="both"/>
              <w:textAlignment w:val="auto"/>
              <w:rPr>
                <w:rFonts w:hint="eastAsia" w:ascii="宋体" w:hAnsi="宋体" w:eastAsia="宋体" w:cs="宋体"/>
                <w:sz w:val="24"/>
                <w:szCs w:val="24"/>
              </w:rPr>
            </w:pPr>
            <w:r>
              <w:rPr>
                <w:rFonts w:hint="eastAsia" w:ascii="宋体" w:hAnsi="宋体" w:eastAsia="宋体" w:cs="宋体"/>
                <w:spacing w:val="9"/>
                <w:sz w:val="24"/>
                <w:szCs w:val="24"/>
              </w:rPr>
              <w:t>综上所述，本项目排放的废水经预处理后，满足</w:t>
            </w:r>
            <w:r>
              <w:rPr>
                <w:rFonts w:hint="eastAsia" w:ascii="宋体" w:hAnsi="宋体" w:eastAsia="宋体" w:cs="宋体"/>
                <w:iCs/>
                <w:sz w:val="24"/>
                <w:szCs w:val="24"/>
                <w:lang w:val="en-US" w:eastAsia="zh-CN"/>
              </w:rPr>
              <w:t>《污水排入城镇下水道水质标准》GB/T31962-2015</w:t>
            </w:r>
            <w:r>
              <w:rPr>
                <w:rFonts w:hint="eastAsia" w:ascii="宋体" w:hAnsi="宋体" w:eastAsia="宋体" w:cs="宋体"/>
                <w:spacing w:val="8"/>
                <w:sz w:val="24"/>
                <w:szCs w:val="24"/>
              </w:rPr>
              <w:t>标准；硫酸盐排放满足《污水排入城镇下水道水质标准》</w:t>
            </w:r>
            <w:r>
              <w:rPr>
                <w:rFonts w:hint="eastAsia" w:ascii="宋体" w:hAnsi="宋体" w:eastAsia="宋体" w:cs="宋体"/>
                <w:spacing w:val="-78"/>
                <w:sz w:val="24"/>
                <w:szCs w:val="24"/>
              </w:rPr>
              <w:t xml:space="preserve"> </w:t>
            </w:r>
            <w:r>
              <w:rPr>
                <w:rFonts w:hint="eastAsia" w:ascii="宋体" w:hAnsi="宋体" w:eastAsia="宋体" w:cs="宋体"/>
                <w:spacing w:val="8"/>
                <w:sz w:val="24"/>
                <w:szCs w:val="24"/>
              </w:rPr>
              <w:t>（</w:t>
            </w:r>
            <w:r>
              <w:rPr>
                <w:rFonts w:hint="eastAsia" w:ascii="宋体" w:hAnsi="宋体" w:eastAsia="宋体" w:cs="宋体"/>
                <w:sz w:val="24"/>
                <w:szCs w:val="24"/>
              </w:rPr>
              <w:t>GB</w:t>
            </w:r>
            <w:r>
              <w:rPr>
                <w:rFonts w:hint="eastAsia" w:ascii="宋体" w:hAnsi="宋体" w:eastAsia="宋体" w:cs="宋体"/>
                <w:spacing w:val="8"/>
                <w:sz w:val="24"/>
                <w:szCs w:val="24"/>
              </w:rPr>
              <w:t>/T31962-20</w:t>
            </w:r>
            <w:r>
              <w:rPr>
                <w:rFonts w:hint="eastAsia" w:ascii="宋体" w:hAnsi="宋体" w:eastAsia="宋体" w:cs="宋体"/>
                <w:spacing w:val="8"/>
                <w:sz w:val="24"/>
                <w:szCs w:val="24"/>
                <w:lang w:val="en-US" w:eastAsia="zh-CN"/>
              </w:rPr>
              <w:t>24</w:t>
            </w:r>
            <w:r>
              <w:rPr>
                <w:rFonts w:hint="eastAsia" w:ascii="宋体" w:hAnsi="宋体" w:eastAsia="宋体" w:cs="宋体"/>
                <w:spacing w:val="8"/>
                <w:sz w:val="24"/>
                <w:szCs w:val="24"/>
              </w:rPr>
              <w:t>）</w:t>
            </w:r>
            <w:r>
              <w:rPr>
                <w:rFonts w:hint="eastAsia" w:ascii="宋体" w:hAnsi="宋体" w:eastAsia="宋体" w:cs="宋体"/>
                <w:spacing w:val="-58"/>
                <w:sz w:val="24"/>
                <w:szCs w:val="24"/>
              </w:rPr>
              <w:t xml:space="preserve"> </w:t>
            </w:r>
            <w:r>
              <w:rPr>
                <w:rFonts w:hint="eastAsia" w:ascii="宋体" w:hAnsi="宋体" w:eastAsia="宋体" w:cs="宋体"/>
                <w:spacing w:val="8"/>
                <w:sz w:val="24"/>
                <w:szCs w:val="24"/>
              </w:rPr>
              <w:t>中限值要求（即</w:t>
            </w:r>
            <w:r>
              <w:rPr>
                <w:rFonts w:hint="eastAsia" w:ascii="宋体" w:hAnsi="宋体" w:eastAsia="宋体" w:cs="宋体"/>
                <w:spacing w:val="-35"/>
                <w:sz w:val="24"/>
                <w:szCs w:val="24"/>
              </w:rPr>
              <w:t xml:space="preserve"> </w:t>
            </w:r>
            <w:r>
              <w:rPr>
                <w:rFonts w:hint="eastAsia" w:ascii="宋体" w:hAnsi="宋体" w:eastAsia="宋体" w:cs="宋体"/>
                <w:spacing w:val="8"/>
                <w:sz w:val="24"/>
                <w:szCs w:val="24"/>
              </w:rPr>
              <w:t>600</w:t>
            </w:r>
            <w:r>
              <w:rPr>
                <w:rFonts w:hint="eastAsia" w:ascii="宋体" w:hAnsi="宋体" w:eastAsia="宋体" w:cs="宋体"/>
                <w:sz w:val="24"/>
                <w:szCs w:val="24"/>
              </w:rPr>
              <w:t>mg</w:t>
            </w:r>
            <w:r>
              <w:rPr>
                <w:rFonts w:hint="eastAsia" w:ascii="宋体" w:hAnsi="宋体" w:eastAsia="宋体" w:cs="宋体"/>
                <w:spacing w:val="8"/>
                <w:sz w:val="24"/>
                <w:szCs w:val="24"/>
              </w:rPr>
              <w:t>/L）后排入</w:t>
            </w:r>
            <w:r>
              <w:rPr>
                <w:rFonts w:hint="eastAsia" w:ascii="宋体" w:hAnsi="宋体" w:eastAsia="宋体" w:cs="宋体"/>
                <w:spacing w:val="7"/>
                <w:sz w:val="24"/>
                <w:szCs w:val="24"/>
                <w:lang w:val="en-US" w:eastAsia="zh-CN"/>
              </w:rPr>
              <w:t>四平市</w:t>
            </w:r>
            <w:r>
              <w:rPr>
                <w:rFonts w:hint="eastAsia" w:ascii="宋体" w:hAnsi="宋体" w:eastAsia="宋体" w:cs="宋体"/>
                <w:spacing w:val="7"/>
                <w:sz w:val="24"/>
                <w:szCs w:val="24"/>
              </w:rPr>
              <w:t>污水处理厂，对环境影响较小。</w:t>
            </w:r>
          </w:p>
          <w:p w14:paraId="1C422C72">
            <w:pPr>
              <w:pStyle w:val="52"/>
              <w:keepNext w:val="0"/>
              <w:keepLines w:val="0"/>
              <w:pageBreakBefore w:val="0"/>
              <w:widowControl w:val="0"/>
              <w:kinsoku/>
              <w:wordWrap/>
              <w:overflowPunct/>
              <w:topLinePunct w:val="0"/>
              <w:autoSpaceDE/>
              <w:autoSpaceDN/>
              <w:bidi w:val="0"/>
              <w:adjustRightInd/>
              <w:snapToGrid/>
              <w:spacing w:line="360" w:lineRule="auto"/>
              <w:ind w:left="527"/>
              <w:textAlignment w:val="auto"/>
              <w:rPr>
                <w:rFonts w:hint="eastAsia" w:asciiTheme="minorEastAsia" w:hAnsiTheme="minorEastAsia" w:eastAsiaTheme="minorEastAsia" w:cstheme="minorEastAsia"/>
                <w:b/>
                <w:bCs/>
                <w:sz w:val="24"/>
                <w:szCs w:val="24"/>
                <w:highlight w:val="none"/>
              </w:rPr>
            </w:pPr>
            <w:r>
              <w:rPr>
                <w:rFonts w:hint="eastAsia" w:ascii="宋体" w:hAnsi="宋体" w:eastAsia="宋体" w:cs="宋体"/>
                <w:b/>
                <w:bCs/>
                <w:spacing w:val="5"/>
                <w:sz w:val="24"/>
                <w:szCs w:val="24"/>
              </w:rPr>
              <w:t>4</w:t>
            </w:r>
            <w:r>
              <w:rPr>
                <w:rFonts w:hint="eastAsia" w:ascii="宋体" w:hAnsi="宋体" w:eastAsia="宋体" w:cs="宋体"/>
                <w:b/>
                <w:bCs/>
                <w:spacing w:val="-23"/>
                <w:sz w:val="24"/>
                <w:szCs w:val="24"/>
              </w:rPr>
              <w:t xml:space="preserve"> </w:t>
            </w:r>
            <w:r>
              <w:rPr>
                <w:rFonts w:hint="eastAsia" w:asciiTheme="minorEastAsia" w:hAnsiTheme="minorEastAsia" w:eastAsiaTheme="minorEastAsia" w:cstheme="minorEastAsia"/>
                <w:b/>
                <w:bCs/>
                <w:spacing w:val="5"/>
                <w:sz w:val="24"/>
                <w:szCs w:val="24"/>
                <w:highlight w:val="none"/>
              </w:rPr>
              <w:t>、废水监测计划</w:t>
            </w:r>
          </w:p>
          <w:p w14:paraId="71408420">
            <w:pPr>
              <w:pStyle w:val="52"/>
              <w:keepNext w:val="0"/>
              <w:keepLines w:val="0"/>
              <w:pageBreakBefore w:val="0"/>
              <w:widowControl w:val="0"/>
              <w:kinsoku/>
              <w:wordWrap/>
              <w:overflowPunct/>
              <w:topLinePunct w:val="0"/>
              <w:autoSpaceDE/>
              <w:autoSpaceDN/>
              <w:bidi w:val="0"/>
              <w:adjustRightInd/>
              <w:snapToGrid/>
              <w:spacing w:line="360" w:lineRule="auto"/>
              <w:ind w:left="114" w:right="175" w:firstLine="419"/>
              <w:textAlignment w:val="auto"/>
              <w:rPr>
                <w:rFonts w:hint="eastAsia" w:ascii="宋体" w:hAnsi="宋体" w:eastAsia="宋体" w:cs="宋体"/>
                <w:sz w:val="24"/>
                <w:szCs w:val="24"/>
              </w:rPr>
            </w:pPr>
            <w:r>
              <w:rPr>
                <w:rFonts w:hint="eastAsia" w:asciiTheme="minorEastAsia" w:hAnsiTheme="minorEastAsia" w:eastAsiaTheme="minorEastAsia" w:cstheme="minorEastAsia"/>
                <w:spacing w:val="9"/>
                <w:sz w:val="24"/>
                <w:szCs w:val="24"/>
                <w:highlight w:val="none"/>
              </w:rPr>
              <w:t>参照《排污许可证申请与核发技术规范  石墨及其他非金属矿物制品制造》（</w:t>
            </w:r>
            <w:r>
              <w:rPr>
                <w:rFonts w:hint="eastAsia" w:asciiTheme="minorEastAsia" w:hAnsiTheme="minorEastAsia" w:eastAsiaTheme="minorEastAsia" w:cstheme="minorEastAsia"/>
                <w:sz w:val="24"/>
                <w:szCs w:val="24"/>
                <w:highlight w:val="none"/>
              </w:rPr>
              <w:t>HJ</w:t>
            </w:r>
            <w:r>
              <w:rPr>
                <w:rFonts w:hint="eastAsia" w:asciiTheme="minorEastAsia" w:hAnsiTheme="minorEastAsia" w:eastAsiaTheme="minorEastAsia" w:cstheme="minorEastAsia"/>
                <w:spacing w:val="9"/>
                <w:sz w:val="24"/>
                <w:szCs w:val="24"/>
                <w:highlight w:val="none"/>
              </w:rPr>
              <w:t>1119—</w:t>
            </w:r>
            <w:r>
              <w:rPr>
                <w:rFonts w:hint="eastAsia" w:asciiTheme="minorEastAsia" w:hAnsiTheme="minorEastAsia" w:eastAsiaTheme="minorEastAsia" w:cstheme="minorEastAsia"/>
                <w:spacing w:val="7"/>
                <w:sz w:val="24"/>
                <w:szCs w:val="24"/>
                <w:highlight w:val="none"/>
              </w:rPr>
              <w:t>2020）</w:t>
            </w:r>
            <w:r>
              <w:rPr>
                <w:rFonts w:hint="eastAsia" w:asciiTheme="minorEastAsia" w:hAnsiTheme="minorEastAsia" w:eastAsiaTheme="minorEastAsia" w:cstheme="minorEastAsia"/>
                <w:spacing w:val="7"/>
                <w:sz w:val="24"/>
                <w:szCs w:val="24"/>
                <w:highlight w:val="none"/>
                <w:lang w:val="en-US" w:eastAsia="zh-CN"/>
              </w:rPr>
              <w:t>以及</w:t>
            </w:r>
            <w:r>
              <w:rPr>
                <w:rFonts w:hint="eastAsia" w:asciiTheme="minorEastAsia" w:hAnsiTheme="minorEastAsia" w:eastAsiaTheme="minorEastAsia" w:cstheme="minorEastAsia"/>
                <w:spacing w:val="9"/>
                <w:sz w:val="24"/>
                <w:szCs w:val="24"/>
                <w:highlight w:val="none"/>
              </w:rPr>
              <w:t>《排污</w:t>
            </w:r>
            <w:r>
              <w:rPr>
                <w:rFonts w:hint="eastAsia" w:asciiTheme="minorEastAsia" w:hAnsiTheme="minorEastAsia" w:eastAsiaTheme="minorEastAsia" w:cstheme="minorEastAsia"/>
                <w:spacing w:val="9"/>
                <w:sz w:val="24"/>
                <w:szCs w:val="24"/>
                <w:highlight w:val="none"/>
                <w:lang w:val="en-US" w:eastAsia="zh-CN"/>
              </w:rPr>
              <w:t>单位自行监测技术指南</w:t>
            </w:r>
            <w:r>
              <w:rPr>
                <w:rFonts w:hint="eastAsia" w:asciiTheme="minorEastAsia" w:hAnsiTheme="minorEastAsia" w:eastAsiaTheme="minorEastAsia" w:cstheme="minorEastAsia"/>
                <w:spacing w:val="9"/>
                <w:sz w:val="24"/>
                <w:szCs w:val="24"/>
                <w:highlight w:val="none"/>
              </w:rPr>
              <w:t>》</w:t>
            </w:r>
            <w:r>
              <w:rPr>
                <w:rFonts w:hint="eastAsia" w:ascii="宋体" w:hAnsi="宋体" w:eastAsia="宋体" w:cs="宋体"/>
                <w:spacing w:val="9"/>
                <w:sz w:val="24"/>
                <w:szCs w:val="24"/>
              </w:rPr>
              <w:t>（</w:t>
            </w:r>
            <w:r>
              <w:rPr>
                <w:rFonts w:hint="eastAsia" w:ascii="宋体" w:hAnsi="宋体" w:eastAsia="宋体" w:cs="宋体"/>
                <w:sz w:val="24"/>
                <w:szCs w:val="24"/>
              </w:rPr>
              <w:t>HJ</w:t>
            </w:r>
            <w:r>
              <w:rPr>
                <w:rFonts w:hint="eastAsia" w:ascii="宋体" w:hAnsi="宋体" w:eastAsia="宋体" w:cs="宋体"/>
                <w:spacing w:val="9"/>
                <w:sz w:val="24"/>
                <w:szCs w:val="24"/>
                <w:lang w:val="en-US" w:eastAsia="zh-CN"/>
              </w:rPr>
              <w:t>819</w:t>
            </w:r>
            <w:r>
              <w:rPr>
                <w:rFonts w:hint="eastAsia" w:ascii="宋体" w:hAnsi="宋体" w:eastAsia="宋体" w:cs="宋体"/>
                <w:spacing w:val="9"/>
                <w:sz w:val="24"/>
                <w:szCs w:val="24"/>
              </w:rPr>
              <w:t>—</w:t>
            </w:r>
            <w:r>
              <w:rPr>
                <w:rFonts w:hint="eastAsia" w:ascii="宋体" w:hAnsi="宋体" w:eastAsia="宋体" w:cs="宋体"/>
                <w:spacing w:val="6"/>
                <w:sz w:val="24"/>
                <w:szCs w:val="24"/>
                <w:lang w:val="en-US" w:eastAsia="zh-CN"/>
              </w:rPr>
              <w:t>2017</w:t>
            </w:r>
            <w:r>
              <w:rPr>
                <w:rFonts w:hint="eastAsia" w:ascii="宋体" w:hAnsi="宋体" w:eastAsia="宋体" w:cs="宋体"/>
                <w:spacing w:val="7"/>
                <w:sz w:val="24"/>
                <w:szCs w:val="24"/>
              </w:rPr>
              <w:t>）有关规定，制定本项目监测计划。</w:t>
            </w:r>
          </w:p>
          <w:p w14:paraId="2D954ECF">
            <w:pPr>
              <w:adjustRightInd w:val="0"/>
              <w:snapToGrid w:val="0"/>
              <w:ind w:firstLine="2626" w:firstLineChars="1200"/>
              <w:rPr>
                <w:rFonts w:hint="default"/>
                <w:spacing w:val="8"/>
                <w:highlight w:val="yellow"/>
                <w:lang w:val="en-US" w:eastAsia="zh-CN"/>
              </w:rPr>
            </w:pPr>
            <w:r>
              <w:rPr>
                <w:b/>
                <w:bCs/>
                <w:spacing w:val="4"/>
                <w:highlight w:val="none"/>
              </w:rPr>
              <w:t>表</w:t>
            </w:r>
            <w:r>
              <w:rPr>
                <w:rFonts w:hint="eastAsia"/>
                <w:b/>
                <w:bCs/>
                <w:spacing w:val="4"/>
                <w:highlight w:val="none"/>
                <w:lang w:val="en-US" w:eastAsia="zh-CN"/>
              </w:rPr>
              <w:t>4-5</w:t>
            </w:r>
            <w:r>
              <w:rPr>
                <w:b/>
                <w:bCs/>
                <w:spacing w:val="4"/>
                <w:highlight w:val="none"/>
              </w:rPr>
              <w:t xml:space="preserve"> </w:t>
            </w:r>
            <w:r>
              <w:rPr>
                <w:rFonts w:ascii="Times New Roman" w:hAnsi="Times New Roman" w:eastAsia="Times New Roman" w:cs="Times New Roman"/>
                <w:b/>
                <w:bCs/>
                <w:spacing w:val="4"/>
                <w:highlight w:val="none"/>
              </w:rPr>
              <w:t xml:space="preserve">   </w:t>
            </w:r>
            <w:r>
              <w:rPr>
                <w:b/>
                <w:bCs/>
                <w:spacing w:val="4"/>
                <w:highlight w:val="none"/>
              </w:rPr>
              <w:t>废水监测计划</w:t>
            </w:r>
          </w:p>
          <w:tbl>
            <w:tblPr>
              <w:tblStyle w:val="53"/>
              <w:tblW w:w="4998" w:type="pct"/>
              <w:tblInd w:w="-13"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2466"/>
              <w:gridCol w:w="2630"/>
              <w:gridCol w:w="1728"/>
            </w:tblGrid>
            <w:tr w14:paraId="3C28036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97" w:type="pct"/>
                  <w:tcBorders>
                    <w:tl2br w:val="nil"/>
                    <w:tr2bl w:val="nil"/>
                  </w:tcBorders>
                  <w:noWrap w:val="0"/>
                  <w:vAlign w:val="top"/>
                </w:tcPr>
                <w:p w14:paraId="6E321861">
                  <w:pPr>
                    <w:pStyle w:val="52"/>
                    <w:spacing w:before="50" w:line="228" w:lineRule="auto"/>
                  </w:pPr>
                  <w:r>
                    <w:rPr>
                      <w:spacing w:val="6"/>
                    </w:rPr>
                    <w:t>行业类别</w:t>
                  </w:r>
                </w:p>
              </w:tc>
              <w:tc>
                <w:tcPr>
                  <w:tcW w:w="1482" w:type="pct"/>
                  <w:tcBorders>
                    <w:tl2br w:val="nil"/>
                    <w:tr2bl w:val="nil"/>
                  </w:tcBorders>
                  <w:noWrap w:val="0"/>
                  <w:vAlign w:val="top"/>
                </w:tcPr>
                <w:p w14:paraId="5F5D1544">
                  <w:pPr>
                    <w:pStyle w:val="52"/>
                    <w:spacing w:before="51" w:line="229" w:lineRule="auto"/>
                  </w:pPr>
                  <w:r>
                    <w:rPr>
                      <w:spacing w:val="-1"/>
                    </w:rPr>
                    <w:t>点位</w:t>
                  </w:r>
                </w:p>
              </w:tc>
              <w:tc>
                <w:tcPr>
                  <w:tcW w:w="1581" w:type="pct"/>
                  <w:tcBorders>
                    <w:tl2br w:val="nil"/>
                    <w:tr2bl w:val="nil"/>
                  </w:tcBorders>
                  <w:noWrap w:val="0"/>
                  <w:vAlign w:val="top"/>
                </w:tcPr>
                <w:p w14:paraId="5B88CF4F">
                  <w:pPr>
                    <w:pStyle w:val="52"/>
                    <w:spacing w:before="51" w:line="228" w:lineRule="auto"/>
                  </w:pPr>
                  <w:r>
                    <w:rPr>
                      <w:spacing w:val="7"/>
                    </w:rPr>
                    <w:t>监测因子</w:t>
                  </w:r>
                </w:p>
              </w:tc>
              <w:tc>
                <w:tcPr>
                  <w:tcW w:w="1038" w:type="pct"/>
                  <w:tcBorders>
                    <w:tl2br w:val="nil"/>
                    <w:tr2bl w:val="nil"/>
                  </w:tcBorders>
                  <w:noWrap w:val="0"/>
                  <w:vAlign w:val="top"/>
                </w:tcPr>
                <w:p w14:paraId="517E8D41">
                  <w:pPr>
                    <w:pStyle w:val="52"/>
                    <w:spacing w:before="50" w:line="228" w:lineRule="auto"/>
                  </w:pPr>
                  <w:r>
                    <w:rPr>
                      <w:spacing w:val="7"/>
                    </w:rPr>
                    <w:t>监测频次</w:t>
                  </w:r>
                </w:p>
              </w:tc>
            </w:tr>
            <w:tr w14:paraId="568263A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97" w:type="pct"/>
                  <w:tcBorders>
                    <w:tl2br w:val="nil"/>
                    <w:tr2bl w:val="nil"/>
                  </w:tcBorders>
                  <w:noWrap w:val="0"/>
                  <w:vAlign w:val="top"/>
                </w:tcPr>
                <w:p w14:paraId="78928739">
                  <w:pPr>
                    <w:pStyle w:val="52"/>
                    <w:spacing w:before="30" w:line="228" w:lineRule="auto"/>
                  </w:pPr>
                  <w:r>
                    <w:rPr>
                      <w:spacing w:val="8"/>
                    </w:rPr>
                    <w:t>石墨、碳素制品</w:t>
                  </w:r>
                </w:p>
              </w:tc>
              <w:tc>
                <w:tcPr>
                  <w:tcW w:w="1482" w:type="pct"/>
                  <w:tcBorders>
                    <w:tl2br w:val="nil"/>
                    <w:tr2bl w:val="nil"/>
                  </w:tcBorders>
                  <w:noWrap w:val="0"/>
                  <w:vAlign w:val="top"/>
                </w:tcPr>
                <w:p w14:paraId="25BC7AD9">
                  <w:pPr>
                    <w:pStyle w:val="52"/>
                    <w:spacing w:before="30" w:line="228" w:lineRule="auto"/>
                  </w:pPr>
                  <w:r>
                    <w:rPr>
                      <w:spacing w:val="8"/>
                    </w:rPr>
                    <w:t>排污单位废水总排口</w:t>
                  </w:r>
                </w:p>
              </w:tc>
              <w:tc>
                <w:tcPr>
                  <w:tcW w:w="1581" w:type="pct"/>
                  <w:tcBorders>
                    <w:tl2br w:val="nil"/>
                    <w:tr2bl w:val="nil"/>
                  </w:tcBorders>
                  <w:noWrap w:val="0"/>
                  <w:vAlign w:val="top"/>
                </w:tcPr>
                <w:p w14:paraId="760E28D0">
                  <w:pPr>
                    <w:pStyle w:val="52"/>
                    <w:spacing w:before="51" w:line="228" w:lineRule="auto"/>
                    <w:rPr>
                      <w:rFonts w:ascii="宋体" w:hAnsi="宋体" w:eastAsia="宋体" w:cs="宋体"/>
                      <w:spacing w:val="7"/>
                    </w:rPr>
                  </w:pPr>
                  <w:r>
                    <w:rPr>
                      <w:rFonts w:ascii="宋体" w:hAnsi="宋体" w:eastAsia="宋体" w:cs="宋体"/>
                      <w:spacing w:val="7"/>
                    </w:rPr>
                    <w:t>pH值、悬浮物、硫酸盐</w:t>
                  </w:r>
                </w:p>
              </w:tc>
              <w:tc>
                <w:tcPr>
                  <w:tcW w:w="1038" w:type="pct"/>
                  <w:tcBorders>
                    <w:tl2br w:val="nil"/>
                    <w:tr2bl w:val="nil"/>
                  </w:tcBorders>
                  <w:noWrap w:val="0"/>
                  <w:vAlign w:val="top"/>
                </w:tcPr>
                <w:p w14:paraId="01E1CCB7">
                  <w:pPr>
                    <w:pStyle w:val="52"/>
                    <w:spacing w:before="51" w:line="228" w:lineRule="auto"/>
                    <w:rPr>
                      <w:rFonts w:ascii="宋体" w:hAnsi="宋体" w:eastAsia="宋体" w:cs="宋体"/>
                      <w:spacing w:val="7"/>
                    </w:rPr>
                  </w:pPr>
                  <w:r>
                    <w:rPr>
                      <w:rFonts w:ascii="宋体" w:hAnsi="宋体" w:eastAsia="宋体" w:cs="宋体"/>
                      <w:spacing w:val="7"/>
                    </w:rPr>
                    <w:t>1次/半年</w:t>
                  </w:r>
                </w:p>
              </w:tc>
            </w:tr>
          </w:tbl>
          <w:p w14:paraId="385BF47B">
            <w:pPr>
              <w:pStyle w:val="52"/>
              <w:spacing w:before="294" w:line="228" w:lineRule="auto"/>
              <w:ind w:left="112"/>
              <w:rPr>
                <w:sz w:val="24"/>
                <w:szCs w:val="24"/>
              </w:rPr>
            </w:pPr>
            <w:r>
              <w:rPr>
                <w:b/>
                <w:bCs/>
                <w:spacing w:val="6"/>
                <w:sz w:val="24"/>
                <w:szCs w:val="24"/>
              </w:rPr>
              <w:t>三、噪声</w:t>
            </w:r>
          </w:p>
          <w:p w14:paraId="32C11A2E">
            <w:pPr>
              <w:pStyle w:val="52"/>
              <w:spacing w:before="160" w:line="228" w:lineRule="auto"/>
              <w:ind w:left="548"/>
              <w:rPr>
                <w:rFonts w:hint="eastAsia" w:ascii="宋体" w:hAnsi="宋体" w:eastAsia="宋体" w:cs="宋体"/>
                <w:b/>
                <w:bCs/>
                <w:sz w:val="24"/>
                <w:szCs w:val="24"/>
              </w:rPr>
            </w:pPr>
            <w:r>
              <w:rPr>
                <w:rFonts w:hint="eastAsia" w:ascii="宋体" w:hAnsi="宋体" w:eastAsia="宋体" w:cs="宋体"/>
                <w:b/>
                <w:bCs/>
                <w:spacing w:val="5"/>
                <w:sz w:val="24"/>
                <w:szCs w:val="24"/>
              </w:rPr>
              <w:t>1</w:t>
            </w:r>
            <w:r>
              <w:rPr>
                <w:rFonts w:hint="eastAsia" w:ascii="宋体" w:hAnsi="宋体" w:eastAsia="宋体" w:cs="宋体"/>
                <w:b/>
                <w:bCs/>
                <w:spacing w:val="-18"/>
                <w:sz w:val="24"/>
                <w:szCs w:val="24"/>
                <w:lang w:eastAsia="zh-CN"/>
              </w:rPr>
              <w:t>、</w:t>
            </w:r>
            <w:r>
              <w:rPr>
                <w:rFonts w:hint="eastAsia" w:ascii="宋体" w:hAnsi="宋体" w:eastAsia="宋体" w:cs="宋体"/>
                <w:b/>
                <w:bCs/>
                <w:spacing w:val="5"/>
                <w:sz w:val="24"/>
                <w:szCs w:val="24"/>
              </w:rPr>
              <w:t>项目噪声产生与排放情况</w:t>
            </w:r>
          </w:p>
          <w:p w14:paraId="71AD61F9">
            <w:pPr>
              <w:pStyle w:val="52"/>
              <w:spacing w:before="160" w:line="378" w:lineRule="auto"/>
              <w:ind w:left="111" w:right="226" w:firstLine="421"/>
              <w:rPr>
                <w:rFonts w:hint="eastAsia" w:ascii="Times New Roman" w:hAnsi="Times New Roman" w:eastAsia="宋体" w:cs="Times New Roman"/>
                <w:b/>
                <w:bCs/>
                <w:caps w:val="0"/>
                <w:color w:val="auto"/>
                <w:sz w:val="21"/>
                <w:szCs w:val="21"/>
                <w:highlight w:val="none"/>
                <w:u w:val="none" w:color="auto"/>
                <w:lang w:val="en-US" w:eastAsia="zh-CN"/>
              </w:rPr>
            </w:pPr>
            <w:r>
              <w:rPr>
                <w:spacing w:val="8"/>
                <w:sz w:val="24"/>
                <w:szCs w:val="24"/>
              </w:rPr>
              <w:t>本项目运营后噪声源主要是设备运行产生的噪声，各类设备位置固定，为固定噪声源，</w:t>
            </w:r>
            <w:r>
              <w:rPr>
                <w:spacing w:val="5"/>
                <w:sz w:val="24"/>
                <w:szCs w:val="24"/>
              </w:rPr>
              <w:t>源强</w:t>
            </w:r>
            <w:r>
              <w:rPr>
                <w:spacing w:val="-40"/>
                <w:sz w:val="24"/>
                <w:szCs w:val="24"/>
              </w:rPr>
              <w:t xml:space="preserve"> </w:t>
            </w:r>
            <w:r>
              <w:rPr>
                <w:rFonts w:ascii="Times New Roman" w:hAnsi="Times New Roman" w:eastAsia="Times New Roman" w:cs="Times New Roman"/>
                <w:spacing w:val="5"/>
                <w:sz w:val="24"/>
                <w:szCs w:val="24"/>
              </w:rPr>
              <w:t>75~90</w:t>
            </w:r>
            <w:r>
              <w:rPr>
                <w:rFonts w:ascii="Times New Roman" w:hAnsi="Times New Roman" w:eastAsia="Times New Roman" w:cs="Times New Roman"/>
                <w:sz w:val="24"/>
                <w:szCs w:val="24"/>
              </w:rPr>
              <w:t>dB</w:t>
            </w:r>
            <w:r>
              <w:rPr>
                <w:rFonts w:ascii="Times New Roman" w:hAnsi="Times New Roman" w:eastAsia="Times New Roman" w:cs="Times New Roman"/>
                <w:spacing w:val="5"/>
                <w:sz w:val="24"/>
                <w:szCs w:val="24"/>
              </w:rPr>
              <w:t>(A)</w:t>
            </w:r>
            <w:r>
              <w:rPr>
                <w:rFonts w:ascii="Times New Roman" w:hAnsi="Times New Roman" w:eastAsia="Times New Roman" w:cs="Times New Roman"/>
                <w:spacing w:val="-25"/>
                <w:sz w:val="24"/>
                <w:szCs w:val="24"/>
              </w:rPr>
              <w:t xml:space="preserve"> </w:t>
            </w:r>
            <w:r>
              <w:rPr>
                <w:spacing w:val="5"/>
                <w:sz w:val="24"/>
                <w:szCs w:val="24"/>
              </w:rPr>
              <w:t>，具体见下表。</w:t>
            </w:r>
          </w:p>
          <w:p w14:paraId="2DABB67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p>
          <w:p w14:paraId="094C871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p>
          <w:p w14:paraId="0F1CDF0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p>
          <w:p w14:paraId="7CFA903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p>
          <w:p w14:paraId="6BC301E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p>
          <w:p w14:paraId="2A56255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p>
          <w:p w14:paraId="7F360AB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p>
          <w:p w14:paraId="1F45590C">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p>
          <w:p w14:paraId="6CA74DCF">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ascii="Times New Roman" w:hAnsi="Times New Roman" w:eastAsia="宋体" w:cs="Times New Roman"/>
                <w:b/>
                <w:bCs/>
                <w:caps w:val="0"/>
                <w:color w:val="auto"/>
                <w:sz w:val="21"/>
                <w:szCs w:val="21"/>
                <w:highlight w:val="none"/>
                <w:u w:val="none" w:color="auto"/>
                <w:lang w:val="en-US" w:eastAsia="zh-CN"/>
              </w:rPr>
            </w:pPr>
          </w:p>
          <w:p w14:paraId="40D8A4D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0" w:leftChars="0" w:firstLine="0" w:firstLineChars="0"/>
              <w:jc w:val="center"/>
              <w:textAlignment w:val="auto"/>
              <w:rPr>
                <w:rFonts w:hint="eastAsia"/>
                <w:color w:val="auto"/>
                <w:sz w:val="21"/>
                <w:szCs w:val="21"/>
                <w:highlight w:val="yellow"/>
              </w:rPr>
            </w:pPr>
            <w:r>
              <w:rPr>
                <w:rFonts w:hint="eastAsia" w:ascii="Times New Roman" w:hAnsi="Times New Roman" w:eastAsia="宋体" w:cs="Times New Roman"/>
                <w:b/>
                <w:bCs/>
                <w:caps w:val="0"/>
                <w:color w:val="auto"/>
                <w:sz w:val="21"/>
                <w:szCs w:val="21"/>
                <w:highlight w:val="none"/>
                <w:u w:val="none" w:color="auto"/>
                <w:lang w:val="en-US" w:eastAsia="zh-CN"/>
              </w:rPr>
              <w:t>表</w:t>
            </w:r>
            <w:r>
              <w:rPr>
                <w:rFonts w:hint="eastAsia" w:cs="Times New Roman"/>
                <w:b/>
                <w:bCs/>
                <w:caps w:val="0"/>
                <w:color w:val="auto"/>
                <w:sz w:val="21"/>
                <w:szCs w:val="21"/>
                <w:highlight w:val="none"/>
                <w:u w:val="none" w:color="auto"/>
                <w:lang w:val="en-US" w:eastAsia="zh-CN"/>
              </w:rPr>
              <w:t>4-6</w:t>
            </w:r>
            <w:r>
              <w:rPr>
                <w:rFonts w:hint="eastAsia" w:ascii="Times New Roman" w:hAnsi="Times New Roman" w:eastAsia="宋体" w:cs="Times New Roman"/>
                <w:b/>
                <w:bCs/>
                <w:caps w:val="0"/>
                <w:color w:val="auto"/>
                <w:sz w:val="21"/>
                <w:szCs w:val="21"/>
                <w:highlight w:val="none"/>
                <w:u w:val="none" w:color="auto"/>
                <w:lang w:val="en-US" w:eastAsia="zh-CN"/>
              </w:rPr>
              <w:t xml:space="preserve">   噪声源强调查清单</w:t>
            </w:r>
          </w:p>
          <w:tbl>
            <w:tblPr>
              <w:tblStyle w:val="23"/>
              <w:tblW w:w="83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88"/>
              <w:gridCol w:w="534"/>
              <w:gridCol w:w="489"/>
              <w:gridCol w:w="677"/>
              <w:gridCol w:w="545"/>
              <w:gridCol w:w="500"/>
              <w:gridCol w:w="555"/>
              <w:gridCol w:w="445"/>
              <w:gridCol w:w="389"/>
              <w:gridCol w:w="333"/>
              <w:gridCol w:w="411"/>
              <w:gridCol w:w="467"/>
              <w:gridCol w:w="444"/>
              <w:gridCol w:w="500"/>
              <w:gridCol w:w="523"/>
              <w:gridCol w:w="555"/>
            </w:tblGrid>
            <w:tr w14:paraId="442E5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05" w:type="pct"/>
                  <w:vMerge w:val="restart"/>
                  <w:tcBorders>
                    <w:tl2br w:val="nil"/>
                    <w:tr2bl w:val="nil"/>
                  </w:tcBorders>
                  <w:noWrap w:val="0"/>
                  <w:vAlign w:val="center"/>
                </w:tcPr>
                <w:p w14:paraId="1A85FC2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声源名称</w:t>
                  </w:r>
                </w:p>
              </w:tc>
              <w:tc>
                <w:tcPr>
                  <w:tcW w:w="172" w:type="pct"/>
                  <w:vMerge w:val="restart"/>
                  <w:tcBorders>
                    <w:tl2br w:val="nil"/>
                    <w:tr2bl w:val="nil"/>
                  </w:tcBorders>
                  <w:noWrap w:val="0"/>
                  <w:vAlign w:val="center"/>
                </w:tcPr>
                <w:p w14:paraId="21C3823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数量</w:t>
                  </w:r>
                </w:p>
              </w:tc>
              <w:tc>
                <w:tcPr>
                  <w:tcW w:w="320" w:type="pct"/>
                  <w:vMerge w:val="restart"/>
                  <w:tcBorders>
                    <w:tl2br w:val="nil"/>
                    <w:tr2bl w:val="nil"/>
                  </w:tcBorders>
                  <w:noWrap w:val="0"/>
                  <w:vAlign w:val="center"/>
                </w:tcPr>
                <w:p w14:paraId="636C25BF">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源强</w:t>
                  </w:r>
                </w:p>
                <w:p w14:paraId="12139A32">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dB（A）</w:t>
                  </w:r>
                </w:p>
              </w:tc>
              <w:tc>
                <w:tcPr>
                  <w:tcW w:w="293" w:type="pct"/>
                  <w:vMerge w:val="restart"/>
                  <w:tcBorders>
                    <w:tl2br w:val="nil"/>
                    <w:tr2bl w:val="nil"/>
                  </w:tcBorders>
                  <w:noWrap w:val="0"/>
                  <w:vAlign w:val="center"/>
                </w:tcPr>
                <w:p w14:paraId="080DE979">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声源控</w:t>
                  </w:r>
                </w:p>
                <w:p w14:paraId="1768E0E0">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制措施</w:t>
                  </w:r>
                </w:p>
              </w:tc>
              <w:tc>
                <w:tcPr>
                  <w:tcW w:w="406" w:type="pct"/>
                  <w:vMerge w:val="restart"/>
                  <w:tcBorders>
                    <w:tl2br w:val="nil"/>
                    <w:tr2bl w:val="nil"/>
                  </w:tcBorders>
                  <w:noWrap w:val="0"/>
                  <w:vAlign w:val="center"/>
                </w:tcPr>
                <w:p w14:paraId="5C1BAD4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建筑物</w:t>
                  </w:r>
                </w:p>
                <w:p w14:paraId="6200AC3C">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插入损失</w:t>
                  </w:r>
                </w:p>
                <w:p w14:paraId="1307F82E">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r>
                    <w:rPr>
                      <w:rFonts w:hint="eastAsia" w:ascii="宋体" w:hAnsi="宋体" w:eastAsia="宋体" w:cs="宋体"/>
                      <w:color w:val="0000FF"/>
                      <w:spacing w:val="-23"/>
                      <w:sz w:val="18"/>
                      <w:szCs w:val="18"/>
                      <w:u w:val="single"/>
                      <w:vertAlign w:val="baseline"/>
                      <w:lang w:val="en-US" w:eastAsia="zh-CN"/>
                    </w:rPr>
                    <w:t>/dB（A）</w:t>
                  </w:r>
                </w:p>
              </w:tc>
              <w:tc>
                <w:tcPr>
                  <w:tcW w:w="960" w:type="pct"/>
                  <w:gridSpan w:val="3"/>
                  <w:tcBorders>
                    <w:tl2br w:val="nil"/>
                    <w:tr2bl w:val="nil"/>
                  </w:tcBorders>
                  <w:noWrap w:val="0"/>
                  <w:vAlign w:val="center"/>
                </w:tcPr>
                <w:p w14:paraId="6E6C1F08">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噪声源强</w:t>
                  </w:r>
                </w:p>
              </w:tc>
              <w:tc>
                <w:tcPr>
                  <w:tcW w:w="947" w:type="pct"/>
                  <w:gridSpan w:val="4"/>
                  <w:tcBorders>
                    <w:tl2br w:val="nil"/>
                    <w:tr2bl w:val="nil"/>
                  </w:tcBorders>
                  <w:noWrap w:val="0"/>
                  <w:vAlign w:val="center"/>
                </w:tcPr>
                <w:p w14:paraId="67EBD0CC">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距车间边界距离/m</w:t>
                  </w:r>
                </w:p>
              </w:tc>
              <w:tc>
                <w:tcPr>
                  <w:tcW w:w="280" w:type="pct"/>
                  <w:vMerge w:val="restart"/>
                  <w:tcBorders>
                    <w:tl2br w:val="nil"/>
                    <w:tr2bl w:val="nil"/>
                  </w:tcBorders>
                  <w:noWrap w:val="0"/>
                  <w:vAlign w:val="center"/>
                </w:tcPr>
                <w:p w14:paraId="39B8791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r>
                    <w:rPr>
                      <w:rFonts w:hint="eastAsia" w:ascii="宋体" w:hAnsi="宋体" w:eastAsia="宋体" w:cs="宋体"/>
                      <w:color w:val="0000FF"/>
                      <w:spacing w:val="-23"/>
                      <w:sz w:val="18"/>
                      <w:szCs w:val="18"/>
                      <w:u w:val="single"/>
                      <w:vertAlign w:val="baseline"/>
                      <w:lang w:val="en-US" w:eastAsia="zh-CN"/>
                    </w:rPr>
                    <w:t>运行时段</w:t>
                  </w:r>
                </w:p>
                <w:p w14:paraId="7FD6D74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1213" w:type="pct"/>
                  <w:gridSpan w:val="4"/>
                  <w:vMerge w:val="restart"/>
                  <w:tcBorders>
                    <w:tl2br w:val="nil"/>
                    <w:tr2bl w:val="nil"/>
                  </w:tcBorders>
                  <w:noWrap w:val="0"/>
                  <w:vAlign w:val="center"/>
                </w:tcPr>
                <w:p w14:paraId="3369AC6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建筑物外噪声</w:t>
                  </w:r>
                </w:p>
              </w:tc>
            </w:tr>
            <w:tr w14:paraId="79D61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5" w:type="pct"/>
                  <w:vMerge w:val="continue"/>
                  <w:tcBorders>
                    <w:tl2br w:val="nil"/>
                    <w:tr2bl w:val="nil"/>
                  </w:tcBorders>
                  <w:noWrap w:val="0"/>
                  <w:vAlign w:val="center"/>
                </w:tcPr>
                <w:p w14:paraId="3A95C570">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172" w:type="pct"/>
                  <w:vMerge w:val="continue"/>
                  <w:tcBorders>
                    <w:tl2br w:val="nil"/>
                    <w:tr2bl w:val="nil"/>
                  </w:tcBorders>
                  <w:noWrap w:val="0"/>
                  <w:vAlign w:val="center"/>
                </w:tcPr>
                <w:p w14:paraId="5CEBE10F">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320" w:type="pct"/>
                  <w:vMerge w:val="continue"/>
                  <w:tcBorders>
                    <w:tl2br w:val="nil"/>
                    <w:tr2bl w:val="nil"/>
                  </w:tcBorders>
                  <w:noWrap w:val="0"/>
                  <w:vAlign w:val="center"/>
                </w:tcPr>
                <w:p w14:paraId="09A11C8D">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293" w:type="pct"/>
                  <w:vMerge w:val="continue"/>
                  <w:tcBorders>
                    <w:tl2br w:val="nil"/>
                    <w:tr2bl w:val="nil"/>
                  </w:tcBorders>
                  <w:noWrap w:val="0"/>
                  <w:vAlign w:val="center"/>
                </w:tcPr>
                <w:p w14:paraId="0A8E9F3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406" w:type="pct"/>
                  <w:vMerge w:val="continue"/>
                  <w:tcBorders>
                    <w:tl2br w:val="nil"/>
                    <w:tr2bl w:val="nil"/>
                  </w:tcBorders>
                  <w:noWrap w:val="0"/>
                  <w:vAlign w:val="center"/>
                </w:tcPr>
                <w:p w14:paraId="225DA81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27" w:type="pct"/>
                  <w:vMerge w:val="restart"/>
                  <w:tcBorders>
                    <w:tl2br w:val="nil"/>
                    <w:tr2bl w:val="nil"/>
                  </w:tcBorders>
                  <w:shd w:val="clear" w:color="auto" w:fill="auto"/>
                  <w:noWrap w:val="0"/>
                  <w:vAlign w:val="center"/>
                </w:tcPr>
                <w:p w14:paraId="538A2E69">
                  <w:pPr>
                    <w:pStyle w:val="52"/>
                    <w:spacing w:before="282" w:line="183" w:lineRule="auto"/>
                    <w:jc w:val="center"/>
                    <w:rPr>
                      <w:rFonts w:hint="eastAsia" w:ascii="宋体" w:hAnsi="宋体" w:eastAsia="宋体" w:cs="宋体"/>
                      <w:color w:val="0000FF"/>
                      <w:kern w:val="2"/>
                      <w:sz w:val="18"/>
                      <w:szCs w:val="18"/>
                      <w:u w:val="single"/>
                      <w:lang w:val="en-US" w:eastAsia="zh-CN" w:bidi="ar-SA"/>
                    </w:rPr>
                  </w:pPr>
                  <w:r>
                    <w:rPr>
                      <w:i/>
                      <w:iCs/>
                      <w:color w:val="0000FF"/>
                      <w:spacing w:val="27"/>
                      <w:w w:val="107"/>
                      <w:sz w:val="18"/>
                      <w:szCs w:val="18"/>
                      <w:u w:val="single"/>
                    </w:rPr>
                    <w:t>X</w:t>
                  </w:r>
                </w:p>
              </w:tc>
              <w:tc>
                <w:tcPr>
                  <w:tcW w:w="300" w:type="pct"/>
                  <w:vMerge w:val="restart"/>
                  <w:tcBorders>
                    <w:tl2br w:val="nil"/>
                    <w:tr2bl w:val="nil"/>
                  </w:tcBorders>
                  <w:shd w:val="clear" w:color="auto" w:fill="auto"/>
                  <w:noWrap w:val="0"/>
                  <w:vAlign w:val="center"/>
                </w:tcPr>
                <w:p w14:paraId="692257EE">
                  <w:pPr>
                    <w:pStyle w:val="52"/>
                    <w:spacing w:before="282" w:line="183" w:lineRule="auto"/>
                    <w:jc w:val="center"/>
                    <w:rPr>
                      <w:rFonts w:hint="eastAsia" w:ascii="宋体" w:hAnsi="宋体" w:eastAsia="宋体" w:cs="宋体"/>
                      <w:color w:val="0000FF"/>
                      <w:kern w:val="2"/>
                      <w:sz w:val="18"/>
                      <w:szCs w:val="18"/>
                      <w:u w:val="single"/>
                      <w:lang w:val="en-US" w:eastAsia="zh-CN" w:bidi="ar-SA"/>
                    </w:rPr>
                  </w:pPr>
                  <w:r>
                    <w:rPr>
                      <w:i/>
                      <w:iCs/>
                      <w:color w:val="0000FF"/>
                      <w:spacing w:val="3"/>
                      <w:sz w:val="18"/>
                      <w:szCs w:val="18"/>
                      <w:u w:val="single"/>
                    </w:rPr>
                    <w:t>Y</w:t>
                  </w:r>
                </w:p>
              </w:tc>
              <w:tc>
                <w:tcPr>
                  <w:tcW w:w="333" w:type="pct"/>
                  <w:vMerge w:val="restart"/>
                  <w:tcBorders>
                    <w:tl2br w:val="nil"/>
                    <w:tr2bl w:val="nil"/>
                  </w:tcBorders>
                  <w:shd w:val="clear" w:color="auto" w:fill="auto"/>
                  <w:noWrap w:val="0"/>
                  <w:vAlign w:val="center"/>
                </w:tcPr>
                <w:p w14:paraId="4509367E">
                  <w:pPr>
                    <w:pStyle w:val="52"/>
                    <w:spacing w:before="282" w:line="183" w:lineRule="auto"/>
                    <w:jc w:val="center"/>
                    <w:rPr>
                      <w:rFonts w:hint="eastAsia" w:ascii="宋体" w:hAnsi="宋体" w:eastAsia="宋体" w:cs="宋体"/>
                      <w:color w:val="0000FF"/>
                      <w:spacing w:val="-3"/>
                      <w:kern w:val="2"/>
                      <w:sz w:val="18"/>
                      <w:szCs w:val="18"/>
                      <w:u w:val="single"/>
                      <w:lang w:val="en-US" w:eastAsia="zh-CN" w:bidi="ar-SA"/>
                    </w:rPr>
                  </w:pPr>
                  <w:r>
                    <w:rPr>
                      <w:i/>
                      <w:iCs/>
                      <w:color w:val="0000FF"/>
                      <w:spacing w:val="10"/>
                      <w:sz w:val="18"/>
                      <w:szCs w:val="18"/>
                      <w:u w:val="single"/>
                    </w:rPr>
                    <w:t>Z</w:t>
                  </w:r>
                </w:p>
              </w:tc>
              <w:tc>
                <w:tcPr>
                  <w:tcW w:w="267" w:type="pct"/>
                  <w:vMerge w:val="restart"/>
                  <w:tcBorders>
                    <w:tl2br w:val="nil"/>
                    <w:tr2bl w:val="nil"/>
                  </w:tcBorders>
                  <w:noWrap w:val="0"/>
                  <w:vAlign w:val="center"/>
                </w:tcPr>
                <w:p w14:paraId="19898F5F">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东</w:t>
                  </w:r>
                </w:p>
              </w:tc>
              <w:tc>
                <w:tcPr>
                  <w:tcW w:w="233" w:type="pct"/>
                  <w:vMerge w:val="restart"/>
                  <w:tcBorders>
                    <w:tl2br w:val="nil"/>
                    <w:tr2bl w:val="nil"/>
                  </w:tcBorders>
                  <w:noWrap w:val="0"/>
                  <w:vAlign w:val="center"/>
                </w:tcPr>
                <w:p w14:paraId="7960286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南</w:t>
                  </w:r>
                </w:p>
              </w:tc>
              <w:tc>
                <w:tcPr>
                  <w:tcW w:w="199" w:type="pct"/>
                  <w:vMerge w:val="restart"/>
                  <w:tcBorders>
                    <w:tl2br w:val="nil"/>
                    <w:tr2bl w:val="nil"/>
                  </w:tcBorders>
                  <w:noWrap w:val="0"/>
                  <w:vAlign w:val="center"/>
                </w:tcPr>
                <w:p w14:paraId="4770547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西</w:t>
                  </w:r>
                </w:p>
              </w:tc>
              <w:tc>
                <w:tcPr>
                  <w:tcW w:w="246" w:type="pct"/>
                  <w:vMerge w:val="restart"/>
                  <w:tcBorders>
                    <w:tl2br w:val="nil"/>
                    <w:tr2bl w:val="nil"/>
                  </w:tcBorders>
                  <w:noWrap w:val="0"/>
                  <w:vAlign w:val="center"/>
                </w:tcPr>
                <w:p w14:paraId="6A39DDD5">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北</w:t>
                  </w:r>
                </w:p>
              </w:tc>
              <w:tc>
                <w:tcPr>
                  <w:tcW w:w="280" w:type="pct"/>
                  <w:vMerge w:val="continue"/>
                  <w:tcBorders>
                    <w:tl2br w:val="nil"/>
                    <w:tr2bl w:val="nil"/>
                  </w:tcBorders>
                  <w:noWrap w:val="0"/>
                  <w:vAlign w:val="center"/>
                </w:tcPr>
                <w:p w14:paraId="550209F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1213" w:type="pct"/>
                  <w:gridSpan w:val="4"/>
                  <w:vMerge w:val="continue"/>
                  <w:tcBorders>
                    <w:tl2br w:val="nil"/>
                    <w:tr2bl w:val="nil"/>
                  </w:tcBorders>
                  <w:noWrap w:val="0"/>
                  <w:vAlign w:val="center"/>
                </w:tcPr>
                <w:p w14:paraId="113A14D9">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r>
            <w:tr w14:paraId="0E011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Borders>
                    <w:tl2br w:val="nil"/>
                    <w:tr2bl w:val="nil"/>
                  </w:tcBorders>
                  <w:noWrap w:val="0"/>
                  <w:vAlign w:val="center"/>
                </w:tcPr>
                <w:p w14:paraId="42107218">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172" w:type="pct"/>
                  <w:vMerge w:val="continue"/>
                  <w:tcBorders>
                    <w:tl2br w:val="nil"/>
                    <w:tr2bl w:val="nil"/>
                  </w:tcBorders>
                  <w:noWrap w:val="0"/>
                  <w:vAlign w:val="center"/>
                </w:tcPr>
                <w:p w14:paraId="2AF878C2">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320" w:type="pct"/>
                  <w:vMerge w:val="continue"/>
                  <w:tcBorders>
                    <w:tl2br w:val="nil"/>
                    <w:tr2bl w:val="nil"/>
                  </w:tcBorders>
                  <w:noWrap w:val="0"/>
                  <w:vAlign w:val="center"/>
                </w:tcPr>
                <w:p w14:paraId="05542322">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293" w:type="pct"/>
                  <w:vMerge w:val="continue"/>
                  <w:tcBorders>
                    <w:tl2br w:val="nil"/>
                    <w:tr2bl w:val="nil"/>
                  </w:tcBorders>
                  <w:noWrap w:val="0"/>
                  <w:vAlign w:val="center"/>
                </w:tcPr>
                <w:p w14:paraId="24CA5825">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406" w:type="pct"/>
                  <w:vMerge w:val="continue"/>
                  <w:tcBorders>
                    <w:tl2br w:val="nil"/>
                    <w:tr2bl w:val="nil"/>
                  </w:tcBorders>
                  <w:noWrap w:val="0"/>
                  <w:vAlign w:val="center"/>
                </w:tcPr>
                <w:p w14:paraId="4D82F901">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27" w:type="pct"/>
                  <w:vMerge w:val="continue"/>
                  <w:tcBorders>
                    <w:tl2br w:val="nil"/>
                    <w:tr2bl w:val="nil"/>
                  </w:tcBorders>
                  <w:noWrap w:val="0"/>
                  <w:vAlign w:val="center"/>
                </w:tcPr>
                <w:p w14:paraId="5D4B3495">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300" w:type="pct"/>
                  <w:vMerge w:val="continue"/>
                  <w:tcBorders>
                    <w:tl2br w:val="nil"/>
                    <w:tr2bl w:val="nil"/>
                  </w:tcBorders>
                  <w:noWrap w:val="0"/>
                  <w:vAlign w:val="center"/>
                </w:tcPr>
                <w:p w14:paraId="683A3EFF">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333" w:type="pct"/>
                  <w:vMerge w:val="continue"/>
                  <w:tcBorders>
                    <w:tl2br w:val="nil"/>
                    <w:tr2bl w:val="nil"/>
                  </w:tcBorders>
                  <w:noWrap w:val="0"/>
                  <w:vAlign w:val="center"/>
                </w:tcPr>
                <w:p w14:paraId="1AF73F8C">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267" w:type="pct"/>
                  <w:vMerge w:val="continue"/>
                  <w:tcBorders>
                    <w:tl2br w:val="nil"/>
                    <w:tr2bl w:val="nil"/>
                  </w:tcBorders>
                  <w:noWrap w:val="0"/>
                  <w:vAlign w:val="center"/>
                </w:tcPr>
                <w:p w14:paraId="506E3555">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233" w:type="pct"/>
                  <w:vMerge w:val="continue"/>
                  <w:tcBorders>
                    <w:tl2br w:val="nil"/>
                    <w:tr2bl w:val="nil"/>
                  </w:tcBorders>
                  <w:noWrap w:val="0"/>
                  <w:vAlign w:val="center"/>
                </w:tcPr>
                <w:p w14:paraId="7AA7780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199" w:type="pct"/>
                  <w:vMerge w:val="continue"/>
                  <w:tcBorders>
                    <w:tl2br w:val="nil"/>
                    <w:tr2bl w:val="nil"/>
                  </w:tcBorders>
                  <w:noWrap w:val="0"/>
                  <w:vAlign w:val="center"/>
                </w:tcPr>
                <w:p w14:paraId="55E1F062">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246" w:type="pct"/>
                  <w:vMerge w:val="continue"/>
                  <w:tcBorders>
                    <w:tl2br w:val="nil"/>
                    <w:tr2bl w:val="nil"/>
                  </w:tcBorders>
                  <w:noWrap w:val="0"/>
                  <w:vAlign w:val="center"/>
                </w:tcPr>
                <w:p w14:paraId="1B2A9FAD">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280" w:type="pct"/>
                  <w:vMerge w:val="continue"/>
                  <w:tcBorders>
                    <w:tl2br w:val="nil"/>
                    <w:tr2bl w:val="nil"/>
                  </w:tcBorders>
                  <w:noWrap w:val="0"/>
                  <w:vAlign w:val="center"/>
                </w:tcPr>
                <w:p w14:paraId="3984B242">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266" w:type="pct"/>
                  <w:tcBorders>
                    <w:tl2br w:val="nil"/>
                    <w:tr2bl w:val="nil"/>
                  </w:tcBorders>
                  <w:noWrap w:val="0"/>
                  <w:vAlign w:val="center"/>
                </w:tcPr>
                <w:p w14:paraId="6A887D6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东</w:t>
                  </w:r>
                </w:p>
              </w:tc>
              <w:tc>
                <w:tcPr>
                  <w:tcW w:w="300" w:type="pct"/>
                  <w:tcBorders>
                    <w:tl2br w:val="nil"/>
                    <w:tr2bl w:val="nil"/>
                  </w:tcBorders>
                  <w:noWrap w:val="0"/>
                  <w:vAlign w:val="center"/>
                </w:tcPr>
                <w:p w14:paraId="1604FDF2">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南</w:t>
                  </w:r>
                </w:p>
              </w:tc>
              <w:tc>
                <w:tcPr>
                  <w:tcW w:w="313" w:type="pct"/>
                  <w:tcBorders>
                    <w:tl2br w:val="nil"/>
                    <w:tr2bl w:val="nil"/>
                  </w:tcBorders>
                  <w:noWrap w:val="0"/>
                  <w:vAlign w:val="center"/>
                </w:tcPr>
                <w:p w14:paraId="7364BB1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西</w:t>
                  </w:r>
                </w:p>
              </w:tc>
              <w:tc>
                <w:tcPr>
                  <w:tcW w:w="333" w:type="pct"/>
                  <w:tcBorders>
                    <w:tl2br w:val="nil"/>
                    <w:tr2bl w:val="nil"/>
                  </w:tcBorders>
                  <w:noWrap w:val="0"/>
                  <w:vAlign w:val="center"/>
                </w:tcPr>
                <w:p w14:paraId="6BD39918">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北</w:t>
                  </w:r>
                </w:p>
              </w:tc>
            </w:tr>
            <w:tr w14:paraId="63F03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tcBorders>
                    <w:tl2br w:val="nil"/>
                    <w:tr2bl w:val="nil"/>
                  </w:tcBorders>
                  <w:shd w:val="clear" w:color="auto" w:fill="auto"/>
                  <w:noWrap w:val="0"/>
                  <w:vAlign w:val="top"/>
                </w:tcPr>
                <w:p w14:paraId="7EF7A51D">
                  <w:pPr>
                    <w:pStyle w:val="52"/>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color w:val="0000FF"/>
                      <w:spacing w:val="-23"/>
                      <w:kern w:val="2"/>
                      <w:sz w:val="18"/>
                      <w:szCs w:val="18"/>
                      <w:u w:val="single"/>
                      <w:lang w:val="en-US" w:eastAsia="zh-CN" w:bidi="ar-SA"/>
                    </w:rPr>
                  </w:pPr>
                  <w:r>
                    <w:rPr>
                      <w:color w:val="0000FF"/>
                      <w:spacing w:val="-23"/>
                      <w:sz w:val="18"/>
                      <w:szCs w:val="18"/>
                      <w:u w:val="single"/>
                    </w:rPr>
                    <w:t>压滤机</w:t>
                  </w:r>
                </w:p>
              </w:tc>
              <w:tc>
                <w:tcPr>
                  <w:tcW w:w="172" w:type="pct"/>
                  <w:tcBorders>
                    <w:tl2br w:val="nil"/>
                    <w:tr2bl w:val="nil"/>
                  </w:tcBorders>
                  <w:noWrap w:val="0"/>
                  <w:vAlign w:val="center"/>
                </w:tcPr>
                <w:p w14:paraId="0256D016">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color w:val="0000FF"/>
                      <w:spacing w:val="-23"/>
                      <w:kern w:val="2"/>
                      <w:sz w:val="18"/>
                      <w:szCs w:val="18"/>
                      <w:u w:val="single"/>
                      <w:lang w:val="en-US" w:eastAsia="zh-CN" w:bidi="ar-SA"/>
                    </w:rPr>
                  </w:pPr>
                  <w:r>
                    <w:rPr>
                      <w:rFonts w:hint="eastAsia" w:ascii="宋体" w:hAnsi="宋体" w:cs="宋体"/>
                      <w:color w:val="0000FF"/>
                      <w:spacing w:val="-23"/>
                      <w:kern w:val="0"/>
                      <w:sz w:val="18"/>
                      <w:szCs w:val="18"/>
                      <w:u w:val="single"/>
                      <w:lang w:val="en-US" w:eastAsia="zh-CN" w:bidi="ar"/>
                    </w:rPr>
                    <w:t>3</w:t>
                  </w:r>
                </w:p>
              </w:tc>
              <w:tc>
                <w:tcPr>
                  <w:tcW w:w="320" w:type="pct"/>
                  <w:tcBorders>
                    <w:tl2br w:val="nil"/>
                    <w:tr2bl w:val="nil"/>
                  </w:tcBorders>
                  <w:noWrap w:val="0"/>
                  <w:vAlign w:val="center"/>
                </w:tcPr>
                <w:p w14:paraId="4540D489">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eastAsia="宋体" w:cs="宋体"/>
                      <w:color w:val="0000FF"/>
                      <w:spacing w:val="-23"/>
                      <w:sz w:val="18"/>
                      <w:szCs w:val="18"/>
                      <w:u w:val="single"/>
                      <w:vertAlign w:val="baseline"/>
                      <w:lang w:val="en-US" w:eastAsia="zh-CN"/>
                    </w:rPr>
                    <w:t>75</w:t>
                  </w:r>
                </w:p>
              </w:tc>
              <w:tc>
                <w:tcPr>
                  <w:tcW w:w="293" w:type="pct"/>
                  <w:vMerge w:val="restart"/>
                  <w:tcBorders>
                    <w:tl2br w:val="nil"/>
                    <w:tr2bl w:val="nil"/>
                  </w:tcBorders>
                  <w:noWrap w:val="0"/>
                  <w:vAlign w:val="center"/>
                </w:tcPr>
                <w:p w14:paraId="7AA9907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eastAsia="zh-CN"/>
                    </w:rPr>
                  </w:pPr>
                  <w:r>
                    <w:rPr>
                      <w:rFonts w:hint="eastAsia" w:ascii="宋体" w:hAnsi="宋体" w:eastAsia="宋体" w:cs="宋体"/>
                      <w:color w:val="0000FF"/>
                      <w:spacing w:val="-23"/>
                      <w:sz w:val="18"/>
                      <w:szCs w:val="18"/>
                      <w:u w:val="single"/>
                      <w:vertAlign w:val="baseline"/>
                      <w:lang w:val="en-US" w:eastAsia="zh-CN"/>
                    </w:rPr>
                    <w:t>基础减振</w:t>
                  </w:r>
                </w:p>
              </w:tc>
              <w:tc>
                <w:tcPr>
                  <w:tcW w:w="406" w:type="pct"/>
                  <w:vMerge w:val="restart"/>
                  <w:tcBorders>
                    <w:tl2br w:val="nil"/>
                    <w:tr2bl w:val="nil"/>
                  </w:tcBorders>
                  <w:noWrap w:val="0"/>
                  <w:vAlign w:val="center"/>
                </w:tcPr>
                <w:p w14:paraId="06F263C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r>
                    <w:rPr>
                      <w:rFonts w:hint="eastAsia" w:ascii="宋体" w:hAnsi="宋体" w:eastAsia="宋体" w:cs="宋体"/>
                      <w:color w:val="0000FF"/>
                      <w:spacing w:val="-23"/>
                      <w:sz w:val="18"/>
                      <w:szCs w:val="18"/>
                      <w:u w:val="single"/>
                      <w:vertAlign w:val="baseline"/>
                      <w:lang w:val="en-US" w:eastAsia="zh-CN"/>
                    </w:rPr>
                    <w:t>15</w:t>
                  </w:r>
                </w:p>
              </w:tc>
              <w:tc>
                <w:tcPr>
                  <w:tcW w:w="327" w:type="pct"/>
                  <w:tcBorders>
                    <w:tl2br w:val="nil"/>
                    <w:tr2bl w:val="nil"/>
                  </w:tcBorders>
                  <w:noWrap w:val="0"/>
                  <w:vAlign w:val="center"/>
                </w:tcPr>
                <w:p w14:paraId="75E09F9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5</w:t>
                  </w:r>
                </w:p>
              </w:tc>
              <w:tc>
                <w:tcPr>
                  <w:tcW w:w="300" w:type="pct"/>
                  <w:tcBorders>
                    <w:tl2br w:val="nil"/>
                    <w:tr2bl w:val="nil"/>
                  </w:tcBorders>
                  <w:noWrap w:val="0"/>
                  <w:vAlign w:val="center"/>
                </w:tcPr>
                <w:p w14:paraId="71FD284D">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3</w:t>
                  </w:r>
                </w:p>
              </w:tc>
              <w:tc>
                <w:tcPr>
                  <w:tcW w:w="333" w:type="pct"/>
                  <w:tcBorders>
                    <w:tl2br w:val="nil"/>
                    <w:tr2bl w:val="nil"/>
                  </w:tcBorders>
                  <w:noWrap w:val="0"/>
                  <w:vAlign w:val="center"/>
                </w:tcPr>
                <w:p w14:paraId="62C283B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1.0</w:t>
                  </w:r>
                </w:p>
              </w:tc>
              <w:tc>
                <w:tcPr>
                  <w:tcW w:w="267" w:type="pct"/>
                  <w:tcBorders>
                    <w:tl2br w:val="nil"/>
                    <w:tr2bl w:val="nil"/>
                  </w:tcBorders>
                  <w:noWrap w:val="0"/>
                  <w:vAlign w:val="center"/>
                </w:tcPr>
                <w:p w14:paraId="5532EF6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8</w:t>
                  </w:r>
                </w:p>
              </w:tc>
              <w:tc>
                <w:tcPr>
                  <w:tcW w:w="233" w:type="pct"/>
                  <w:tcBorders>
                    <w:tl2br w:val="nil"/>
                    <w:tr2bl w:val="nil"/>
                  </w:tcBorders>
                  <w:noWrap w:val="0"/>
                  <w:vAlign w:val="center"/>
                </w:tcPr>
                <w:p w14:paraId="3949DE80">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3</w:t>
                  </w:r>
                </w:p>
              </w:tc>
              <w:tc>
                <w:tcPr>
                  <w:tcW w:w="199" w:type="pct"/>
                  <w:tcBorders>
                    <w:tl2br w:val="nil"/>
                    <w:tr2bl w:val="nil"/>
                  </w:tcBorders>
                  <w:noWrap w:val="0"/>
                  <w:vAlign w:val="center"/>
                </w:tcPr>
                <w:p w14:paraId="089E3D9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5</w:t>
                  </w:r>
                </w:p>
              </w:tc>
              <w:tc>
                <w:tcPr>
                  <w:tcW w:w="246" w:type="pct"/>
                  <w:tcBorders>
                    <w:tl2br w:val="nil"/>
                    <w:tr2bl w:val="nil"/>
                  </w:tcBorders>
                  <w:noWrap w:val="0"/>
                  <w:vAlign w:val="center"/>
                </w:tcPr>
                <w:p w14:paraId="09BEB90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3</w:t>
                  </w:r>
                </w:p>
              </w:tc>
              <w:tc>
                <w:tcPr>
                  <w:tcW w:w="280" w:type="pct"/>
                  <w:vMerge w:val="restart"/>
                  <w:tcBorders>
                    <w:tl2br w:val="nil"/>
                    <w:tr2bl w:val="nil"/>
                  </w:tcBorders>
                  <w:noWrap w:val="0"/>
                  <w:vAlign w:val="center"/>
                </w:tcPr>
                <w:p w14:paraId="2820AFCD">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7200</w:t>
                  </w:r>
                </w:p>
              </w:tc>
              <w:tc>
                <w:tcPr>
                  <w:tcW w:w="266" w:type="pct"/>
                  <w:vMerge w:val="restart"/>
                  <w:tcBorders>
                    <w:tl2br w:val="nil"/>
                    <w:tr2bl w:val="nil"/>
                  </w:tcBorders>
                  <w:noWrap w:val="0"/>
                  <w:vAlign w:val="center"/>
                </w:tcPr>
                <w:p w14:paraId="6946F78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kern w:val="2"/>
                      <w:sz w:val="18"/>
                      <w:szCs w:val="18"/>
                      <w:u w:val="single"/>
                      <w:vertAlign w:val="baseline"/>
                      <w:lang w:val="en-US" w:eastAsia="zh-CN" w:bidi="ar-SA"/>
                    </w:rPr>
                  </w:pPr>
                  <w:r>
                    <w:rPr>
                      <w:rFonts w:hint="eastAsia" w:ascii="宋体" w:hAnsi="宋体" w:cs="宋体"/>
                      <w:color w:val="0000FF"/>
                      <w:spacing w:val="-23"/>
                      <w:kern w:val="2"/>
                      <w:sz w:val="18"/>
                      <w:szCs w:val="18"/>
                      <w:u w:val="single"/>
                      <w:vertAlign w:val="baseline"/>
                      <w:lang w:val="en-US" w:eastAsia="zh-CN" w:bidi="ar-SA"/>
                    </w:rPr>
                    <w:t>69.7</w:t>
                  </w:r>
                </w:p>
              </w:tc>
              <w:tc>
                <w:tcPr>
                  <w:tcW w:w="300" w:type="pct"/>
                  <w:vMerge w:val="restart"/>
                  <w:tcBorders>
                    <w:tl2br w:val="nil"/>
                    <w:tr2bl w:val="nil"/>
                  </w:tcBorders>
                  <w:noWrap w:val="0"/>
                  <w:vAlign w:val="center"/>
                </w:tcPr>
                <w:p w14:paraId="58277A5D">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kern w:val="2"/>
                      <w:sz w:val="18"/>
                      <w:szCs w:val="18"/>
                      <w:u w:val="single"/>
                      <w:vertAlign w:val="baseline"/>
                      <w:lang w:val="en-US" w:eastAsia="zh-CN" w:bidi="ar-SA"/>
                    </w:rPr>
                  </w:pPr>
                  <w:r>
                    <w:rPr>
                      <w:rFonts w:hint="eastAsia" w:ascii="宋体" w:hAnsi="宋体" w:cs="宋体"/>
                      <w:color w:val="0000FF"/>
                      <w:spacing w:val="-23"/>
                      <w:kern w:val="2"/>
                      <w:sz w:val="18"/>
                      <w:szCs w:val="18"/>
                      <w:u w:val="single"/>
                      <w:vertAlign w:val="baseline"/>
                      <w:lang w:val="en-US" w:eastAsia="zh-CN" w:bidi="ar-SA"/>
                    </w:rPr>
                    <w:t>73.9</w:t>
                  </w:r>
                </w:p>
              </w:tc>
              <w:tc>
                <w:tcPr>
                  <w:tcW w:w="313" w:type="pct"/>
                  <w:vMerge w:val="restart"/>
                  <w:tcBorders>
                    <w:tl2br w:val="nil"/>
                    <w:tr2bl w:val="nil"/>
                  </w:tcBorders>
                  <w:shd w:val="clear" w:color="auto" w:fill="auto"/>
                  <w:noWrap w:val="0"/>
                  <w:vAlign w:val="center"/>
                </w:tcPr>
                <w:p w14:paraId="13ECE693">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kern w:val="2"/>
                      <w:sz w:val="18"/>
                      <w:szCs w:val="18"/>
                      <w:u w:val="single"/>
                      <w:vertAlign w:val="baseline"/>
                      <w:lang w:val="en-US" w:eastAsia="zh-CN" w:bidi="ar-SA"/>
                    </w:rPr>
                  </w:pPr>
                  <w:r>
                    <w:rPr>
                      <w:rFonts w:hint="eastAsia" w:ascii="宋体" w:hAnsi="宋体" w:cs="宋体"/>
                      <w:color w:val="0000FF"/>
                      <w:spacing w:val="-23"/>
                      <w:kern w:val="2"/>
                      <w:sz w:val="18"/>
                      <w:szCs w:val="18"/>
                      <w:u w:val="single"/>
                      <w:vertAlign w:val="baseline"/>
                      <w:lang w:val="en-US" w:eastAsia="zh-CN" w:bidi="ar-SA"/>
                    </w:rPr>
                    <w:t>69.1</w:t>
                  </w:r>
                </w:p>
              </w:tc>
              <w:tc>
                <w:tcPr>
                  <w:tcW w:w="333" w:type="pct"/>
                  <w:vMerge w:val="restart"/>
                  <w:tcBorders>
                    <w:tl2br w:val="nil"/>
                    <w:tr2bl w:val="nil"/>
                  </w:tcBorders>
                  <w:shd w:val="clear" w:color="auto" w:fill="auto"/>
                  <w:noWrap w:val="0"/>
                  <w:vAlign w:val="center"/>
                </w:tcPr>
                <w:p w14:paraId="372BEA8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kern w:val="2"/>
                      <w:sz w:val="18"/>
                      <w:szCs w:val="18"/>
                      <w:u w:val="single"/>
                      <w:vertAlign w:val="baseline"/>
                      <w:lang w:val="en-US" w:eastAsia="zh-CN" w:bidi="ar-SA"/>
                    </w:rPr>
                  </w:pPr>
                  <w:r>
                    <w:rPr>
                      <w:rFonts w:hint="eastAsia" w:ascii="宋体" w:hAnsi="宋体" w:cs="宋体"/>
                      <w:color w:val="0000FF"/>
                      <w:spacing w:val="-23"/>
                      <w:kern w:val="2"/>
                      <w:sz w:val="18"/>
                      <w:szCs w:val="18"/>
                      <w:u w:val="single"/>
                      <w:vertAlign w:val="baseline"/>
                      <w:lang w:val="en-US" w:eastAsia="zh-CN" w:bidi="ar-SA"/>
                    </w:rPr>
                    <w:t>73.9</w:t>
                  </w:r>
                </w:p>
              </w:tc>
            </w:tr>
            <w:tr w14:paraId="7F521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405" w:type="pct"/>
                  <w:tcBorders>
                    <w:tl2br w:val="nil"/>
                    <w:tr2bl w:val="nil"/>
                  </w:tcBorders>
                  <w:shd w:val="clear" w:color="auto" w:fill="auto"/>
                  <w:noWrap w:val="0"/>
                  <w:vAlign w:val="top"/>
                </w:tcPr>
                <w:p w14:paraId="3130EAE5">
                  <w:pPr>
                    <w:pStyle w:val="52"/>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color w:val="0000FF"/>
                      <w:spacing w:val="-23"/>
                      <w:kern w:val="2"/>
                      <w:sz w:val="18"/>
                      <w:szCs w:val="18"/>
                      <w:highlight w:val="none"/>
                      <w:u w:val="single"/>
                      <w:lang w:val="en-US" w:eastAsia="zh-CN" w:bidi="ar-SA"/>
                    </w:rPr>
                  </w:pPr>
                  <w:r>
                    <w:rPr>
                      <w:rFonts w:hint="eastAsia" w:cs="宋体"/>
                      <w:color w:val="0000FF"/>
                      <w:spacing w:val="-23"/>
                      <w:kern w:val="2"/>
                      <w:sz w:val="18"/>
                      <w:szCs w:val="18"/>
                      <w:highlight w:val="none"/>
                      <w:u w:val="single"/>
                      <w:lang w:val="en-US" w:eastAsia="zh-CN" w:bidi="ar-SA"/>
                    </w:rPr>
                    <w:t>风机</w:t>
                  </w:r>
                </w:p>
                <w:p w14:paraId="2F8F35E2">
                  <w:pPr>
                    <w:pStyle w:val="52"/>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color w:val="0000FF"/>
                      <w:spacing w:val="-23"/>
                      <w:kern w:val="2"/>
                      <w:sz w:val="18"/>
                      <w:szCs w:val="18"/>
                      <w:highlight w:val="red"/>
                      <w:u w:val="single"/>
                      <w:lang w:val="en-US" w:eastAsia="zh-CN" w:bidi="ar-SA"/>
                    </w:rPr>
                  </w:pPr>
                </w:p>
              </w:tc>
              <w:tc>
                <w:tcPr>
                  <w:tcW w:w="172" w:type="pct"/>
                  <w:tcBorders>
                    <w:tl2br w:val="nil"/>
                    <w:tr2bl w:val="nil"/>
                  </w:tcBorders>
                  <w:noWrap w:val="0"/>
                  <w:vAlign w:val="center"/>
                </w:tcPr>
                <w:p w14:paraId="62E74334">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color w:val="0000FF"/>
                      <w:spacing w:val="-23"/>
                      <w:kern w:val="2"/>
                      <w:sz w:val="18"/>
                      <w:szCs w:val="18"/>
                      <w:u w:val="single"/>
                      <w:lang w:val="en-US" w:eastAsia="zh-CN" w:bidi="ar-SA"/>
                    </w:rPr>
                  </w:pPr>
                  <w:r>
                    <w:rPr>
                      <w:rFonts w:hint="eastAsia" w:ascii="宋体" w:hAnsi="宋体" w:cs="宋体"/>
                      <w:color w:val="0000FF"/>
                      <w:spacing w:val="-23"/>
                      <w:kern w:val="2"/>
                      <w:sz w:val="18"/>
                      <w:szCs w:val="18"/>
                      <w:u w:val="single"/>
                      <w:lang w:val="en-US" w:eastAsia="zh-CN" w:bidi="ar-SA"/>
                    </w:rPr>
                    <w:t>4</w:t>
                  </w:r>
                </w:p>
              </w:tc>
              <w:tc>
                <w:tcPr>
                  <w:tcW w:w="320" w:type="pct"/>
                  <w:tcBorders>
                    <w:tl2br w:val="nil"/>
                    <w:tr2bl w:val="nil"/>
                  </w:tcBorders>
                  <w:noWrap w:val="0"/>
                  <w:vAlign w:val="center"/>
                </w:tcPr>
                <w:p w14:paraId="510B908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80</w:t>
                  </w:r>
                </w:p>
              </w:tc>
              <w:tc>
                <w:tcPr>
                  <w:tcW w:w="293" w:type="pct"/>
                  <w:vMerge w:val="continue"/>
                  <w:tcBorders>
                    <w:tl2br w:val="nil"/>
                    <w:tr2bl w:val="nil"/>
                  </w:tcBorders>
                  <w:noWrap w:val="0"/>
                  <w:vAlign w:val="center"/>
                </w:tcPr>
                <w:p w14:paraId="445FFF4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eastAsia="zh-CN"/>
                    </w:rPr>
                  </w:pPr>
                </w:p>
              </w:tc>
              <w:tc>
                <w:tcPr>
                  <w:tcW w:w="406" w:type="pct"/>
                  <w:vMerge w:val="continue"/>
                  <w:tcBorders>
                    <w:tl2br w:val="nil"/>
                    <w:tr2bl w:val="nil"/>
                  </w:tcBorders>
                  <w:noWrap w:val="0"/>
                  <w:vAlign w:val="center"/>
                </w:tcPr>
                <w:p w14:paraId="196B356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27" w:type="pct"/>
                  <w:tcBorders>
                    <w:tl2br w:val="nil"/>
                    <w:tr2bl w:val="nil"/>
                  </w:tcBorders>
                  <w:noWrap w:val="0"/>
                  <w:vAlign w:val="center"/>
                </w:tcPr>
                <w:p w14:paraId="2880C593">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9</w:t>
                  </w:r>
                </w:p>
              </w:tc>
              <w:tc>
                <w:tcPr>
                  <w:tcW w:w="300" w:type="pct"/>
                  <w:tcBorders>
                    <w:tl2br w:val="nil"/>
                    <w:tr2bl w:val="nil"/>
                  </w:tcBorders>
                  <w:noWrap w:val="0"/>
                  <w:vAlign w:val="center"/>
                </w:tcPr>
                <w:p w14:paraId="0EBBA468">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16</w:t>
                  </w:r>
                </w:p>
              </w:tc>
              <w:tc>
                <w:tcPr>
                  <w:tcW w:w="333" w:type="pct"/>
                  <w:tcBorders>
                    <w:tl2br w:val="nil"/>
                    <w:tr2bl w:val="nil"/>
                  </w:tcBorders>
                  <w:noWrap w:val="0"/>
                  <w:vAlign w:val="center"/>
                </w:tcPr>
                <w:p w14:paraId="2362388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2.5</w:t>
                  </w:r>
                </w:p>
              </w:tc>
              <w:tc>
                <w:tcPr>
                  <w:tcW w:w="267" w:type="pct"/>
                  <w:tcBorders>
                    <w:tl2br w:val="nil"/>
                    <w:tr2bl w:val="nil"/>
                  </w:tcBorders>
                  <w:noWrap w:val="0"/>
                  <w:vAlign w:val="center"/>
                </w:tcPr>
                <w:p w14:paraId="6E1DF44E">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11</w:t>
                  </w:r>
                </w:p>
              </w:tc>
              <w:tc>
                <w:tcPr>
                  <w:tcW w:w="233" w:type="pct"/>
                  <w:tcBorders>
                    <w:tl2br w:val="nil"/>
                    <w:tr2bl w:val="nil"/>
                  </w:tcBorders>
                  <w:shd w:val="clear" w:color="auto" w:fill="auto"/>
                  <w:noWrap w:val="0"/>
                  <w:vAlign w:val="center"/>
                </w:tcPr>
                <w:p w14:paraId="615AF9E3">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r>
                    <w:rPr>
                      <w:rFonts w:hint="eastAsia" w:ascii="宋体" w:hAnsi="宋体" w:cs="宋体"/>
                      <w:color w:val="0000FF"/>
                      <w:spacing w:val="-23"/>
                      <w:sz w:val="18"/>
                      <w:szCs w:val="18"/>
                      <w:u w:val="single"/>
                      <w:vertAlign w:val="baseline"/>
                      <w:lang w:val="en-US" w:eastAsia="zh-CN"/>
                    </w:rPr>
                    <w:t>18</w:t>
                  </w:r>
                </w:p>
              </w:tc>
              <w:tc>
                <w:tcPr>
                  <w:tcW w:w="199" w:type="pct"/>
                  <w:tcBorders>
                    <w:tl2br w:val="nil"/>
                    <w:tr2bl w:val="nil"/>
                  </w:tcBorders>
                  <w:noWrap w:val="0"/>
                  <w:vAlign w:val="center"/>
                </w:tcPr>
                <w:p w14:paraId="6FB902F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3</w:t>
                  </w:r>
                </w:p>
              </w:tc>
              <w:tc>
                <w:tcPr>
                  <w:tcW w:w="246" w:type="pct"/>
                  <w:tcBorders>
                    <w:tl2br w:val="nil"/>
                    <w:tr2bl w:val="nil"/>
                  </w:tcBorders>
                  <w:noWrap w:val="0"/>
                  <w:vAlign w:val="center"/>
                </w:tcPr>
                <w:p w14:paraId="0EE051FD">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10</w:t>
                  </w:r>
                </w:p>
              </w:tc>
              <w:tc>
                <w:tcPr>
                  <w:tcW w:w="280" w:type="pct"/>
                  <w:vMerge w:val="continue"/>
                  <w:tcBorders>
                    <w:tl2br w:val="nil"/>
                    <w:tr2bl w:val="nil"/>
                  </w:tcBorders>
                  <w:noWrap w:val="0"/>
                  <w:vAlign w:val="center"/>
                </w:tcPr>
                <w:p w14:paraId="248C3A1C">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eastAsia="zh-CN"/>
                    </w:rPr>
                  </w:pPr>
                </w:p>
              </w:tc>
              <w:tc>
                <w:tcPr>
                  <w:tcW w:w="266" w:type="pct"/>
                  <w:vMerge w:val="continue"/>
                  <w:tcBorders>
                    <w:tl2br w:val="nil"/>
                    <w:tr2bl w:val="nil"/>
                  </w:tcBorders>
                  <w:noWrap w:val="0"/>
                  <w:vAlign w:val="center"/>
                </w:tcPr>
                <w:p w14:paraId="1D9689DE">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00" w:type="pct"/>
                  <w:vMerge w:val="continue"/>
                  <w:tcBorders>
                    <w:tl2br w:val="nil"/>
                    <w:tr2bl w:val="nil"/>
                  </w:tcBorders>
                  <w:noWrap w:val="0"/>
                  <w:vAlign w:val="center"/>
                </w:tcPr>
                <w:p w14:paraId="436C463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13" w:type="pct"/>
                  <w:vMerge w:val="continue"/>
                  <w:tcBorders>
                    <w:tl2br w:val="nil"/>
                    <w:tr2bl w:val="nil"/>
                  </w:tcBorders>
                  <w:noWrap w:val="0"/>
                  <w:vAlign w:val="center"/>
                </w:tcPr>
                <w:p w14:paraId="781E4F4C">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33" w:type="pct"/>
                  <w:vMerge w:val="continue"/>
                  <w:tcBorders>
                    <w:tl2br w:val="nil"/>
                    <w:tr2bl w:val="nil"/>
                  </w:tcBorders>
                  <w:noWrap w:val="0"/>
                  <w:vAlign w:val="center"/>
                </w:tcPr>
                <w:p w14:paraId="7430EBEF">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r>
            <w:tr w14:paraId="3EE5F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tcBorders>
                    <w:tl2br w:val="nil"/>
                    <w:tr2bl w:val="nil"/>
                  </w:tcBorders>
                  <w:shd w:val="clear" w:color="auto" w:fill="auto"/>
                  <w:noWrap w:val="0"/>
                  <w:vAlign w:val="top"/>
                </w:tcPr>
                <w:p w14:paraId="7B9BB80E">
                  <w:pPr>
                    <w:pStyle w:val="52"/>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color w:val="0000FF"/>
                      <w:spacing w:val="-23"/>
                      <w:kern w:val="2"/>
                      <w:sz w:val="18"/>
                      <w:szCs w:val="18"/>
                      <w:highlight w:val="red"/>
                      <w:u w:val="single"/>
                      <w:lang w:val="en-US" w:eastAsia="zh-CN" w:bidi="ar-SA"/>
                    </w:rPr>
                  </w:pPr>
                  <w:r>
                    <w:rPr>
                      <w:color w:val="0000FF"/>
                      <w:spacing w:val="-23"/>
                      <w:sz w:val="18"/>
                      <w:szCs w:val="18"/>
                      <w:highlight w:val="none"/>
                      <w:u w:val="single"/>
                    </w:rPr>
                    <w:t>水泵</w:t>
                  </w:r>
                </w:p>
              </w:tc>
              <w:tc>
                <w:tcPr>
                  <w:tcW w:w="172" w:type="pct"/>
                  <w:tcBorders>
                    <w:tl2br w:val="nil"/>
                    <w:tr2bl w:val="nil"/>
                  </w:tcBorders>
                  <w:noWrap w:val="0"/>
                  <w:vAlign w:val="center"/>
                </w:tcPr>
                <w:p w14:paraId="5438979F">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color w:val="0000FF"/>
                      <w:spacing w:val="-23"/>
                      <w:kern w:val="2"/>
                      <w:sz w:val="18"/>
                      <w:szCs w:val="18"/>
                      <w:u w:val="single"/>
                      <w:lang w:val="en-US" w:eastAsia="zh-CN" w:bidi="ar-SA"/>
                    </w:rPr>
                  </w:pPr>
                  <w:r>
                    <w:rPr>
                      <w:rFonts w:hint="eastAsia" w:ascii="宋体" w:hAnsi="宋体" w:cs="宋体"/>
                      <w:color w:val="0000FF"/>
                      <w:spacing w:val="-23"/>
                      <w:kern w:val="2"/>
                      <w:sz w:val="18"/>
                      <w:szCs w:val="18"/>
                      <w:u w:val="single"/>
                      <w:lang w:val="en-US" w:eastAsia="zh-CN" w:bidi="ar-SA"/>
                    </w:rPr>
                    <w:t>6</w:t>
                  </w:r>
                </w:p>
              </w:tc>
              <w:tc>
                <w:tcPr>
                  <w:tcW w:w="320" w:type="pct"/>
                  <w:tcBorders>
                    <w:tl2br w:val="nil"/>
                    <w:tr2bl w:val="nil"/>
                  </w:tcBorders>
                  <w:noWrap w:val="0"/>
                  <w:vAlign w:val="center"/>
                </w:tcPr>
                <w:p w14:paraId="44D15132">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80</w:t>
                  </w:r>
                </w:p>
              </w:tc>
              <w:tc>
                <w:tcPr>
                  <w:tcW w:w="293" w:type="pct"/>
                  <w:vMerge w:val="continue"/>
                  <w:tcBorders>
                    <w:tl2br w:val="nil"/>
                    <w:tr2bl w:val="nil"/>
                  </w:tcBorders>
                  <w:noWrap w:val="0"/>
                  <w:vAlign w:val="center"/>
                </w:tcPr>
                <w:p w14:paraId="076825B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406" w:type="pct"/>
                  <w:vMerge w:val="continue"/>
                  <w:tcBorders>
                    <w:tl2br w:val="nil"/>
                    <w:tr2bl w:val="nil"/>
                  </w:tcBorders>
                  <w:noWrap w:val="0"/>
                  <w:vAlign w:val="center"/>
                </w:tcPr>
                <w:p w14:paraId="6D859903">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27" w:type="pct"/>
                  <w:tcBorders>
                    <w:tl2br w:val="nil"/>
                    <w:tr2bl w:val="nil"/>
                  </w:tcBorders>
                  <w:noWrap w:val="0"/>
                  <w:vAlign w:val="center"/>
                </w:tcPr>
                <w:p w14:paraId="19CEFEC1">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7</w:t>
                  </w:r>
                </w:p>
              </w:tc>
              <w:tc>
                <w:tcPr>
                  <w:tcW w:w="300" w:type="pct"/>
                  <w:tcBorders>
                    <w:tl2br w:val="nil"/>
                    <w:tr2bl w:val="nil"/>
                  </w:tcBorders>
                  <w:noWrap w:val="0"/>
                  <w:vAlign w:val="center"/>
                </w:tcPr>
                <w:p w14:paraId="3578E2E0">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5</w:t>
                  </w:r>
                </w:p>
              </w:tc>
              <w:tc>
                <w:tcPr>
                  <w:tcW w:w="333" w:type="pct"/>
                  <w:tcBorders>
                    <w:tl2br w:val="nil"/>
                    <w:tr2bl w:val="nil"/>
                  </w:tcBorders>
                  <w:noWrap w:val="0"/>
                  <w:vAlign w:val="center"/>
                </w:tcPr>
                <w:p w14:paraId="3F32C1EE">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1.0</w:t>
                  </w:r>
                </w:p>
              </w:tc>
              <w:tc>
                <w:tcPr>
                  <w:tcW w:w="267" w:type="pct"/>
                  <w:tcBorders>
                    <w:tl2br w:val="nil"/>
                    <w:tr2bl w:val="nil"/>
                  </w:tcBorders>
                  <w:noWrap w:val="0"/>
                  <w:vAlign w:val="center"/>
                </w:tcPr>
                <w:p w14:paraId="2944BA58">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5</w:t>
                  </w:r>
                </w:p>
              </w:tc>
              <w:tc>
                <w:tcPr>
                  <w:tcW w:w="233" w:type="pct"/>
                  <w:tcBorders>
                    <w:tl2br w:val="nil"/>
                    <w:tr2bl w:val="nil"/>
                  </w:tcBorders>
                  <w:shd w:val="clear" w:color="auto" w:fill="auto"/>
                  <w:noWrap w:val="0"/>
                  <w:vAlign w:val="center"/>
                </w:tcPr>
                <w:p w14:paraId="58EC0690">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r>
                    <w:rPr>
                      <w:rFonts w:hint="eastAsia" w:ascii="宋体" w:hAnsi="宋体" w:cs="宋体"/>
                      <w:color w:val="0000FF"/>
                      <w:spacing w:val="-23"/>
                      <w:sz w:val="18"/>
                      <w:szCs w:val="18"/>
                      <w:u w:val="single"/>
                      <w:vertAlign w:val="baseline"/>
                      <w:lang w:val="en-US" w:eastAsia="zh-CN"/>
                    </w:rPr>
                    <w:t>9</w:t>
                  </w:r>
                </w:p>
              </w:tc>
              <w:tc>
                <w:tcPr>
                  <w:tcW w:w="199" w:type="pct"/>
                  <w:tcBorders>
                    <w:tl2br w:val="nil"/>
                    <w:tr2bl w:val="nil"/>
                  </w:tcBorders>
                  <w:noWrap w:val="0"/>
                  <w:vAlign w:val="center"/>
                </w:tcPr>
                <w:p w14:paraId="54BEA57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9</w:t>
                  </w:r>
                </w:p>
              </w:tc>
              <w:tc>
                <w:tcPr>
                  <w:tcW w:w="246" w:type="pct"/>
                  <w:tcBorders>
                    <w:tl2br w:val="nil"/>
                    <w:tr2bl w:val="nil"/>
                  </w:tcBorders>
                  <w:noWrap w:val="0"/>
                  <w:vAlign w:val="center"/>
                </w:tcPr>
                <w:p w14:paraId="20BFB659">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8</w:t>
                  </w:r>
                </w:p>
              </w:tc>
              <w:tc>
                <w:tcPr>
                  <w:tcW w:w="280" w:type="pct"/>
                  <w:vMerge w:val="continue"/>
                  <w:tcBorders>
                    <w:tl2br w:val="nil"/>
                    <w:tr2bl w:val="nil"/>
                  </w:tcBorders>
                  <w:noWrap w:val="0"/>
                  <w:vAlign w:val="center"/>
                </w:tcPr>
                <w:p w14:paraId="118AF8BE">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eastAsia="zh-CN"/>
                    </w:rPr>
                  </w:pPr>
                </w:p>
              </w:tc>
              <w:tc>
                <w:tcPr>
                  <w:tcW w:w="266" w:type="pct"/>
                  <w:vMerge w:val="continue"/>
                  <w:tcBorders>
                    <w:tl2br w:val="nil"/>
                    <w:tr2bl w:val="nil"/>
                  </w:tcBorders>
                  <w:noWrap w:val="0"/>
                  <w:vAlign w:val="center"/>
                </w:tcPr>
                <w:p w14:paraId="6A677E07">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00" w:type="pct"/>
                  <w:vMerge w:val="continue"/>
                  <w:tcBorders>
                    <w:tl2br w:val="nil"/>
                    <w:tr2bl w:val="nil"/>
                  </w:tcBorders>
                  <w:noWrap w:val="0"/>
                  <w:vAlign w:val="center"/>
                </w:tcPr>
                <w:p w14:paraId="05F7500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13" w:type="pct"/>
                  <w:vMerge w:val="continue"/>
                  <w:tcBorders>
                    <w:tl2br w:val="nil"/>
                    <w:tr2bl w:val="nil"/>
                  </w:tcBorders>
                  <w:noWrap w:val="0"/>
                  <w:vAlign w:val="center"/>
                </w:tcPr>
                <w:p w14:paraId="48F26C69">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33" w:type="pct"/>
                  <w:vMerge w:val="continue"/>
                  <w:tcBorders>
                    <w:tl2br w:val="nil"/>
                    <w:tr2bl w:val="nil"/>
                  </w:tcBorders>
                  <w:noWrap w:val="0"/>
                  <w:vAlign w:val="center"/>
                </w:tcPr>
                <w:p w14:paraId="7D0E1A7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r>
            <w:tr w14:paraId="1F120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shd w:val="clear" w:color="auto" w:fill="auto"/>
                  <w:vAlign w:val="top"/>
                </w:tcPr>
                <w:p w14:paraId="1910FEF1">
                  <w:pPr>
                    <w:pStyle w:val="52"/>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color w:val="0000FF"/>
                      <w:spacing w:val="-23"/>
                      <w:kern w:val="2"/>
                      <w:sz w:val="18"/>
                      <w:szCs w:val="18"/>
                      <w:u w:val="single"/>
                      <w:lang w:val="en-US" w:eastAsia="zh-CN" w:bidi="ar-SA"/>
                    </w:rPr>
                  </w:pPr>
                  <w:r>
                    <w:rPr>
                      <w:color w:val="0000FF"/>
                      <w:spacing w:val="-23"/>
                      <w:sz w:val="18"/>
                      <w:szCs w:val="18"/>
                      <w:u w:val="single"/>
                    </w:rPr>
                    <w:t>烘干炉</w:t>
                  </w:r>
                </w:p>
              </w:tc>
              <w:tc>
                <w:tcPr>
                  <w:tcW w:w="172" w:type="pct"/>
                </w:tcPr>
                <w:p w14:paraId="1E0A74B1">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color w:val="0000FF"/>
                      <w:spacing w:val="-23"/>
                      <w:kern w:val="2"/>
                      <w:sz w:val="18"/>
                      <w:szCs w:val="18"/>
                      <w:u w:val="single"/>
                      <w:lang w:val="en-US" w:eastAsia="zh-CN" w:bidi="ar-SA"/>
                    </w:rPr>
                  </w:pPr>
                  <w:r>
                    <w:rPr>
                      <w:rFonts w:hint="eastAsia" w:ascii="宋体" w:hAnsi="宋体" w:cs="宋体"/>
                      <w:color w:val="0000FF"/>
                      <w:spacing w:val="-23"/>
                      <w:kern w:val="2"/>
                      <w:sz w:val="18"/>
                      <w:szCs w:val="18"/>
                      <w:u w:val="single"/>
                      <w:lang w:val="en-US" w:eastAsia="zh-CN" w:bidi="ar-SA"/>
                    </w:rPr>
                    <w:t>1</w:t>
                  </w:r>
                </w:p>
              </w:tc>
              <w:tc>
                <w:tcPr>
                  <w:tcW w:w="320" w:type="pct"/>
                </w:tcPr>
                <w:p w14:paraId="3DBC4055">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80</w:t>
                  </w:r>
                </w:p>
              </w:tc>
              <w:tc>
                <w:tcPr>
                  <w:tcW w:w="293" w:type="pct"/>
                  <w:vMerge w:val="continue"/>
                </w:tcPr>
                <w:p w14:paraId="1B55B8B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406" w:type="pct"/>
                  <w:vMerge w:val="continue"/>
                </w:tcPr>
                <w:p w14:paraId="3F592D1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27" w:type="pct"/>
                </w:tcPr>
                <w:p w14:paraId="7B508348">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5</w:t>
                  </w:r>
                </w:p>
              </w:tc>
              <w:tc>
                <w:tcPr>
                  <w:tcW w:w="300" w:type="pct"/>
                </w:tcPr>
                <w:p w14:paraId="62EF3A29">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18</w:t>
                  </w:r>
                </w:p>
              </w:tc>
              <w:tc>
                <w:tcPr>
                  <w:tcW w:w="333" w:type="pct"/>
                </w:tcPr>
                <w:p w14:paraId="3FD37A2F">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1.5</w:t>
                  </w:r>
                </w:p>
              </w:tc>
              <w:tc>
                <w:tcPr>
                  <w:tcW w:w="267" w:type="pct"/>
                </w:tcPr>
                <w:p w14:paraId="4550766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8</w:t>
                  </w:r>
                </w:p>
              </w:tc>
              <w:tc>
                <w:tcPr>
                  <w:tcW w:w="233" w:type="pct"/>
                  <w:shd w:val="clear" w:color="auto" w:fill="auto"/>
                  <w:vAlign w:val="top"/>
                </w:tcPr>
                <w:p w14:paraId="10378AC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r>
                    <w:rPr>
                      <w:rFonts w:hint="eastAsia" w:ascii="宋体" w:hAnsi="宋体" w:cs="宋体"/>
                      <w:color w:val="0000FF"/>
                      <w:spacing w:val="-23"/>
                      <w:sz w:val="18"/>
                      <w:szCs w:val="18"/>
                      <w:u w:val="single"/>
                      <w:vertAlign w:val="baseline"/>
                      <w:lang w:val="en-US" w:eastAsia="zh-CN"/>
                    </w:rPr>
                    <w:t>13</w:t>
                  </w:r>
                </w:p>
              </w:tc>
              <w:tc>
                <w:tcPr>
                  <w:tcW w:w="199" w:type="pct"/>
                </w:tcPr>
                <w:p w14:paraId="6D7A74E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6</w:t>
                  </w:r>
                </w:p>
              </w:tc>
              <w:tc>
                <w:tcPr>
                  <w:tcW w:w="246" w:type="pct"/>
                </w:tcPr>
                <w:p w14:paraId="3C00977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5</w:t>
                  </w:r>
                </w:p>
              </w:tc>
              <w:tc>
                <w:tcPr>
                  <w:tcW w:w="280" w:type="pct"/>
                  <w:vMerge w:val="continue"/>
                </w:tcPr>
                <w:p w14:paraId="36BE2CA1">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eastAsia="zh-CN"/>
                    </w:rPr>
                  </w:pPr>
                </w:p>
              </w:tc>
              <w:tc>
                <w:tcPr>
                  <w:tcW w:w="266" w:type="pct"/>
                  <w:vMerge w:val="continue"/>
                </w:tcPr>
                <w:p w14:paraId="450954A2">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00" w:type="pct"/>
                  <w:vMerge w:val="continue"/>
                </w:tcPr>
                <w:p w14:paraId="4F2D407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13" w:type="pct"/>
                  <w:vMerge w:val="continue"/>
                </w:tcPr>
                <w:p w14:paraId="4582C8C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33" w:type="pct"/>
                  <w:vMerge w:val="continue"/>
                </w:tcPr>
                <w:p w14:paraId="01EC9470">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r>
            <w:tr w14:paraId="5EBF8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shd w:val="clear" w:color="auto" w:fill="auto"/>
                  <w:vAlign w:val="top"/>
                </w:tcPr>
                <w:p w14:paraId="230435FB">
                  <w:pPr>
                    <w:pStyle w:val="52"/>
                    <w:keepNext w:val="0"/>
                    <w:keepLines w:val="0"/>
                    <w:pageBreakBefore w:val="0"/>
                    <w:widowControl w:val="0"/>
                    <w:kinsoku/>
                    <w:wordWrap/>
                    <w:overflowPunct/>
                    <w:topLinePunct w:val="0"/>
                    <w:autoSpaceDE/>
                    <w:autoSpaceDN/>
                    <w:bidi w:val="0"/>
                    <w:adjustRightInd/>
                    <w:snapToGrid/>
                    <w:spacing w:line="240" w:lineRule="atLeast"/>
                    <w:rPr>
                      <w:rFonts w:hint="eastAsia" w:ascii="宋体" w:hAnsi="宋体" w:eastAsia="宋体" w:cs="宋体"/>
                      <w:color w:val="0000FF"/>
                      <w:spacing w:val="-23"/>
                      <w:kern w:val="2"/>
                      <w:sz w:val="18"/>
                      <w:szCs w:val="18"/>
                      <w:u w:val="single"/>
                      <w:lang w:val="en-US" w:eastAsia="zh-CN" w:bidi="ar-SA"/>
                    </w:rPr>
                  </w:pPr>
                  <w:r>
                    <w:rPr>
                      <w:color w:val="0000FF"/>
                      <w:spacing w:val="-23"/>
                      <w:sz w:val="18"/>
                      <w:szCs w:val="18"/>
                      <w:u w:val="single"/>
                    </w:rPr>
                    <w:t>筛分机</w:t>
                  </w:r>
                </w:p>
              </w:tc>
              <w:tc>
                <w:tcPr>
                  <w:tcW w:w="172" w:type="pct"/>
                </w:tcPr>
                <w:p w14:paraId="0619122F">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color w:val="0000FF"/>
                      <w:spacing w:val="-23"/>
                      <w:kern w:val="2"/>
                      <w:sz w:val="18"/>
                      <w:szCs w:val="18"/>
                      <w:u w:val="single"/>
                      <w:lang w:val="en-US" w:eastAsia="zh-CN" w:bidi="ar-SA"/>
                    </w:rPr>
                  </w:pPr>
                  <w:r>
                    <w:rPr>
                      <w:rFonts w:hint="eastAsia" w:ascii="宋体" w:hAnsi="宋体" w:cs="宋体"/>
                      <w:color w:val="0000FF"/>
                      <w:spacing w:val="-23"/>
                      <w:kern w:val="2"/>
                      <w:sz w:val="18"/>
                      <w:szCs w:val="18"/>
                      <w:u w:val="single"/>
                      <w:lang w:val="en-US" w:eastAsia="zh-CN" w:bidi="ar-SA"/>
                    </w:rPr>
                    <w:t>1</w:t>
                  </w:r>
                </w:p>
              </w:tc>
              <w:tc>
                <w:tcPr>
                  <w:tcW w:w="320" w:type="pct"/>
                </w:tcPr>
                <w:p w14:paraId="7B7DC3BF">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85</w:t>
                  </w:r>
                </w:p>
              </w:tc>
              <w:tc>
                <w:tcPr>
                  <w:tcW w:w="293" w:type="pct"/>
                  <w:vMerge w:val="continue"/>
                </w:tcPr>
                <w:p w14:paraId="12430AE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406" w:type="pct"/>
                  <w:vMerge w:val="continue"/>
                </w:tcPr>
                <w:p w14:paraId="7518E023">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27" w:type="pct"/>
                </w:tcPr>
                <w:p w14:paraId="40E9DFEA">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6</w:t>
                  </w:r>
                </w:p>
              </w:tc>
              <w:tc>
                <w:tcPr>
                  <w:tcW w:w="300" w:type="pct"/>
                </w:tcPr>
                <w:p w14:paraId="026ABCB3">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9</w:t>
                  </w:r>
                </w:p>
              </w:tc>
              <w:tc>
                <w:tcPr>
                  <w:tcW w:w="333" w:type="pct"/>
                </w:tcPr>
                <w:p w14:paraId="002B91F3">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1.0</w:t>
                  </w:r>
                </w:p>
              </w:tc>
              <w:tc>
                <w:tcPr>
                  <w:tcW w:w="267" w:type="pct"/>
                </w:tcPr>
                <w:p w14:paraId="40B3FE4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7</w:t>
                  </w:r>
                </w:p>
              </w:tc>
              <w:tc>
                <w:tcPr>
                  <w:tcW w:w="233" w:type="pct"/>
                  <w:shd w:val="clear" w:color="auto" w:fill="auto"/>
                  <w:vAlign w:val="top"/>
                </w:tcPr>
                <w:p w14:paraId="25987863">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r>
                    <w:rPr>
                      <w:rFonts w:hint="eastAsia" w:ascii="宋体" w:hAnsi="宋体" w:cs="宋体"/>
                      <w:color w:val="0000FF"/>
                      <w:spacing w:val="-23"/>
                      <w:sz w:val="18"/>
                      <w:szCs w:val="18"/>
                      <w:u w:val="single"/>
                      <w:vertAlign w:val="baseline"/>
                      <w:lang w:val="en-US" w:eastAsia="zh-CN"/>
                    </w:rPr>
                    <w:t>7</w:t>
                  </w:r>
                </w:p>
              </w:tc>
              <w:tc>
                <w:tcPr>
                  <w:tcW w:w="199" w:type="pct"/>
                </w:tcPr>
                <w:p w14:paraId="70EA0145">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5</w:t>
                  </w:r>
                </w:p>
              </w:tc>
              <w:tc>
                <w:tcPr>
                  <w:tcW w:w="246" w:type="pct"/>
                </w:tcPr>
                <w:p w14:paraId="3697C8F5">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5</w:t>
                  </w:r>
                </w:p>
              </w:tc>
              <w:tc>
                <w:tcPr>
                  <w:tcW w:w="280" w:type="pct"/>
                  <w:vMerge w:val="continue"/>
                </w:tcPr>
                <w:p w14:paraId="238F3EBF">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eastAsia="zh-CN"/>
                    </w:rPr>
                  </w:pPr>
                </w:p>
              </w:tc>
              <w:tc>
                <w:tcPr>
                  <w:tcW w:w="266" w:type="pct"/>
                  <w:vMerge w:val="continue"/>
                </w:tcPr>
                <w:p w14:paraId="5D86475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00" w:type="pct"/>
                  <w:vMerge w:val="continue"/>
                </w:tcPr>
                <w:p w14:paraId="5F068C2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13" w:type="pct"/>
                  <w:vMerge w:val="continue"/>
                </w:tcPr>
                <w:p w14:paraId="4D7564B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33" w:type="pct"/>
                  <w:vMerge w:val="continue"/>
                </w:tcPr>
                <w:p w14:paraId="6231088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r>
            <w:tr w14:paraId="620CB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shd w:val="clear" w:color="auto" w:fill="auto"/>
                  <w:vAlign w:val="top"/>
                </w:tcPr>
                <w:p w14:paraId="13A1FBB9">
                  <w:pPr>
                    <w:pStyle w:val="52"/>
                    <w:keepNext w:val="0"/>
                    <w:keepLines w:val="0"/>
                    <w:pageBreakBefore w:val="0"/>
                    <w:widowControl w:val="0"/>
                    <w:kinsoku/>
                    <w:wordWrap/>
                    <w:overflowPunct/>
                    <w:topLinePunct w:val="0"/>
                    <w:autoSpaceDE/>
                    <w:autoSpaceDN/>
                    <w:bidi w:val="0"/>
                    <w:adjustRightInd/>
                    <w:snapToGrid/>
                    <w:spacing w:line="240" w:lineRule="atLeast"/>
                    <w:rPr>
                      <w:rFonts w:hint="eastAsia" w:eastAsia="宋体"/>
                      <w:color w:val="0000FF"/>
                      <w:spacing w:val="-23"/>
                      <w:sz w:val="18"/>
                      <w:szCs w:val="18"/>
                      <w:u w:val="single"/>
                      <w:lang w:eastAsia="zh-CN"/>
                    </w:rPr>
                  </w:pPr>
                  <w:r>
                    <w:rPr>
                      <w:rFonts w:hint="eastAsia"/>
                      <w:color w:val="0000FF"/>
                      <w:spacing w:val="-23"/>
                      <w:sz w:val="18"/>
                      <w:szCs w:val="18"/>
                      <w:highlight w:val="none"/>
                      <w:u w:val="single"/>
                      <w:lang w:eastAsia="zh-CN"/>
                    </w:rPr>
                    <w:t>空压机</w:t>
                  </w:r>
                </w:p>
              </w:tc>
              <w:tc>
                <w:tcPr>
                  <w:tcW w:w="172" w:type="pct"/>
                </w:tcPr>
                <w:p w14:paraId="2A3AB474">
                  <w:pPr>
                    <w:keepNext w:val="0"/>
                    <w:keepLines w:val="0"/>
                    <w:pageBreakBefore w:val="0"/>
                    <w:widowControl w:val="0"/>
                    <w:kinsoku/>
                    <w:wordWrap/>
                    <w:overflowPunct/>
                    <w:topLinePunct w:val="0"/>
                    <w:autoSpaceDE/>
                    <w:autoSpaceDN/>
                    <w:bidi w:val="0"/>
                    <w:adjustRightInd/>
                    <w:snapToGrid/>
                    <w:spacing w:line="240" w:lineRule="atLeast"/>
                    <w:jc w:val="center"/>
                    <w:textAlignment w:val="center"/>
                    <w:rPr>
                      <w:rFonts w:hint="default" w:ascii="宋体" w:hAnsi="宋体" w:cs="宋体"/>
                      <w:color w:val="0000FF"/>
                      <w:spacing w:val="-23"/>
                      <w:kern w:val="2"/>
                      <w:sz w:val="18"/>
                      <w:szCs w:val="18"/>
                      <w:u w:val="single"/>
                      <w:lang w:val="en-US" w:eastAsia="zh-CN" w:bidi="ar-SA"/>
                    </w:rPr>
                  </w:pPr>
                  <w:r>
                    <w:rPr>
                      <w:rFonts w:hint="eastAsia" w:ascii="宋体" w:hAnsi="宋体" w:cs="宋体"/>
                      <w:color w:val="0000FF"/>
                      <w:spacing w:val="-23"/>
                      <w:kern w:val="2"/>
                      <w:sz w:val="18"/>
                      <w:szCs w:val="18"/>
                      <w:u w:val="single"/>
                      <w:lang w:val="en-US" w:eastAsia="zh-CN" w:bidi="ar-SA"/>
                    </w:rPr>
                    <w:t>1</w:t>
                  </w:r>
                </w:p>
              </w:tc>
              <w:tc>
                <w:tcPr>
                  <w:tcW w:w="320" w:type="pct"/>
                </w:tcPr>
                <w:p w14:paraId="0DE9C2E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90</w:t>
                  </w:r>
                </w:p>
              </w:tc>
              <w:tc>
                <w:tcPr>
                  <w:tcW w:w="293" w:type="pct"/>
                  <w:vMerge w:val="continue"/>
                </w:tcPr>
                <w:p w14:paraId="2E7E375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val="en-US" w:eastAsia="zh-CN"/>
                    </w:rPr>
                  </w:pPr>
                </w:p>
              </w:tc>
              <w:tc>
                <w:tcPr>
                  <w:tcW w:w="406" w:type="pct"/>
                  <w:vMerge w:val="continue"/>
                </w:tcPr>
                <w:p w14:paraId="778D7470">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27" w:type="pct"/>
                </w:tcPr>
                <w:p w14:paraId="136C31B6">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9</w:t>
                  </w:r>
                </w:p>
              </w:tc>
              <w:tc>
                <w:tcPr>
                  <w:tcW w:w="300" w:type="pct"/>
                </w:tcPr>
                <w:p w14:paraId="4F9CBE69">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17</w:t>
                  </w:r>
                </w:p>
              </w:tc>
              <w:tc>
                <w:tcPr>
                  <w:tcW w:w="333" w:type="pct"/>
                </w:tcPr>
                <w:p w14:paraId="4922A9E1">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1.5</w:t>
                  </w:r>
                </w:p>
              </w:tc>
              <w:tc>
                <w:tcPr>
                  <w:tcW w:w="267" w:type="pct"/>
                </w:tcPr>
                <w:p w14:paraId="5F1269A0">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9</w:t>
                  </w:r>
                </w:p>
              </w:tc>
              <w:tc>
                <w:tcPr>
                  <w:tcW w:w="233" w:type="pct"/>
                  <w:shd w:val="clear" w:color="auto" w:fill="auto"/>
                  <w:vAlign w:val="top"/>
                </w:tcPr>
                <w:p w14:paraId="199C26A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r>
                    <w:rPr>
                      <w:rFonts w:hint="eastAsia" w:ascii="宋体" w:hAnsi="宋体" w:cs="宋体"/>
                      <w:color w:val="0000FF"/>
                      <w:spacing w:val="-23"/>
                      <w:sz w:val="18"/>
                      <w:szCs w:val="18"/>
                      <w:u w:val="single"/>
                      <w:vertAlign w:val="baseline"/>
                      <w:lang w:val="en-US" w:eastAsia="zh-CN"/>
                    </w:rPr>
                    <w:t>7</w:t>
                  </w:r>
                </w:p>
              </w:tc>
              <w:tc>
                <w:tcPr>
                  <w:tcW w:w="199" w:type="pct"/>
                </w:tcPr>
                <w:p w14:paraId="299A134D">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8</w:t>
                  </w:r>
                </w:p>
              </w:tc>
              <w:tc>
                <w:tcPr>
                  <w:tcW w:w="246" w:type="pct"/>
                </w:tcPr>
                <w:p w14:paraId="31241EA3">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FF"/>
                      <w:spacing w:val="-23"/>
                      <w:sz w:val="18"/>
                      <w:szCs w:val="18"/>
                      <w:u w:val="single"/>
                      <w:vertAlign w:val="baseline"/>
                      <w:lang w:val="en-US" w:eastAsia="zh-CN"/>
                    </w:rPr>
                  </w:pPr>
                  <w:r>
                    <w:rPr>
                      <w:rFonts w:hint="eastAsia" w:ascii="宋体" w:hAnsi="宋体" w:cs="宋体"/>
                      <w:color w:val="0000FF"/>
                      <w:spacing w:val="-23"/>
                      <w:sz w:val="18"/>
                      <w:szCs w:val="18"/>
                      <w:u w:val="single"/>
                      <w:vertAlign w:val="baseline"/>
                      <w:lang w:val="en-US" w:eastAsia="zh-CN"/>
                    </w:rPr>
                    <w:t>8</w:t>
                  </w:r>
                </w:p>
              </w:tc>
              <w:tc>
                <w:tcPr>
                  <w:tcW w:w="280" w:type="pct"/>
                  <w:vMerge w:val="continue"/>
                </w:tcPr>
                <w:p w14:paraId="2B48A41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sz w:val="18"/>
                      <w:szCs w:val="18"/>
                      <w:u w:val="single"/>
                      <w:vertAlign w:val="baseline"/>
                      <w:lang w:eastAsia="zh-CN"/>
                    </w:rPr>
                  </w:pPr>
                </w:p>
              </w:tc>
              <w:tc>
                <w:tcPr>
                  <w:tcW w:w="266" w:type="pct"/>
                  <w:vMerge w:val="continue"/>
                </w:tcPr>
                <w:p w14:paraId="2E396FB2">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00" w:type="pct"/>
                  <w:vMerge w:val="continue"/>
                </w:tcPr>
                <w:p w14:paraId="34B4931B">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13" w:type="pct"/>
                  <w:vMerge w:val="continue"/>
                </w:tcPr>
                <w:p w14:paraId="5DCC1DD4">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c>
                <w:tcPr>
                  <w:tcW w:w="333" w:type="pct"/>
                  <w:vMerge w:val="continue"/>
                </w:tcPr>
                <w:p w14:paraId="2077096F">
                  <w:pPr>
                    <w:keepNext w:val="0"/>
                    <w:keepLines w:val="0"/>
                    <w:pageBreakBefore w:val="0"/>
                    <w:widowControl w:val="0"/>
                    <w:tabs>
                      <w:tab w:val="left" w:pos="5521"/>
                    </w:tabs>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FF"/>
                      <w:spacing w:val="-23"/>
                      <w:kern w:val="2"/>
                      <w:sz w:val="18"/>
                      <w:szCs w:val="18"/>
                      <w:u w:val="single"/>
                      <w:vertAlign w:val="baseline"/>
                      <w:lang w:val="en-US" w:eastAsia="zh-CN" w:bidi="ar-SA"/>
                    </w:rPr>
                  </w:pPr>
                </w:p>
              </w:tc>
            </w:tr>
          </w:tbl>
          <w:p w14:paraId="0AABB495">
            <w:pPr>
              <w:pStyle w:val="68"/>
              <w:ind w:left="0" w:leftChars="0" w:firstLine="0" w:firstLineChars="0"/>
              <w:jc w:val="both"/>
              <w:rPr>
                <w:rFonts w:hint="default" w:ascii="Times New Roman" w:hAnsi="Times New Roman" w:eastAsia="宋体" w:cs="Times New Roman"/>
                <w:i w:val="0"/>
                <w:iCs w:val="0"/>
                <w:smallCaps w:val="0"/>
                <w:snapToGrid w:val="0"/>
                <w:color w:val="000000"/>
                <w:sz w:val="21"/>
                <w:szCs w:val="21"/>
                <w:highlight w:val="none"/>
                <w:u w:val="none"/>
              </w:rPr>
            </w:pPr>
          </w:p>
          <w:p w14:paraId="43D2FC1D">
            <w:pPr>
              <w:pStyle w:val="68"/>
              <w:rPr>
                <w:rFonts w:hint="eastAsia" w:ascii="Times New Roman" w:hAnsi="Times New Roman" w:eastAsia="宋体" w:cs="Times New Roman"/>
                <w:i w:val="0"/>
                <w:iCs w:val="0"/>
                <w:smallCaps w:val="0"/>
                <w:snapToGrid w:val="0"/>
                <w:color w:val="000000"/>
                <w:sz w:val="21"/>
                <w:szCs w:val="21"/>
                <w:highlight w:val="none"/>
                <w:u w:val="single"/>
                <w:lang w:val="en-US" w:eastAsia="zh-CN"/>
              </w:rPr>
            </w:pPr>
            <w:r>
              <w:rPr>
                <w:rFonts w:hint="default" w:ascii="Times New Roman" w:hAnsi="Times New Roman" w:eastAsia="宋体" w:cs="Times New Roman"/>
                <w:i w:val="0"/>
                <w:iCs w:val="0"/>
                <w:smallCaps w:val="0"/>
                <w:snapToGrid w:val="0"/>
                <w:color w:val="000000"/>
                <w:sz w:val="21"/>
                <w:szCs w:val="21"/>
                <w:highlight w:val="none"/>
                <w:u w:val="none"/>
              </w:rPr>
              <w:t>表</w:t>
            </w:r>
            <w:r>
              <w:rPr>
                <w:rFonts w:hint="eastAsia" w:cs="Times New Roman"/>
                <w:i w:val="0"/>
                <w:iCs w:val="0"/>
                <w:smallCaps w:val="0"/>
                <w:snapToGrid w:val="0"/>
                <w:color w:val="000000"/>
                <w:sz w:val="21"/>
                <w:szCs w:val="21"/>
                <w:highlight w:val="none"/>
                <w:u w:val="none"/>
                <w:lang w:val="en-US" w:eastAsia="zh-CN"/>
              </w:rPr>
              <w:t>4-7</w:t>
            </w:r>
            <w:r>
              <w:rPr>
                <w:rFonts w:hint="default" w:ascii="Times New Roman" w:hAnsi="Times New Roman" w:eastAsia="宋体" w:cs="Times New Roman"/>
                <w:i w:val="0"/>
                <w:iCs w:val="0"/>
                <w:smallCaps w:val="0"/>
                <w:color w:val="000000"/>
                <w:sz w:val="21"/>
                <w:szCs w:val="21"/>
                <w:highlight w:val="none"/>
                <w:u w:val="none"/>
              </w:rPr>
              <w:t xml:space="preserve">   </w:t>
            </w:r>
            <w:r>
              <w:rPr>
                <w:rFonts w:hint="eastAsia" w:ascii="Times New Roman" w:hAnsi="Times New Roman" w:eastAsia="宋体" w:cs="Times New Roman"/>
                <w:i w:val="0"/>
                <w:iCs w:val="0"/>
                <w:smallCaps w:val="0"/>
                <w:color w:val="000000"/>
                <w:sz w:val="21"/>
                <w:szCs w:val="21"/>
                <w:highlight w:val="none"/>
                <w:u w:val="none"/>
                <w:lang w:val="en-US" w:eastAsia="zh-CN"/>
              </w:rPr>
              <w:t>厂界噪声</w:t>
            </w:r>
            <w:r>
              <w:rPr>
                <w:rFonts w:hint="default" w:ascii="Times New Roman" w:hAnsi="Times New Roman" w:eastAsia="宋体" w:cs="Times New Roman"/>
                <w:i w:val="0"/>
                <w:iCs w:val="0"/>
                <w:smallCaps w:val="0"/>
                <w:snapToGrid w:val="0"/>
                <w:color w:val="000000"/>
                <w:sz w:val="21"/>
                <w:szCs w:val="21"/>
                <w:highlight w:val="none"/>
                <w:u w:val="none"/>
                <w:lang w:eastAsia="zh-CN"/>
              </w:rPr>
              <w:t>预测点距离一览表</w:t>
            </w:r>
            <w:r>
              <w:rPr>
                <w:rFonts w:hint="default" w:ascii="Times New Roman" w:hAnsi="Times New Roman" w:eastAsia="宋体" w:cs="Times New Roman"/>
                <w:i w:val="0"/>
                <w:iCs w:val="0"/>
                <w:smallCaps w:val="0"/>
                <w:color w:val="000000"/>
                <w:sz w:val="21"/>
                <w:szCs w:val="21"/>
                <w:highlight w:val="none"/>
                <w:u w:val="single"/>
              </w:rPr>
              <w:t xml:space="preserve"> </w:t>
            </w:r>
          </w:p>
          <w:tbl>
            <w:tblPr>
              <w:tblStyle w:val="22"/>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883"/>
              <w:gridCol w:w="820"/>
              <w:gridCol w:w="938"/>
              <w:gridCol w:w="893"/>
              <w:gridCol w:w="893"/>
              <w:gridCol w:w="856"/>
              <w:gridCol w:w="856"/>
              <w:gridCol w:w="858"/>
            </w:tblGrid>
            <w:tr w14:paraId="4B39D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90" w:type="pct"/>
                  <w:vMerge w:val="restart"/>
                  <w:tcBorders>
                    <w:tl2br w:val="nil"/>
                    <w:tr2bl w:val="nil"/>
                  </w:tcBorders>
                  <w:noWrap w:val="0"/>
                  <w:vAlign w:val="center"/>
                </w:tcPr>
                <w:p w14:paraId="23877AFD">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eastAsia" w:ascii="Times New Roman" w:hAnsi="Times New Roman" w:eastAsia="宋体" w:cs="Times New Roman"/>
                      <w:i w:val="0"/>
                      <w:iCs w:val="0"/>
                      <w:smallCaps w:val="0"/>
                      <w:color w:val="0000FF"/>
                      <w:sz w:val="18"/>
                      <w:szCs w:val="18"/>
                      <w:highlight w:val="none"/>
                      <w:u w:val="single"/>
                      <w:lang w:val="en-US" w:eastAsia="zh-CN"/>
                    </w:rPr>
                    <w:t>噪声源</w:t>
                  </w:r>
                </w:p>
              </w:tc>
              <w:tc>
                <w:tcPr>
                  <w:tcW w:w="1024" w:type="pct"/>
                  <w:gridSpan w:val="2"/>
                  <w:tcBorders>
                    <w:tl2br w:val="nil"/>
                    <w:tr2bl w:val="nil"/>
                  </w:tcBorders>
                  <w:noWrap w:val="0"/>
                  <w:vAlign w:val="center"/>
                </w:tcPr>
                <w:p w14:paraId="101B4FA6">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default" w:ascii="Times New Roman" w:hAnsi="Times New Roman" w:eastAsia="宋体" w:cs="Times New Roman"/>
                      <w:i w:val="0"/>
                      <w:iCs w:val="0"/>
                      <w:smallCaps w:val="0"/>
                      <w:color w:val="0000FF"/>
                      <w:sz w:val="18"/>
                      <w:szCs w:val="18"/>
                      <w:highlight w:val="none"/>
                      <w:u w:val="single"/>
                    </w:rPr>
                    <w:t>东侧厂界</w:t>
                  </w:r>
                </w:p>
              </w:tc>
              <w:tc>
                <w:tcPr>
                  <w:tcW w:w="1101" w:type="pct"/>
                  <w:gridSpan w:val="2"/>
                  <w:tcBorders>
                    <w:tl2br w:val="nil"/>
                    <w:tr2bl w:val="nil"/>
                  </w:tcBorders>
                  <w:noWrap w:val="0"/>
                  <w:vAlign w:val="center"/>
                </w:tcPr>
                <w:p w14:paraId="2A9F7D06">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default" w:ascii="Times New Roman" w:hAnsi="Times New Roman" w:eastAsia="宋体" w:cs="Times New Roman"/>
                      <w:i w:val="0"/>
                      <w:iCs w:val="0"/>
                      <w:smallCaps w:val="0"/>
                      <w:color w:val="0000FF"/>
                      <w:sz w:val="18"/>
                      <w:szCs w:val="18"/>
                      <w:highlight w:val="none"/>
                      <w:u w:val="single"/>
                    </w:rPr>
                    <w:t>南侧厂界</w:t>
                  </w:r>
                </w:p>
              </w:tc>
              <w:tc>
                <w:tcPr>
                  <w:tcW w:w="1052" w:type="pct"/>
                  <w:gridSpan w:val="2"/>
                  <w:tcBorders>
                    <w:tl2br w:val="nil"/>
                    <w:tr2bl w:val="nil"/>
                  </w:tcBorders>
                  <w:noWrap w:val="0"/>
                  <w:vAlign w:val="center"/>
                </w:tcPr>
                <w:p w14:paraId="32FDFF48">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default" w:ascii="Times New Roman" w:hAnsi="Times New Roman" w:eastAsia="宋体" w:cs="Times New Roman"/>
                      <w:i w:val="0"/>
                      <w:iCs w:val="0"/>
                      <w:smallCaps w:val="0"/>
                      <w:color w:val="0000FF"/>
                      <w:sz w:val="18"/>
                      <w:szCs w:val="18"/>
                      <w:highlight w:val="none"/>
                      <w:u w:val="single"/>
                    </w:rPr>
                    <w:t>西侧厂界</w:t>
                  </w:r>
                </w:p>
              </w:tc>
              <w:tc>
                <w:tcPr>
                  <w:tcW w:w="1031" w:type="pct"/>
                  <w:gridSpan w:val="2"/>
                  <w:tcBorders>
                    <w:tl2br w:val="nil"/>
                    <w:tr2bl w:val="nil"/>
                  </w:tcBorders>
                  <w:noWrap w:val="0"/>
                  <w:vAlign w:val="center"/>
                </w:tcPr>
                <w:p w14:paraId="65FFD9AA">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default" w:ascii="Times New Roman" w:hAnsi="Times New Roman" w:eastAsia="宋体" w:cs="Times New Roman"/>
                      <w:i w:val="0"/>
                      <w:iCs w:val="0"/>
                      <w:smallCaps w:val="0"/>
                      <w:color w:val="0000FF"/>
                      <w:sz w:val="18"/>
                      <w:szCs w:val="18"/>
                      <w:highlight w:val="none"/>
                      <w:u w:val="single"/>
                    </w:rPr>
                    <w:t>北侧厂界</w:t>
                  </w:r>
                </w:p>
              </w:tc>
            </w:tr>
            <w:tr w14:paraId="03AED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90" w:type="pct"/>
                  <w:vMerge w:val="continue"/>
                  <w:tcBorders>
                    <w:tl2br w:val="nil"/>
                    <w:tr2bl w:val="nil"/>
                  </w:tcBorders>
                  <w:noWrap w:val="0"/>
                  <w:vAlign w:val="center"/>
                </w:tcPr>
                <w:p w14:paraId="629BB979">
                  <w:pPr>
                    <w:pStyle w:val="69"/>
                    <w:keepNext w:val="0"/>
                    <w:keepLines w:val="0"/>
                    <w:pageBreakBefore w:val="0"/>
                    <w:kinsoku/>
                    <w:wordWrap/>
                    <w:overflowPunct/>
                    <w:topLinePunct w:val="0"/>
                    <w:autoSpaceDE/>
                    <w:autoSpaceDN/>
                    <w:bidi w:val="0"/>
                    <w:adjustRightInd/>
                    <w:spacing w:line="260" w:lineRule="exact"/>
                    <w:rPr>
                      <w:rFonts w:hint="eastAsia" w:ascii="Times New Roman" w:hAnsi="Times New Roman" w:eastAsia="宋体" w:cs="Times New Roman"/>
                      <w:i w:val="0"/>
                      <w:iCs w:val="0"/>
                      <w:smallCaps w:val="0"/>
                      <w:color w:val="0000FF"/>
                      <w:sz w:val="18"/>
                      <w:szCs w:val="18"/>
                      <w:highlight w:val="none"/>
                      <w:u w:val="single"/>
                      <w:lang w:val="en-US" w:eastAsia="zh-CN"/>
                    </w:rPr>
                  </w:pPr>
                </w:p>
              </w:tc>
              <w:tc>
                <w:tcPr>
                  <w:tcW w:w="531" w:type="pct"/>
                  <w:tcBorders>
                    <w:tl2br w:val="nil"/>
                    <w:tr2bl w:val="nil"/>
                  </w:tcBorders>
                  <w:noWrap w:val="0"/>
                  <w:vAlign w:val="center"/>
                </w:tcPr>
                <w:p w14:paraId="5D7ED4F7">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lang w:val="en-US" w:eastAsia="zh-CN"/>
                    </w:rPr>
                  </w:pPr>
                  <w:r>
                    <w:rPr>
                      <w:rFonts w:hint="eastAsia" w:cs="Times New Roman"/>
                      <w:i w:val="0"/>
                      <w:iCs w:val="0"/>
                      <w:smallCaps w:val="0"/>
                      <w:color w:val="0000FF"/>
                      <w:sz w:val="18"/>
                      <w:szCs w:val="18"/>
                      <w:highlight w:val="none"/>
                      <w:u w:val="single"/>
                      <w:lang w:val="en-US" w:eastAsia="zh-CN"/>
                    </w:rPr>
                    <w:t>昼间</w:t>
                  </w:r>
                </w:p>
              </w:tc>
              <w:tc>
                <w:tcPr>
                  <w:tcW w:w="493" w:type="pct"/>
                  <w:tcBorders>
                    <w:tl2br w:val="nil"/>
                    <w:tr2bl w:val="nil"/>
                  </w:tcBorders>
                  <w:noWrap w:val="0"/>
                  <w:vAlign w:val="center"/>
                </w:tcPr>
                <w:p w14:paraId="3C11F4E6">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lang w:val="en-US" w:eastAsia="zh-CN"/>
                    </w:rPr>
                  </w:pPr>
                  <w:r>
                    <w:rPr>
                      <w:rFonts w:hint="eastAsia" w:cs="Times New Roman"/>
                      <w:i w:val="0"/>
                      <w:iCs w:val="0"/>
                      <w:smallCaps w:val="0"/>
                      <w:color w:val="0000FF"/>
                      <w:sz w:val="18"/>
                      <w:szCs w:val="18"/>
                      <w:highlight w:val="none"/>
                      <w:u w:val="single"/>
                      <w:lang w:val="en-US" w:eastAsia="zh-CN"/>
                    </w:rPr>
                    <w:t>夜间</w:t>
                  </w:r>
                </w:p>
              </w:tc>
              <w:tc>
                <w:tcPr>
                  <w:tcW w:w="564" w:type="pct"/>
                  <w:tcBorders>
                    <w:tl2br w:val="nil"/>
                    <w:tr2bl w:val="nil"/>
                  </w:tcBorders>
                  <w:noWrap w:val="0"/>
                  <w:vAlign w:val="center"/>
                </w:tcPr>
                <w:p w14:paraId="155261E1">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eastAsia" w:cs="Times New Roman"/>
                      <w:i w:val="0"/>
                      <w:iCs w:val="0"/>
                      <w:smallCaps w:val="0"/>
                      <w:color w:val="0000FF"/>
                      <w:sz w:val="18"/>
                      <w:szCs w:val="18"/>
                      <w:highlight w:val="none"/>
                      <w:u w:val="single"/>
                      <w:lang w:val="en-US" w:eastAsia="zh-CN"/>
                    </w:rPr>
                    <w:t>昼间</w:t>
                  </w:r>
                </w:p>
              </w:tc>
              <w:tc>
                <w:tcPr>
                  <w:tcW w:w="537" w:type="pct"/>
                  <w:tcBorders>
                    <w:tl2br w:val="nil"/>
                    <w:tr2bl w:val="nil"/>
                  </w:tcBorders>
                  <w:noWrap w:val="0"/>
                  <w:vAlign w:val="center"/>
                </w:tcPr>
                <w:p w14:paraId="300B18AE">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eastAsia" w:cs="Times New Roman"/>
                      <w:i w:val="0"/>
                      <w:iCs w:val="0"/>
                      <w:smallCaps w:val="0"/>
                      <w:color w:val="0000FF"/>
                      <w:sz w:val="18"/>
                      <w:szCs w:val="18"/>
                      <w:highlight w:val="none"/>
                      <w:u w:val="single"/>
                      <w:lang w:val="en-US" w:eastAsia="zh-CN"/>
                    </w:rPr>
                    <w:t>夜间</w:t>
                  </w:r>
                </w:p>
              </w:tc>
              <w:tc>
                <w:tcPr>
                  <w:tcW w:w="537" w:type="pct"/>
                  <w:tcBorders>
                    <w:tl2br w:val="nil"/>
                    <w:tr2bl w:val="nil"/>
                  </w:tcBorders>
                  <w:noWrap w:val="0"/>
                  <w:vAlign w:val="center"/>
                </w:tcPr>
                <w:p w14:paraId="6246FEA8">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eastAsia" w:cs="Times New Roman"/>
                      <w:i w:val="0"/>
                      <w:iCs w:val="0"/>
                      <w:smallCaps w:val="0"/>
                      <w:color w:val="0000FF"/>
                      <w:sz w:val="18"/>
                      <w:szCs w:val="18"/>
                      <w:highlight w:val="none"/>
                      <w:u w:val="single"/>
                      <w:lang w:val="en-US" w:eastAsia="zh-CN"/>
                    </w:rPr>
                    <w:t>昼间</w:t>
                  </w:r>
                </w:p>
              </w:tc>
              <w:tc>
                <w:tcPr>
                  <w:tcW w:w="514" w:type="pct"/>
                  <w:tcBorders>
                    <w:tl2br w:val="nil"/>
                    <w:tr2bl w:val="nil"/>
                  </w:tcBorders>
                  <w:noWrap w:val="0"/>
                  <w:vAlign w:val="center"/>
                </w:tcPr>
                <w:p w14:paraId="13388DEA">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eastAsia" w:cs="Times New Roman"/>
                      <w:i w:val="0"/>
                      <w:iCs w:val="0"/>
                      <w:smallCaps w:val="0"/>
                      <w:color w:val="0000FF"/>
                      <w:sz w:val="18"/>
                      <w:szCs w:val="18"/>
                      <w:highlight w:val="none"/>
                      <w:u w:val="single"/>
                      <w:lang w:val="en-US" w:eastAsia="zh-CN"/>
                    </w:rPr>
                    <w:t>夜间</w:t>
                  </w:r>
                </w:p>
              </w:tc>
              <w:tc>
                <w:tcPr>
                  <w:tcW w:w="514" w:type="pct"/>
                  <w:tcBorders>
                    <w:tl2br w:val="nil"/>
                    <w:tr2bl w:val="nil"/>
                  </w:tcBorders>
                  <w:noWrap w:val="0"/>
                  <w:vAlign w:val="center"/>
                </w:tcPr>
                <w:p w14:paraId="08A5225C">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eastAsia" w:cs="Times New Roman"/>
                      <w:i w:val="0"/>
                      <w:iCs w:val="0"/>
                      <w:smallCaps w:val="0"/>
                      <w:color w:val="0000FF"/>
                      <w:sz w:val="18"/>
                      <w:szCs w:val="18"/>
                      <w:highlight w:val="none"/>
                      <w:u w:val="single"/>
                      <w:lang w:val="en-US" w:eastAsia="zh-CN"/>
                    </w:rPr>
                    <w:t>昼间</w:t>
                  </w:r>
                </w:p>
              </w:tc>
              <w:tc>
                <w:tcPr>
                  <w:tcW w:w="516" w:type="pct"/>
                  <w:tcBorders>
                    <w:tl2br w:val="nil"/>
                    <w:tr2bl w:val="nil"/>
                  </w:tcBorders>
                  <w:noWrap w:val="0"/>
                  <w:vAlign w:val="center"/>
                </w:tcPr>
                <w:p w14:paraId="5568AFE1">
                  <w:pPr>
                    <w:pStyle w:val="69"/>
                    <w:keepNext w:val="0"/>
                    <w:keepLines w:val="0"/>
                    <w:pageBreakBefore w:val="0"/>
                    <w:kinsoku/>
                    <w:wordWrap/>
                    <w:overflowPunct/>
                    <w:topLinePunct w:val="0"/>
                    <w:autoSpaceDE/>
                    <w:autoSpaceDN/>
                    <w:bidi w:val="0"/>
                    <w:adjustRightInd/>
                    <w:spacing w:line="260" w:lineRule="exact"/>
                    <w:rPr>
                      <w:rFonts w:hint="default" w:ascii="Times New Roman" w:hAnsi="Times New Roman" w:eastAsia="宋体" w:cs="Times New Roman"/>
                      <w:i w:val="0"/>
                      <w:iCs w:val="0"/>
                      <w:smallCaps w:val="0"/>
                      <w:color w:val="0000FF"/>
                      <w:sz w:val="18"/>
                      <w:szCs w:val="18"/>
                      <w:highlight w:val="none"/>
                      <w:u w:val="single"/>
                    </w:rPr>
                  </w:pPr>
                  <w:r>
                    <w:rPr>
                      <w:rFonts w:hint="eastAsia" w:cs="Times New Roman"/>
                      <w:i w:val="0"/>
                      <w:iCs w:val="0"/>
                      <w:smallCaps w:val="0"/>
                      <w:color w:val="0000FF"/>
                      <w:sz w:val="18"/>
                      <w:szCs w:val="18"/>
                      <w:highlight w:val="none"/>
                      <w:u w:val="single"/>
                      <w:lang w:val="en-US" w:eastAsia="zh-CN"/>
                    </w:rPr>
                    <w:t>夜间</w:t>
                  </w:r>
                </w:p>
              </w:tc>
            </w:tr>
            <w:tr w14:paraId="1BA43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90" w:type="pct"/>
                  <w:tcBorders>
                    <w:tl2br w:val="nil"/>
                    <w:tr2bl w:val="nil"/>
                  </w:tcBorders>
                  <w:noWrap w:val="0"/>
                  <w:vAlign w:val="center"/>
                </w:tcPr>
                <w:p w14:paraId="446D550A">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宋体" w:cs="Times New Roman"/>
                      <w:color w:val="0000FF"/>
                      <w:w w:val="100"/>
                      <w:sz w:val="18"/>
                      <w:szCs w:val="18"/>
                      <w:highlight w:val="none"/>
                      <w:u w:val="single"/>
                      <w:lang w:val="en-US" w:eastAsia="zh-CN"/>
                    </w:rPr>
                  </w:pPr>
                  <w:r>
                    <w:rPr>
                      <w:rFonts w:hint="eastAsia" w:cs="Times New Roman"/>
                      <w:i w:val="0"/>
                      <w:iCs w:val="0"/>
                      <w:smallCaps w:val="0"/>
                      <w:color w:val="0000FF"/>
                      <w:sz w:val="18"/>
                      <w:szCs w:val="18"/>
                      <w:highlight w:val="none"/>
                      <w:u w:val="single"/>
                      <w:lang w:val="en-US" w:eastAsia="zh-CN"/>
                    </w:rPr>
                    <w:t>生产车间</w:t>
                  </w:r>
                </w:p>
              </w:tc>
              <w:tc>
                <w:tcPr>
                  <w:tcW w:w="531" w:type="pct"/>
                  <w:tcBorders>
                    <w:tl2br w:val="nil"/>
                    <w:tr2bl w:val="nil"/>
                  </w:tcBorders>
                  <w:noWrap w:val="0"/>
                  <w:vAlign w:val="center"/>
                </w:tcPr>
                <w:p w14:paraId="1DCCCFAB">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宋体" w:cs="Times New Roman"/>
                      <w:color w:val="0000FF"/>
                      <w:w w:val="100"/>
                      <w:kern w:val="2"/>
                      <w:sz w:val="18"/>
                      <w:szCs w:val="18"/>
                      <w:highlight w:val="none"/>
                      <w:u w:val="single"/>
                      <w:lang w:val="en-US" w:eastAsia="zh-CN" w:bidi="ar-SA"/>
                    </w:rPr>
                  </w:pPr>
                  <w:r>
                    <w:rPr>
                      <w:rFonts w:hint="eastAsia" w:cs="Times New Roman"/>
                      <w:color w:val="0000FF"/>
                      <w:w w:val="100"/>
                      <w:kern w:val="2"/>
                      <w:sz w:val="18"/>
                      <w:szCs w:val="18"/>
                      <w:highlight w:val="none"/>
                      <w:u w:val="single"/>
                      <w:lang w:val="en-US" w:eastAsia="zh-CN" w:bidi="ar-SA"/>
                    </w:rPr>
                    <w:t>53.9</w:t>
                  </w:r>
                </w:p>
              </w:tc>
              <w:tc>
                <w:tcPr>
                  <w:tcW w:w="493" w:type="pct"/>
                  <w:tcBorders>
                    <w:tl2br w:val="nil"/>
                    <w:tr2bl w:val="nil"/>
                  </w:tcBorders>
                  <w:noWrap w:val="0"/>
                  <w:vAlign w:val="center"/>
                </w:tcPr>
                <w:p w14:paraId="495CA9C1">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宋体" w:cs="Times New Roman"/>
                      <w:color w:val="0000FF"/>
                      <w:w w:val="100"/>
                      <w:kern w:val="2"/>
                      <w:sz w:val="18"/>
                      <w:szCs w:val="18"/>
                      <w:highlight w:val="none"/>
                      <w:u w:val="single"/>
                      <w:lang w:val="en-US" w:eastAsia="zh-CN" w:bidi="ar-SA"/>
                    </w:rPr>
                  </w:pPr>
                  <w:r>
                    <w:rPr>
                      <w:rFonts w:hint="eastAsia" w:cs="Times New Roman"/>
                      <w:color w:val="0000FF"/>
                      <w:w w:val="100"/>
                      <w:kern w:val="2"/>
                      <w:sz w:val="18"/>
                      <w:szCs w:val="18"/>
                      <w:highlight w:val="none"/>
                      <w:u w:val="single"/>
                      <w:lang w:val="en-US" w:eastAsia="zh-CN" w:bidi="ar-SA"/>
                    </w:rPr>
                    <w:t>53.9</w:t>
                  </w:r>
                </w:p>
              </w:tc>
              <w:tc>
                <w:tcPr>
                  <w:tcW w:w="564" w:type="pct"/>
                  <w:tcBorders>
                    <w:tl2br w:val="nil"/>
                    <w:tr2bl w:val="nil"/>
                  </w:tcBorders>
                  <w:noWrap w:val="0"/>
                  <w:vAlign w:val="center"/>
                </w:tcPr>
                <w:p w14:paraId="39AB949B">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宋体" w:cs="Times New Roman"/>
                      <w:color w:val="0000FF"/>
                      <w:w w:val="100"/>
                      <w:kern w:val="2"/>
                      <w:sz w:val="18"/>
                      <w:szCs w:val="18"/>
                      <w:highlight w:val="none"/>
                      <w:u w:val="single"/>
                      <w:lang w:val="en-US" w:eastAsia="zh-CN" w:bidi="ar-SA"/>
                    </w:rPr>
                  </w:pPr>
                  <w:r>
                    <w:rPr>
                      <w:rFonts w:hint="eastAsia" w:cs="Times New Roman"/>
                      <w:color w:val="0000FF"/>
                      <w:w w:val="100"/>
                      <w:kern w:val="2"/>
                      <w:sz w:val="18"/>
                      <w:szCs w:val="18"/>
                      <w:highlight w:val="none"/>
                      <w:u w:val="single"/>
                      <w:lang w:val="en-US" w:eastAsia="zh-CN" w:bidi="ar-SA"/>
                    </w:rPr>
                    <w:t>37.6</w:t>
                  </w:r>
                </w:p>
              </w:tc>
              <w:tc>
                <w:tcPr>
                  <w:tcW w:w="537" w:type="pct"/>
                  <w:tcBorders>
                    <w:tl2br w:val="nil"/>
                    <w:tr2bl w:val="nil"/>
                  </w:tcBorders>
                  <w:noWrap w:val="0"/>
                  <w:vAlign w:val="center"/>
                </w:tcPr>
                <w:p w14:paraId="204DAEC1">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宋体" w:cs="Times New Roman"/>
                      <w:color w:val="0000FF"/>
                      <w:w w:val="100"/>
                      <w:kern w:val="2"/>
                      <w:sz w:val="18"/>
                      <w:szCs w:val="18"/>
                      <w:highlight w:val="none"/>
                      <w:u w:val="single"/>
                      <w:lang w:val="en-US" w:eastAsia="zh-CN" w:bidi="ar-SA"/>
                    </w:rPr>
                  </w:pPr>
                  <w:r>
                    <w:rPr>
                      <w:rFonts w:hint="eastAsia" w:cs="Times New Roman"/>
                      <w:color w:val="0000FF"/>
                      <w:w w:val="100"/>
                      <w:kern w:val="2"/>
                      <w:sz w:val="18"/>
                      <w:szCs w:val="18"/>
                      <w:highlight w:val="none"/>
                      <w:u w:val="single"/>
                      <w:lang w:val="en-US" w:eastAsia="zh-CN" w:bidi="ar-SA"/>
                    </w:rPr>
                    <w:t>37.6</w:t>
                  </w:r>
                </w:p>
              </w:tc>
              <w:tc>
                <w:tcPr>
                  <w:tcW w:w="537" w:type="pct"/>
                  <w:tcBorders>
                    <w:tl2br w:val="nil"/>
                    <w:tr2bl w:val="nil"/>
                  </w:tcBorders>
                  <w:shd w:val="clear" w:color="auto" w:fill="auto"/>
                  <w:noWrap w:val="0"/>
                  <w:vAlign w:val="center"/>
                </w:tcPr>
                <w:p w14:paraId="110611FD">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宋体" w:cs="Times New Roman"/>
                      <w:color w:val="0000FF"/>
                      <w:w w:val="100"/>
                      <w:kern w:val="2"/>
                      <w:sz w:val="18"/>
                      <w:szCs w:val="18"/>
                      <w:highlight w:val="none"/>
                      <w:u w:val="single"/>
                      <w:lang w:val="en-US" w:eastAsia="zh-CN" w:bidi="ar-SA"/>
                    </w:rPr>
                  </w:pPr>
                  <w:r>
                    <w:rPr>
                      <w:rFonts w:hint="eastAsia" w:cs="Times New Roman"/>
                      <w:color w:val="0000FF"/>
                      <w:w w:val="100"/>
                      <w:kern w:val="2"/>
                      <w:sz w:val="18"/>
                      <w:szCs w:val="18"/>
                      <w:highlight w:val="none"/>
                      <w:u w:val="single"/>
                      <w:lang w:val="en-US" w:eastAsia="zh-CN" w:bidi="ar-SA"/>
                    </w:rPr>
                    <w:t>527</w:t>
                  </w:r>
                </w:p>
              </w:tc>
              <w:tc>
                <w:tcPr>
                  <w:tcW w:w="514" w:type="pct"/>
                  <w:tcBorders>
                    <w:tl2br w:val="nil"/>
                    <w:tr2bl w:val="nil"/>
                  </w:tcBorders>
                  <w:shd w:val="clear" w:color="auto" w:fill="auto"/>
                  <w:noWrap w:val="0"/>
                  <w:vAlign w:val="center"/>
                </w:tcPr>
                <w:p w14:paraId="21CDD66B">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eastAsia" w:ascii="Times New Roman" w:hAnsi="Times New Roman" w:eastAsia="宋体" w:cs="Times New Roman"/>
                      <w:color w:val="0000FF"/>
                      <w:w w:val="100"/>
                      <w:kern w:val="2"/>
                      <w:sz w:val="18"/>
                      <w:szCs w:val="18"/>
                      <w:highlight w:val="none"/>
                      <w:u w:val="single"/>
                      <w:lang w:val="en-US" w:eastAsia="zh-CN" w:bidi="ar-SA"/>
                    </w:rPr>
                  </w:pPr>
                  <w:r>
                    <w:rPr>
                      <w:rFonts w:hint="eastAsia" w:cs="Times New Roman"/>
                      <w:color w:val="0000FF"/>
                      <w:w w:val="100"/>
                      <w:kern w:val="2"/>
                      <w:sz w:val="18"/>
                      <w:szCs w:val="18"/>
                      <w:highlight w:val="none"/>
                      <w:u w:val="single"/>
                      <w:lang w:val="en-US" w:eastAsia="zh-CN" w:bidi="ar-SA"/>
                    </w:rPr>
                    <w:t>52.7</w:t>
                  </w:r>
                </w:p>
              </w:tc>
              <w:tc>
                <w:tcPr>
                  <w:tcW w:w="514" w:type="pct"/>
                  <w:tcBorders>
                    <w:tl2br w:val="nil"/>
                    <w:tr2bl w:val="nil"/>
                  </w:tcBorders>
                  <w:noWrap w:val="0"/>
                  <w:vAlign w:val="center"/>
                </w:tcPr>
                <w:p w14:paraId="11EE0AC6">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宋体" w:cs="Times New Roman"/>
                      <w:color w:val="0000FF"/>
                      <w:w w:val="100"/>
                      <w:kern w:val="2"/>
                      <w:sz w:val="18"/>
                      <w:szCs w:val="18"/>
                      <w:highlight w:val="none"/>
                      <w:u w:val="single"/>
                      <w:lang w:val="en-US" w:eastAsia="zh-CN" w:bidi="ar-SA"/>
                    </w:rPr>
                  </w:pPr>
                  <w:r>
                    <w:rPr>
                      <w:rFonts w:hint="eastAsia" w:ascii="Times New Roman" w:hAnsi="Times New Roman" w:eastAsia="宋体" w:cs="Times New Roman"/>
                      <w:color w:val="0000FF"/>
                      <w:w w:val="100"/>
                      <w:kern w:val="2"/>
                      <w:sz w:val="18"/>
                      <w:szCs w:val="18"/>
                      <w:highlight w:val="none"/>
                      <w:u w:val="single"/>
                      <w:lang w:val="en-US" w:eastAsia="zh-CN" w:bidi="ar-SA"/>
                    </w:rPr>
                    <w:t>5</w:t>
                  </w:r>
                  <w:r>
                    <w:rPr>
                      <w:rFonts w:hint="eastAsia" w:cs="Times New Roman"/>
                      <w:color w:val="0000FF"/>
                      <w:w w:val="100"/>
                      <w:kern w:val="2"/>
                      <w:sz w:val="18"/>
                      <w:szCs w:val="18"/>
                      <w:highlight w:val="none"/>
                      <w:u w:val="single"/>
                      <w:lang w:val="en-US" w:eastAsia="zh-CN" w:bidi="ar-SA"/>
                    </w:rPr>
                    <w:t>4</w:t>
                  </w:r>
                  <w:r>
                    <w:rPr>
                      <w:rFonts w:hint="eastAsia" w:ascii="Times New Roman" w:hAnsi="Times New Roman" w:eastAsia="宋体" w:cs="Times New Roman"/>
                      <w:color w:val="0000FF"/>
                      <w:w w:val="100"/>
                      <w:kern w:val="2"/>
                      <w:sz w:val="18"/>
                      <w:szCs w:val="18"/>
                      <w:highlight w:val="none"/>
                      <w:u w:val="single"/>
                      <w:lang w:val="en-US" w:eastAsia="zh-CN" w:bidi="ar-SA"/>
                    </w:rPr>
                    <w:t>.3</w:t>
                  </w:r>
                </w:p>
              </w:tc>
              <w:tc>
                <w:tcPr>
                  <w:tcW w:w="516" w:type="pct"/>
                  <w:tcBorders>
                    <w:tl2br w:val="nil"/>
                    <w:tr2bl w:val="nil"/>
                  </w:tcBorders>
                  <w:noWrap w:val="0"/>
                  <w:vAlign w:val="center"/>
                </w:tcPr>
                <w:p w14:paraId="47A80E3F">
                  <w:pPr>
                    <w:keepNext w:val="0"/>
                    <w:keepLines w:val="0"/>
                    <w:pageBreakBefore w:val="0"/>
                    <w:widowControl/>
                    <w:suppressLineNumbers w:val="0"/>
                    <w:kinsoku/>
                    <w:wordWrap/>
                    <w:overflowPunct/>
                    <w:topLinePunct w:val="0"/>
                    <w:autoSpaceDE/>
                    <w:autoSpaceDN/>
                    <w:bidi w:val="0"/>
                    <w:adjustRightInd/>
                    <w:spacing w:line="260" w:lineRule="exact"/>
                    <w:jc w:val="center"/>
                    <w:textAlignment w:val="center"/>
                    <w:rPr>
                      <w:rFonts w:hint="default" w:ascii="Times New Roman" w:hAnsi="Times New Roman" w:eastAsia="宋体" w:cs="Times New Roman"/>
                      <w:color w:val="0000FF"/>
                      <w:w w:val="100"/>
                      <w:kern w:val="2"/>
                      <w:sz w:val="18"/>
                      <w:szCs w:val="18"/>
                      <w:highlight w:val="none"/>
                      <w:u w:val="single"/>
                      <w:lang w:val="en-US" w:eastAsia="zh-CN" w:bidi="ar-SA"/>
                    </w:rPr>
                  </w:pPr>
                  <w:r>
                    <w:rPr>
                      <w:rFonts w:hint="eastAsia" w:cs="Times New Roman"/>
                      <w:color w:val="0000FF"/>
                      <w:w w:val="100"/>
                      <w:kern w:val="2"/>
                      <w:sz w:val="18"/>
                      <w:szCs w:val="18"/>
                      <w:highlight w:val="none"/>
                      <w:u w:val="single"/>
                      <w:lang w:val="en-US" w:eastAsia="zh-CN" w:bidi="ar-SA"/>
                    </w:rPr>
                    <w:t>54.3</w:t>
                  </w:r>
                </w:p>
              </w:tc>
            </w:tr>
          </w:tbl>
          <w:p w14:paraId="0DE4F6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Ansi="宋体"/>
                <w:b/>
                <w:color w:val="auto"/>
                <w:sz w:val="21"/>
                <w:szCs w:val="21"/>
              </w:rPr>
            </w:pPr>
          </w:p>
          <w:p w14:paraId="17F4C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color w:val="auto"/>
                <w:sz w:val="21"/>
                <w:szCs w:val="21"/>
              </w:rPr>
            </w:pPr>
            <w:r>
              <w:rPr>
                <w:rFonts w:hAnsi="宋体"/>
                <w:b/>
                <w:color w:val="auto"/>
                <w:sz w:val="21"/>
                <w:szCs w:val="21"/>
              </w:rPr>
              <w:t>表</w:t>
            </w:r>
            <w:r>
              <w:rPr>
                <w:rFonts w:hint="eastAsia" w:hAnsi="宋体"/>
                <w:b/>
                <w:color w:val="auto"/>
                <w:sz w:val="21"/>
                <w:szCs w:val="21"/>
                <w:lang w:val="en-US" w:eastAsia="zh-CN"/>
              </w:rPr>
              <w:t xml:space="preserve">4-8 </w:t>
            </w:r>
            <w:r>
              <w:rPr>
                <w:b/>
                <w:color w:val="auto"/>
                <w:sz w:val="21"/>
                <w:szCs w:val="21"/>
              </w:rPr>
              <w:t xml:space="preserve">  </w:t>
            </w:r>
            <w:r>
              <w:rPr>
                <w:rFonts w:hAnsi="宋体"/>
                <w:b/>
                <w:color w:val="auto"/>
                <w:sz w:val="21"/>
                <w:szCs w:val="21"/>
              </w:rPr>
              <w:t>项目</w:t>
            </w:r>
            <w:r>
              <w:rPr>
                <w:rFonts w:hint="eastAsia" w:hAnsi="宋体"/>
                <w:b/>
                <w:color w:val="auto"/>
                <w:sz w:val="21"/>
                <w:szCs w:val="21"/>
              </w:rPr>
              <w:t>噪声污染源强核算结果及相关参数一览表</w:t>
            </w:r>
            <w:r>
              <w:rPr>
                <w:rFonts w:hAnsi="宋体"/>
                <w:b/>
                <w:color w:val="auto"/>
                <w:sz w:val="21"/>
                <w:szCs w:val="21"/>
              </w:rPr>
              <w:t>情况</w:t>
            </w:r>
          </w:p>
          <w:tbl>
            <w:tblPr>
              <w:tblStyle w:val="23"/>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3"/>
              <w:gridCol w:w="390"/>
              <w:gridCol w:w="580"/>
              <w:gridCol w:w="726"/>
              <w:gridCol w:w="601"/>
              <w:gridCol w:w="741"/>
              <w:gridCol w:w="1001"/>
              <w:gridCol w:w="709"/>
              <w:gridCol w:w="1048"/>
              <w:gridCol w:w="744"/>
              <w:gridCol w:w="851"/>
              <w:gridCol w:w="455"/>
            </w:tblGrid>
            <w:tr w14:paraId="25C7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4" w:type="pct"/>
                  <w:vMerge w:val="restart"/>
                  <w:tcBorders>
                    <w:tl2br w:val="nil"/>
                    <w:tr2bl w:val="nil"/>
                  </w:tcBorders>
                  <w:noWrap w:val="0"/>
                  <w:vAlign w:val="center"/>
                </w:tcPr>
                <w:p w14:paraId="5AB800B9">
                  <w:pPr>
                    <w:spacing w:line="320" w:lineRule="exact"/>
                    <w:jc w:val="center"/>
                    <w:rPr>
                      <w:rFonts w:hint="eastAsia"/>
                      <w:b w:val="0"/>
                      <w:bCs/>
                      <w:color w:val="auto"/>
                      <w:sz w:val="18"/>
                      <w:szCs w:val="18"/>
                      <w:lang w:val="en-US" w:eastAsia="zh-CN"/>
                    </w:rPr>
                  </w:pPr>
                  <w:r>
                    <w:rPr>
                      <w:rFonts w:hint="eastAsia"/>
                      <w:b w:val="0"/>
                      <w:bCs/>
                      <w:color w:val="auto"/>
                      <w:sz w:val="18"/>
                      <w:szCs w:val="18"/>
                      <w:lang w:val="en-US" w:eastAsia="zh-CN"/>
                    </w:rPr>
                    <w:t>项</w:t>
                  </w:r>
                </w:p>
                <w:p w14:paraId="798340D2">
                  <w:pPr>
                    <w:spacing w:line="320" w:lineRule="exact"/>
                    <w:jc w:val="center"/>
                    <w:rPr>
                      <w:rFonts w:hint="eastAsia"/>
                      <w:b w:val="0"/>
                      <w:bCs/>
                      <w:color w:val="auto"/>
                      <w:sz w:val="18"/>
                      <w:szCs w:val="18"/>
                    </w:rPr>
                  </w:pPr>
                  <w:r>
                    <w:rPr>
                      <w:rFonts w:hint="eastAsia"/>
                      <w:b w:val="0"/>
                      <w:bCs/>
                      <w:color w:val="auto"/>
                      <w:sz w:val="18"/>
                      <w:szCs w:val="18"/>
                      <w:lang w:val="en-US" w:eastAsia="zh-CN"/>
                    </w:rPr>
                    <w:t>目</w:t>
                  </w:r>
                </w:p>
              </w:tc>
              <w:tc>
                <w:tcPr>
                  <w:tcW w:w="234" w:type="pct"/>
                  <w:vMerge w:val="restart"/>
                  <w:tcBorders>
                    <w:tl2br w:val="nil"/>
                    <w:tr2bl w:val="nil"/>
                  </w:tcBorders>
                  <w:noWrap w:val="0"/>
                  <w:vAlign w:val="center"/>
                </w:tcPr>
                <w:p w14:paraId="3F323507">
                  <w:pPr>
                    <w:spacing w:line="320" w:lineRule="exact"/>
                    <w:jc w:val="center"/>
                    <w:rPr>
                      <w:rFonts w:hint="eastAsia"/>
                      <w:b w:val="0"/>
                      <w:bCs/>
                      <w:color w:val="auto"/>
                      <w:sz w:val="18"/>
                      <w:szCs w:val="18"/>
                    </w:rPr>
                  </w:pPr>
                  <w:r>
                    <w:rPr>
                      <w:rFonts w:hint="eastAsia"/>
                      <w:b w:val="0"/>
                      <w:bCs/>
                      <w:color w:val="auto"/>
                      <w:sz w:val="18"/>
                      <w:szCs w:val="18"/>
                    </w:rPr>
                    <w:t>装置</w:t>
                  </w:r>
                </w:p>
              </w:tc>
              <w:tc>
                <w:tcPr>
                  <w:tcW w:w="348" w:type="pct"/>
                  <w:vMerge w:val="restart"/>
                  <w:tcBorders>
                    <w:tl2br w:val="nil"/>
                    <w:tr2bl w:val="nil"/>
                  </w:tcBorders>
                  <w:noWrap w:val="0"/>
                  <w:vAlign w:val="center"/>
                </w:tcPr>
                <w:p w14:paraId="39F71EFE">
                  <w:pPr>
                    <w:spacing w:line="320" w:lineRule="exact"/>
                    <w:jc w:val="center"/>
                    <w:rPr>
                      <w:rFonts w:hint="eastAsia"/>
                      <w:b w:val="0"/>
                      <w:bCs/>
                      <w:color w:val="auto"/>
                      <w:sz w:val="18"/>
                      <w:szCs w:val="18"/>
                    </w:rPr>
                  </w:pPr>
                  <w:r>
                    <w:rPr>
                      <w:rFonts w:hint="eastAsia"/>
                      <w:b w:val="0"/>
                      <w:bCs/>
                      <w:color w:val="auto"/>
                      <w:sz w:val="18"/>
                      <w:szCs w:val="18"/>
                    </w:rPr>
                    <w:t>噪声源</w:t>
                  </w:r>
                </w:p>
              </w:tc>
              <w:tc>
                <w:tcPr>
                  <w:tcW w:w="436" w:type="pct"/>
                  <w:vMerge w:val="restart"/>
                  <w:tcBorders>
                    <w:tl2br w:val="nil"/>
                    <w:tr2bl w:val="nil"/>
                  </w:tcBorders>
                  <w:noWrap w:val="0"/>
                  <w:vAlign w:val="center"/>
                </w:tcPr>
                <w:p w14:paraId="0144175C">
                  <w:pPr>
                    <w:spacing w:line="320" w:lineRule="exact"/>
                    <w:jc w:val="center"/>
                    <w:rPr>
                      <w:rFonts w:hint="eastAsia"/>
                      <w:b w:val="0"/>
                      <w:bCs/>
                      <w:color w:val="auto"/>
                      <w:sz w:val="18"/>
                      <w:szCs w:val="18"/>
                    </w:rPr>
                  </w:pPr>
                  <w:r>
                    <w:rPr>
                      <w:rFonts w:hint="eastAsia"/>
                      <w:b w:val="0"/>
                      <w:bCs/>
                      <w:color w:val="auto"/>
                      <w:sz w:val="18"/>
                      <w:szCs w:val="18"/>
                    </w:rPr>
                    <w:t>声源类型（频发、偶发等）</w:t>
                  </w:r>
                </w:p>
              </w:tc>
              <w:tc>
                <w:tcPr>
                  <w:tcW w:w="806" w:type="pct"/>
                  <w:gridSpan w:val="2"/>
                  <w:tcBorders>
                    <w:tl2br w:val="nil"/>
                    <w:tr2bl w:val="nil"/>
                  </w:tcBorders>
                  <w:noWrap w:val="0"/>
                  <w:vAlign w:val="center"/>
                </w:tcPr>
                <w:p w14:paraId="5CAD07A3">
                  <w:pPr>
                    <w:spacing w:line="320" w:lineRule="exact"/>
                    <w:jc w:val="center"/>
                    <w:rPr>
                      <w:rFonts w:hint="eastAsia"/>
                      <w:b w:val="0"/>
                      <w:bCs/>
                      <w:color w:val="auto"/>
                      <w:sz w:val="18"/>
                      <w:szCs w:val="18"/>
                    </w:rPr>
                  </w:pPr>
                  <w:r>
                    <w:rPr>
                      <w:rFonts w:hint="eastAsia"/>
                      <w:b w:val="0"/>
                      <w:bCs/>
                      <w:color w:val="auto"/>
                      <w:sz w:val="18"/>
                      <w:szCs w:val="18"/>
                    </w:rPr>
                    <w:t>噪声源强</w:t>
                  </w:r>
                </w:p>
              </w:tc>
              <w:tc>
                <w:tcPr>
                  <w:tcW w:w="1027" w:type="pct"/>
                  <w:gridSpan w:val="2"/>
                  <w:tcBorders>
                    <w:tl2br w:val="nil"/>
                    <w:tr2bl w:val="nil"/>
                  </w:tcBorders>
                  <w:noWrap w:val="0"/>
                  <w:vAlign w:val="center"/>
                </w:tcPr>
                <w:p w14:paraId="370E4C83">
                  <w:pPr>
                    <w:spacing w:line="320" w:lineRule="exact"/>
                    <w:jc w:val="center"/>
                    <w:rPr>
                      <w:rFonts w:hint="eastAsia"/>
                      <w:b w:val="0"/>
                      <w:bCs/>
                      <w:color w:val="auto"/>
                      <w:sz w:val="18"/>
                      <w:szCs w:val="18"/>
                    </w:rPr>
                  </w:pPr>
                  <w:r>
                    <w:rPr>
                      <w:rFonts w:hint="eastAsia"/>
                      <w:b w:val="0"/>
                      <w:bCs/>
                      <w:color w:val="auto"/>
                      <w:sz w:val="18"/>
                      <w:szCs w:val="18"/>
                    </w:rPr>
                    <w:t>降噪措施</w:t>
                  </w:r>
                </w:p>
              </w:tc>
              <w:tc>
                <w:tcPr>
                  <w:tcW w:w="1587" w:type="pct"/>
                  <w:gridSpan w:val="3"/>
                  <w:tcBorders>
                    <w:tl2br w:val="nil"/>
                    <w:tr2bl w:val="nil"/>
                  </w:tcBorders>
                  <w:noWrap w:val="0"/>
                  <w:vAlign w:val="center"/>
                </w:tcPr>
                <w:p w14:paraId="3EF00FBB">
                  <w:pPr>
                    <w:spacing w:line="320" w:lineRule="exact"/>
                    <w:jc w:val="center"/>
                    <w:rPr>
                      <w:rFonts w:hint="eastAsia"/>
                      <w:b w:val="0"/>
                      <w:bCs/>
                      <w:color w:val="auto"/>
                      <w:sz w:val="18"/>
                      <w:szCs w:val="18"/>
                    </w:rPr>
                  </w:pPr>
                  <w:r>
                    <w:rPr>
                      <w:rFonts w:hint="eastAsia"/>
                      <w:b w:val="0"/>
                      <w:bCs/>
                      <w:color w:val="auto"/>
                      <w:sz w:val="18"/>
                      <w:szCs w:val="18"/>
                    </w:rPr>
                    <w:t>噪声排放值</w:t>
                  </w:r>
                </w:p>
              </w:tc>
              <w:tc>
                <w:tcPr>
                  <w:tcW w:w="273" w:type="pct"/>
                  <w:vMerge w:val="restart"/>
                  <w:tcBorders>
                    <w:tl2br w:val="nil"/>
                    <w:tr2bl w:val="nil"/>
                  </w:tcBorders>
                  <w:noWrap w:val="0"/>
                  <w:vAlign w:val="center"/>
                </w:tcPr>
                <w:p w14:paraId="5E623228">
                  <w:pPr>
                    <w:spacing w:line="320" w:lineRule="exact"/>
                    <w:jc w:val="center"/>
                    <w:rPr>
                      <w:rFonts w:hint="eastAsia"/>
                      <w:b w:val="0"/>
                      <w:bCs/>
                      <w:color w:val="auto"/>
                      <w:sz w:val="18"/>
                      <w:szCs w:val="18"/>
                    </w:rPr>
                  </w:pPr>
                  <w:r>
                    <w:rPr>
                      <w:rFonts w:hint="eastAsia"/>
                      <w:b w:val="0"/>
                      <w:bCs/>
                      <w:color w:val="auto"/>
                      <w:sz w:val="18"/>
                      <w:szCs w:val="18"/>
                    </w:rPr>
                    <w:t>持续时间/h</w:t>
                  </w:r>
                </w:p>
              </w:tc>
            </w:tr>
            <w:tr w14:paraId="19E0C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4" w:type="pct"/>
                  <w:vMerge w:val="continue"/>
                  <w:tcBorders>
                    <w:tl2br w:val="nil"/>
                    <w:tr2bl w:val="nil"/>
                  </w:tcBorders>
                  <w:noWrap w:val="0"/>
                  <w:vAlign w:val="center"/>
                </w:tcPr>
                <w:p w14:paraId="1B5C0408">
                  <w:pPr>
                    <w:spacing w:line="320" w:lineRule="exact"/>
                    <w:jc w:val="center"/>
                    <w:rPr>
                      <w:rFonts w:hint="eastAsia"/>
                      <w:b w:val="0"/>
                      <w:bCs/>
                      <w:color w:val="auto"/>
                      <w:sz w:val="18"/>
                      <w:szCs w:val="18"/>
                    </w:rPr>
                  </w:pPr>
                </w:p>
              </w:tc>
              <w:tc>
                <w:tcPr>
                  <w:tcW w:w="234" w:type="pct"/>
                  <w:vMerge w:val="continue"/>
                  <w:tcBorders>
                    <w:tl2br w:val="nil"/>
                    <w:tr2bl w:val="nil"/>
                  </w:tcBorders>
                  <w:noWrap w:val="0"/>
                  <w:vAlign w:val="center"/>
                </w:tcPr>
                <w:p w14:paraId="60EE26C1">
                  <w:pPr>
                    <w:spacing w:line="320" w:lineRule="exact"/>
                    <w:jc w:val="center"/>
                    <w:rPr>
                      <w:rFonts w:hint="eastAsia"/>
                      <w:b w:val="0"/>
                      <w:bCs/>
                      <w:color w:val="auto"/>
                      <w:sz w:val="18"/>
                      <w:szCs w:val="18"/>
                    </w:rPr>
                  </w:pPr>
                </w:p>
              </w:tc>
              <w:tc>
                <w:tcPr>
                  <w:tcW w:w="348" w:type="pct"/>
                  <w:vMerge w:val="continue"/>
                  <w:tcBorders>
                    <w:tl2br w:val="nil"/>
                    <w:tr2bl w:val="nil"/>
                  </w:tcBorders>
                  <w:noWrap w:val="0"/>
                  <w:vAlign w:val="center"/>
                </w:tcPr>
                <w:p w14:paraId="0B390E07">
                  <w:pPr>
                    <w:spacing w:line="320" w:lineRule="exact"/>
                    <w:jc w:val="center"/>
                    <w:rPr>
                      <w:rFonts w:hint="eastAsia"/>
                      <w:b w:val="0"/>
                      <w:bCs/>
                      <w:color w:val="auto"/>
                      <w:sz w:val="18"/>
                      <w:szCs w:val="18"/>
                    </w:rPr>
                  </w:pPr>
                </w:p>
              </w:tc>
              <w:tc>
                <w:tcPr>
                  <w:tcW w:w="436" w:type="pct"/>
                  <w:vMerge w:val="continue"/>
                  <w:tcBorders>
                    <w:tl2br w:val="nil"/>
                    <w:tr2bl w:val="nil"/>
                  </w:tcBorders>
                  <w:noWrap w:val="0"/>
                  <w:vAlign w:val="center"/>
                </w:tcPr>
                <w:p w14:paraId="206C13FB">
                  <w:pPr>
                    <w:spacing w:line="320" w:lineRule="exact"/>
                    <w:jc w:val="center"/>
                    <w:rPr>
                      <w:rFonts w:hint="eastAsia"/>
                      <w:b w:val="0"/>
                      <w:bCs/>
                      <w:color w:val="auto"/>
                      <w:sz w:val="18"/>
                      <w:szCs w:val="18"/>
                    </w:rPr>
                  </w:pPr>
                </w:p>
              </w:tc>
              <w:tc>
                <w:tcPr>
                  <w:tcW w:w="361" w:type="pct"/>
                  <w:tcBorders>
                    <w:tl2br w:val="nil"/>
                    <w:tr2bl w:val="nil"/>
                  </w:tcBorders>
                  <w:noWrap w:val="0"/>
                  <w:vAlign w:val="center"/>
                </w:tcPr>
                <w:p w14:paraId="6BCA34E6">
                  <w:pPr>
                    <w:spacing w:line="320" w:lineRule="exact"/>
                    <w:jc w:val="center"/>
                    <w:rPr>
                      <w:rFonts w:hint="eastAsia"/>
                      <w:b w:val="0"/>
                      <w:bCs/>
                      <w:color w:val="auto"/>
                      <w:sz w:val="18"/>
                      <w:szCs w:val="18"/>
                    </w:rPr>
                  </w:pPr>
                  <w:r>
                    <w:rPr>
                      <w:rFonts w:hint="eastAsia"/>
                      <w:b w:val="0"/>
                      <w:bCs/>
                      <w:color w:val="auto"/>
                      <w:sz w:val="18"/>
                      <w:szCs w:val="18"/>
                    </w:rPr>
                    <w:t>核算方法</w:t>
                  </w:r>
                </w:p>
              </w:tc>
              <w:tc>
                <w:tcPr>
                  <w:tcW w:w="445" w:type="pct"/>
                  <w:tcBorders>
                    <w:tl2br w:val="nil"/>
                    <w:tr2bl w:val="nil"/>
                  </w:tcBorders>
                  <w:noWrap w:val="0"/>
                  <w:vAlign w:val="center"/>
                </w:tcPr>
                <w:p w14:paraId="729F179A">
                  <w:pPr>
                    <w:spacing w:line="320" w:lineRule="exact"/>
                    <w:jc w:val="center"/>
                    <w:rPr>
                      <w:rFonts w:hint="eastAsia"/>
                      <w:b w:val="0"/>
                      <w:bCs/>
                      <w:color w:val="auto"/>
                      <w:sz w:val="18"/>
                      <w:szCs w:val="18"/>
                    </w:rPr>
                  </w:pPr>
                  <w:r>
                    <w:rPr>
                      <w:rFonts w:hint="eastAsia"/>
                      <w:b w:val="0"/>
                      <w:bCs/>
                      <w:color w:val="auto"/>
                      <w:sz w:val="18"/>
                      <w:szCs w:val="18"/>
                    </w:rPr>
                    <w:t>噪声值dB(A)</w:t>
                  </w:r>
                </w:p>
              </w:tc>
              <w:tc>
                <w:tcPr>
                  <w:tcW w:w="601" w:type="pct"/>
                  <w:tcBorders>
                    <w:tl2br w:val="nil"/>
                    <w:tr2bl w:val="nil"/>
                  </w:tcBorders>
                  <w:noWrap w:val="0"/>
                  <w:vAlign w:val="center"/>
                </w:tcPr>
                <w:p w14:paraId="167E42CB">
                  <w:pPr>
                    <w:spacing w:line="320" w:lineRule="exact"/>
                    <w:jc w:val="center"/>
                    <w:rPr>
                      <w:rFonts w:hint="eastAsia"/>
                      <w:b w:val="0"/>
                      <w:bCs/>
                      <w:color w:val="auto"/>
                      <w:sz w:val="18"/>
                      <w:szCs w:val="18"/>
                    </w:rPr>
                  </w:pPr>
                  <w:r>
                    <w:rPr>
                      <w:rFonts w:hint="eastAsia"/>
                      <w:b w:val="0"/>
                      <w:bCs/>
                      <w:color w:val="auto"/>
                      <w:sz w:val="18"/>
                      <w:szCs w:val="18"/>
                    </w:rPr>
                    <w:t>工艺</w:t>
                  </w:r>
                </w:p>
              </w:tc>
              <w:tc>
                <w:tcPr>
                  <w:tcW w:w="425" w:type="pct"/>
                  <w:tcBorders>
                    <w:tl2br w:val="nil"/>
                    <w:tr2bl w:val="nil"/>
                  </w:tcBorders>
                  <w:noWrap w:val="0"/>
                  <w:vAlign w:val="center"/>
                </w:tcPr>
                <w:p w14:paraId="4DA06E48">
                  <w:pPr>
                    <w:spacing w:line="320" w:lineRule="exact"/>
                    <w:jc w:val="center"/>
                    <w:rPr>
                      <w:rFonts w:hint="eastAsia"/>
                      <w:b w:val="0"/>
                      <w:bCs/>
                      <w:color w:val="auto"/>
                      <w:sz w:val="18"/>
                      <w:szCs w:val="18"/>
                    </w:rPr>
                  </w:pPr>
                  <w:r>
                    <w:rPr>
                      <w:rFonts w:hint="eastAsia"/>
                      <w:b w:val="0"/>
                      <w:bCs/>
                      <w:color w:val="auto"/>
                      <w:sz w:val="18"/>
                      <w:szCs w:val="18"/>
                    </w:rPr>
                    <w:t>降噪效果dB(A)</w:t>
                  </w:r>
                </w:p>
              </w:tc>
              <w:tc>
                <w:tcPr>
                  <w:tcW w:w="629" w:type="pct"/>
                  <w:tcBorders>
                    <w:tl2br w:val="nil"/>
                    <w:tr2bl w:val="nil"/>
                  </w:tcBorders>
                  <w:noWrap w:val="0"/>
                  <w:vAlign w:val="center"/>
                </w:tcPr>
                <w:p w14:paraId="105952EF">
                  <w:pPr>
                    <w:spacing w:line="320" w:lineRule="exact"/>
                    <w:jc w:val="center"/>
                    <w:rPr>
                      <w:rFonts w:hint="eastAsia"/>
                      <w:b w:val="0"/>
                      <w:bCs/>
                      <w:color w:val="auto"/>
                      <w:sz w:val="18"/>
                      <w:szCs w:val="18"/>
                    </w:rPr>
                  </w:pPr>
                  <w:r>
                    <w:rPr>
                      <w:rFonts w:hint="eastAsia"/>
                      <w:b w:val="0"/>
                      <w:bCs/>
                      <w:color w:val="auto"/>
                      <w:sz w:val="18"/>
                      <w:szCs w:val="18"/>
                    </w:rPr>
                    <w:t>核算方法</w:t>
                  </w:r>
                </w:p>
              </w:tc>
              <w:tc>
                <w:tcPr>
                  <w:tcW w:w="447" w:type="pct"/>
                  <w:tcBorders>
                    <w:tl2br w:val="nil"/>
                    <w:tr2bl w:val="nil"/>
                  </w:tcBorders>
                  <w:noWrap w:val="0"/>
                  <w:vAlign w:val="center"/>
                </w:tcPr>
                <w:p w14:paraId="18663AD5">
                  <w:pPr>
                    <w:spacing w:line="320" w:lineRule="exact"/>
                    <w:jc w:val="center"/>
                    <w:rPr>
                      <w:rFonts w:hint="eastAsia"/>
                      <w:b w:val="0"/>
                      <w:bCs/>
                      <w:color w:val="auto"/>
                      <w:sz w:val="18"/>
                      <w:szCs w:val="18"/>
                    </w:rPr>
                  </w:pPr>
                  <w:r>
                    <w:rPr>
                      <w:rFonts w:hint="eastAsia"/>
                      <w:b w:val="0"/>
                      <w:bCs/>
                      <w:color w:val="auto"/>
                      <w:sz w:val="18"/>
                      <w:szCs w:val="18"/>
                      <w:lang w:val="en-US" w:eastAsia="zh-CN"/>
                    </w:rPr>
                    <w:t>昼间</w:t>
                  </w:r>
                  <w:r>
                    <w:rPr>
                      <w:rFonts w:hint="eastAsia"/>
                      <w:b w:val="0"/>
                      <w:bCs/>
                      <w:color w:val="auto"/>
                      <w:sz w:val="18"/>
                      <w:szCs w:val="18"/>
                    </w:rPr>
                    <w:t>噪声值</w:t>
                  </w:r>
                </w:p>
              </w:tc>
              <w:tc>
                <w:tcPr>
                  <w:tcW w:w="510" w:type="pct"/>
                  <w:tcBorders>
                    <w:tl2br w:val="nil"/>
                    <w:tr2bl w:val="nil"/>
                  </w:tcBorders>
                  <w:noWrap w:val="0"/>
                  <w:vAlign w:val="center"/>
                </w:tcPr>
                <w:p w14:paraId="547CD476">
                  <w:pPr>
                    <w:spacing w:line="320" w:lineRule="exact"/>
                    <w:jc w:val="center"/>
                    <w:rPr>
                      <w:rFonts w:hint="eastAsia"/>
                      <w:b w:val="0"/>
                      <w:bCs/>
                      <w:color w:val="auto"/>
                      <w:sz w:val="18"/>
                      <w:szCs w:val="18"/>
                    </w:rPr>
                  </w:pPr>
                  <w:r>
                    <w:rPr>
                      <w:rFonts w:hint="eastAsia"/>
                      <w:b w:val="0"/>
                      <w:bCs/>
                      <w:color w:val="auto"/>
                      <w:sz w:val="18"/>
                      <w:szCs w:val="18"/>
                      <w:lang w:val="en-US" w:eastAsia="zh-CN"/>
                    </w:rPr>
                    <w:t>夜间</w:t>
                  </w:r>
                  <w:r>
                    <w:rPr>
                      <w:rFonts w:hint="eastAsia"/>
                      <w:b w:val="0"/>
                      <w:bCs/>
                      <w:color w:val="auto"/>
                      <w:sz w:val="18"/>
                      <w:szCs w:val="18"/>
                    </w:rPr>
                    <w:t>噪声值</w:t>
                  </w:r>
                </w:p>
              </w:tc>
              <w:tc>
                <w:tcPr>
                  <w:tcW w:w="273" w:type="pct"/>
                  <w:vMerge w:val="continue"/>
                  <w:tcBorders>
                    <w:tl2br w:val="nil"/>
                    <w:tr2bl w:val="nil"/>
                  </w:tcBorders>
                  <w:noWrap w:val="0"/>
                  <w:vAlign w:val="center"/>
                </w:tcPr>
                <w:p w14:paraId="7B111B99">
                  <w:pPr>
                    <w:spacing w:line="320" w:lineRule="exact"/>
                    <w:jc w:val="center"/>
                    <w:rPr>
                      <w:rFonts w:hint="eastAsia"/>
                      <w:b w:val="0"/>
                      <w:bCs/>
                      <w:color w:val="auto"/>
                      <w:sz w:val="18"/>
                      <w:szCs w:val="18"/>
                    </w:rPr>
                  </w:pPr>
                </w:p>
              </w:tc>
            </w:tr>
            <w:tr w14:paraId="6FCBC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4" w:type="pct"/>
                  <w:tcBorders>
                    <w:tl2br w:val="nil"/>
                    <w:tr2bl w:val="nil"/>
                  </w:tcBorders>
                  <w:noWrap w:val="0"/>
                  <w:vAlign w:val="center"/>
                </w:tcPr>
                <w:p w14:paraId="0973DAA8">
                  <w:pPr>
                    <w:spacing w:line="320" w:lineRule="exact"/>
                    <w:jc w:val="center"/>
                    <w:rPr>
                      <w:rFonts w:hint="default" w:eastAsia="宋体"/>
                      <w:b w:val="0"/>
                      <w:bCs/>
                      <w:color w:val="auto"/>
                      <w:sz w:val="18"/>
                      <w:szCs w:val="18"/>
                      <w:lang w:val="en-US" w:eastAsia="zh-CN"/>
                    </w:rPr>
                  </w:pPr>
                  <w:r>
                    <w:rPr>
                      <w:rFonts w:hint="eastAsia"/>
                      <w:b w:val="0"/>
                      <w:bCs/>
                      <w:color w:val="auto"/>
                      <w:sz w:val="18"/>
                      <w:szCs w:val="18"/>
                      <w:lang w:val="en-US" w:eastAsia="zh-CN"/>
                    </w:rPr>
                    <w:t>全厂</w:t>
                  </w:r>
                </w:p>
              </w:tc>
              <w:tc>
                <w:tcPr>
                  <w:tcW w:w="234" w:type="pct"/>
                  <w:tcBorders>
                    <w:tl2br w:val="nil"/>
                    <w:tr2bl w:val="nil"/>
                  </w:tcBorders>
                  <w:noWrap w:val="0"/>
                  <w:vAlign w:val="center"/>
                </w:tcPr>
                <w:p w14:paraId="122FA3B4">
                  <w:pPr>
                    <w:spacing w:line="320" w:lineRule="exact"/>
                    <w:jc w:val="center"/>
                    <w:rPr>
                      <w:rFonts w:hint="eastAsia"/>
                      <w:b w:val="0"/>
                      <w:bCs/>
                      <w:color w:val="auto"/>
                      <w:sz w:val="18"/>
                      <w:szCs w:val="18"/>
                    </w:rPr>
                  </w:pPr>
                  <w:r>
                    <w:rPr>
                      <w:rFonts w:hint="eastAsia"/>
                      <w:b w:val="0"/>
                      <w:bCs/>
                      <w:color w:val="auto"/>
                      <w:sz w:val="18"/>
                      <w:szCs w:val="18"/>
                    </w:rPr>
                    <w:t>生产线</w:t>
                  </w:r>
                </w:p>
              </w:tc>
              <w:tc>
                <w:tcPr>
                  <w:tcW w:w="348" w:type="pct"/>
                  <w:tcBorders>
                    <w:tl2br w:val="nil"/>
                    <w:tr2bl w:val="nil"/>
                  </w:tcBorders>
                  <w:noWrap w:val="0"/>
                  <w:vAlign w:val="center"/>
                </w:tcPr>
                <w:p w14:paraId="19057509">
                  <w:pPr>
                    <w:widowControl/>
                    <w:adjustRightInd w:val="0"/>
                    <w:spacing w:line="320" w:lineRule="exact"/>
                    <w:jc w:val="center"/>
                    <w:rPr>
                      <w:rFonts w:hint="default" w:eastAsia="宋体"/>
                      <w:b w:val="0"/>
                      <w:bCs/>
                      <w:color w:val="auto"/>
                      <w:kern w:val="0"/>
                      <w:sz w:val="18"/>
                      <w:szCs w:val="18"/>
                      <w:lang w:val="en-US" w:eastAsia="zh-CN"/>
                    </w:rPr>
                  </w:pPr>
                  <w:r>
                    <w:rPr>
                      <w:rFonts w:hint="eastAsia"/>
                      <w:b w:val="0"/>
                      <w:bCs/>
                      <w:color w:val="auto"/>
                      <w:kern w:val="0"/>
                      <w:sz w:val="18"/>
                      <w:szCs w:val="18"/>
                      <w:lang w:val="en-US" w:eastAsia="zh-CN"/>
                    </w:rPr>
                    <w:t>生产</w:t>
                  </w:r>
                  <w:r>
                    <w:rPr>
                      <w:rFonts w:hint="eastAsia" w:eastAsia="宋体"/>
                      <w:b w:val="0"/>
                      <w:bCs/>
                      <w:color w:val="auto"/>
                      <w:kern w:val="0"/>
                      <w:sz w:val="18"/>
                      <w:szCs w:val="18"/>
                      <w:lang w:val="en-US" w:eastAsia="zh-CN"/>
                    </w:rPr>
                    <w:t>设备</w:t>
                  </w:r>
                </w:p>
              </w:tc>
              <w:tc>
                <w:tcPr>
                  <w:tcW w:w="436" w:type="pct"/>
                  <w:tcBorders>
                    <w:tl2br w:val="nil"/>
                    <w:tr2bl w:val="nil"/>
                  </w:tcBorders>
                  <w:noWrap w:val="0"/>
                  <w:vAlign w:val="center"/>
                </w:tcPr>
                <w:p w14:paraId="11EA9EDE">
                  <w:pPr>
                    <w:spacing w:line="320" w:lineRule="exact"/>
                    <w:jc w:val="center"/>
                    <w:rPr>
                      <w:rFonts w:hint="eastAsia"/>
                      <w:b w:val="0"/>
                      <w:bCs/>
                      <w:color w:val="auto"/>
                      <w:sz w:val="18"/>
                      <w:szCs w:val="18"/>
                    </w:rPr>
                  </w:pPr>
                  <w:r>
                    <w:rPr>
                      <w:rFonts w:hint="eastAsia"/>
                      <w:b w:val="0"/>
                      <w:bCs/>
                      <w:color w:val="auto"/>
                      <w:sz w:val="18"/>
                      <w:szCs w:val="18"/>
                    </w:rPr>
                    <w:t>频发</w:t>
                  </w:r>
                </w:p>
              </w:tc>
              <w:tc>
                <w:tcPr>
                  <w:tcW w:w="361" w:type="pct"/>
                  <w:tcBorders>
                    <w:tl2br w:val="nil"/>
                    <w:tr2bl w:val="nil"/>
                  </w:tcBorders>
                  <w:noWrap w:val="0"/>
                  <w:vAlign w:val="center"/>
                </w:tcPr>
                <w:p w14:paraId="43F91808">
                  <w:pPr>
                    <w:spacing w:line="320" w:lineRule="exact"/>
                    <w:jc w:val="center"/>
                    <w:rPr>
                      <w:rFonts w:hint="eastAsia"/>
                      <w:b w:val="0"/>
                      <w:bCs/>
                      <w:color w:val="auto"/>
                      <w:sz w:val="18"/>
                      <w:szCs w:val="18"/>
                    </w:rPr>
                  </w:pPr>
                  <w:r>
                    <w:rPr>
                      <w:rFonts w:hint="eastAsia"/>
                      <w:b w:val="0"/>
                      <w:bCs/>
                      <w:color w:val="auto"/>
                      <w:sz w:val="18"/>
                      <w:szCs w:val="18"/>
                    </w:rPr>
                    <w:t>类比法</w:t>
                  </w:r>
                </w:p>
              </w:tc>
              <w:tc>
                <w:tcPr>
                  <w:tcW w:w="445" w:type="pct"/>
                  <w:tcBorders>
                    <w:tl2br w:val="nil"/>
                    <w:tr2bl w:val="nil"/>
                  </w:tcBorders>
                  <w:noWrap w:val="0"/>
                  <w:vAlign w:val="center"/>
                </w:tcPr>
                <w:p w14:paraId="28DD7EA1">
                  <w:pPr>
                    <w:pStyle w:val="70"/>
                    <w:spacing w:line="300" w:lineRule="exact"/>
                    <w:rPr>
                      <w:rFonts w:hint="default" w:eastAsia="宋体"/>
                      <w:b w:val="0"/>
                      <w:bCs/>
                      <w:color w:val="auto"/>
                      <w:sz w:val="18"/>
                      <w:szCs w:val="18"/>
                      <w:lang w:val="en-US" w:eastAsia="zh-CN"/>
                    </w:rPr>
                  </w:pPr>
                  <w:r>
                    <w:rPr>
                      <w:rFonts w:hint="eastAsia" w:eastAsia="宋体"/>
                      <w:b w:val="0"/>
                      <w:bCs/>
                      <w:color w:val="auto"/>
                      <w:sz w:val="18"/>
                      <w:szCs w:val="18"/>
                      <w:lang w:val="en-US" w:eastAsia="zh-CN"/>
                    </w:rPr>
                    <w:t>75-</w:t>
                  </w:r>
                  <w:r>
                    <w:rPr>
                      <w:rFonts w:hint="eastAsia"/>
                      <w:b w:val="0"/>
                      <w:bCs/>
                      <w:color w:val="auto"/>
                      <w:sz w:val="18"/>
                      <w:szCs w:val="18"/>
                      <w:lang w:val="en-US" w:eastAsia="zh-CN"/>
                    </w:rPr>
                    <w:t>90</w:t>
                  </w:r>
                </w:p>
              </w:tc>
              <w:tc>
                <w:tcPr>
                  <w:tcW w:w="601" w:type="pct"/>
                  <w:tcBorders>
                    <w:tl2br w:val="nil"/>
                    <w:tr2bl w:val="nil"/>
                  </w:tcBorders>
                  <w:noWrap w:val="0"/>
                  <w:vAlign w:val="center"/>
                </w:tcPr>
                <w:p w14:paraId="2A834B88">
                  <w:pPr>
                    <w:widowControl/>
                    <w:adjustRightInd w:val="0"/>
                    <w:spacing w:line="320" w:lineRule="exact"/>
                    <w:jc w:val="center"/>
                    <w:rPr>
                      <w:rFonts w:hint="eastAsia"/>
                      <w:b w:val="0"/>
                      <w:bCs/>
                      <w:color w:val="auto"/>
                      <w:kern w:val="0"/>
                      <w:sz w:val="18"/>
                      <w:szCs w:val="18"/>
                    </w:rPr>
                  </w:pPr>
                  <w:r>
                    <w:rPr>
                      <w:rFonts w:hint="eastAsia"/>
                      <w:b w:val="0"/>
                      <w:bCs/>
                      <w:color w:val="auto"/>
                      <w:kern w:val="0"/>
                      <w:sz w:val="18"/>
                      <w:szCs w:val="18"/>
                    </w:rPr>
                    <w:t>设备基础安装减振垫，</w:t>
                  </w:r>
                  <w:r>
                    <w:rPr>
                      <w:rFonts w:hint="eastAsia"/>
                      <w:b w:val="0"/>
                      <w:bCs/>
                      <w:color w:val="auto"/>
                      <w:kern w:val="0"/>
                      <w:sz w:val="18"/>
                      <w:szCs w:val="18"/>
                      <w:lang w:val="en-US" w:eastAsia="zh-CN"/>
                    </w:rPr>
                    <w:t>软连接、</w:t>
                  </w:r>
                  <w:r>
                    <w:rPr>
                      <w:rFonts w:hint="eastAsia"/>
                      <w:b w:val="0"/>
                      <w:bCs/>
                      <w:color w:val="auto"/>
                      <w:kern w:val="0"/>
                      <w:sz w:val="18"/>
                      <w:szCs w:val="18"/>
                    </w:rPr>
                    <w:t>厂房隔声等</w:t>
                  </w:r>
                </w:p>
              </w:tc>
              <w:tc>
                <w:tcPr>
                  <w:tcW w:w="425" w:type="pct"/>
                  <w:tcBorders>
                    <w:tl2br w:val="nil"/>
                    <w:tr2bl w:val="nil"/>
                  </w:tcBorders>
                  <w:noWrap w:val="0"/>
                  <w:vAlign w:val="center"/>
                </w:tcPr>
                <w:p w14:paraId="41C94313">
                  <w:pPr>
                    <w:widowControl/>
                    <w:adjustRightInd w:val="0"/>
                    <w:spacing w:line="320" w:lineRule="exact"/>
                    <w:jc w:val="center"/>
                    <w:rPr>
                      <w:rFonts w:hint="default" w:eastAsia="宋体"/>
                      <w:b w:val="0"/>
                      <w:bCs/>
                      <w:color w:val="auto"/>
                      <w:kern w:val="0"/>
                      <w:sz w:val="18"/>
                      <w:szCs w:val="18"/>
                      <w:lang w:val="en-US" w:eastAsia="zh-CN"/>
                    </w:rPr>
                  </w:pPr>
                  <w:r>
                    <w:rPr>
                      <w:rFonts w:hint="eastAsia"/>
                      <w:b w:val="0"/>
                      <w:bCs/>
                      <w:color w:val="auto"/>
                      <w:kern w:val="0"/>
                      <w:sz w:val="18"/>
                      <w:szCs w:val="18"/>
                      <w:lang w:val="en-US" w:eastAsia="zh-CN"/>
                    </w:rPr>
                    <w:t>10-20</w:t>
                  </w:r>
                </w:p>
              </w:tc>
              <w:tc>
                <w:tcPr>
                  <w:tcW w:w="629" w:type="pct"/>
                  <w:tcBorders>
                    <w:tl2br w:val="nil"/>
                    <w:tr2bl w:val="nil"/>
                  </w:tcBorders>
                  <w:noWrap w:val="0"/>
                  <w:vAlign w:val="center"/>
                </w:tcPr>
                <w:p w14:paraId="4B231F4E">
                  <w:pPr>
                    <w:spacing w:line="320" w:lineRule="exact"/>
                    <w:jc w:val="center"/>
                    <w:rPr>
                      <w:rFonts w:hint="default" w:eastAsia="宋体"/>
                      <w:b w:val="0"/>
                      <w:bCs/>
                      <w:color w:val="auto"/>
                      <w:sz w:val="18"/>
                      <w:szCs w:val="18"/>
                      <w:lang w:val="en-US" w:eastAsia="zh-CN"/>
                    </w:rPr>
                  </w:pPr>
                  <w:r>
                    <w:rPr>
                      <w:rFonts w:hint="eastAsia"/>
                      <w:b w:val="0"/>
                      <w:bCs/>
                      <w:color w:val="auto"/>
                      <w:sz w:val="18"/>
                      <w:szCs w:val="18"/>
                      <w:lang w:val="en-US" w:eastAsia="zh-CN"/>
                    </w:rPr>
                    <w:t>HJ2.4-2021</w:t>
                  </w:r>
                  <w:r>
                    <w:rPr>
                      <w:rFonts w:hint="eastAsia"/>
                      <w:b w:val="0"/>
                      <w:bCs/>
                      <w:color w:val="auto"/>
                      <w:sz w:val="18"/>
                      <w:szCs w:val="18"/>
                    </w:rPr>
                    <w:t>噪声预测模式</w:t>
                  </w:r>
                </w:p>
              </w:tc>
              <w:tc>
                <w:tcPr>
                  <w:tcW w:w="447" w:type="pct"/>
                  <w:tcBorders>
                    <w:tl2br w:val="nil"/>
                    <w:tr2bl w:val="nil"/>
                  </w:tcBorders>
                  <w:noWrap w:val="0"/>
                  <w:vAlign w:val="center"/>
                </w:tcPr>
                <w:p w14:paraId="4125E9D2">
                  <w:pPr>
                    <w:spacing w:line="320" w:lineRule="exact"/>
                    <w:jc w:val="center"/>
                    <w:rPr>
                      <w:rFonts w:hint="default"/>
                      <w:b w:val="0"/>
                      <w:bCs/>
                      <w:color w:val="auto"/>
                      <w:sz w:val="18"/>
                      <w:szCs w:val="18"/>
                      <w:highlight w:val="none"/>
                      <w:lang w:val="en-US" w:eastAsia="zh-CN"/>
                    </w:rPr>
                  </w:pPr>
                  <w:r>
                    <w:rPr>
                      <w:rFonts w:hint="eastAsia"/>
                      <w:b w:val="0"/>
                      <w:bCs/>
                      <w:color w:val="auto"/>
                      <w:sz w:val="18"/>
                      <w:szCs w:val="18"/>
                      <w:highlight w:val="none"/>
                      <w:lang w:val="en-US" w:eastAsia="zh-CN"/>
                    </w:rPr>
                    <w:t>东36.0</w:t>
                  </w:r>
                </w:p>
                <w:p w14:paraId="4FAFBCD0">
                  <w:pPr>
                    <w:spacing w:line="320" w:lineRule="exact"/>
                    <w:jc w:val="center"/>
                    <w:rPr>
                      <w:rFonts w:hint="default"/>
                      <w:b w:val="0"/>
                      <w:bCs/>
                      <w:color w:val="auto"/>
                      <w:sz w:val="18"/>
                      <w:szCs w:val="18"/>
                      <w:highlight w:val="none"/>
                      <w:lang w:val="en-US" w:eastAsia="zh-CN"/>
                    </w:rPr>
                  </w:pPr>
                  <w:r>
                    <w:rPr>
                      <w:rFonts w:hint="eastAsia"/>
                      <w:b w:val="0"/>
                      <w:bCs/>
                      <w:color w:val="auto"/>
                      <w:sz w:val="18"/>
                      <w:szCs w:val="18"/>
                      <w:highlight w:val="none"/>
                      <w:lang w:val="en-US" w:eastAsia="zh-CN"/>
                    </w:rPr>
                    <w:t>南40.1</w:t>
                  </w:r>
                </w:p>
                <w:p w14:paraId="13FDDFCC">
                  <w:pPr>
                    <w:spacing w:line="320" w:lineRule="exact"/>
                    <w:jc w:val="center"/>
                    <w:rPr>
                      <w:rFonts w:hint="default"/>
                      <w:b w:val="0"/>
                      <w:bCs/>
                      <w:color w:val="auto"/>
                      <w:sz w:val="18"/>
                      <w:szCs w:val="18"/>
                      <w:highlight w:val="none"/>
                      <w:lang w:val="en-US" w:eastAsia="zh-CN"/>
                    </w:rPr>
                  </w:pPr>
                  <w:r>
                    <w:rPr>
                      <w:rFonts w:hint="eastAsia"/>
                      <w:b w:val="0"/>
                      <w:bCs/>
                      <w:color w:val="auto"/>
                      <w:sz w:val="18"/>
                      <w:szCs w:val="18"/>
                      <w:highlight w:val="none"/>
                      <w:lang w:val="en-US" w:eastAsia="zh-CN"/>
                    </w:rPr>
                    <w:t>西38.0</w:t>
                  </w:r>
                </w:p>
                <w:p w14:paraId="441302E2">
                  <w:pPr>
                    <w:spacing w:line="320" w:lineRule="exact"/>
                    <w:jc w:val="center"/>
                    <w:rPr>
                      <w:rFonts w:hint="default"/>
                      <w:b w:val="0"/>
                      <w:bCs/>
                      <w:color w:val="auto"/>
                      <w:sz w:val="18"/>
                      <w:szCs w:val="18"/>
                      <w:highlight w:val="none"/>
                      <w:lang w:val="en-US" w:eastAsia="zh-CN"/>
                    </w:rPr>
                  </w:pPr>
                  <w:r>
                    <w:rPr>
                      <w:rFonts w:hint="eastAsia"/>
                      <w:b w:val="0"/>
                      <w:bCs/>
                      <w:color w:val="auto"/>
                      <w:sz w:val="18"/>
                      <w:szCs w:val="18"/>
                      <w:highlight w:val="none"/>
                      <w:lang w:val="en-US" w:eastAsia="zh-CN"/>
                    </w:rPr>
                    <w:t>北54.3</w:t>
                  </w:r>
                </w:p>
              </w:tc>
              <w:tc>
                <w:tcPr>
                  <w:tcW w:w="510" w:type="pct"/>
                  <w:tcBorders>
                    <w:tl2br w:val="nil"/>
                    <w:tr2bl w:val="nil"/>
                  </w:tcBorders>
                  <w:noWrap w:val="0"/>
                  <w:vAlign w:val="center"/>
                </w:tcPr>
                <w:p w14:paraId="48823FC1">
                  <w:pPr>
                    <w:spacing w:line="320" w:lineRule="exact"/>
                    <w:jc w:val="center"/>
                    <w:rPr>
                      <w:rFonts w:hint="default"/>
                      <w:b w:val="0"/>
                      <w:bCs/>
                      <w:color w:val="auto"/>
                      <w:sz w:val="18"/>
                      <w:szCs w:val="18"/>
                      <w:highlight w:val="none"/>
                      <w:lang w:val="en-US" w:eastAsia="zh-CN"/>
                    </w:rPr>
                  </w:pPr>
                  <w:r>
                    <w:rPr>
                      <w:rFonts w:hint="eastAsia"/>
                      <w:b w:val="0"/>
                      <w:bCs/>
                      <w:color w:val="auto"/>
                      <w:sz w:val="18"/>
                      <w:szCs w:val="18"/>
                      <w:highlight w:val="none"/>
                      <w:lang w:val="en-US" w:eastAsia="zh-CN"/>
                    </w:rPr>
                    <w:t>东36.0</w:t>
                  </w:r>
                </w:p>
                <w:p w14:paraId="7F6024D7">
                  <w:pPr>
                    <w:spacing w:line="320" w:lineRule="exact"/>
                    <w:jc w:val="center"/>
                    <w:rPr>
                      <w:rFonts w:hint="default"/>
                      <w:b w:val="0"/>
                      <w:bCs/>
                      <w:color w:val="auto"/>
                      <w:sz w:val="18"/>
                      <w:szCs w:val="18"/>
                      <w:highlight w:val="none"/>
                      <w:lang w:val="en-US" w:eastAsia="zh-CN"/>
                    </w:rPr>
                  </w:pPr>
                  <w:r>
                    <w:rPr>
                      <w:rFonts w:hint="eastAsia"/>
                      <w:b w:val="0"/>
                      <w:bCs/>
                      <w:color w:val="auto"/>
                      <w:sz w:val="18"/>
                      <w:szCs w:val="18"/>
                      <w:highlight w:val="none"/>
                      <w:lang w:val="en-US" w:eastAsia="zh-CN"/>
                    </w:rPr>
                    <w:t>南40.1</w:t>
                  </w:r>
                </w:p>
                <w:p w14:paraId="7DA4C6CF">
                  <w:pPr>
                    <w:spacing w:line="320" w:lineRule="exact"/>
                    <w:jc w:val="center"/>
                    <w:rPr>
                      <w:rFonts w:hint="default"/>
                      <w:b w:val="0"/>
                      <w:bCs/>
                      <w:color w:val="auto"/>
                      <w:sz w:val="18"/>
                      <w:szCs w:val="18"/>
                      <w:highlight w:val="none"/>
                      <w:lang w:val="en-US" w:eastAsia="zh-CN"/>
                    </w:rPr>
                  </w:pPr>
                  <w:r>
                    <w:rPr>
                      <w:rFonts w:hint="eastAsia"/>
                      <w:b w:val="0"/>
                      <w:bCs/>
                      <w:color w:val="auto"/>
                      <w:sz w:val="18"/>
                      <w:szCs w:val="18"/>
                      <w:highlight w:val="none"/>
                      <w:lang w:val="en-US" w:eastAsia="zh-CN"/>
                    </w:rPr>
                    <w:t>西38.0</w:t>
                  </w:r>
                </w:p>
                <w:p w14:paraId="45B4D311">
                  <w:pPr>
                    <w:spacing w:line="320" w:lineRule="exact"/>
                    <w:jc w:val="both"/>
                    <w:rPr>
                      <w:rFonts w:hint="default"/>
                      <w:b w:val="0"/>
                      <w:bCs/>
                      <w:color w:val="auto"/>
                      <w:sz w:val="18"/>
                      <w:szCs w:val="18"/>
                      <w:highlight w:val="none"/>
                      <w:lang w:val="en-US" w:eastAsia="zh-CN"/>
                    </w:rPr>
                  </w:pPr>
                  <w:r>
                    <w:rPr>
                      <w:rFonts w:hint="eastAsia"/>
                      <w:b w:val="0"/>
                      <w:bCs/>
                      <w:color w:val="auto"/>
                      <w:sz w:val="18"/>
                      <w:szCs w:val="18"/>
                      <w:highlight w:val="none"/>
                      <w:lang w:val="en-US" w:eastAsia="zh-CN"/>
                    </w:rPr>
                    <w:t>北54.3</w:t>
                  </w:r>
                </w:p>
              </w:tc>
              <w:tc>
                <w:tcPr>
                  <w:tcW w:w="273" w:type="pct"/>
                  <w:tcBorders>
                    <w:tl2br w:val="nil"/>
                    <w:tr2bl w:val="nil"/>
                  </w:tcBorders>
                  <w:noWrap w:val="0"/>
                  <w:vAlign w:val="center"/>
                </w:tcPr>
                <w:p w14:paraId="32C76AC3">
                  <w:pPr>
                    <w:spacing w:line="320" w:lineRule="exact"/>
                    <w:jc w:val="center"/>
                    <w:rPr>
                      <w:rFonts w:hint="default" w:eastAsia="宋体"/>
                      <w:b w:val="0"/>
                      <w:bCs/>
                      <w:color w:val="auto"/>
                      <w:sz w:val="18"/>
                      <w:szCs w:val="18"/>
                      <w:lang w:val="en-US" w:eastAsia="zh-CN"/>
                    </w:rPr>
                  </w:pPr>
                  <w:r>
                    <w:rPr>
                      <w:rFonts w:hint="eastAsia" w:eastAsia="宋体"/>
                      <w:b w:val="0"/>
                      <w:bCs/>
                      <w:color w:val="auto"/>
                      <w:sz w:val="18"/>
                      <w:szCs w:val="18"/>
                      <w:lang w:val="en-US" w:eastAsia="zh-CN"/>
                    </w:rPr>
                    <w:t>24</w:t>
                  </w:r>
                  <w:r>
                    <w:rPr>
                      <w:rFonts w:hint="eastAsia"/>
                      <w:b w:val="0"/>
                      <w:bCs/>
                      <w:color w:val="auto"/>
                      <w:sz w:val="18"/>
                      <w:szCs w:val="18"/>
                      <w:lang w:val="en-US" w:eastAsia="zh-CN"/>
                    </w:rPr>
                    <w:t>/d</w:t>
                  </w:r>
                </w:p>
              </w:tc>
            </w:tr>
          </w:tbl>
          <w:p w14:paraId="67668F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pacing w:val="5"/>
                <w:sz w:val="24"/>
                <w:szCs w:val="24"/>
              </w:rPr>
            </w:pPr>
            <w:r>
              <w:rPr>
                <w:rFonts w:hint="eastAsia" w:ascii="宋体" w:hAnsi="宋体" w:eastAsia="宋体" w:cs="宋体"/>
                <w:kern w:val="0"/>
                <w:sz w:val="24"/>
                <w:szCs w:val="24"/>
                <w:lang w:val="en-US" w:eastAsia="zh-CN"/>
              </w:rPr>
              <w:t>上述设备全部置于室内，经预测，厂界噪声贡献值能满足</w:t>
            </w:r>
            <w:r>
              <w:rPr>
                <w:rFonts w:hint="eastAsia" w:ascii="宋体" w:hAnsi="宋体" w:eastAsia="宋体" w:cs="宋体"/>
                <w:kern w:val="0"/>
                <w:sz w:val="24"/>
                <w:szCs w:val="24"/>
                <w:lang w:val="en-US" w:eastAsia="en-US"/>
              </w:rPr>
              <w:t>《工业企业厂界环境噪声排放标准》（GB12348-2008）中</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en-US"/>
              </w:rPr>
              <w:t>类</w:t>
            </w:r>
            <w:r>
              <w:rPr>
                <w:rFonts w:hint="eastAsia" w:ascii="宋体" w:hAnsi="宋体" w:eastAsia="宋体" w:cs="宋体"/>
                <w:kern w:val="0"/>
                <w:sz w:val="24"/>
                <w:szCs w:val="24"/>
                <w:lang w:val="en-US" w:eastAsia="zh-CN"/>
              </w:rPr>
              <w:t>昼</w:t>
            </w:r>
            <w:r>
              <w:rPr>
                <w:rFonts w:hint="eastAsia" w:ascii="宋体" w:hAnsi="宋体" w:cs="宋体"/>
                <w:kern w:val="0"/>
                <w:sz w:val="24"/>
                <w:szCs w:val="24"/>
                <w:lang w:val="en-US" w:eastAsia="zh-CN"/>
              </w:rPr>
              <w:t>夜</w:t>
            </w:r>
            <w:r>
              <w:rPr>
                <w:rFonts w:hint="eastAsia" w:ascii="宋体" w:hAnsi="宋体" w:eastAsia="宋体" w:cs="宋体"/>
                <w:kern w:val="0"/>
                <w:sz w:val="24"/>
                <w:szCs w:val="24"/>
                <w:lang w:val="en-US" w:eastAsia="zh-CN"/>
              </w:rPr>
              <w:t>间</w:t>
            </w:r>
            <w:r>
              <w:rPr>
                <w:rFonts w:hint="eastAsia" w:ascii="宋体" w:hAnsi="宋体" w:eastAsia="宋体" w:cs="宋体"/>
                <w:kern w:val="0"/>
                <w:sz w:val="24"/>
                <w:szCs w:val="24"/>
                <w:lang w:val="en-US" w:eastAsia="en-US"/>
              </w:rPr>
              <w:t>标准</w:t>
            </w:r>
            <w:r>
              <w:rPr>
                <w:rFonts w:hint="eastAsia" w:ascii="宋体" w:hAnsi="宋体" w:eastAsia="宋体" w:cs="宋体"/>
                <w:kern w:val="0"/>
                <w:sz w:val="24"/>
                <w:szCs w:val="24"/>
                <w:lang w:val="en-US" w:eastAsia="zh-CN"/>
              </w:rPr>
              <w:t>，对外环境影响很小。</w:t>
            </w:r>
          </w:p>
          <w:p w14:paraId="21B9BDC0">
            <w:pPr>
              <w:pStyle w:val="52"/>
              <w:keepNext w:val="0"/>
              <w:keepLines w:val="0"/>
              <w:pageBreakBefore w:val="0"/>
              <w:widowControl w:val="0"/>
              <w:kinsoku/>
              <w:wordWrap/>
              <w:overflowPunct/>
              <w:topLinePunct w:val="0"/>
              <w:autoSpaceDE/>
              <w:autoSpaceDN/>
              <w:bidi w:val="0"/>
              <w:spacing w:line="360" w:lineRule="auto"/>
              <w:ind w:left="108"/>
              <w:textAlignment w:val="auto"/>
              <w:rPr>
                <w:rFonts w:hint="eastAsia" w:ascii="宋体" w:hAnsi="宋体" w:eastAsia="宋体" w:cs="宋体"/>
                <w:b/>
                <w:bCs/>
                <w:spacing w:val="8"/>
                <w:sz w:val="24"/>
                <w:szCs w:val="24"/>
                <w:lang w:val="en-US" w:eastAsia="zh-CN"/>
              </w:rPr>
            </w:pPr>
            <w:r>
              <w:rPr>
                <w:rFonts w:hint="eastAsia" w:ascii="宋体" w:hAnsi="宋体" w:eastAsia="宋体" w:cs="宋体"/>
                <w:b/>
                <w:bCs/>
                <w:spacing w:val="-7"/>
                <w:sz w:val="24"/>
                <w:szCs w:val="24"/>
              </w:rPr>
              <w:t>2、厂界达标情况</w:t>
            </w:r>
          </w:p>
          <w:p w14:paraId="73FCD31C">
            <w:pPr>
              <w:pStyle w:val="52"/>
              <w:keepNext w:val="0"/>
              <w:keepLines w:val="0"/>
              <w:pageBreakBefore w:val="0"/>
              <w:widowControl w:val="0"/>
              <w:kinsoku/>
              <w:wordWrap/>
              <w:overflowPunct/>
              <w:topLinePunct w:val="0"/>
              <w:autoSpaceDE/>
              <w:autoSpaceDN/>
              <w:bidi w:val="0"/>
              <w:spacing w:line="360" w:lineRule="auto"/>
              <w:ind w:left="122" w:right="14" w:firstLine="409"/>
              <w:textAlignment w:val="auto"/>
              <w:rPr>
                <w:rFonts w:hint="eastAsia" w:ascii="宋体" w:hAnsi="宋体" w:eastAsia="宋体" w:cs="宋体"/>
                <w:sz w:val="24"/>
                <w:szCs w:val="24"/>
              </w:rPr>
            </w:pPr>
            <w:r>
              <w:rPr>
                <w:rFonts w:hint="eastAsia" w:ascii="宋体" w:hAnsi="宋体" w:eastAsia="宋体" w:cs="宋体"/>
                <w:spacing w:val="8"/>
                <w:sz w:val="24"/>
                <w:szCs w:val="24"/>
              </w:rPr>
              <w:t>根据上述预测结果可知，运营期噪声厂界贡献值满足《工业企业厂界环境噪声排放标准》</w:t>
            </w:r>
            <w:r>
              <w:rPr>
                <w:rFonts w:hint="eastAsia" w:ascii="宋体" w:hAnsi="宋体" w:eastAsia="宋体" w:cs="宋体"/>
                <w:spacing w:val="7"/>
                <w:sz w:val="24"/>
                <w:szCs w:val="24"/>
              </w:rPr>
              <w:t>（</w:t>
            </w:r>
            <w:r>
              <w:rPr>
                <w:rFonts w:hint="eastAsia" w:ascii="宋体" w:hAnsi="宋体" w:eastAsia="宋体" w:cs="宋体"/>
                <w:sz w:val="24"/>
                <w:szCs w:val="24"/>
              </w:rPr>
              <w:t>GB</w:t>
            </w:r>
            <w:r>
              <w:rPr>
                <w:rFonts w:hint="eastAsia" w:ascii="宋体" w:hAnsi="宋体" w:eastAsia="宋体" w:cs="宋体"/>
                <w:spacing w:val="7"/>
                <w:sz w:val="24"/>
                <w:szCs w:val="24"/>
              </w:rPr>
              <w:t>12348-2008）中的</w:t>
            </w:r>
            <w:r>
              <w:rPr>
                <w:rFonts w:hint="eastAsia" w:ascii="宋体" w:hAnsi="宋体" w:eastAsia="宋体" w:cs="宋体"/>
                <w:spacing w:val="-29"/>
                <w:sz w:val="24"/>
                <w:szCs w:val="24"/>
              </w:rPr>
              <w:t xml:space="preserve"> </w:t>
            </w:r>
            <w:r>
              <w:rPr>
                <w:rFonts w:hint="eastAsia" w:ascii="宋体" w:hAnsi="宋体" w:eastAsia="宋体" w:cs="宋体"/>
                <w:spacing w:val="7"/>
                <w:sz w:val="24"/>
                <w:szCs w:val="24"/>
              </w:rPr>
              <w:t>3类要求，运营期对周围声环境影响较小。</w:t>
            </w:r>
          </w:p>
          <w:p w14:paraId="16B29EC1">
            <w:pPr>
              <w:pStyle w:val="52"/>
              <w:keepNext w:val="0"/>
              <w:keepLines w:val="0"/>
              <w:pageBreakBefore w:val="0"/>
              <w:widowControl w:val="0"/>
              <w:kinsoku/>
              <w:wordWrap/>
              <w:overflowPunct/>
              <w:topLinePunct w:val="0"/>
              <w:autoSpaceDE/>
              <w:autoSpaceDN/>
              <w:bidi w:val="0"/>
              <w:spacing w:line="360" w:lineRule="auto"/>
              <w:ind w:left="112"/>
              <w:textAlignment w:val="auto"/>
              <w:rPr>
                <w:rFonts w:hint="eastAsia" w:ascii="宋体" w:hAnsi="宋体" w:eastAsia="宋体" w:cs="宋体"/>
                <w:b/>
                <w:bCs/>
                <w:sz w:val="24"/>
                <w:szCs w:val="24"/>
              </w:rPr>
            </w:pPr>
            <w:r>
              <w:rPr>
                <w:rFonts w:hint="eastAsia" w:ascii="宋体" w:hAnsi="宋体" w:eastAsia="宋体" w:cs="宋体"/>
                <w:b/>
                <w:bCs/>
                <w:spacing w:val="3"/>
                <w:sz w:val="24"/>
                <w:szCs w:val="24"/>
              </w:rPr>
              <w:t>3</w:t>
            </w:r>
            <w:r>
              <w:rPr>
                <w:rFonts w:hint="eastAsia" w:cs="宋体"/>
                <w:b/>
                <w:bCs/>
                <w:spacing w:val="-23"/>
                <w:sz w:val="24"/>
                <w:szCs w:val="24"/>
                <w:lang w:eastAsia="zh-CN"/>
              </w:rPr>
              <w:t>、</w:t>
            </w:r>
            <w:r>
              <w:rPr>
                <w:rFonts w:hint="eastAsia" w:ascii="宋体" w:hAnsi="宋体" w:eastAsia="宋体" w:cs="宋体"/>
                <w:b/>
                <w:bCs/>
                <w:spacing w:val="3"/>
                <w:sz w:val="24"/>
                <w:szCs w:val="24"/>
              </w:rPr>
              <w:t>防治措施</w:t>
            </w:r>
          </w:p>
          <w:p w14:paraId="5E6727D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95"/>
              <w:jc w:val="both"/>
              <w:textAlignment w:val="auto"/>
              <w:outlineLvl w:val="9"/>
              <w:rPr>
                <w:color w:val="auto"/>
                <w:sz w:val="24"/>
                <w:szCs w:val="24"/>
              </w:rPr>
            </w:pPr>
            <w:r>
              <w:rPr>
                <w:rFonts w:hint="eastAsia" w:hAnsi="宋体"/>
                <w:color w:val="auto"/>
                <w:sz w:val="24"/>
                <w:szCs w:val="24"/>
              </w:rPr>
              <w:t>噪声源一般主要从隔声、吸声、降低源强等方式实现降噪，风机和泵类及部分</w:t>
            </w:r>
            <w:r>
              <w:rPr>
                <w:rFonts w:hAnsi="宋体"/>
                <w:color w:val="auto"/>
                <w:sz w:val="24"/>
                <w:szCs w:val="24"/>
              </w:rPr>
              <w:t>设备运转噪声值较高，应采取下述措施进行治理。</w:t>
            </w:r>
          </w:p>
          <w:p w14:paraId="4F412AD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both"/>
              <w:textAlignment w:val="auto"/>
              <w:outlineLvl w:val="9"/>
              <w:rPr>
                <w:color w:val="auto"/>
                <w:sz w:val="24"/>
                <w:szCs w:val="24"/>
              </w:rPr>
            </w:pPr>
            <w:r>
              <w:rPr>
                <w:rFonts w:hint="eastAsia" w:hAnsi="宋体"/>
                <w:color w:val="auto"/>
                <w:sz w:val="24"/>
                <w:szCs w:val="24"/>
              </w:rPr>
              <w:t xml:space="preserve">    </w:t>
            </w:r>
            <w:r>
              <w:rPr>
                <w:rFonts w:hint="eastAsia" w:ascii="宋体" w:hAnsi="宋体"/>
                <w:color w:val="auto"/>
                <w:sz w:val="24"/>
                <w:szCs w:val="24"/>
              </w:rPr>
              <w:t>A.</w:t>
            </w:r>
            <w:r>
              <w:rPr>
                <w:rFonts w:hAnsi="宋体"/>
                <w:color w:val="auto"/>
                <w:sz w:val="24"/>
                <w:szCs w:val="24"/>
              </w:rPr>
              <w:t>在满足工艺要求的前提下，应尽量选用低噪声设备。</w:t>
            </w:r>
          </w:p>
          <w:p w14:paraId="3F910D1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hAnsi="宋体"/>
                <w:bCs/>
                <w:color w:val="auto"/>
                <w:sz w:val="24"/>
                <w:szCs w:val="24"/>
              </w:rPr>
            </w:pPr>
            <w:r>
              <w:rPr>
                <w:rFonts w:hint="eastAsia" w:hAnsi="宋体"/>
                <w:bCs/>
                <w:color w:val="auto"/>
                <w:sz w:val="24"/>
                <w:szCs w:val="24"/>
                <w:lang w:val="en-US" w:eastAsia="zh-CN"/>
              </w:rPr>
              <w:t>B</w:t>
            </w:r>
            <w:r>
              <w:rPr>
                <w:rFonts w:hint="eastAsia" w:ascii="宋体" w:hAnsi="宋体"/>
                <w:color w:val="auto"/>
                <w:sz w:val="24"/>
                <w:szCs w:val="24"/>
              </w:rPr>
              <w:t>.</w:t>
            </w:r>
            <w:r>
              <w:rPr>
                <w:rFonts w:hint="eastAsia" w:hAnsi="宋体"/>
                <w:bCs/>
                <w:color w:val="auto"/>
                <w:sz w:val="24"/>
                <w:szCs w:val="24"/>
              </w:rPr>
              <w:t>风机噪声防治</w:t>
            </w:r>
          </w:p>
          <w:p w14:paraId="73DF2B2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宋体" w:hAnsi="宋体"/>
                <w:color w:val="auto"/>
                <w:sz w:val="24"/>
                <w:szCs w:val="24"/>
              </w:rPr>
            </w:pPr>
            <w:r>
              <w:rPr>
                <w:rFonts w:ascii="宋体" w:hAnsi="宋体"/>
                <w:color w:val="auto"/>
                <w:sz w:val="24"/>
                <w:szCs w:val="24"/>
              </w:rPr>
              <w:t>将鼓风机、引风机分别置在隔声室内，用通风管将它们与主机相连接，在隔声室顶上或墙面上开设进气口，并安装消声器供机房进风使用。</w:t>
            </w:r>
          </w:p>
          <w:p w14:paraId="5261C04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hAnsi="宋体" w:eastAsia="宋体"/>
                <w:bCs/>
                <w:color w:val="auto"/>
                <w:sz w:val="24"/>
                <w:szCs w:val="24"/>
                <w:lang w:val="en-US" w:eastAsia="zh-CN"/>
              </w:rPr>
            </w:pPr>
            <w:r>
              <w:rPr>
                <w:rFonts w:hint="eastAsia" w:ascii="宋体" w:hAnsi="宋体"/>
                <w:bCs/>
                <w:color w:val="auto"/>
                <w:sz w:val="24"/>
                <w:szCs w:val="24"/>
                <w:lang w:val="en-US" w:eastAsia="zh-CN"/>
              </w:rPr>
              <w:t>C</w:t>
            </w:r>
            <w:r>
              <w:rPr>
                <w:rFonts w:hint="eastAsia" w:hAnsi="宋体"/>
                <w:bCs/>
                <w:color w:val="auto"/>
                <w:sz w:val="24"/>
                <w:szCs w:val="24"/>
              </w:rPr>
              <w:t>其他防治</w:t>
            </w:r>
            <w:r>
              <w:rPr>
                <w:rFonts w:hint="eastAsia" w:hAnsi="宋体"/>
                <w:bCs/>
                <w:color w:val="auto"/>
                <w:sz w:val="24"/>
                <w:szCs w:val="24"/>
                <w:lang w:val="en-US" w:eastAsia="zh-CN"/>
              </w:rPr>
              <w:t>措施</w:t>
            </w:r>
          </w:p>
          <w:p w14:paraId="11E28ED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hAnsi="宋体"/>
                <w:bCs/>
                <w:color w:val="auto"/>
                <w:sz w:val="24"/>
                <w:szCs w:val="24"/>
              </w:rPr>
            </w:pPr>
            <w:r>
              <w:rPr>
                <w:rFonts w:hint="eastAsia" w:hAnsi="宋体"/>
                <w:bCs/>
                <w:color w:val="auto"/>
                <w:sz w:val="24"/>
                <w:szCs w:val="24"/>
              </w:rPr>
              <w:t>水泵、风机加减振垫，设备做基础减振处理.</w:t>
            </w:r>
            <w:r>
              <w:rPr>
                <w:rFonts w:hint="eastAsia" w:hAnsi="宋体"/>
                <w:bCs/>
                <w:color w:val="auto"/>
                <w:sz w:val="24"/>
                <w:szCs w:val="24"/>
                <w:lang w:val="en-US" w:eastAsia="zh-CN"/>
              </w:rPr>
              <w:t>车间</w:t>
            </w:r>
            <w:r>
              <w:rPr>
                <w:rFonts w:hint="eastAsia" w:hAnsi="宋体"/>
                <w:bCs/>
                <w:color w:val="auto"/>
                <w:sz w:val="24"/>
                <w:szCs w:val="24"/>
              </w:rPr>
              <w:t>减少门窗开启次数；</w:t>
            </w:r>
          </w:p>
          <w:p w14:paraId="33FC4952">
            <w:pPr>
              <w:pStyle w:val="52"/>
              <w:keepNext w:val="0"/>
              <w:keepLines w:val="0"/>
              <w:pageBreakBefore w:val="0"/>
              <w:widowControl w:val="0"/>
              <w:kinsoku/>
              <w:wordWrap/>
              <w:overflowPunct/>
              <w:topLinePunct w:val="0"/>
              <w:autoSpaceDE/>
              <w:autoSpaceDN/>
              <w:bidi w:val="0"/>
              <w:spacing w:line="360" w:lineRule="auto"/>
              <w:ind w:firstLine="480" w:firstLineChars="200"/>
              <w:textAlignment w:val="auto"/>
              <w:rPr>
                <w:rFonts w:hAnsi="宋体"/>
                <w:color w:val="auto"/>
                <w:sz w:val="24"/>
                <w:szCs w:val="24"/>
              </w:rPr>
            </w:pPr>
            <w:r>
              <w:rPr>
                <w:rFonts w:hint="eastAsia" w:ascii="宋体" w:hAnsi="宋体"/>
                <w:color w:val="auto"/>
                <w:sz w:val="24"/>
                <w:szCs w:val="24"/>
                <w:lang w:val="en-US" w:eastAsia="zh-CN"/>
              </w:rPr>
              <w:t>D</w:t>
            </w:r>
            <w:r>
              <w:rPr>
                <w:rFonts w:hAnsi="宋体"/>
                <w:color w:val="auto"/>
                <w:sz w:val="24"/>
                <w:szCs w:val="24"/>
              </w:rPr>
              <w:t>加强对高噪声设备的管理和维护。随着使用年限的增加，有些设备噪声可能有所增加，故应在有关环保人员的统一管理下，定期检查、监测，发现噪声超标要及时治理并增加相关操作岗位工人的个体防护。玻璃窗等如发现破碎应及时修补、减少噪声透射。</w:t>
            </w:r>
          </w:p>
          <w:p w14:paraId="46344B1D">
            <w:pPr>
              <w:pStyle w:val="52"/>
              <w:keepNext w:val="0"/>
              <w:keepLines w:val="0"/>
              <w:pageBreakBefore w:val="0"/>
              <w:widowControl w:val="0"/>
              <w:kinsoku/>
              <w:wordWrap/>
              <w:overflowPunct/>
              <w:topLinePunct w:val="0"/>
              <w:autoSpaceDE/>
              <w:autoSpaceDN/>
              <w:bidi w:val="0"/>
              <w:spacing w:line="360" w:lineRule="auto"/>
              <w:ind w:left="111"/>
              <w:textAlignment w:val="auto"/>
              <w:rPr>
                <w:rFonts w:hint="eastAsia" w:ascii="宋体" w:hAnsi="宋体" w:eastAsia="宋体" w:cs="宋体"/>
                <w:b/>
                <w:bCs/>
                <w:sz w:val="24"/>
                <w:szCs w:val="24"/>
              </w:rPr>
            </w:pPr>
            <w:r>
              <w:rPr>
                <w:rFonts w:hint="eastAsia" w:ascii="宋体" w:hAnsi="宋体" w:eastAsia="宋体" w:cs="宋体"/>
                <w:b/>
                <w:bCs/>
                <w:spacing w:val="-1"/>
                <w:sz w:val="24"/>
                <w:szCs w:val="24"/>
              </w:rPr>
              <w:t>4、</w:t>
            </w:r>
            <w:r>
              <w:rPr>
                <w:rFonts w:hint="eastAsia" w:ascii="宋体" w:hAnsi="宋体" w:eastAsia="宋体" w:cs="宋体"/>
                <w:b/>
                <w:bCs/>
                <w:spacing w:val="-48"/>
                <w:sz w:val="24"/>
                <w:szCs w:val="24"/>
              </w:rPr>
              <w:t xml:space="preserve"> </w:t>
            </w:r>
            <w:r>
              <w:rPr>
                <w:rFonts w:hint="eastAsia" w:ascii="宋体" w:hAnsi="宋体" w:eastAsia="宋体" w:cs="宋体"/>
                <w:b/>
                <w:bCs/>
                <w:spacing w:val="-1"/>
                <w:sz w:val="24"/>
                <w:szCs w:val="24"/>
              </w:rPr>
              <w:t>自行监测</w:t>
            </w:r>
          </w:p>
          <w:p w14:paraId="515E7488">
            <w:pPr>
              <w:pStyle w:val="52"/>
              <w:keepNext w:val="0"/>
              <w:keepLines w:val="0"/>
              <w:pageBreakBefore w:val="0"/>
              <w:widowControl w:val="0"/>
              <w:kinsoku/>
              <w:wordWrap/>
              <w:overflowPunct/>
              <w:topLinePunct w:val="0"/>
              <w:autoSpaceDE/>
              <w:autoSpaceDN/>
              <w:bidi w:val="0"/>
              <w:spacing w:line="360" w:lineRule="auto"/>
              <w:ind w:left="111" w:right="107" w:firstLine="420"/>
              <w:jc w:val="both"/>
              <w:textAlignment w:val="auto"/>
              <w:rPr>
                <w:rFonts w:hint="eastAsia" w:ascii="宋体" w:hAnsi="宋体" w:eastAsia="宋体" w:cs="宋体"/>
                <w:sz w:val="24"/>
                <w:szCs w:val="24"/>
              </w:rPr>
            </w:pPr>
            <w:r>
              <w:rPr>
                <w:rFonts w:hint="eastAsia" w:ascii="宋体" w:hAnsi="宋体" w:eastAsia="宋体" w:cs="宋体"/>
                <w:spacing w:val="8"/>
                <w:sz w:val="24"/>
                <w:szCs w:val="24"/>
              </w:rPr>
              <w:t>根据《排污单位自行监测技术指南 总则》（</w:t>
            </w:r>
            <w:r>
              <w:rPr>
                <w:rFonts w:hint="eastAsia" w:ascii="宋体" w:hAnsi="宋体" w:eastAsia="宋体" w:cs="宋体"/>
                <w:sz w:val="24"/>
                <w:szCs w:val="24"/>
              </w:rPr>
              <w:t>HJ</w:t>
            </w:r>
            <w:r>
              <w:rPr>
                <w:rFonts w:hint="eastAsia" w:ascii="宋体" w:hAnsi="宋体" w:eastAsia="宋体" w:cs="宋体"/>
                <w:spacing w:val="8"/>
                <w:sz w:val="24"/>
                <w:szCs w:val="24"/>
              </w:rPr>
              <w:t>819-2017）、《排污许可证申请与核发技术规范石墨及其他非金属矿物制品制造》（</w:t>
            </w:r>
            <w:r>
              <w:rPr>
                <w:rFonts w:hint="eastAsia" w:ascii="宋体" w:hAnsi="宋体" w:eastAsia="宋体" w:cs="宋体"/>
                <w:sz w:val="24"/>
                <w:szCs w:val="24"/>
              </w:rPr>
              <w:t>HJ</w:t>
            </w:r>
            <w:r>
              <w:rPr>
                <w:rFonts w:hint="eastAsia" w:ascii="宋体" w:hAnsi="宋体" w:eastAsia="宋体" w:cs="宋体"/>
                <w:spacing w:val="8"/>
                <w:sz w:val="24"/>
                <w:szCs w:val="24"/>
              </w:rPr>
              <w:t>119-2020）要求，项目噪声自行监测计划见下</w:t>
            </w:r>
            <w:r>
              <w:rPr>
                <w:rFonts w:hint="eastAsia" w:ascii="宋体" w:hAnsi="宋体" w:eastAsia="宋体" w:cs="宋体"/>
                <w:sz w:val="24"/>
                <w:szCs w:val="24"/>
              </w:rPr>
              <w:t>表。</w:t>
            </w:r>
          </w:p>
          <w:p w14:paraId="01476CC7">
            <w:pPr>
              <w:keepNext w:val="0"/>
              <w:keepLines w:val="0"/>
              <w:pageBreakBefore w:val="0"/>
              <w:widowControl w:val="0"/>
              <w:kinsoku/>
              <w:wordWrap/>
              <w:overflowPunct/>
              <w:topLinePunct w:val="0"/>
              <w:autoSpaceDE/>
              <w:autoSpaceDN/>
              <w:bidi w:val="0"/>
              <w:adjustRightInd w:val="0"/>
              <w:snapToGrid w:val="0"/>
              <w:spacing w:line="360" w:lineRule="auto"/>
              <w:ind w:firstLine="1968" w:firstLineChars="1000"/>
              <w:textAlignment w:val="auto"/>
              <w:rPr>
                <w:rFonts w:hint="eastAsia" w:ascii="宋体" w:hAnsi="宋体" w:eastAsia="宋体" w:cs="宋体"/>
                <w:b/>
                <w:bCs/>
                <w:spacing w:val="-7"/>
                <w:sz w:val="21"/>
                <w:szCs w:val="21"/>
              </w:rPr>
            </w:pPr>
            <w:r>
              <w:rPr>
                <w:rFonts w:hint="eastAsia" w:ascii="宋体" w:hAnsi="宋体" w:eastAsia="宋体" w:cs="宋体"/>
                <w:b/>
                <w:bCs/>
                <w:spacing w:val="-7"/>
                <w:sz w:val="21"/>
                <w:szCs w:val="21"/>
              </w:rPr>
              <w:t>表</w:t>
            </w:r>
            <w:r>
              <w:rPr>
                <w:rFonts w:hint="eastAsia" w:ascii="宋体" w:hAnsi="宋体" w:cs="宋体"/>
                <w:b/>
                <w:bCs/>
                <w:spacing w:val="-7"/>
                <w:sz w:val="21"/>
                <w:szCs w:val="21"/>
                <w:lang w:val="en-US" w:eastAsia="zh-CN"/>
              </w:rPr>
              <w:t>4-9</w:t>
            </w:r>
            <w:r>
              <w:rPr>
                <w:rFonts w:hint="eastAsia" w:ascii="宋体" w:hAnsi="宋体" w:eastAsia="宋体" w:cs="宋体"/>
                <w:b/>
                <w:bCs/>
                <w:spacing w:val="9"/>
                <w:sz w:val="21"/>
                <w:szCs w:val="21"/>
                <w:lang w:val="en-US" w:eastAsia="zh-CN"/>
              </w:rPr>
              <w:t xml:space="preserve">  </w:t>
            </w:r>
            <w:r>
              <w:rPr>
                <w:rFonts w:hint="eastAsia" w:ascii="宋体" w:hAnsi="宋体" w:eastAsia="宋体" w:cs="宋体"/>
                <w:b/>
                <w:bCs/>
                <w:spacing w:val="-7"/>
                <w:sz w:val="21"/>
                <w:szCs w:val="21"/>
              </w:rPr>
              <w:t>项目噪声自行监测计划一览表</w:t>
            </w:r>
          </w:p>
          <w:tbl>
            <w:tblPr>
              <w:tblStyle w:val="53"/>
              <w:tblW w:w="4998" w:type="pct"/>
              <w:tblInd w:w="-13"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225"/>
              <w:gridCol w:w="1644"/>
              <w:gridCol w:w="1228"/>
              <w:gridCol w:w="3214"/>
            </w:tblGrid>
            <w:tr w14:paraId="5E0446B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04" w:type="pct"/>
                  <w:tcBorders>
                    <w:tl2br w:val="nil"/>
                    <w:tr2bl w:val="nil"/>
                  </w:tcBorders>
                  <w:vAlign w:val="top"/>
                </w:tcPr>
                <w:p w14:paraId="4801CBDF">
                  <w:pPr>
                    <w:pStyle w:val="52"/>
                    <w:spacing w:before="113" w:line="228" w:lineRule="auto"/>
                    <w:rPr>
                      <w:rFonts w:hint="eastAsia" w:ascii="宋体" w:hAnsi="宋体" w:eastAsia="宋体" w:cs="宋体"/>
                      <w:sz w:val="21"/>
                      <w:szCs w:val="21"/>
                    </w:rPr>
                  </w:pPr>
                  <w:r>
                    <w:rPr>
                      <w:rFonts w:hint="eastAsia" w:ascii="宋体" w:hAnsi="宋体" w:eastAsia="宋体" w:cs="宋体"/>
                      <w:spacing w:val="3"/>
                      <w:sz w:val="21"/>
                      <w:szCs w:val="21"/>
                    </w:rPr>
                    <w:t>项目</w:t>
                  </w:r>
                </w:p>
              </w:tc>
              <w:tc>
                <w:tcPr>
                  <w:tcW w:w="736" w:type="pct"/>
                  <w:tcBorders>
                    <w:tl2br w:val="nil"/>
                    <w:tr2bl w:val="nil"/>
                  </w:tcBorders>
                  <w:vAlign w:val="top"/>
                </w:tcPr>
                <w:p w14:paraId="36112856">
                  <w:pPr>
                    <w:pStyle w:val="52"/>
                    <w:spacing w:before="112" w:line="229" w:lineRule="auto"/>
                    <w:rPr>
                      <w:rFonts w:hint="eastAsia" w:ascii="宋体" w:hAnsi="宋体" w:eastAsia="宋体" w:cs="宋体"/>
                      <w:sz w:val="21"/>
                      <w:szCs w:val="21"/>
                    </w:rPr>
                  </w:pPr>
                  <w:r>
                    <w:rPr>
                      <w:rFonts w:hint="eastAsia" w:ascii="宋体" w:hAnsi="宋体" w:eastAsia="宋体" w:cs="宋体"/>
                      <w:spacing w:val="7"/>
                      <w:sz w:val="21"/>
                      <w:szCs w:val="21"/>
                    </w:rPr>
                    <w:t>监测点位</w:t>
                  </w:r>
                </w:p>
              </w:tc>
              <w:tc>
                <w:tcPr>
                  <w:tcW w:w="988" w:type="pct"/>
                  <w:tcBorders>
                    <w:tl2br w:val="nil"/>
                    <w:tr2bl w:val="nil"/>
                  </w:tcBorders>
                  <w:vAlign w:val="top"/>
                </w:tcPr>
                <w:p w14:paraId="3C428B7C">
                  <w:pPr>
                    <w:pStyle w:val="52"/>
                    <w:spacing w:before="113" w:line="228" w:lineRule="auto"/>
                    <w:rPr>
                      <w:rFonts w:hint="eastAsia" w:ascii="宋体" w:hAnsi="宋体" w:eastAsia="宋体" w:cs="宋体"/>
                      <w:sz w:val="21"/>
                      <w:szCs w:val="21"/>
                    </w:rPr>
                  </w:pPr>
                  <w:r>
                    <w:rPr>
                      <w:rFonts w:hint="eastAsia" w:ascii="宋体" w:hAnsi="宋体" w:eastAsia="宋体" w:cs="宋体"/>
                      <w:spacing w:val="7"/>
                      <w:sz w:val="21"/>
                      <w:szCs w:val="21"/>
                    </w:rPr>
                    <w:t>监测指标</w:t>
                  </w:r>
                </w:p>
              </w:tc>
              <w:tc>
                <w:tcPr>
                  <w:tcW w:w="738" w:type="pct"/>
                  <w:tcBorders>
                    <w:tl2br w:val="nil"/>
                    <w:tr2bl w:val="nil"/>
                  </w:tcBorders>
                  <w:vAlign w:val="top"/>
                </w:tcPr>
                <w:p w14:paraId="723AF409">
                  <w:pPr>
                    <w:pStyle w:val="52"/>
                    <w:spacing w:before="112" w:line="228" w:lineRule="auto"/>
                    <w:rPr>
                      <w:rFonts w:hint="eastAsia" w:ascii="宋体" w:hAnsi="宋体" w:eastAsia="宋体" w:cs="宋体"/>
                      <w:sz w:val="21"/>
                      <w:szCs w:val="21"/>
                    </w:rPr>
                  </w:pPr>
                  <w:r>
                    <w:rPr>
                      <w:rFonts w:hint="eastAsia" w:ascii="宋体" w:hAnsi="宋体" w:eastAsia="宋体" w:cs="宋体"/>
                      <w:spacing w:val="7"/>
                      <w:sz w:val="21"/>
                      <w:szCs w:val="21"/>
                    </w:rPr>
                    <w:t>监测频次</w:t>
                  </w:r>
                </w:p>
              </w:tc>
              <w:tc>
                <w:tcPr>
                  <w:tcW w:w="1932" w:type="pct"/>
                  <w:tcBorders>
                    <w:tl2br w:val="nil"/>
                    <w:tr2bl w:val="nil"/>
                  </w:tcBorders>
                  <w:vAlign w:val="top"/>
                </w:tcPr>
                <w:p w14:paraId="1ACC4F6C">
                  <w:pPr>
                    <w:pStyle w:val="52"/>
                    <w:spacing w:before="112" w:line="228" w:lineRule="auto"/>
                    <w:rPr>
                      <w:rFonts w:hint="eastAsia" w:ascii="宋体" w:hAnsi="宋体" w:eastAsia="宋体" w:cs="宋体"/>
                      <w:sz w:val="21"/>
                      <w:szCs w:val="21"/>
                    </w:rPr>
                  </w:pPr>
                  <w:r>
                    <w:rPr>
                      <w:rFonts w:hint="eastAsia" w:ascii="宋体" w:hAnsi="宋体" w:eastAsia="宋体" w:cs="宋体"/>
                      <w:spacing w:val="8"/>
                      <w:sz w:val="21"/>
                      <w:szCs w:val="21"/>
                    </w:rPr>
                    <w:t>执行排放标准</w:t>
                  </w:r>
                </w:p>
              </w:tc>
            </w:tr>
            <w:tr w14:paraId="5774BE1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604" w:type="pct"/>
                  <w:tcBorders>
                    <w:tl2br w:val="nil"/>
                    <w:tr2bl w:val="nil"/>
                  </w:tcBorders>
                  <w:vAlign w:val="top"/>
                </w:tcPr>
                <w:p w14:paraId="57668BCF">
                  <w:pPr>
                    <w:pStyle w:val="52"/>
                    <w:spacing w:before="113" w:line="228" w:lineRule="auto"/>
                    <w:rPr>
                      <w:rFonts w:hint="eastAsia" w:ascii="宋体" w:hAnsi="宋体" w:eastAsia="宋体" w:cs="宋体"/>
                      <w:spacing w:val="7"/>
                      <w:sz w:val="21"/>
                      <w:szCs w:val="21"/>
                    </w:rPr>
                  </w:pPr>
                  <w:r>
                    <w:rPr>
                      <w:rFonts w:hint="eastAsia" w:ascii="宋体" w:hAnsi="宋体" w:eastAsia="宋体" w:cs="宋体"/>
                      <w:spacing w:val="7"/>
                      <w:sz w:val="21"/>
                      <w:szCs w:val="21"/>
                    </w:rPr>
                    <w:t>噪声</w:t>
                  </w:r>
                </w:p>
              </w:tc>
              <w:tc>
                <w:tcPr>
                  <w:tcW w:w="736" w:type="pct"/>
                  <w:tcBorders>
                    <w:tl2br w:val="nil"/>
                    <w:tr2bl w:val="nil"/>
                  </w:tcBorders>
                  <w:vAlign w:val="top"/>
                </w:tcPr>
                <w:p w14:paraId="5533807B">
                  <w:pPr>
                    <w:pStyle w:val="52"/>
                    <w:spacing w:before="113" w:line="228" w:lineRule="auto"/>
                    <w:rPr>
                      <w:rFonts w:hint="eastAsia" w:ascii="宋体" w:hAnsi="宋体" w:eastAsia="宋体" w:cs="宋体"/>
                      <w:spacing w:val="7"/>
                      <w:sz w:val="21"/>
                      <w:szCs w:val="21"/>
                    </w:rPr>
                  </w:pPr>
                  <w:r>
                    <w:rPr>
                      <w:rFonts w:hint="eastAsia" w:ascii="宋体" w:hAnsi="宋体" w:eastAsia="宋体" w:cs="宋体"/>
                      <w:spacing w:val="7"/>
                      <w:sz w:val="21"/>
                      <w:szCs w:val="21"/>
                    </w:rPr>
                    <w:t>厂界四周</w:t>
                  </w:r>
                </w:p>
              </w:tc>
              <w:tc>
                <w:tcPr>
                  <w:tcW w:w="988" w:type="pct"/>
                  <w:tcBorders>
                    <w:tl2br w:val="nil"/>
                    <w:tr2bl w:val="nil"/>
                  </w:tcBorders>
                  <w:vAlign w:val="top"/>
                </w:tcPr>
                <w:p w14:paraId="1758CB60">
                  <w:pPr>
                    <w:pStyle w:val="52"/>
                    <w:spacing w:before="113" w:line="228" w:lineRule="auto"/>
                    <w:rPr>
                      <w:rFonts w:hint="eastAsia" w:ascii="宋体" w:hAnsi="宋体" w:eastAsia="宋体" w:cs="宋体"/>
                      <w:spacing w:val="7"/>
                      <w:sz w:val="21"/>
                      <w:szCs w:val="21"/>
                    </w:rPr>
                  </w:pPr>
                  <w:r>
                    <w:rPr>
                      <w:rFonts w:hint="eastAsia" w:ascii="宋体" w:hAnsi="宋体" w:eastAsia="宋体" w:cs="宋体"/>
                      <w:spacing w:val="7"/>
                      <w:sz w:val="21"/>
                      <w:szCs w:val="21"/>
                    </w:rPr>
                    <w:t>等效连续A声级</w:t>
                  </w:r>
                </w:p>
              </w:tc>
              <w:tc>
                <w:tcPr>
                  <w:tcW w:w="738" w:type="pct"/>
                  <w:tcBorders>
                    <w:tl2br w:val="nil"/>
                    <w:tr2bl w:val="nil"/>
                  </w:tcBorders>
                  <w:vAlign w:val="top"/>
                </w:tcPr>
                <w:p w14:paraId="672FC220">
                  <w:pPr>
                    <w:pStyle w:val="52"/>
                    <w:spacing w:before="113" w:line="228" w:lineRule="auto"/>
                    <w:rPr>
                      <w:rFonts w:hint="eastAsia" w:ascii="宋体" w:hAnsi="宋体" w:eastAsia="宋体" w:cs="宋体"/>
                      <w:spacing w:val="7"/>
                      <w:sz w:val="21"/>
                      <w:szCs w:val="21"/>
                    </w:rPr>
                  </w:pPr>
                  <w:r>
                    <w:rPr>
                      <w:rFonts w:hint="eastAsia" w:ascii="宋体" w:hAnsi="宋体" w:eastAsia="宋体" w:cs="宋体"/>
                      <w:spacing w:val="7"/>
                      <w:sz w:val="21"/>
                      <w:szCs w:val="21"/>
                    </w:rPr>
                    <w:t>每季度1次</w:t>
                  </w:r>
                </w:p>
              </w:tc>
              <w:tc>
                <w:tcPr>
                  <w:tcW w:w="1932" w:type="pct"/>
                  <w:tcBorders>
                    <w:tl2br w:val="nil"/>
                    <w:tr2bl w:val="nil"/>
                  </w:tcBorders>
                  <w:vAlign w:val="top"/>
                </w:tcPr>
                <w:p w14:paraId="572D7CB3">
                  <w:pPr>
                    <w:pStyle w:val="52"/>
                    <w:spacing w:before="113" w:line="228" w:lineRule="auto"/>
                    <w:jc w:val="left"/>
                    <w:rPr>
                      <w:rFonts w:hint="eastAsia" w:ascii="宋体" w:hAnsi="宋体" w:eastAsia="宋体" w:cs="宋体"/>
                      <w:spacing w:val="7"/>
                      <w:sz w:val="21"/>
                      <w:szCs w:val="21"/>
                    </w:rPr>
                  </w:pPr>
                  <w:r>
                    <w:rPr>
                      <w:rFonts w:hint="eastAsia" w:ascii="宋体" w:hAnsi="宋体" w:eastAsia="宋体" w:cs="宋体"/>
                      <w:spacing w:val="7"/>
                      <w:sz w:val="21"/>
                      <w:szCs w:val="21"/>
                    </w:rPr>
                    <w:t>《工业企业厂界环境噪声排放标准》（GB12348-2008）3类区</w:t>
                  </w:r>
                </w:p>
              </w:tc>
            </w:tr>
          </w:tbl>
          <w:p w14:paraId="6BF52666">
            <w:pPr>
              <w:pStyle w:val="52"/>
              <w:keepNext w:val="0"/>
              <w:keepLines w:val="0"/>
              <w:pageBreakBefore w:val="0"/>
              <w:widowControl w:val="0"/>
              <w:kinsoku/>
              <w:wordWrap/>
              <w:overflowPunct/>
              <w:topLinePunct w:val="0"/>
              <w:autoSpaceDE/>
              <w:autoSpaceDN/>
              <w:bidi w:val="0"/>
              <w:adjustRightInd/>
              <w:snapToGrid/>
              <w:spacing w:line="360" w:lineRule="auto"/>
              <w:ind w:left="131"/>
              <w:textAlignment w:val="auto"/>
              <w:rPr>
                <w:rFonts w:hint="default" w:ascii="宋体" w:hAnsi="宋体" w:eastAsia="宋体" w:cs="宋体"/>
                <w:sz w:val="24"/>
                <w:szCs w:val="24"/>
                <w:lang w:val="en-US" w:eastAsia="zh-CN"/>
              </w:rPr>
            </w:pPr>
            <w:r>
              <w:rPr>
                <w:rFonts w:hint="eastAsia" w:ascii="宋体" w:hAnsi="宋体" w:eastAsia="宋体" w:cs="宋体"/>
                <w:b/>
                <w:bCs/>
                <w:spacing w:val="1"/>
                <w:sz w:val="24"/>
                <w:szCs w:val="24"/>
              </w:rPr>
              <w:t>四、固</w:t>
            </w:r>
            <w:r>
              <w:rPr>
                <w:rFonts w:hint="eastAsia" w:cs="宋体"/>
                <w:b/>
                <w:bCs/>
                <w:spacing w:val="1"/>
                <w:sz w:val="24"/>
                <w:szCs w:val="24"/>
                <w:lang w:eastAsia="zh-CN"/>
              </w:rPr>
              <w:t>体</w:t>
            </w:r>
            <w:r>
              <w:rPr>
                <w:rFonts w:hint="eastAsia" w:ascii="宋体" w:hAnsi="宋体" w:eastAsia="宋体" w:cs="宋体"/>
                <w:b/>
                <w:bCs/>
                <w:spacing w:val="1"/>
                <w:sz w:val="24"/>
                <w:szCs w:val="24"/>
              </w:rPr>
              <w:t>废</w:t>
            </w:r>
            <w:r>
              <w:rPr>
                <w:rFonts w:hint="eastAsia" w:cs="宋体"/>
                <w:b/>
                <w:bCs/>
                <w:spacing w:val="1"/>
                <w:sz w:val="24"/>
                <w:szCs w:val="24"/>
                <w:lang w:val="en-US" w:eastAsia="zh-CN"/>
              </w:rPr>
              <w:t>物</w:t>
            </w:r>
          </w:p>
          <w:p w14:paraId="5C565BED">
            <w:pPr>
              <w:pStyle w:val="52"/>
              <w:keepNext w:val="0"/>
              <w:keepLines w:val="0"/>
              <w:pageBreakBefore w:val="0"/>
              <w:widowControl w:val="0"/>
              <w:kinsoku/>
              <w:wordWrap/>
              <w:overflowPunct/>
              <w:topLinePunct w:val="0"/>
              <w:autoSpaceDE/>
              <w:autoSpaceDN/>
              <w:bidi w:val="0"/>
              <w:adjustRightInd/>
              <w:snapToGrid/>
              <w:spacing w:line="360" w:lineRule="auto"/>
              <w:ind w:left="548"/>
              <w:textAlignment w:val="auto"/>
              <w:rPr>
                <w:rFonts w:hint="eastAsia" w:ascii="宋体" w:hAnsi="宋体" w:eastAsia="宋体" w:cs="宋体"/>
                <w:sz w:val="24"/>
                <w:szCs w:val="24"/>
              </w:rPr>
            </w:pPr>
            <w:r>
              <w:rPr>
                <w:rFonts w:hint="eastAsia" w:ascii="宋体" w:hAnsi="宋体" w:eastAsia="宋体" w:cs="宋体"/>
                <w:spacing w:val="6"/>
                <w:sz w:val="24"/>
                <w:szCs w:val="24"/>
              </w:rPr>
              <w:t>1、项目固体废物产生与排放情况</w:t>
            </w:r>
          </w:p>
          <w:p w14:paraId="0FE30F1F">
            <w:pPr>
              <w:pStyle w:val="52"/>
              <w:keepNext w:val="0"/>
              <w:keepLines w:val="0"/>
              <w:pageBreakBefore w:val="0"/>
              <w:widowControl w:val="0"/>
              <w:kinsoku/>
              <w:wordWrap/>
              <w:overflowPunct/>
              <w:topLinePunct w:val="0"/>
              <w:autoSpaceDE/>
              <w:autoSpaceDN/>
              <w:bidi w:val="0"/>
              <w:adjustRightInd/>
              <w:snapToGrid/>
              <w:spacing w:line="360" w:lineRule="auto"/>
              <w:ind w:right="110" w:firstLine="516" w:firstLineChars="200"/>
              <w:textAlignment w:val="auto"/>
              <w:rPr>
                <w:rFonts w:hint="eastAsia" w:ascii="宋体" w:hAnsi="宋体" w:eastAsia="宋体" w:cs="宋体"/>
                <w:sz w:val="24"/>
                <w:szCs w:val="24"/>
              </w:rPr>
            </w:pPr>
            <w:r>
              <w:rPr>
                <w:rFonts w:hint="eastAsia" w:cs="宋体"/>
                <w:color w:val="0000FF"/>
                <w:spacing w:val="9"/>
                <w:sz w:val="24"/>
                <w:szCs w:val="24"/>
                <w:u w:val="single"/>
                <w:lang w:eastAsia="zh-CN"/>
              </w:rPr>
              <w:t>本项目设备以罐类以泵类居多，厂区内不设置机修车间，设备维修由专业人员上门服务，维修过程产生的污染物由专业人员随产随清，厂区内无危废产生。</w:t>
            </w:r>
            <w:r>
              <w:rPr>
                <w:rFonts w:hint="eastAsia" w:ascii="宋体" w:hAnsi="宋体" w:eastAsia="宋体" w:cs="宋体"/>
                <w:spacing w:val="9"/>
                <w:sz w:val="24"/>
                <w:szCs w:val="24"/>
              </w:rPr>
              <w:t>本项目产生的固体废物主要为一般固体废物，包括</w:t>
            </w:r>
            <w:r>
              <w:rPr>
                <w:rFonts w:hint="eastAsia" w:ascii="宋体" w:hAnsi="宋体" w:eastAsia="宋体" w:cs="宋体"/>
                <w:spacing w:val="9"/>
                <w:sz w:val="24"/>
                <w:szCs w:val="24"/>
                <w:lang w:val="en-US" w:eastAsia="zh-CN"/>
              </w:rPr>
              <w:t>废</w:t>
            </w:r>
            <w:r>
              <w:rPr>
                <w:rFonts w:hint="eastAsia" w:ascii="宋体" w:hAnsi="宋体" w:eastAsia="宋体" w:cs="宋体"/>
                <w:spacing w:val="9"/>
                <w:sz w:val="24"/>
                <w:szCs w:val="24"/>
              </w:rPr>
              <w:t>布袋、</w:t>
            </w:r>
            <w:r>
              <w:rPr>
                <w:rFonts w:hint="eastAsia" w:ascii="宋体" w:hAnsi="宋体" w:eastAsia="宋体" w:cs="宋体"/>
                <w:spacing w:val="9"/>
                <w:sz w:val="24"/>
                <w:szCs w:val="24"/>
                <w:lang w:val="en-US" w:eastAsia="zh-CN"/>
              </w:rPr>
              <w:t>除尘器</w:t>
            </w:r>
            <w:r>
              <w:rPr>
                <w:rFonts w:hint="eastAsia" w:ascii="宋体" w:hAnsi="宋体" w:eastAsia="宋体" w:cs="宋体"/>
                <w:spacing w:val="9"/>
                <w:sz w:val="24"/>
                <w:szCs w:val="24"/>
              </w:rPr>
              <w:t>尘、筛分工序产生的杂质、废包装袋与废包装桶、污水处理污泥</w:t>
            </w:r>
            <w:r>
              <w:rPr>
                <w:rFonts w:hint="eastAsia" w:cs="宋体"/>
                <w:spacing w:val="9"/>
                <w:sz w:val="24"/>
                <w:szCs w:val="24"/>
                <w:lang w:eastAsia="zh-CN"/>
              </w:rPr>
              <w:t>、沉淀物</w:t>
            </w:r>
            <w:r>
              <w:rPr>
                <w:rFonts w:hint="eastAsia" w:ascii="宋体" w:hAnsi="宋体" w:eastAsia="宋体" w:cs="宋体"/>
                <w:spacing w:val="9"/>
                <w:sz w:val="24"/>
                <w:szCs w:val="24"/>
              </w:rPr>
              <w:t>及员工生活垃圾。</w:t>
            </w:r>
          </w:p>
          <w:p w14:paraId="0F48F51B">
            <w:pPr>
              <w:pStyle w:val="52"/>
              <w:keepNext w:val="0"/>
              <w:keepLines w:val="0"/>
              <w:pageBreakBefore w:val="0"/>
              <w:widowControl w:val="0"/>
              <w:kinsoku/>
              <w:wordWrap/>
              <w:overflowPunct/>
              <w:topLinePunct w:val="0"/>
              <w:autoSpaceDE/>
              <w:autoSpaceDN/>
              <w:bidi w:val="0"/>
              <w:adjustRightInd/>
              <w:snapToGrid/>
              <w:spacing w:line="360" w:lineRule="auto"/>
              <w:ind w:left="616"/>
              <w:textAlignment w:val="auto"/>
              <w:rPr>
                <w:rFonts w:hint="eastAsia" w:ascii="宋体" w:hAnsi="宋体" w:eastAsia="宋体" w:cs="宋体"/>
                <w:sz w:val="24"/>
                <w:szCs w:val="24"/>
                <w:lang w:eastAsia="zh-CN"/>
              </w:rPr>
            </w:pPr>
            <w:r>
              <w:rPr>
                <w:rFonts w:hint="eastAsia" w:ascii="宋体" w:hAnsi="宋体" w:eastAsia="宋体" w:cs="宋体"/>
                <w:spacing w:val="7"/>
                <w:sz w:val="24"/>
                <w:szCs w:val="24"/>
              </w:rPr>
              <w:t>（1）除尘器收尘</w:t>
            </w:r>
            <w:r>
              <w:rPr>
                <w:rFonts w:hint="eastAsia" w:cs="宋体"/>
                <w:spacing w:val="7"/>
                <w:sz w:val="24"/>
                <w:szCs w:val="24"/>
                <w:lang w:eastAsia="zh-CN"/>
              </w:rPr>
              <w:t>（回收粉尘）</w:t>
            </w:r>
          </w:p>
          <w:p w14:paraId="7139E92B">
            <w:pPr>
              <w:pStyle w:val="52"/>
              <w:keepNext w:val="0"/>
              <w:keepLines w:val="0"/>
              <w:pageBreakBefore w:val="0"/>
              <w:widowControl w:val="0"/>
              <w:kinsoku/>
              <w:wordWrap/>
              <w:overflowPunct/>
              <w:topLinePunct w:val="0"/>
              <w:autoSpaceDE/>
              <w:autoSpaceDN/>
              <w:bidi w:val="0"/>
              <w:adjustRightInd/>
              <w:snapToGrid/>
              <w:spacing w:line="360" w:lineRule="auto"/>
              <w:ind w:right="110" w:firstLine="524" w:firstLineChars="200"/>
              <w:textAlignment w:val="auto"/>
              <w:rPr>
                <w:rFonts w:hint="eastAsia" w:ascii="宋体" w:hAnsi="宋体" w:eastAsia="宋体" w:cs="宋体"/>
                <w:sz w:val="24"/>
                <w:szCs w:val="24"/>
              </w:rPr>
            </w:pPr>
            <w:r>
              <w:rPr>
                <w:rFonts w:hint="eastAsia" w:cs="宋体"/>
                <w:spacing w:val="11"/>
                <w:sz w:val="24"/>
                <w:szCs w:val="24"/>
                <w:lang w:val="en-US" w:eastAsia="zh-CN"/>
              </w:rPr>
              <w:t>筛分采用布袋除尘器，</w:t>
            </w:r>
            <w:r>
              <w:rPr>
                <w:rFonts w:hint="eastAsia" w:ascii="宋体" w:hAnsi="宋体" w:eastAsia="宋体" w:cs="宋体"/>
                <w:spacing w:val="11"/>
                <w:sz w:val="24"/>
                <w:szCs w:val="24"/>
              </w:rPr>
              <w:t>根据布袋除尘器除尘效率可知，布袋除尘器收集的粉尘量为</w:t>
            </w:r>
            <w:r>
              <w:rPr>
                <w:rFonts w:hint="eastAsia" w:ascii="宋体" w:hAnsi="宋体" w:eastAsia="宋体" w:cs="宋体"/>
                <w:spacing w:val="11"/>
                <w:sz w:val="24"/>
                <w:szCs w:val="24"/>
                <w:lang w:val="en-US" w:eastAsia="zh-CN"/>
              </w:rPr>
              <w:t>8.64</w:t>
            </w:r>
            <w:r>
              <w:rPr>
                <w:rFonts w:hint="eastAsia" w:ascii="宋体" w:hAnsi="宋体" w:eastAsia="宋体" w:cs="宋体"/>
                <w:spacing w:val="11"/>
                <w:sz w:val="24"/>
                <w:szCs w:val="24"/>
              </w:rPr>
              <w:t>t/a</w:t>
            </w:r>
            <w:r>
              <w:rPr>
                <w:rFonts w:hint="eastAsia" w:ascii="宋体" w:hAnsi="宋体" w:eastAsia="宋体" w:cs="宋体"/>
                <w:spacing w:val="10"/>
                <w:sz w:val="24"/>
                <w:szCs w:val="24"/>
                <w:lang w:eastAsia="zh-CN"/>
              </w:rPr>
              <w:t>，</w:t>
            </w:r>
            <w:r>
              <w:rPr>
                <w:rFonts w:hint="eastAsia" w:cs="宋体"/>
                <w:spacing w:val="7"/>
                <w:sz w:val="24"/>
                <w:szCs w:val="24"/>
                <w:lang w:eastAsia="zh-CN"/>
              </w:rPr>
              <w:t>可回用于生产</w:t>
            </w:r>
            <w:r>
              <w:rPr>
                <w:rFonts w:hint="eastAsia" w:ascii="宋体" w:hAnsi="宋体" w:eastAsia="宋体" w:cs="宋体"/>
                <w:spacing w:val="7"/>
                <w:sz w:val="24"/>
                <w:szCs w:val="24"/>
              </w:rPr>
              <w:t>。</w:t>
            </w:r>
          </w:p>
          <w:p w14:paraId="5FF7BFFF">
            <w:pPr>
              <w:pStyle w:val="52"/>
              <w:keepNext w:val="0"/>
              <w:keepLines w:val="0"/>
              <w:pageBreakBefore w:val="0"/>
              <w:widowControl w:val="0"/>
              <w:kinsoku/>
              <w:wordWrap/>
              <w:overflowPunct/>
              <w:topLinePunct w:val="0"/>
              <w:autoSpaceDE/>
              <w:autoSpaceDN/>
              <w:bidi w:val="0"/>
              <w:adjustRightInd/>
              <w:snapToGrid/>
              <w:spacing w:line="360" w:lineRule="auto"/>
              <w:ind w:left="602"/>
              <w:textAlignment w:val="auto"/>
              <w:rPr>
                <w:rFonts w:hint="eastAsia" w:ascii="宋体" w:hAnsi="宋体" w:eastAsia="宋体" w:cs="宋体"/>
                <w:sz w:val="24"/>
                <w:szCs w:val="24"/>
                <w:lang w:eastAsia="zh-CN"/>
              </w:rPr>
            </w:pPr>
            <w:r>
              <w:rPr>
                <w:rFonts w:hint="eastAsia" w:ascii="宋体" w:hAnsi="宋体" w:eastAsia="宋体" w:cs="宋体"/>
                <w:spacing w:val="8"/>
                <w:sz w:val="24"/>
                <w:szCs w:val="24"/>
              </w:rPr>
              <w:t>（2）筛分工序产生的杂质</w:t>
            </w:r>
            <w:r>
              <w:rPr>
                <w:rFonts w:hint="eastAsia" w:cs="宋体"/>
                <w:spacing w:val="8"/>
                <w:sz w:val="24"/>
                <w:szCs w:val="24"/>
                <w:lang w:eastAsia="zh-CN"/>
              </w:rPr>
              <w:t>（</w:t>
            </w:r>
            <w:r>
              <w:rPr>
                <w:rFonts w:hint="eastAsia" w:ascii="宋体" w:hAnsi="宋体" w:eastAsia="宋体" w:cs="宋体"/>
                <w:spacing w:val="8"/>
                <w:sz w:val="24"/>
                <w:szCs w:val="24"/>
              </w:rPr>
              <w:t>筛分石墨渣</w:t>
            </w:r>
            <w:r>
              <w:rPr>
                <w:rFonts w:hint="eastAsia" w:ascii="宋体" w:hAnsi="宋体" w:eastAsia="宋体" w:cs="宋体"/>
                <w:spacing w:val="8"/>
                <w:sz w:val="24"/>
                <w:szCs w:val="24"/>
                <w:lang w:eastAsia="zh-CN"/>
              </w:rPr>
              <w:t>）</w:t>
            </w:r>
          </w:p>
          <w:p w14:paraId="57FE5CEE">
            <w:pPr>
              <w:pStyle w:val="52"/>
              <w:keepNext w:val="0"/>
              <w:keepLines w:val="0"/>
              <w:pageBreakBefore w:val="0"/>
              <w:widowControl w:val="0"/>
              <w:kinsoku/>
              <w:wordWrap/>
              <w:overflowPunct/>
              <w:topLinePunct w:val="0"/>
              <w:autoSpaceDE/>
              <w:autoSpaceDN/>
              <w:bidi w:val="0"/>
              <w:adjustRightInd/>
              <w:snapToGrid/>
              <w:spacing w:line="360" w:lineRule="auto"/>
              <w:ind w:right="110" w:firstLine="512" w:firstLineChars="200"/>
              <w:textAlignment w:val="auto"/>
              <w:rPr>
                <w:rFonts w:hint="eastAsia" w:ascii="宋体" w:hAnsi="宋体" w:eastAsia="宋体" w:cs="宋体"/>
                <w:sz w:val="24"/>
                <w:szCs w:val="24"/>
              </w:rPr>
            </w:pPr>
            <w:r>
              <w:rPr>
                <w:rFonts w:hint="eastAsia" w:ascii="宋体" w:hAnsi="宋体" w:eastAsia="宋体" w:cs="宋体"/>
                <w:spacing w:val="8"/>
                <w:sz w:val="24"/>
                <w:szCs w:val="24"/>
              </w:rPr>
              <w:t>筛分机筛上物为杂质，根据建设单位提供生产经验数据约产</w:t>
            </w:r>
            <w:r>
              <w:rPr>
                <w:rFonts w:hint="eastAsia" w:ascii="宋体" w:hAnsi="宋体" w:eastAsia="宋体" w:cs="宋体"/>
                <w:spacing w:val="7"/>
                <w:sz w:val="24"/>
                <w:szCs w:val="24"/>
              </w:rPr>
              <w:t>生量占总产品量的</w:t>
            </w:r>
            <w:r>
              <w:rPr>
                <w:rFonts w:hint="eastAsia" w:ascii="宋体" w:hAnsi="宋体" w:eastAsia="宋体" w:cs="宋体"/>
                <w:spacing w:val="-34"/>
                <w:sz w:val="24"/>
                <w:szCs w:val="24"/>
              </w:rPr>
              <w:t xml:space="preserve"> </w:t>
            </w:r>
            <w:r>
              <w:rPr>
                <w:rFonts w:hint="eastAsia" w:cs="宋体"/>
                <w:spacing w:val="7"/>
                <w:sz w:val="24"/>
                <w:szCs w:val="24"/>
                <w:lang w:val="en-US" w:eastAsia="zh-CN"/>
              </w:rPr>
              <w:t>1</w:t>
            </w:r>
            <w:r>
              <w:rPr>
                <w:rFonts w:hint="eastAsia" w:ascii="宋体" w:hAnsi="宋体" w:eastAsia="宋体" w:cs="宋体"/>
                <w:spacing w:val="7"/>
                <w:sz w:val="24"/>
                <w:szCs w:val="24"/>
              </w:rPr>
              <w:t>%，产生量为</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50t/a，</w:t>
            </w:r>
            <w:r>
              <w:rPr>
                <w:rFonts w:hint="eastAsia" w:cs="宋体"/>
                <w:spacing w:val="7"/>
                <w:sz w:val="24"/>
                <w:szCs w:val="24"/>
                <w:lang w:eastAsia="zh-CN"/>
              </w:rPr>
              <w:t>可回用于生产</w:t>
            </w:r>
            <w:r>
              <w:rPr>
                <w:rFonts w:hint="eastAsia" w:ascii="宋体" w:hAnsi="宋体" w:eastAsia="宋体" w:cs="宋体"/>
                <w:spacing w:val="7"/>
                <w:sz w:val="24"/>
                <w:szCs w:val="24"/>
              </w:rPr>
              <w:t>。</w:t>
            </w:r>
          </w:p>
          <w:p w14:paraId="0E1D861F">
            <w:pPr>
              <w:pStyle w:val="52"/>
              <w:keepNext w:val="0"/>
              <w:keepLines w:val="0"/>
              <w:pageBreakBefore w:val="0"/>
              <w:widowControl w:val="0"/>
              <w:kinsoku/>
              <w:wordWrap/>
              <w:overflowPunct/>
              <w:topLinePunct w:val="0"/>
              <w:autoSpaceDE/>
              <w:autoSpaceDN/>
              <w:bidi w:val="0"/>
              <w:adjustRightInd/>
              <w:snapToGrid/>
              <w:spacing w:line="360" w:lineRule="auto"/>
              <w:ind w:left="602"/>
              <w:textAlignment w:val="auto"/>
              <w:rPr>
                <w:rFonts w:hint="eastAsia" w:ascii="宋体" w:hAnsi="宋体" w:eastAsia="宋体" w:cs="宋体"/>
                <w:sz w:val="24"/>
                <w:szCs w:val="24"/>
              </w:rPr>
            </w:pPr>
            <w:r>
              <w:rPr>
                <w:rFonts w:hint="eastAsia" w:ascii="宋体" w:hAnsi="宋体" w:eastAsia="宋体" w:cs="宋体"/>
                <w:spacing w:val="6"/>
                <w:sz w:val="24"/>
                <w:szCs w:val="24"/>
              </w:rPr>
              <w:t>（3）废包装袋</w:t>
            </w:r>
          </w:p>
          <w:p w14:paraId="4370F9C5">
            <w:pPr>
              <w:pStyle w:val="52"/>
              <w:keepNext w:val="0"/>
              <w:keepLines w:val="0"/>
              <w:pageBreakBefore w:val="0"/>
              <w:widowControl w:val="0"/>
              <w:kinsoku/>
              <w:wordWrap/>
              <w:overflowPunct/>
              <w:topLinePunct w:val="0"/>
              <w:autoSpaceDE/>
              <w:autoSpaceDN/>
              <w:bidi w:val="0"/>
              <w:adjustRightInd/>
              <w:snapToGrid/>
              <w:spacing w:line="360" w:lineRule="auto"/>
              <w:ind w:left="128" w:right="107" w:firstLine="479"/>
              <w:textAlignment w:val="auto"/>
              <w:rPr>
                <w:rFonts w:hint="eastAsia" w:ascii="宋体" w:hAnsi="宋体" w:eastAsia="宋体" w:cs="宋体"/>
                <w:sz w:val="24"/>
                <w:szCs w:val="24"/>
              </w:rPr>
            </w:pPr>
            <w:r>
              <w:rPr>
                <w:rFonts w:hint="eastAsia" w:ascii="宋体" w:hAnsi="宋体" w:eastAsia="宋体" w:cs="宋体"/>
                <w:spacing w:val="9"/>
                <w:sz w:val="24"/>
                <w:szCs w:val="24"/>
              </w:rPr>
              <w:t>主要为</w:t>
            </w:r>
            <w:r>
              <w:rPr>
                <w:rFonts w:hint="eastAsia" w:ascii="宋体" w:hAnsi="宋体" w:eastAsia="宋体" w:cs="宋体"/>
                <w:spacing w:val="9"/>
                <w:sz w:val="24"/>
                <w:szCs w:val="24"/>
                <w:lang w:val="en-US" w:eastAsia="zh-CN"/>
              </w:rPr>
              <w:t>氢氧化钙</w:t>
            </w:r>
            <w:r>
              <w:rPr>
                <w:rFonts w:hint="eastAsia" w:cs="宋体"/>
                <w:spacing w:val="9"/>
                <w:sz w:val="24"/>
                <w:szCs w:val="24"/>
                <w:lang w:val="en-US" w:eastAsia="zh-CN"/>
              </w:rPr>
              <w:t>和氢氧化钠</w:t>
            </w:r>
            <w:r>
              <w:rPr>
                <w:rFonts w:hint="eastAsia" w:ascii="宋体" w:hAnsi="宋体" w:eastAsia="宋体" w:cs="宋体"/>
                <w:spacing w:val="9"/>
                <w:sz w:val="24"/>
                <w:szCs w:val="24"/>
              </w:rPr>
              <w:t>外包装和石墨原料废包装物，</w:t>
            </w:r>
            <w:r>
              <w:rPr>
                <w:rFonts w:hint="eastAsia" w:cs="宋体"/>
                <w:spacing w:val="9"/>
                <w:sz w:val="24"/>
                <w:szCs w:val="24"/>
                <w:lang w:val="en-US" w:eastAsia="zh-CN"/>
              </w:rPr>
              <w:t>厂家回收</w:t>
            </w:r>
            <w:r>
              <w:rPr>
                <w:rFonts w:hint="eastAsia" w:ascii="宋体" w:hAnsi="宋体" w:eastAsia="宋体" w:cs="宋体"/>
                <w:spacing w:val="3"/>
                <w:sz w:val="24"/>
                <w:szCs w:val="24"/>
              </w:rPr>
              <w:t>。</w:t>
            </w:r>
          </w:p>
          <w:p w14:paraId="7A43283A">
            <w:pPr>
              <w:pStyle w:val="52"/>
              <w:keepNext w:val="0"/>
              <w:keepLines w:val="0"/>
              <w:pageBreakBefore w:val="0"/>
              <w:widowControl w:val="0"/>
              <w:kinsoku/>
              <w:wordWrap/>
              <w:overflowPunct/>
              <w:topLinePunct w:val="0"/>
              <w:autoSpaceDE/>
              <w:autoSpaceDN/>
              <w:bidi w:val="0"/>
              <w:adjustRightInd/>
              <w:snapToGrid/>
              <w:spacing w:line="360" w:lineRule="auto"/>
              <w:ind w:left="604"/>
              <w:textAlignment w:val="auto"/>
              <w:rPr>
                <w:rFonts w:hint="eastAsia" w:ascii="宋体" w:hAnsi="宋体" w:eastAsia="宋体" w:cs="宋体"/>
                <w:sz w:val="24"/>
                <w:szCs w:val="24"/>
              </w:rPr>
            </w:pPr>
            <w:r>
              <w:rPr>
                <w:rFonts w:hint="eastAsia" w:ascii="宋体" w:hAnsi="宋体" w:eastAsia="宋体" w:cs="宋体"/>
                <w:spacing w:val="8"/>
                <w:sz w:val="24"/>
                <w:szCs w:val="24"/>
              </w:rPr>
              <w:t>（4）</w:t>
            </w:r>
            <w:r>
              <w:rPr>
                <w:rFonts w:hint="eastAsia" w:cs="宋体"/>
                <w:spacing w:val="8"/>
                <w:sz w:val="24"/>
                <w:szCs w:val="24"/>
                <w:lang w:val="en-US" w:eastAsia="zh-CN"/>
              </w:rPr>
              <w:t>污水处理</w:t>
            </w:r>
            <w:r>
              <w:rPr>
                <w:rFonts w:hint="eastAsia" w:ascii="宋体" w:hAnsi="宋体" w:eastAsia="宋体" w:cs="宋体"/>
                <w:spacing w:val="8"/>
                <w:sz w:val="24"/>
                <w:szCs w:val="24"/>
              </w:rPr>
              <w:t>污泥泥饼</w:t>
            </w:r>
          </w:p>
          <w:p w14:paraId="40D9B7B9">
            <w:pPr>
              <w:pStyle w:val="52"/>
              <w:keepNext w:val="0"/>
              <w:keepLines w:val="0"/>
              <w:pageBreakBefore w:val="0"/>
              <w:widowControl w:val="0"/>
              <w:kinsoku/>
              <w:wordWrap/>
              <w:overflowPunct/>
              <w:topLinePunct w:val="0"/>
              <w:autoSpaceDE/>
              <w:autoSpaceDN/>
              <w:bidi w:val="0"/>
              <w:adjustRightInd/>
              <w:snapToGrid/>
              <w:spacing w:line="360" w:lineRule="auto"/>
              <w:ind w:left="113" w:right="108" w:firstLine="420"/>
              <w:textAlignment w:val="auto"/>
              <w:rPr>
                <w:rFonts w:hint="eastAsia" w:ascii="宋体" w:hAnsi="宋体" w:eastAsia="宋体" w:cs="宋体"/>
                <w:spacing w:val="8"/>
                <w:sz w:val="24"/>
                <w:szCs w:val="24"/>
              </w:rPr>
            </w:pPr>
            <w:r>
              <w:rPr>
                <w:rFonts w:hint="eastAsia" w:ascii="宋体" w:hAnsi="宋体" w:eastAsia="宋体" w:cs="宋体"/>
                <w:spacing w:val="11"/>
                <w:sz w:val="24"/>
                <w:szCs w:val="24"/>
              </w:rPr>
              <w:t>本项目生产废水经污水处理车间中和沉淀压滤后的污泥泥饼主要成分为硫酸钙</w:t>
            </w:r>
            <w:r>
              <w:rPr>
                <w:rFonts w:hint="eastAsia" w:ascii="宋体" w:hAnsi="宋体" w:eastAsia="宋体" w:cs="宋体"/>
                <w:spacing w:val="8"/>
                <w:sz w:val="24"/>
                <w:szCs w:val="24"/>
              </w:rPr>
              <w:t>，产生量约为（</w:t>
            </w:r>
            <w:r>
              <w:rPr>
                <w:rFonts w:hint="eastAsia" w:cs="宋体"/>
                <w:spacing w:val="8"/>
                <w:sz w:val="24"/>
                <w:szCs w:val="24"/>
                <w:lang w:val="en-US" w:eastAsia="zh-CN"/>
              </w:rPr>
              <w:t>2.3</w:t>
            </w:r>
            <w:r>
              <w:rPr>
                <w:rFonts w:hint="eastAsia" w:ascii="宋体" w:hAnsi="宋体" w:eastAsia="宋体" w:cs="宋体"/>
                <w:spacing w:val="8"/>
                <w:sz w:val="24"/>
                <w:szCs w:val="24"/>
              </w:rPr>
              <w:t>t/d）</w:t>
            </w:r>
            <w:r>
              <w:rPr>
                <w:rFonts w:hint="eastAsia" w:cs="宋体"/>
                <w:spacing w:val="8"/>
                <w:sz w:val="24"/>
                <w:szCs w:val="24"/>
                <w:lang w:val="en-US" w:eastAsia="zh-CN"/>
              </w:rPr>
              <w:t>690.6257</w:t>
            </w:r>
            <w:r>
              <w:rPr>
                <w:rFonts w:hint="eastAsia" w:ascii="宋体" w:hAnsi="宋体" w:eastAsia="宋体" w:cs="宋体"/>
                <w:spacing w:val="8"/>
                <w:sz w:val="24"/>
                <w:szCs w:val="24"/>
              </w:rPr>
              <w:t>t/a</w:t>
            </w:r>
            <w:r>
              <w:rPr>
                <w:rFonts w:hint="eastAsia" w:ascii="宋体" w:hAnsi="宋体" w:eastAsia="宋体" w:cs="宋体"/>
                <w:spacing w:val="-21"/>
                <w:sz w:val="24"/>
                <w:szCs w:val="24"/>
              </w:rPr>
              <w:t xml:space="preserve"> </w:t>
            </w:r>
            <w:r>
              <w:rPr>
                <w:rFonts w:hint="eastAsia" w:ascii="宋体" w:hAnsi="宋体" w:eastAsia="宋体" w:cs="宋体"/>
                <w:spacing w:val="8"/>
                <w:sz w:val="24"/>
                <w:szCs w:val="24"/>
              </w:rPr>
              <w:t>，</w:t>
            </w:r>
            <w:r>
              <w:rPr>
                <w:rFonts w:hint="eastAsia" w:cs="宋体"/>
                <w:spacing w:val="8"/>
                <w:sz w:val="24"/>
                <w:szCs w:val="24"/>
                <w:lang w:val="en-US" w:eastAsia="zh-CN"/>
              </w:rPr>
              <w:t>含水率为30%，</w:t>
            </w:r>
            <w:r>
              <w:rPr>
                <w:rFonts w:hint="eastAsia" w:ascii="宋体" w:hAnsi="宋体" w:eastAsia="宋体" w:cs="宋体"/>
                <w:spacing w:val="8"/>
                <w:sz w:val="24"/>
                <w:szCs w:val="24"/>
              </w:rPr>
              <w:t>污泥泥饼密封封装，暂存于污水处</w:t>
            </w:r>
            <w:r>
              <w:rPr>
                <w:rFonts w:hint="eastAsia" w:ascii="宋体" w:hAnsi="宋体" w:eastAsia="宋体" w:cs="宋体"/>
                <w:spacing w:val="11"/>
                <w:sz w:val="24"/>
                <w:szCs w:val="24"/>
              </w:rPr>
              <w:t>理车间内。根据《国家危险废物名录》判定污水站产生的污泥不属于危险废物，作为建筑材</w:t>
            </w:r>
            <w:r>
              <w:rPr>
                <w:rFonts w:hint="eastAsia" w:ascii="宋体" w:hAnsi="宋体" w:eastAsia="宋体" w:cs="宋体"/>
                <w:spacing w:val="8"/>
                <w:sz w:val="24"/>
                <w:szCs w:val="24"/>
              </w:rPr>
              <w:t>料外售或送一般工业固废填埋场均可。</w:t>
            </w:r>
          </w:p>
          <w:p w14:paraId="4DBEE3CA">
            <w:pPr>
              <w:pStyle w:val="52"/>
              <w:keepNext w:val="0"/>
              <w:keepLines w:val="0"/>
              <w:pageBreakBefore w:val="0"/>
              <w:widowControl w:val="0"/>
              <w:kinsoku/>
              <w:wordWrap/>
              <w:overflowPunct/>
              <w:topLinePunct w:val="0"/>
              <w:autoSpaceDE/>
              <w:autoSpaceDN/>
              <w:bidi w:val="0"/>
              <w:adjustRightInd/>
              <w:snapToGrid/>
              <w:spacing w:line="360" w:lineRule="auto"/>
              <w:ind w:left="113" w:right="108" w:firstLine="420"/>
              <w:textAlignment w:val="auto"/>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w:t>
            </w:r>
            <w:r>
              <w:rPr>
                <w:rFonts w:hint="eastAsia" w:cs="宋体"/>
                <w:spacing w:val="8"/>
                <w:sz w:val="24"/>
                <w:szCs w:val="24"/>
                <w:lang w:val="en-US" w:eastAsia="zh-CN"/>
              </w:rPr>
              <w:t>脱酸中和</w:t>
            </w:r>
            <w:r>
              <w:rPr>
                <w:rFonts w:hint="eastAsia" w:ascii="宋体" w:hAnsi="宋体" w:eastAsia="宋体" w:cs="宋体"/>
                <w:spacing w:val="8"/>
                <w:sz w:val="24"/>
                <w:szCs w:val="24"/>
                <w:lang w:val="en-US" w:eastAsia="zh-CN"/>
              </w:rPr>
              <w:t>硫酸钙</w:t>
            </w:r>
            <w:r>
              <w:rPr>
                <w:rFonts w:hint="eastAsia" w:cs="宋体"/>
                <w:spacing w:val="8"/>
                <w:sz w:val="24"/>
                <w:szCs w:val="24"/>
                <w:lang w:val="en-US" w:eastAsia="zh-CN"/>
              </w:rPr>
              <w:t>（沉淀物）</w:t>
            </w:r>
          </w:p>
          <w:p w14:paraId="49114273">
            <w:pPr>
              <w:pStyle w:val="52"/>
              <w:keepNext w:val="0"/>
              <w:keepLines w:val="0"/>
              <w:pageBreakBefore w:val="0"/>
              <w:widowControl w:val="0"/>
              <w:kinsoku/>
              <w:wordWrap/>
              <w:overflowPunct/>
              <w:topLinePunct w:val="0"/>
              <w:autoSpaceDE/>
              <w:autoSpaceDN/>
              <w:bidi w:val="0"/>
              <w:adjustRightInd/>
              <w:snapToGrid/>
              <w:spacing w:line="360" w:lineRule="auto"/>
              <w:ind w:left="113" w:right="108" w:firstLine="420"/>
              <w:textAlignment w:val="auto"/>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脱酸工序产生的质量分数低于95%的硫酸，经独立管道排入污水处理车间内的沉淀罐内，CaSO4产生量为14.78吨/天（4434吨/年），90%是废酸中和反应所得（含水率20%），10%是酸洗废水中和所得（含水率30-40%，本项目取34%）</w:t>
            </w:r>
            <w:r>
              <w:rPr>
                <w:rFonts w:hint="eastAsia" w:ascii="宋体" w:hAnsi="宋体" w:eastAsia="宋体" w:cs="宋体"/>
                <w:spacing w:val="8"/>
                <w:sz w:val="24"/>
                <w:szCs w:val="24"/>
              </w:rPr>
              <w:t>，暂存于</w:t>
            </w:r>
            <w:r>
              <w:rPr>
                <w:rFonts w:hint="eastAsia" w:ascii="宋体" w:hAnsi="宋体" w:eastAsia="宋体" w:cs="宋体"/>
                <w:spacing w:val="8"/>
                <w:sz w:val="24"/>
                <w:szCs w:val="24"/>
                <w:lang w:val="en-US" w:eastAsia="zh-CN"/>
              </w:rPr>
              <w:t>一般固废区</w:t>
            </w:r>
            <w:r>
              <w:rPr>
                <w:rFonts w:hint="eastAsia" w:ascii="宋体" w:hAnsi="宋体" w:eastAsia="宋体" w:cs="宋体"/>
                <w:spacing w:val="8"/>
                <w:sz w:val="24"/>
                <w:szCs w:val="24"/>
              </w:rPr>
              <w:t>内。根据《国家危险废物名录》判定污水站产生的污泥不属于危险废物，作为建筑材料外售。</w:t>
            </w:r>
          </w:p>
          <w:p w14:paraId="3207B1FB">
            <w:pPr>
              <w:pStyle w:val="52"/>
              <w:keepNext w:val="0"/>
              <w:keepLines w:val="0"/>
              <w:pageBreakBefore w:val="0"/>
              <w:widowControl w:val="0"/>
              <w:kinsoku/>
              <w:wordWrap/>
              <w:overflowPunct/>
              <w:topLinePunct w:val="0"/>
              <w:autoSpaceDE/>
              <w:autoSpaceDN/>
              <w:bidi w:val="0"/>
              <w:adjustRightInd/>
              <w:snapToGrid/>
              <w:spacing w:line="360" w:lineRule="auto"/>
              <w:ind w:left="113" w:right="108" w:firstLine="420"/>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（6）员工生活垃圾</w:t>
            </w:r>
          </w:p>
          <w:p w14:paraId="5CED7D5B">
            <w:pPr>
              <w:pStyle w:val="52"/>
              <w:keepNext w:val="0"/>
              <w:keepLines w:val="0"/>
              <w:pageBreakBefore w:val="0"/>
              <w:widowControl w:val="0"/>
              <w:kinsoku/>
              <w:wordWrap/>
              <w:overflowPunct/>
              <w:topLinePunct w:val="0"/>
              <w:autoSpaceDE/>
              <w:autoSpaceDN/>
              <w:bidi w:val="0"/>
              <w:adjustRightInd/>
              <w:snapToGrid/>
              <w:spacing w:line="360" w:lineRule="auto"/>
              <w:ind w:left="113" w:right="108" w:firstLine="420"/>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本项目劳动定员</w:t>
            </w:r>
            <w:r>
              <w:rPr>
                <w:rFonts w:hint="eastAsia" w:ascii="宋体" w:hAnsi="宋体" w:eastAsia="宋体" w:cs="宋体"/>
                <w:spacing w:val="8"/>
                <w:sz w:val="24"/>
                <w:szCs w:val="24"/>
                <w:lang w:val="en-US" w:eastAsia="zh-CN"/>
              </w:rPr>
              <w:t>23</w:t>
            </w:r>
            <w:r>
              <w:rPr>
                <w:rFonts w:hint="eastAsia" w:ascii="宋体" w:hAnsi="宋体" w:eastAsia="宋体" w:cs="宋体"/>
                <w:spacing w:val="8"/>
                <w:sz w:val="24"/>
                <w:szCs w:val="24"/>
              </w:rPr>
              <w:t>人，员工生活垃圾产生量以0.5kg/人·d 计，工作时间300天，则产生垃圾量为</w:t>
            </w:r>
            <w:r>
              <w:rPr>
                <w:rFonts w:hint="eastAsia" w:ascii="宋体" w:hAnsi="宋体" w:eastAsia="宋体" w:cs="宋体"/>
                <w:spacing w:val="8"/>
                <w:sz w:val="24"/>
                <w:szCs w:val="24"/>
                <w:lang w:val="en-US" w:eastAsia="zh-CN"/>
              </w:rPr>
              <w:t>3.45</w:t>
            </w:r>
            <w:r>
              <w:rPr>
                <w:rFonts w:hint="eastAsia" w:ascii="宋体" w:hAnsi="宋体" w:eastAsia="宋体" w:cs="宋体"/>
                <w:spacing w:val="8"/>
                <w:sz w:val="24"/>
                <w:szCs w:val="24"/>
              </w:rPr>
              <w:t>t/a ，分类收集后由环卫部门定期清运。</w:t>
            </w:r>
          </w:p>
          <w:p w14:paraId="48445712">
            <w:pPr>
              <w:pStyle w:val="52"/>
              <w:keepNext w:val="0"/>
              <w:keepLines w:val="0"/>
              <w:pageBreakBefore w:val="0"/>
              <w:widowControl w:val="0"/>
              <w:kinsoku/>
              <w:wordWrap/>
              <w:overflowPunct/>
              <w:topLinePunct w:val="0"/>
              <w:autoSpaceDE/>
              <w:autoSpaceDN/>
              <w:bidi w:val="0"/>
              <w:adjustRightInd/>
              <w:snapToGrid/>
              <w:spacing w:line="360" w:lineRule="auto"/>
              <w:ind w:left="113" w:right="108" w:firstLine="420"/>
              <w:textAlignment w:val="auto"/>
              <w:rPr>
                <w:rFonts w:hint="eastAsia" w:ascii="宋体" w:hAnsi="宋体" w:eastAsia="宋体" w:cs="宋体"/>
                <w:spacing w:val="8"/>
                <w:sz w:val="24"/>
                <w:szCs w:val="24"/>
              </w:rPr>
            </w:pPr>
            <w:r>
              <w:rPr>
                <w:rFonts w:hint="eastAsia" w:ascii="宋体" w:hAnsi="宋体" w:eastAsia="宋体" w:cs="宋体"/>
                <w:spacing w:val="8"/>
                <w:sz w:val="24"/>
                <w:szCs w:val="24"/>
              </w:rPr>
              <w:t>本项目固体废物产生及处置情况详见下表。</w:t>
            </w:r>
          </w:p>
          <w:p w14:paraId="0DC9EDF6">
            <w:pPr>
              <w:pStyle w:val="52"/>
              <w:spacing w:before="164" w:line="222" w:lineRule="auto"/>
              <w:ind w:left="1954"/>
              <w:rPr>
                <w:b/>
                <w:bCs/>
              </w:rPr>
            </w:pPr>
            <w:r>
              <w:rPr>
                <w:b/>
                <w:bCs/>
                <w:spacing w:val="-3"/>
              </w:rPr>
              <w:t>表</w:t>
            </w:r>
            <w:r>
              <w:rPr>
                <w:rFonts w:hint="eastAsia"/>
                <w:b/>
                <w:bCs/>
                <w:spacing w:val="-3"/>
                <w:lang w:val="en-US" w:eastAsia="zh-CN"/>
              </w:rPr>
              <w:t>4-10</w:t>
            </w:r>
            <w:r>
              <w:rPr>
                <w:rFonts w:ascii="Times New Roman" w:hAnsi="Times New Roman" w:eastAsia="Times New Roman" w:cs="Times New Roman"/>
                <w:b/>
                <w:bCs/>
                <w:spacing w:val="-3"/>
              </w:rPr>
              <w:t xml:space="preserve">     </w:t>
            </w:r>
            <w:r>
              <w:rPr>
                <w:b/>
                <w:bCs/>
                <w:spacing w:val="-3"/>
              </w:rPr>
              <w:t>项目固体废物产生及处置情况</w:t>
            </w:r>
            <w:r>
              <w:rPr>
                <w:b/>
                <w:bCs/>
                <w:spacing w:val="31"/>
              </w:rPr>
              <w:t xml:space="preserve">  </w:t>
            </w:r>
            <w:r>
              <w:rPr>
                <w:b/>
                <w:bCs/>
                <w:spacing w:val="-3"/>
              </w:rPr>
              <w:t>单位：t/a</w:t>
            </w:r>
          </w:p>
          <w:tbl>
            <w:tblPr>
              <w:tblStyle w:val="53"/>
              <w:tblW w:w="4995"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789"/>
              <w:gridCol w:w="807"/>
              <w:gridCol w:w="1270"/>
              <w:gridCol w:w="637"/>
              <w:gridCol w:w="765"/>
              <w:gridCol w:w="631"/>
              <w:gridCol w:w="566"/>
              <w:gridCol w:w="795"/>
              <w:gridCol w:w="940"/>
              <w:gridCol w:w="652"/>
            </w:tblGrid>
            <w:tr w14:paraId="707C3CF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76" w:type="pct"/>
                  <w:tcBorders>
                    <w:tl2br w:val="nil"/>
                    <w:tr2bl w:val="nil"/>
                  </w:tcBorders>
                  <w:vAlign w:val="top"/>
                </w:tcPr>
                <w:p w14:paraId="17DAE74A">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产生 环节</w:t>
                  </w:r>
                </w:p>
              </w:tc>
              <w:tc>
                <w:tcPr>
                  <w:tcW w:w="474" w:type="pct"/>
                  <w:tcBorders>
                    <w:tl2br w:val="nil"/>
                    <w:tr2bl w:val="nil"/>
                  </w:tcBorders>
                  <w:vAlign w:val="top"/>
                </w:tcPr>
                <w:p w14:paraId="52658D48">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固废名 称</w:t>
                  </w:r>
                </w:p>
              </w:tc>
              <w:tc>
                <w:tcPr>
                  <w:tcW w:w="485" w:type="pct"/>
                  <w:tcBorders>
                    <w:tl2br w:val="nil"/>
                    <w:tr2bl w:val="nil"/>
                  </w:tcBorders>
                  <w:vAlign w:val="top"/>
                </w:tcPr>
                <w:p w14:paraId="501151F5">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属性</w:t>
                  </w:r>
                </w:p>
              </w:tc>
              <w:tc>
                <w:tcPr>
                  <w:tcW w:w="764" w:type="pct"/>
                  <w:tcBorders>
                    <w:tl2br w:val="nil"/>
                    <w:tr2bl w:val="nil"/>
                  </w:tcBorders>
                  <w:vAlign w:val="top"/>
                </w:tcPr>
                <w:p w14:paraId="21C73C46">
                  <w:pPr>
                    <w:spacing w:before="55" w:line="199" w:lineRule="auto"/>
                    <w:rPr>
                      <w:rFonts w:ascii="Times New Roman" w:hAnsi="Times New Roman" w:eastAsia="Times New Roman" w:cs="Times New Roman"/>
                      <w:spacing w:val="2"/>
                      <w:sz w:val="19"/>
                      <w:szCs w:val="19"/>
                    </w:rPr>
                  </w:pPr>
                  <w:r>
                    <w:rPr>
                      <w:rFonts w:hint="eastAsia" w:eastAsia="宋体" w:cs="Times New Roman"/>
                      <w:spacing w:val="2"/>
                      <w:sz w:val="19"/>
                      <w:szCs w:val="19"/>
                      <w:lang w:val="en-US" w:eastAsia="zh-CN"/>
                    </w:rPr>
                    <w:t>种类</w:t>
                  </w:r>
                  <w:r>
                    <w:rPr>
                      <w:rFonts w:ascii="Times New Roman" w:hAnsi="Times New Roman" w:eastAsia="Times New Roman" w:cs="Times New Roman"/>
                      <w:spacing w:val="2"/>
                      <w:sz w:val="19"/>
                      <w:szCs w:val="19"/>
                    </w:rPr>
                    <w:t>/废物代码</w:t>
                  </w:r>
                </w:p>
              </w:tc>
              <w:tc>
                <w:tcPr>
                  <w:tcW w:w="383" w:type="pct"/>
                  <w:tcBorders>
                    <w:tl2br w:val="nil"/>
                    <w:tr2bl w:val="nil"/>
                  </w:tcBorders>
                  <w:vAlign w:val="top"/>
                </w:tcPr>
                <w:p w14:paraId="22CED410">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主要有毒有害物质名称</w:t>
                  </w:r>
                </w:p>
              </w:tc>
              <w:tc>
                <w:tcPr>
                  <w:tcW w:w="460" w:type="pct"/>
                  <w:tcBorders>
                    <w:tl2br w:val="nil"/>
                    <w:tr2bl w:val="nil"/>
                  </w:tcBorders>
                  <w:vAlign w:val="top"/>
                </w:tcPr>
                <w:p w14:paraId="6B63F8DE">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产生量（t/a）</w:t>
                  </w:r>
                </w:p>
              </w:tc>
              <w:tc>
                <w:tcPr>
                  <w:tcW w:w="379" w:type="pct"/>
                  <w:tcBorders>
                    <w:tl2br w:val="nil"/>
                    <w:tr2bl w:val="nil"/>
                  </w:tcBorders>
                  <w:vAlign w:val="top"/>
                </w:tcPr>
                <w:p w14:paraId="632A278C">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物理性状</w:t>
                  </w:r>
                </w:p>
              </w:tc>
              <w:tc>
                <w:tcPr>
                  <w:tcW w:w="340" w:type="pct"/>
                  <w:tcBorders>
                    <w:tl2br w:val="nil"/>
                    <w:tr2bl w:val="nil"/>
                  </w:tcBorders>
                  <w:vAlign w:val="top"/>
                </w:tcPr>
                <w:p w14:paraId="52056D76">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环境危险特性</w:t>
                  </w:r>
                </w:p>
              </w:tc>
              <w:tc>
                <w:tcPr>
                  <w:tcW w:w="478" w:type="pct"/>
                  <w:tcBorders>
                    <w:tl2br w:val="nil"/>
                    <w:tr2bl w:val="nil"/>
                  </w:tcBorders>
                  <w:vAlign w:val="top"/>
                </w:tcPr>
                <w:p w14:paraId="1F7116A9">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贮存方式</w:t>
                  </w:r>
                </w:p>
              </w:tc>
              <w:tc>
                <w:tcPr>
                  <w:tcW w:w="565" w:type="pct"/>
                  <w:tcBorders>
                    <w:tl2br w:val="nil"/>
                    <w:tr2bl w:val="nil"/>
                  </w:tcBorders>
                  <w:vAlign w:val="top"/>
                </w:tcPr>
                <w:p w14:paraId="5FA96C0B">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利用处置方式和去向</w:t>
                  </w:r>
                </w:p>
              </w:tc>
              <w:tc>
                <w:tcPr>
                  <w:tcW w:w="392" w:type="pct"/>
                  <w:tcBorders>
                    <w:tl2br w:val="nil"/>
                    <w:tr2bl w:val="nil"/>
                  </w:tcBorders>
                  <w:vAlign w:val="top"/>
                </w:tcPr>
                <w:p w14:paraId="5EAED0AA">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环境管理要求</w:t>
                  </w:r>
                </w:p>
              </w:tc>
            </w:tr>
            <w:tr w14:paraId="1B0B1FE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76" w:type="pct"/>
                  <w:tcBorders>
                    <w:tl2br w:val="nil"/>
                    <w:tr2bl w:val="nil"/>
                  </w:tcBorders>
                  <w:vAlign w:val="top"/>
                </w:tcPr>
                <w:p w14:paraId="6D03AA16">
                  <w:pPr>
                    <w:spacing w:before="55" w:line="199" w:lineRule="auto"/>
                    <w:rPr>
                      <w:rFonts w:ascii="Times New Roman" w:hAnsi="Times New Roman" w:eastAsia="Times New Roman" w:cs="Times New Roman"/>
                      <w:spacing w:val="2"/>
                      <w:sz w:val="19"/>
                      <w:szCs w:val="19"/>
                    </w:rPr>
                  </w:pPr>
                  <w:r>
                    <w:rPr>
                      <w:rFonts w:hint="eastAsia" w:eastAsia="宋体" w:cs="Times New Roman"/>
                      <w:spacing w:val="2"/>
                      <w:sz w:val="19"/>
                      <w:szCs w:val="19"/>
                      <w:lang w:val="en-US" w:eastAsia="zh-CN"/>
                    </w:rPr>
                    <w:t>筛分</w:t>
                  </w:r>
                </w:p>
              </w:tc>
              <w:tc>
                <w:tcPr>
                  <w:tcW w:w="474" w:type="pct"/>
                  <w:tcBorders>
                    <w:tl2br w:val="nil"/>
                    <w:tr2bl w:val="nil"/>
                  </w:tcBorders>
                  <w:vAlign w:val="top"/>
                </w:tcPr>
                <w:p w14:paraId="54378CFB">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除尘器回收的粉尘</w:t>
                  </w:r>
                </w:p>
              </w:tc>
              <w:tc>
                <w:tcPr>
                  <w:tcW w:w="485" w:type="pct"/>
                  <w:tcBorders>
                    <w:tl2br w:val="nil"/>
                    <w:tr2bl w:val="nil"/>
                  </w:tcBorders>
                  <w:vAlign w:val="top"/>
                </w:tcPr>
                <w:p w14:paraId="7F813AD4">
                  <w:pPr>
                    <w:spacing w:before="55" w:line="199" w:lineRule="auto"/>
                    <w:rPr>
                      <w:rFonts w:ascii="Times New Roman" w:hAnsi="Times New Roman" w:eastAsia="Times New Roman" w:cs="Times New Roman"/>
                      <w:spacing w:val="2"/>
                      <w:sz w:val="19"/>
                      <w:szCs w:val="19"/>
                    </w:rPr>
                  </w:pPr>
                  <w:r>
                    <w:rPr>
                      <w:rFonts w:hint="eastAsia" w:ascii="Times New Roman" w:hAnsi="Times New Roman" w:eastAsia="Times New Roman" w:cs="Times New Roman"/>
                      <w:spacing w:val="2"/>
                      <w:sz w:val="19"/>
                      <w:szCs w:val="19"/>
                      <w:lang w:val="en-US" w:eastAsia="zh-CN"/>
                    </w:rPr>
                    <w:t>一</w:t>
                  </w:r>
                  <w:r>
                    <w:rPr>
                      <w:rFonts w:ascii="Times New Roman" w:hAnsi="Times New Roman" w:eastAsia="Times New Roman" w:cs="Times New Roman"/>
                      <w:spacing w:val="2"/>
                      <w:sz w:val="19"/>
                      <w:szCs w:val="19"/>
                    </w:rPr>
                    <w:t>般工 业固废</w:t>
                  </w:r>
                </w:p>
              </w:tc>
              <w:tc>
                <w:tcPr>
                  <w:tcW w:w="764" w:type="pct"/>
                  <w:tcBorders>
                    <w:tl2br w:val="nil"/>
                    <w:tr2bl w:val="nil"/>
                  </w:tcBorders>
                  <w:vAlign w:val="top"/>
                </w:tcPr>
                <w:p w14:paraId="46500D06">
                  <w:pPr>
                    <w:spacing w:before="55" w:line="199" w:lineRule="auto"/>
                    <w:rPr>
                      <w:rFonts w:hint="eastAsia" w:ascii="Times New Roman" w:hAnsi="Times New Roman" w:eastAsia="Times New Roman" w:cs="Times New Roman"/>
                      <w:spacing w:val="2"/>
                      <w:sz w:val="19"/>
                      <w:szCs w:val="19"/>
                      <w:lang w:val="en-US" w:eastAsia="zh-CN"/>
                    </w:rPr>
                  </w:pPr>
                  <w:r>
                    <w:rPr>
                      <w:rFonts w:hint="eastAsia" w:ascii="Times New Roman" w:hAnsi="Times New Roman" w:eastAsia="Times New Roman" w:cs="Times New Roman"/>
                      <w:spacing w:val="2"/>
                      <w:sz w:val="19"/>
                      <w:szCs w:val="19"/>
                      <w:lang w:val="en-US" w:eastAsia="zh-CN"/>
                    </w:rPr>
                    <w:t>S59/900-099-S59</w:t>
                  </w:r>
                </w:p>
                <w:p w14:paraId="4F156AA9">
                  <w:pPr>
                    <w:spacing w:before="55" w:line="199" w:lineRule="auto"/>
                    <w:rPr>
                      <w:rFonts w:ascii="Times New Roman" w:hAnsi="Times New Roman" w:eastAsia="Times New Roman" w:cs="Times New Roman"/>
                      <w:spacing w:val="2"/>
                      <w:sz w:val="19"/>
                      <w:szCs w:val="19"/>
                    </w:rPr>
                  </w:pPr>
                </w:p>
              </w:tc>
              <w:tc>
                <w:tcPr>
                  <w:tcW w:w="383" w:type="pct"/>
                  <w:tcBorders>
                    <w:tl2br w:val="nil"/>
                    <w:tr2bl w:val="nil"/>
                  </w:tcBorders>
                  <w:vAlign w:val="top"/>
                </w:tcPr>
                <w:p w14:paraId="3535F313">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无毒</w:t>
                  </w:r>
                </w:p>
              </w:tc>
              <w:tc>
                <w:tcPr>
                  <w:tcW w:w="460" w:type="pct"/>
                  <w:tcBorders>
                    <w:tl2br w:val="nil"/>
                    <w:tr2bl w:val="nil"/>
                  </w:tcBorders>
                  <w:vAlign w:val="top"/>
                </w:tcPr>
                <w:p w14:paraId="49EC1EF2">
                  <w:pPr>
                    <w:spacing w:before="55" w:line="199" w:lineRule="auto"/>
                    <w:rPr>
                      <w:rFonts w:hint="default" w:ascii="Times New Roman" w:hAnsi="Times New Roman" w:eastAsia="Times New Roman" w:cs="Times New Roman"/>
                      <w:spacing w:val="2"/>
                      <w:sz w:val="19"/>
                      <w:szCs w:val="19"/>
                      <w:lang w:val="en-US" w:eastAsia="zh-CN"/>
                    </w:rPr>
                  </w:pPr>
                  <w:r>
                    <w:rPr>
                      <w:rFonts w:hint="eastAsia" w:ascii="Times New Roman" w:hAnsi="Times New Roman" w:eastAsia="Times New Roman" w:cs="Times New Roman"/>
                      <w:spacing w:val="2"/>
                      <w:sz w:val="19"/>
                      <w:szCs w:val="19"/>
                      <w:lang w:val="en-US" w:eastAsia="zh-CN"/>
                    </w:rPr>
                    <w:t>8.64</w:t>
                  </w:r>
                </w:p>
              </w:tc>
              <w:tc>
                <w:tcPr>
                  <w:tcW w:w="379" w:type="pct"/>
                  <w:tcBorders>
                    <w:tl2br w:val="nil"/>
                    <w:tr2bl w:val="nil"/>
                  </w:tcBorders>
                  <w:vAlign w:val="top"/>
                </w:tcPr>
                <w:p w14:paraId="34D6C258">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稳定</w:t>
                  </w:r>
                </w:p>
              </w:tc>
              <w:tc>
                <w:tcPr>
                  <w:tcW w:w="340" w:type="pct"/>
                  <w:tcBorders>
                    <w:tl2br w:val="nil"/>
                    <w:tr2bl w:val="nil"/>
                  </w:tcBorders>
                  <w:vAlign w:val="top"/>
                </w:tcPr>
                <w:p w14:paraId="4536BB55">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w:t>
                  </w:r>
                </w:p>
              </w:tc>
              <w:tc>
                <w:tcPr>
                  <w:tcW w:w="478" w:type="pct"/>
                  <w:vMerge w:val="restart"/>
                  <w:tcBorders>
                    <w:tl2br w:val="nil"/>
                    <w:tr2bl w:val="nil"/>
                  </w:tcBorders>
                  <w:vAlign w:val="top"/>
                </w:tcPr>
                <w:p w14:paraId="4C397B81">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一般固废</w:t>
                  </w:r>
                  <w:r>
                    <w:rPr>
                      <w:rFonts w:hint="eastAsia" w:ascii="Times New Roman" w:hAnsi="Times New Roman" w:eastAsia="Times New Roman" w:cs="Times New Roman"/>
                      <w:spacing w:val="2"/>
                      <w:sz w:val="19"/>
                      <w:szCs w:val="19"/>
                      <w:lang w:val="en-US" w:eastAsia="zh-CN"/>
                    </w:rPr>
                    <w:t>区</w:t>
                  </w:r>
                  <w:r>
                    <w:rPr>
                      <w:rFonts w:ascii="Times New Roman" w:hAnsi="Times New Roman" w:eastAsia="Times New Roman" w:cs="Times New Roman"/>
                      <w:spacing w:val="2"/>
                      <w:sz w:val="19"/>
                      <w:szCs w:val="19"/>
                    </w:rPr>
                    <w:t>内暂存</w:t>
                  </w:r>
                </w:p>
              </w:tc>
              <w:tc>
                <w:tcPr>
                  <w:tcW w:w="565" w:type="pct"/>
                  <w:vMerge w:val="restart"/>
                  <w:tcBorders>
                    <w:tl2br w:val="nil"/>
                    <w:tr2bl w:val="nil"/>
                  </w:tcBorders>
                  <w:vAlign w:val="top"/>
                </w:tcPr>
                <w:p w14:paraId="750B0C8B">
                  <w:pPr>
                    <w:spacing w:before="55" w:line="199" w:lineRule="auto"/>
                    <w:rPr>
                      <w:rFonts w:hint="eastAsia" w:ascii="Times New Roman" w:hAnsi="Times New Roman" w:eastAsia="宋体" w:cs="Times New Roman"/>
                      <w:spacing w:val="2"/>
                      <w:sz w:val="19"/>
                      <w:szCs w:val="19"/>
                      <w:lang w:eastAsia="zh-CN"/>
                    </w:rPr>
                  </w:pPr>
                  <w:r>
                    <w:rPr>
                      <w:rFonts w:hint="eastAsia" w:eastAsia="宋体" w:cs="Times New Roman"/>
                      <w:spacing w:val="2"/>
                      <w:sz w:val="19"/>
                      <w:szCs w:val="19"/>
                      <w:lang w:eastAsia="zh-CN"/>
                    </w:rPr>
                    <w:t>回用于生产</w:t>
                  </w:r>
                </w:p>
              </w:tc>
              <w:tc>
                <w:tcPr>
                  <w:tcW w:w="392" w:type="pct"/>
                  <w:vMerge w:val="restart"/>
                  <w:tcBorders>
                    <w:tl2br w:val="nil"/>
                    <w:tr2bl w:val="nil"/>
                  </w:tcBorders>
                  <w:vAlign w:val="top"/>
                </w:tcPr>
                <w:p w14:paraId="55C2FB70">
                  <w:pPr>
                    <w:spacing w:before="55" w:line="199" w:lineRule="auto"/>
                    <w:rPr>
                      <w:rFonts w:hint="default" w:ascii="Times New Roman" w:hAnsi="Times New Roman" w:eastAsia="宋体" w:cs="Times New Roman"/>
                      <w:spacing w:val="2"/>
                      <w:sz w:val="19"/>
                      <w:szCs w:val="19"/>
                      <w:lang w:val="en-US" w:eastAsia="zh-CN"/>
                    </w:rPr>
                  </w:pPr>
                  <w:r>
                    <w:rPr>
                      <w:rFonts w:ascii="Times New Roman" w:hAnsi="Times New Roman" w:eastAsia="Times New Roman" w:cs="Times New Roman"/>
                      <w:spacing w:val="2"/>
                      <w:sz w:val="19"/>
                      <w:szCs w:val="19"/>
                    </w:rPr>
                    <w:t>资源化利用或无害化处置</w:t>
                  </w:r>
                  <w:r>
                    <w:rPr>
                      <w:rFonts w:hint="eastAsia" w:eastAsia="宋体" w:cs="Times New Roman"/>
                      <w:spacing w:val="2"/>
                      <w:sz w:val="19"/>
                      <w:szCs w:val="19"/>
                      <w:lang w:eastAsia="zh-CN"/>
                    </w:rPr>
                    <w:t>，</w:t>
                  </w:r>
                  <w:r>
                    <w:rPr>
                      <w:rFonts w:hint="eastAsia" w:eastAsia="宋体" w:cs="Times New Roman"/>
                      <w:spacing w:val="2"/>
                      <w:sz w:val="19"/>
                      <w:szCs w:val="19"/>
                      <w:lang w:val="en-US" w:eastAsia="zh-CN"/>
                    </w:rPr>
                    <w:t>不产生二次污染</w:t>
                  </w:r>
                </w:p>
              </w:tc>
            </w:tr>
            <w:tr w14:paraId="655912D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76" w:type="pct"/>
                  <w:tcBorders>
                    <w:tl2br w:val="nil"/>
                    <w:tr2bl w:val="nil"/>
                  </w:tcBorders>
                  <w:vAlign w:val="top"/>
                </w:tcPr>
                <w:p w14:paraId="42371870">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筛 分</w:t>
                  </w:r>
                </w:p>
              </w:tc>
              <w:tc>
                <w:tcPr>
                  <w:tcW w:w="474" w:type="pct"/>
                  <w:tcBorders>
                    <w:tl2br w:val="nil"/>
                    <w:tr2bl w:val="nil"/>
                  </w:tcBorders>
                  <w:vAlign w:val="top"/>
                </w:tcPr>
                <w:p w14:paraId="73704682">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石墨杂质</w:t>
                  </w:r>
                </w:p>
              </w:tc>
              <w:tc>
                <w:tcPr>
                  <w:tcW w:w="485" w:type="pct"/>
                  <w:tcBorders>
                    <w:tl2br w:val="nil"/>
                    <w:tr2bl w:val="nil"/>
                  </w:tcBorders>
                  <w:vAlign w:val="top"/>
                </w:tcPr>
                <w:p w14:paraId="272760BF">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一 般 工 业 固 废</w:t>
                  </w:r>
                </w:p>
              </w:tc>
              <w:tc>
                <w:tcPr>
                  <w:tcW w:w="764" w:type="pct"/>
                  <w:tcBorders>
                    <w:tl2br w:val="nil"/>
                    <w:tr2bl w:val="nil"/>
                  </w:tcBorders>
                  <w:vAlign w:val="top"/>
                </w:tcPr>
                <w:p w14:paraId="494430C2">
                  <w:pPr>
                    <w:spacing w:before="55" w:line="199" w:lineRule="auto"/>
                    <w:rPr>
                      <w:rFonts w:ascii="Times New Roman" w:hAnsi="Times New Roman" w:eastAsia="Times New Roman" w:cs="Times New Roman"/>
                      <w:spacing w:val="2"/>
                      <w:sz w:val="19"/>
                      <w:szCs w:val="19"/>
                    </w:rPr>
                  </w:pPr>
                  <w:r>
                    <w:rPr>
                      <w:rFonts w:hint="eastAsia" w:ascii="Times New Roman" w:hAnsi="Times New Roman" w:eastAsia="Times New Roman" w:cs="Times New Roman"/>
                      <w:spacing w:val="2"/>
                      <w:sz w:val="19"/>
                      <w:szCs w:val="19"/>
                      <w:lang w:val="en-US" w:eastAsia="zh-CN"/>
                    </w:rPr>
                    <w:t>S59/900-099-S59</w:t>
                  </w:r>
                </w:p>
              </w:tc>
              <w:tc>
                <w:tcPr>
                  <w:tcW w:w="383" w:type="pct"/>
                  <w:tcBorders>
                    <w:tl2br w:val="nil"/>
                    <w:tr2bl w:val="nil"/>
                  </w:tcBorders>
                  <w:vAlign w:val="top"/>
                </w:tcPr>
                <w:p w14:paraId="194C6CE3">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无毒</w:t>
                  </w:r>
                </w:p>
              </w:tc>
              <w:tc>
                <w:tcPr>
                  <w:tcW w:w="460" w:type="pct"/>
                  <w:tcBorders>
                    <w:tl2br w:val="nil"/>
                    <w:tr2bl w:val="nil"/>
                  </w:tcBorders>
                  <w:vAlign w:val="top"/>
                </w:tcPr>
                <w:p w14:paraId="1A0C0B77">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50</w:t>
                  </w:r>
                </w:p>
              </w:tc>
              <w:tc>
                <w:tcPr>
                  <w:tcW w:w="379" w:type="pct"/>
                  <w:tcBorders>
                    <w:tl2br w:val="nil"/>
                    <w:tr2bl w:val="nil"/>
                  </w:tcBorders>
                  <w:vAlign w:val="top"/>
                </w:tcPr>
                <w:p w14:paraId="45E3467B">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稳定</w:t>
                  </w:r>
                </w:p>
              </w:tc>
              <w:tc>
                <w:tcPr>
                  <w:tcW w:w="340" w:type="pct"/>
                  <w:tcBorders>
                    <w:tl2br w:val="nil"/>
                    <w:tr2bl w:val="nil"/>
                  </w:tcBorders>
                  <w:vAlign w:val="top"/>
                </w:tcPr>
                <w:p w14:paraId="40D35866">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w:t>
                  </w:r>
                </w:p>
              </w:tc>
              <w:tc>
                <w:tcPr>
                  <w:tcW w:w="478" w:type="pct"/>
                  <w:vMerge w:val="continue"/>
                  <w:tcBorders>
                    <w:tl2br w:val="nil"/>
                    <w:tr2bl w:val="nil"/>
                  </w:tcBorders>
                  <w:vAlign w:val="top"/>
                </w:tcPr>
                <w:p w14:paraId="2DF17718">
                  <w:pPr>
                    <w:spacing w:before="55" w:line="199" w:lineRule="auto"/>
                    <w:rPr>
                      <w:rFonts w:ascii="Times New Roman" w:hAnsi="Times New Roman" w:eastAsia="Times New Roman" w:cs="Times New Roman"/>
                      <w:spacing w:val="2"/>
                      <w:sz w:val="19"/>
                      <w:szCs w:val="19"/>
                    </w:rPr>
                  </w:pPr>
                </w:p>
              </w:tc>
              <w:tc>
                <w:tcPr>
                  <w:tcW w:w="565" w:type="pct"/>
                  <w:vMerge w:val="continue"/>
                  <w:tcBorders>
                    <w:tl2br w:val="nil"/>
                    <w:tr2bl w:val="nil"/>
                  </w:tcBorders>
                  <w:vAlign w:val="top"/>
                </w:tcPr>
                <w:p w14:paraId="642166CF">
                  <w:pPr>
                    <w:spacing w:before="55" w:line="199" w:lineRule="auto"/>
                    <w:rPr>
                      <w:rFonts w:ascii="Times New Roman" w:hAnsi="Times New Roman" w:eastAsia="Times New Roman" w:cs="Times New Roman"/>
                      <w:spacing w:val="2"/>
                      <w:sz w:val="19"/>
                      <w:szCs w:val="19"/>
                    </w:rPr>
                  </w:pPr>
                </w:p>
              </w:tc>
              <w:tc>
                <w:tcPr>
                  <w:tcW w:w="392" w:type="pct"/>
                  <w:vMerge w:val="continue"/>
                  <w:tcBorders>
                    <w:tl2br w:val="nil"/>
                    <w:tr2bl w:val="nil"/>
                  </w:tcBorders>
                  <w:vAlign w:val="top"/>
                </w:tcPr>
                <w:p w14:paraId="4C2A6B0B">
                  <w:pPr>
                    <w:spacing w:before="55" w:line="199" w:lineRule="auto"/>
                    <w:rPr>
                      <w:rFonts w:ascii="Times New Roman" w:hAnsi="Times New Roman" w:eastAsia="Times New Roman" w:cs="Times New Roman"/>
                      <w:spacing w:val="2"/>
                      <w:sz w:val="19"/>
                      <w:szCs w:val="19"/>
                    </w:rPr>
                  </w:pPr>
                </w:p>
              </w:tc>
            </w:tr>
            <w:tr w14:paraId="247718C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76" w:type="pct"/>
                  <w:tcBorders>
                    <w:tl2br w:val="nil"/>
                    <w:tr2bl w:val="nil"/>
                  </w:tcBorders>
                  <w:vAlign w:val="top"/>
                </w:tcPr>
                <w:p w14:paraId="620B4135">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原料 包装</w:t>
                  </w:r>
                </w:p>
              </w:tc>
              <w:tc>
                <w:tcPr>
                  <w:tcW w:w="474" w:type="pct"/>
                  <w:tcBorders>
                    <w:tl2br w:val="nil"/>
                    <w:tr2bl w:val="nil"/>
                  </w:tcBorders>
                  <w:vAlign w:val="top"/>
                </w:tcPr>
                <w:p w14:paraId="2028CC6B">
                  <w:pPr>
                    <w:spacing w:before="55" w:line="199" w:lineRule="auto"/>
                    <w:rPr>
                      <w:rFonts w:hint="eastAsia" w:ascii="Times New Roman" w:hAnsi="Times New Roman" w:eastAsia="宋体" w:cs="Times New Roman"/>
                      <w:spacing w:val="2"/>
                      <w:sz w:val="19"/>
                      <w:szCs w:val="19"/>
                      <w:lang w:eastAsia="zh-CN"/>
                    </w:rPr>
                  </w:pPr>
                  <w:r>
                    <w:rPr>
                      <w:rFonts w:ascii="Times New Roman" w:hAnsi="Times New Roman" w:eastAsia="Times New Roman" w:cs="Times New Roman"/>
                      <w:spacing w:val="2"/>
                      <w:sz w:val="19"/>
                      <w:szCs w:val="19"/>
                    </w:rPr>
                    <w:t>废包装</w:t>
                  </w:r>
                  <w:r>
                    <w:rPr>
                      <w:rFonts w:hint="eastAsia" w:eastAsia="宋体" w:cs="Times New Roman"/>
                      <w:spacing w:val="2"/>
                      <w:sz w:val="19"/>
                      <w:szCs w:val="19"/>
                      <w:lang w:eastAsia="zh-CN"/>
                    </w:rPr>
                    <w:t>物及废布袋</w:t>
                  </w:r>
                </w:p>
              </w:tc>
              <w:tc>
                <w:tcPr>
                  <w:tcW w:w="485" w:type="pct"/>
                  <w:tcBorders>
                    <w:tl2br w:val="nil"/>
                    <w:tr2bl w:val="nil"/>
                  </w:tcBorders>
                  <w:vAlign w:val="top"/>
                </w:tcPr>
                <w:p w14:paraId="1E6929E7">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一 般 工 业 固 废</w:t>
                  </w:r>
                </w:p>
              </w:tc>
              <w:tc>
                <w:tcPr>
                  <w:tcW w:w="764" w:type="pct"/>
                  <w:tcBorders>
                    <w:tl2br w:val="nil"/>
                    <w:tr2bl w:val="nil"/>
                  </w:tcBorders>
                  <w:vAlign w:val="top"/>
                </w:tcPr>
                <w:p w14:paraId="451D7C68">
                  <w:pPr>
                    <w:spacing w:before="55" w:line="199" w:lineRule="auto"/>
                    <w:rPr>
                      <w:rFonts w:ascii="Times New Roman" w:hAnsi="Times New Roman" w:eastAsia="Times New Roman" w:cs="Times New Roman"/>
                      <w:spacing w:val="2"/>
                      <w:sz w:val="19"/>
                      <w:szCs w:val="19"/>
                    </w:rPr>
                  </w:pPr>
                  <w:r>
                    <w:rPr>
                      <w:rFonts w:hint="eastAsia" w:ascii="Times New Roman" w:hAnsi="Times New Roman" w:eastAsia="Times New Roman" w:cs="Times New Roman"/>
                      <w:spacing w:val="2"/>
                      <w:sz w:val="19"/>
                      <w:szCs w:val="19"/>
                      <w:lang w:val="en-US" w:eastAsia="zh-CN"/>
                    </w:rPr>
                    <w:t>S59/900-099-S59</w:t>
                  </w:r>
                </w:p>
              </w:tc>
              <w:tc>
                <w:tcPr>
                  <w:tcW w:w="383" w:type="pct"/>
                  <w:tcBorders>
                    <w:tl2br w:val="nil"/>
                    <w:tr2bl w:val="nil"/>
                  </w:tcBorders>
                  <w:vAlign w:val="top"/>
                </w:tcPr>
                <w:p w14:paraId="5C6AE7DF">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无毒</w:t>
                  </w:r>
                </w:p>
              </w:tc>
              <w:tc>
                <w:tcPr>
                  <w:tcW w:w="460" w:type="pct"/>
                  <w:tcBorders>
                    <w:tl2br w:val="nil"/>
                    <w:tr2bl w:val="nil"/>
                  </w:tcBorders>
                  <w:vAlign w:val="top"/>
                </w:tcPr>
                <w:p w14:paraId="58922DB0">
                  <w:pPr>
                    <w:spacing w:before="55" w:line="199" w:lineRule="auto"/>
                    <w:rPr>
                      <w:rFonts w:hint="default" w:ascii="Times New Roman" w:hAnsi="Times New Roman" w:eastAsia="宋体" w:cs="Times New Roman"/>
                      <w:spacing w:val="2"/>
                      <w:sz w:val="19"/>
                      <w:szCs w:val="19"/>
                      <w:lang w:val="en-US" w:eastAsia="zh-CN"/>
                    </w:rPr>
                  </w:pPr>
                  <w:r>
                    <w:rPr>
                      <w:rFonts w:hint="eastAsia" w:eastAsia="宋体" w:cs="Times New Roman"/>
                      <w:spacing w:val="2"/>
                      <w:sz w:val="19"/>
                      <w:szCs w:val="19"/>
                      <w:lang w:val="en-US" w:eastAsia="zh-CN"/>
                    </w:rPr>
                    <w:t>0.5</w:t>
                  </w:r>
                </w:p>
              </w:tc>
              <w:tc>
                <w:tcPr>
                  <w:tcW w:w="379" w:type="pct"/>
                  <w:tcBorders>
                    <w:tl2br w:val="nil"/>
                    <w:tr2bl w:val="nil"/>
                  </w:tcBorders>
                  <w:vAlign w:val="top"/>
                </w:tcPr>
                <w:p w14:paraId="123C02E4">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稳定</w:t>
                  </w:r>
                </w:p>
              </w:tc>
              <w:tc>
                <w:tcPr>
                  <w:tcW w:w="340" w:type="pct"/>
                  <w:tcBorders>
                    <w:tl2br w:val="nil"/>
                    <w:tr2bl w:val="nil"/>
                  </w:tcBorders>
                  <w:vAlign w:val="top"/>
                </w:tcPr>
                <w:p w14:paraId="37BAC055">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w:t>
                  </w:r>
                </w:p>
              </w:tc>
              <w:tc>
                <w:tcPr>
                  <w:tcW w:w="478" w:type="pct"/>
                  <w:tcBorders>
                    <w:tl2br w:val="nil"/>
                    <w:tr2bl w:val="nil"/>
                  </w:tcBorders>
                  <w:vAlign w:val="top"/>
                </w:tcPr>
                <w:p w14:paraId="707BBE27">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一般固废间内暂存</w:t>
                  </w:r>
                </w:p>
              </w:tc>
              <w:tc>
                <w:tcPr>
                  <w:tcW w:w="565" w:type="pct"/>
                  <w:tcBorders>
                    <w:tl2br w:val="nil"/>
                    <w:tr2bl w:val="nil"/>
                  </w:tcBorders>
                  <w:vAlign w:val="top"/>
                </w:tcPr>
                <w:p w14:paraId="7C6575C6">
                  <w:pPr>
                    <w:spacing w:before="55" w:line="199" w:lineRule="auto"/>
                    <w:rPr>
                      <w:rFonts w:hint="default" w:ascii="Times New Roman" w:hAnsi="Times New Roman" w:eastAsia="宋体" w:cs="Times New Roman"/>
                      <w:spacing w:val="2"/>
                      <w:sz w:val="19"/>
                      <w:szCs w:val="19"/>
                      <w:lang w:val="en-US" w:eastAsia="zh-CN"/>
                    </w:rPr>
                  </w:pPr>
                  <w:r>
                    <w:rPr>
                      <w:rFonts w:ascii="Times New Roman" w:hAnsi="Times New Roman" w:eastAsia="Times New Roman" w:cs="Times New Roman"/>
                      <w:spacing w:val="2"/>
                      <w:sz w:val="19"/>
                      <w:szCs w:val="19"/>
                    </w:rPr>
                    <w:t>收集后</w:t>
                  </w:r>
                  <w:r>
                    <w:rPr>
                      <w:rFonts w:hint="eastAsia" w:eastAsia="宋体" w:cs="Times New Roman"/>
                      <w:spacing w:val="2"/>
                      <w:sz w:val="19"/>
                      <w:szCs w:val="19"/>
                      <w:lang w:val="en-US" w:eastAsia="zh-CN"/>
                    </w:rPr>
                    <w:t>厂家回收</w:t>
                  </w:r>
                </w:p>
              </w:tc>
              <w:tc>
                <w:tcPr>
                  <w:tcW w:w="392" w:type="pct"/>
                  <w:vMerge w:val="continue"/>
                  <w:tcBorders>
                    <w:tl2br w:val="nil"/>
                    <w:tr2bl w:val="nil"/>
                  </w:tcBorders>
                  <w:vAlign w:val="top"/>
                </w:tcPr>
                <w:p w14:paraId="4917C879">
                  <w:pPr>
                    <w:spacing w:before="55" w:line="199" w:lineRule="auto"/>
                    <w:rPr>
                      <w:rFonts w:ascii="Times New Roman" w:hAnsi="Times New Roman" w:eastAsia="Times New Roman" w:cs="Times New Roman"/>
                      <w:spacing w:val="2"/>
                      <w:sz w:val="19"/>
                      <w:szCs w:val="19"/>
                    </w:rPr>
                  </w:pPr>
                </w:p>
              </w:tc>
            </w:tr>
            <w:tr w14:paraId="3C77B2E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76" w:type="pct"/>
                  <w:tcBorders>
                    <w:tl2br w:val="nil"/>
                    <w:tr2bl w:val="nil"/>
                  </w:tcBorders>
                  <w:vAlign w:val="top"/>
                </w:tcPr>
                <w:p w14:paraId="7FE5F275">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污水 处理 车间</w:t>
                  </w:r>
                </w:p>
              </w:tc>
              <w:tc>
                <w:tcPr>
                  <w:tcW w:w="474" w:type="pct"/>
                  <w:tcBorders>
                    <w:tl2br w:val="nil"/>
                    <w:tr2bl w:val="nil"/>
                  </w:tcBorders>
                  <w:vAlign w:val="top"/>
                </w:tcPr>
                <w:p w14:paraId="58249564">
                  <w:pPr>
                    <w:spacing w:before="55" w:line="199" w:lineRule="auto"/>
                    <w:rPr>
                      <w:rFonts w:hint="default" w:ascii="Times New Roman" w:hAnsi="Times New Roman" w:eastAsia="宋体" w:cs="Times New Roman"/>
                      <w:spacing w:val="2"/>
                      <w:sz w:val="19"/>
                      <w:szCs w:val="19"/>
                      <w:lang w:val="en-US" w:eastAsia="zh-CN"/>
                    </w:rPr>
                  </w:pPr>
                  <w:r>
                    <w:rPr>
                      <w:rFonts w:ascii="Times New Roman" w:hAnsi="Times New Roman" w:eastAsia="Times New Roman" w:cs="Times New Roman"/>
                      <w:spacing w:val="2"/>
                      <w:sz w:val="19"/>
                      <w:szCs w:val="19"/>
                    </w:rPr>
                    <w:t>污泥</w:t>
                  </w:r>
                  <w:r>
                    <w:rPr>
                      <w:rFonts w:hint="eastAsia" w:eastAsia="宋体" w:cs="Times New Roman"/>
                      <w:spacing w:val="2"/>
                      <w:sz w:val="19"/>
                      <w:szCs w:val="19"/>
                      <w:lang w:eastAsia="zh-CN"/>
                    </w:rPr>
                    <w:t>，</w:t>
                  </w:r>
                  <w:r>
                    <w:rPr>
                      <w:rFonts w:hint="eastAsia" w:eastAsia="宋体" w:cs="Times New Roman"/>
                      <w:spacing w:val="2"/>
                      <w:sz w:val="19"/>
                      <w:szCs w:val="19"/>
                      <w:lang w:val="en-US" w:eastAsia="zh-CN"/>
                    </w:rPr>
                    <w:t>主要成分为硫酸钙</w:t>
                  </w:r>
                </w:p>
              </w:tc>
              <w:tc>
                <w:tcPr>
                  <w:tcW w:w="485" w:type="pct"/>
                  <w:tcBorders>
                    <w:tl2br w:val="nil"/>
                    <w:tr2bl w:val="nil"/>
                  </w:tcBorders>
                  <w:vAlign w:val="top"/>
                </w:tcPr>
                <w:p w14:paraId="7293ABFD">
                  <w:pPr>
                    <w:spacing w:before="55" w:line="199" w:lineRule="auto"/>
                    <w:rPr>
                      <w:rFonts w:ascii="Times New Roman" w:hAnsi="Times New Roman" w:eastAsia="Times New Roman" w:cs="Times New Roman"/>
                      <w:spacing w:val="2"/>
                      <w:sz w:val="19"/>
                      <w:szCs w:val="19"/>
                    </w:rPr>
                  </w:pPr>
                  <w:r>
                    <w:rPr>
                      <w:rFonts w:hint="eastAsia" w:ascii="Times New Roman" w:hAnsi="Times New Roman" w:eastAsia="Times New Roman" w:cs="Times New Roman"/>
                      <w:spacing w:val="2"/>
                      <w:sz w:val="19"/>
                      <w:szCs w:val="19"/>
                      <w:lang w:val="en-US" w:eastAsia="zh-CN"/>
                    </w:rPr>
                    <w:t>一</w:t>
                  </w:r>
                  <w:r>
                    <w:rPr>
                      <w:rFonts w:ascii="Times New Roman" w:hAnsi="Times New Roman" w:eastAsia="Times New Roman" w:cs="Times New Roman"/>
                      <w:spacing w:val="2"/>
                      <w:sz w:val="19"/>
                      <w:szCs w:val="19"/>
                    </w:rPr>
                    <w:t>般工 业 固 废</w:t>
                  </w:r>
                </w:p>
              </w:tc>
              <w:tc>
                <w:tcPr>
                  <w:tcW w:w="764" w:type="pct"/>
                  <w:tcBorders>
                    <w:tl2br w:val="nil"/>
                    <w:tr2bl w:val="nil"/>
                  </w:tcBorders>
                  <w:vAlign w:val="top"/>
                </w:tcPr>
                <w:p w14:paraId="5F136F47">
                  <w:pPr>
                    <w:spacing w:before="55" w:line="199" w:lineRule="auto"/>
                    <w:jc w:val="both"/>
                    <w:rPr>
                      <w:rFonts w:ascii="Times New Roman" w:hAnsi="Times New Roman" w:eastAsia="Times New Roman" w:cs="Times New Roman"/>
                      <w:spacing w:val="2"/>
                      <w:sz w:val="19"/>
                      <w:szCs w:val="19"/>
                    </w:rPr>
                  </w:pPr>
                  <w:r>
                    <w:rPr>
                      <w:rFonts w:hint="eastAsia" w:ascii="Times New Roman" w:hAnsi="Times New Roman" w:eastAsia="Times New Roman" w:cs="Times New Roman"/>
                      <w:spacing w:val="2"/>
                      <w:sz w:val="19"/>
                      <w:szCs w:val="19"/>
                      <w:lang w:val="en-US" w:eastAsia="zh-CN"/>
                    </w:rPr>
                    <w:t>S11</w:t>
                  </w:r>
                  <w:r>
                    <w:rPr>
                      <w:rFonts w:ascii="Times New Roman" w:hAnsi="Times New Roman" w:eastAsia="Times New Roman" w:cs="Times New Roman"/>
                      <w:spacing w:val="2"/>
                      <w:sz w:val="19"/>
                      <w:szCs w:val="19"/>
                    </w:rPr>
                    <w:t>/</w:t>
                  </w:r>
                  <w:r>
                    <w:rPr>
                      <w:rFonts w:hint="eastAsia" w:ascii="Times New Roman" w:hAnsi="Times New Roman" w:eastAsia="Times New Roman" w:cs="Times New Roman"/>
                      <w:spacing w:val="2"/>
                      <w:sz w:val="19"/>
                      <w:szCs w:val="19"/>
                      <w:lang w:val="en-US" w:eastAsia="zh-CN"/>
                    </w:rPr>
                    <w:t>900-099-S11</w:t>
                  </w:r>
                </w:p>
                <w:p w14:paraId="63793442">
                  <w:pPr>
                    <w:spacing w:before="55" w:line="199" w:lineRule="auto"/>
                    <w:jc w:val="both"/>
                    <w:rPr>
                      <w:rFonts w:ascii="Times New Roman" w:hAnsi="Times New Roman" w:eastAsia="Times New Roman" w:cs="Times New Roman"/>
                      <w:spacing w:val="2"/>
                      <w:sz w:val="19"/>
                      <w:szCs w:val="19"/>
                    </w:rPr>
                  </w:pPr>
                </w:p>
              </w:tc>
              <w:tc>
                <w:tcPr>
                  <w:tcW w:w="383" w:type="pct"/>
                  <w:tcBorders>
                    <w:tl2br w:val="nil"/>
                    <w:tr2bl w:val="nil"/>
                  </w:tcBorders>
                  <w:vAlign w:val="top"/>
                </w:tcPr>
                <w:p w14:paraId="2F8887DF">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无毒</w:t>
                  </w:r>
                </w:p>
              </w:tc>
              <w:tc>
                <w:tcPr>
                  <w:tcW w:w="460" w:type="pct"/>
                  <w:tcBorders>
                    <w:tl2br w:val="nil"/>
                    <w:tr2bl w:val="nil"/>
                  </w:tcBorders>
                  <w:vAlign w:val="top"/>
                </w:tcPr>
                <w:p w14:paraId="721542B4">
                  <w:pPr>
                    <w:spacing w:before="55" w:line="199" w:lineRule="auto"/>
                    <w:rPr>
                      <w:rFonts w:hint="default" w:ascii="Times New Roman" w:hAnsi="Times New Roman" w:eastAsia="宋体" w:cs="Times New Roman"/>
                      <w:color w:val="0000FF"/>
                      <w:spacing w:val="2"/>
                      <w:sz w:val="19"/>
                      <w:szCs w:val="19"/>
                      <w:u w:val="single"/>
                      <w:lang w:val="en-US" w:eastAsia="zh-CN"/>
                    </w:rPr>
                  </w:pPr>
                  <w:r>
                    <w:rPr>
                      <w:rFonts w:hint="eastAsia" w:cs="Times New Roman"/>
                      <w:color w:val="0000FF"/>
                      <w:spacing w:val="2"/>
                      <w:sz w:val="19"/>
                      <w:szCs w:val="19"/>
                      <w:u w:val="single"/>
                      <w:lang w:val="en-US" w:eastAsia="zh-CN"/>
                    </w:rPr>
                    <w:t>674.475</w:t>
                  </w:r>
                </w:p>
              </w:tc>
              <w:tc>
                <w:tcPr>
                  <w:tcW w:w="379" w:type="pct"/>
                  <w:tcBorders>
                    <w:tl2br w:val="nil"/>
                    <w:tr2bl w:val="nil"/>
                  </w:tcBorders>
                  <w:vAlign w:val="top"/>
                </w:tcPr>
                <w:p w14:paraId="24A99CB0">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稳定</w:t>
                  </w:r>
                </w:p>
              </w:tc>
              <w:tc>
                <w:tcPr>
                  <w:tcW w:w="340" w:type="pct"/>
                  <w:tcBorders>
                    <w:tl2br w:val="nil"/>
                    <w:tr2bl w:val="nil"/>
                  </w:tcBorders>
                  <w:vAlign w:val="top"/>
                </w:tcPr>
                <w:p w14:paraId="0AC91E2A">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w:t>
                  </w:r>
                </w:p>
              </w:tc>
              <w:tc>
                <w:tcPr>
                  <w:tcW w:w="478" w:type="pct"/>
                  <w:tcBorders>
                    <w:tl2br w:val="nil"/>
                    <w:tr2bl w:val="nil"/>
                  </w:tcBorders>
                  <w:vAlign w:val="top"/>
                </w:tcPr>
                <w:p w14:paraId="551BCF71">
                  <w:pPr>
                    <w:spacing w:before="55" w:line="199" w:lineRule="auto"/>
                    <w:rPr>
                      <w:rFonts w:hint="eastAsia" w:ascii="Times New Roman" w:hAnsi="Times New Roman" w:eastAsia="宋体" w:cs="Times New Roman"/>
                      <w:spacing w:val="2"/>
                      <w:sz w:val="19"/>
                      <w:szCs w:val="19"/>
                      <w:lang w:eastAsia="zh-CN"/>
                    </w:rPr>
                  </w:pPr>
                  <w:r>
                    <w:rPr>
                      <w:rFonts w:ascii="Times New Roman" w:hAnsi="Times New Roman" w:eastAsia="Times New Roman" w:cs="Times New Roman"/>
                      <w:spacing w:val="2"/>
                      <w:sz w:val="19"/>
                      <w:szCs w:val="19"/>
                    </w:rPr>
                    <w:t>暂存一般固废</w:t>
                  </w:r>
                  <w:r>
                    <w:rPr>
                      <w:rFonts w:hint="eastAsia" w:eastAsia="宋体" w:cs="Times New Roman"/>
                      <w:spacing w:val="2"/>
                      <w:sz w:val="19"/>
                      <w:szCs w:val="19"/>
                      <w:lang w:val="en-US" w:eastAsia="zh-CN"/>
                    </w:rPr>
                    <w:t>区</w:t>
                  </w:r>
                </w:p>
              </w:tc>
              <w:tc>
                <w:tcPr>
                  <w:tcW w:w="565" w:type="pct"/>
                  <w:tcBorders>
                    <w:tl2br w:val="nil"/>
                    <w:tr2bl w:val="nil"/>
                  </w:tcBorders>
                  <w:vAlign w:val="top"/>
                </w:tcPr>
                <w:p w14:paraId="330ACA4E">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外售做建筑材料</w:t>
                  </w:r>
                </w:p>
              </w:tc>
              <w:tc>
                <w:tcPr>
                  <w:tcW w:w="392" w:type="pct"/>
                  <w:vMerge w:val="continue"/>
                  <w:tcBorders>
                    <w:tl2br w:val="nil"/>
                    <w:tr2bl w:val="nil"/>
                  </w:tcBorders>
                  <w:vAlign w:val="top"/>
                </w:tcPr>
                <w:p w14:paraId="4F11091E">
                  <w:pPr>
                    <w:spacing w:before="55" w:line="199" w:lineRule="auto"/>
                    <w:rPr>
                      <w:rFonts w:ascii="Times New Roman" w:hAnsi="Times New Roman" w:eastAsia="Times New Roman" w:cs="Times New Roman"/>
                      <w:spacing w:val="2"/>
                      <w:sz w:val="19"/>
                      <w:szCs w:val="19"/>
                    </w:rPr>
                  </w:pPr>
                </w:p>
              </w:tc>
            </w:tr>
            <w:tr w14:paraId="36E1BF1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76" w:type="pct"/>
                  <w:tcBorders>
                    <w:tl2br w:val="nil"/>
                    <w:tr2bl w:val="nil"/>
                  </w:tcBorders>
                  <w:vAlign w:val="top"/>
                </w:tcPr>
                <w:p w14:paraId="04697E24">
                  <w:pPr>
                    <w:spacing w:before="55" w:line="199" w:lineRule="auto"/>
                    <w:rPr>
                      <w:rFonts w:hint="default" w:ascii="Times New Roman" w:hAnsi="Times New Roman" w:eastAsia="宋体" w:cs="Times New Roman"/>
                      <w:spacing w:val="2"/>
                      <w:sz w:val="19"/>
                      <w:szCs w:val="19"/>
                      <w:lang w:val="en-US" w:eastAsia="zh-CN"/>
                    </w:rPr>
                  </w:pPr>
                  <w:r>
                    <w:rPr>
                      <w:rFonts w:hint="eastAsia" w:eastAsia="宋体" w:cs="Times New Roman"/>
                      <w:spacing w:val="2"/>
                      <w:sz w:val="19"/>
                      <w:szCs w:val="19"/>
                      <w:lang w:val="en-US" w:eastAsia="zh-CN"/>
                    </w:rPr>
                    <w:t>废酸中和</w:t>
                  </w:r>
                </w:p>
              </w:tc>
              <w:tc>
                <w:tcPr>
                  <w:tcW w:w="474" w:type="pct"/>
                  <w:tcBorders>
                    <w:tl2br w:val="nil"/>
                    <w:tr2bl w:val="nil"/>
                  </w:tcBorders>
                  <w:vAlign w:val="top"/>
                </w:tcPr>
                <w:p w14:paraId="389426B2">
                  <w:pPr>
                    <w:spacing w:before="55" w:line="199" w:lineRule="auto"/>
                    <w:rPr>
                      <w:rFonts w:hint="default" w:ascii="Times New Roman" w:hAnsi="Times New Roman" w:eastAsia="宋体" w:cs="Times New Roman"/>
                      <w:spacing w:val="2"/>
                      <w:sz w:val="19"/>
                      <w:szCs w:val="19"/>
                      <w:lang w:val="en-US" w:eastAsia="zh-CN"/>
                    </w:rPr>
                  </w:pPr>
                  <w:r>
                    <w:rPr>
                      <w:rFonts w:hint="eastAsia" w:eastAsia="宋体" w:cs="Times New Roman"/>
                      <w:spacing w:val="2"/>
                      <w:sz w:val="19"/>
                      <w:szCs w:val="19"/>
                      <w:lang w:val="en-US" w:eastAsia="zh-CN"/>
                    </w:rPr>
                    <w:t>中和产生的硫酸钙</w:t>
                  </w:r>
                </w:p>
              </w:tc>
              <w:tc>
                <w:tcPr>
                  <w:tcW w:w="485" w:type="pct"/>
                  <w:tcBorders>
                    <w:tl2br w:val="nil"/>
                    <w:tr2bl w:val="nil"/>
                  </w:tcBorders>
                  <w:shd w:val="clear" w:color="auto" w:fill="auto"/>
                  <w:vAlign w:val="top"/>
                </w:tcPr>
                <w:p w14:paraId="62F2E1D9">
                  <w:pPr>
                    <w:spacing w:before="55" w:line="199" w:lineRule="auto"/>
                    <w:rPr>
                      <w:rFonts w:hint="eastAsia" w:ascii="Times New Roman" w:hAnsi="Times New Roman" w:eastAsia="Times New Roman" w:cs="Times New Roman"/>
                      <w:spacing w:val="2"/>
                      <w:kern w:val="2"/>
                      <w:sz w:val="19"/>
                      <w:szCs w:val="19"/>
                      <w:lang w:val="en-US" w:eastAsia="zh-CN" w:bidi="ar-SA"/>
                    </w:rPr>
                  </w:pPr>
                  <w:r>
                    <w:rPr>
                      <w:rFonts w:hint="eastAsia" w:ascii="Times New Roman" w:hAnsi="Times New Roman" w:eastAsia="Times New Roman" w:cs="Times New Roman"/>
                      <w:spacing w:val="2"/>
                      <w:sz w:val="19"/>
                      <w:szCs w:val="19"/>
                      <w:lang w:val="en-US" w:eastAsia="zh-CN"/>
                    </w:rPr>
                    <w:t>一</w:t>
                  </w:r>
                  <w:r>
                    <w:rPr>
                      <w:rFonts w:ascii="Times New Roman" w:hAnsi="Times New Roman" w:eastAsia="Times New Roman" w:cs="Times New Roman"/>
                      <w:spacing w:val="2"/>
                      <w:sz w:val="19"/>
                      <w:szCs w:val="19"/>
                    </w:rPr>
                    <w:t>般工 业 固 废</w:t>
                  </w:r>
                </w:p>
              </w:tc>
              <w:tc>
                <w:tcPr>
                  <w:tcW w:w="764" w:type="pct"/>
                  <w:tcBorders>
                    <w:tl2br w:val="nil"/>
                    <w:tr2bl w:val="nil"/>
                  </w:tcBorders>
                  <w:shd w:val="clear" w:color="auto" w:fill="auto"/>
                  <w:vAlign w:val="top"/>
                </w:tcPr>
                <w:p w14:paraId="407E6FD6">
                  <w:pPr>
                    <w:spacing w:before="55" w:line="199" w:lineRule="auto"/>
                    <w:jc w:val="both"/>
                    <w:rPr>
                      <w:rFonts w:ascii="Times New Roman" w:hAnsi="Times New Roman" w:eastAsia="Times New Roman" w:cs="Times New Roman"/>
                      <w:spacing w:val="2"/>
                      <w:sz w:val="19"/>
                      <w:szCs w:val="19"/>
                    </w:rPr>
                  </w:pPr>
                  <w:r>
                    <w:rPr>
                      <w:rFonts w:hint="eastAsia" w:ascii="Times New Roman" w:hAnsi="Times New Roman" w:eastAsia="Times New Roman" w:cs="Times New Roman"/>
                      <w:spacing w:val="2"/>
                      <w:sz w:val="19"/>
                      <w:szCs w:val="19"/>
                      <w:lang w:val="en-US" w:eastAsia="zh-CN"/>
                    </w:rPr>
                    <w:t>S11</w:t>
                  </w:r>
                  <w:r>
                    <w:rPr>
                      <w:rFonts w:ascii="Times New Roman" w:hAnsi="Times New Roman" w:eastAsia="Times New Roman" w:cs="Times New Roman"/>
                      <w:spacing w:val="2"/>
                      <w:sz w:val="19"/>
                      <w:szCs w:val="19"/>
                    </w:rPr>
                    <w:t>/</w:t>
                  </w:r>
                  <w:r>
                    <w:rPr>
                      <w:rFonts w:hint="eastAsia" w:ascii="Times New Roman" w:hAnsi="Times New Roman" w:eastAsia="Times New Roman" w:cs="Times New Roman"/>
                      <w:spacing w:val="2"/>
                      <w:sz w:val="19"/>
                      <w:szCs w:val="19"/>
                      <w:lang w:val="en-US" w:eastAsia="zh-CN"/>
                    </w:rPr>
                    <w:t>900-099-S11</w:t>
                  </w:r>
                </w:p>
                <w:p w14:paraId="790DEFAB">
                  <w:pPr>
                    <w:spacing w:before="55" w:line="199" w:lineRule="auto"/>
                    <w:jc w:val="both"/>
                    <w:rPr>
                      <w:rFonts w:ascii="Times New Roman" w:hAnsi="Times New Roman" w:eastAsia="Times New Roman" w:cs="Times New Roman"/>
                      <w:spacing w:val="2"/>
                      <w:kern w:val="2"/>
                      <w:sz w:val="19"/>
                      <w:szCs w:val="19"/>
                      <w:lang w:val="en-US" w:eastAsia="zh-CN" w:bidi="ar-SA"/>
                    </w:rPr>
                  </w:pPr>
                </w:p>
              </w:tc>
              <w:tc>
                <w:tcPr>
                  <w:tcW w:w="383" w:type="pct"/>
                  <w:tcBorders>
                    <w:tl2br w:val="nil"/>
                    <w:tr2bl w:val="nil"/>
                  </w:tcBorders>
                  <w:shd w:val="clear" w:color="auto" w:fill="auto"/>
                  <w:vAlign w:val="top"/>
                </w:tcPr>
                <w:p w14:paraId="0EEDF84C">
                  <w:pPr>
                    <w:spacing w:before="55" w:line="199" w:lineRule="auto"/>
                    <w:rPr>
                      <w:rFonts w:ascii="Times New Roman" w:hAnsi="Times New Roman" w:eastAsia="Times New Roman" w:cs="Times New Roman"/>
                      <w:spacing w:val="2"/>
                      <w:kern w:val="2"/>
                      <w:sz w:val="19"/>
                      <w:szCs w:val="19"/>
                      <w:lang w:val="en-US" w:eastAsia="zh-CN" w:bidi="ar-SA"/>
                    </w:rPr>
                  </w:pPr>
                  <w:r>
                    <w:rPr>
                      <w:rFonts w:ascii="Times New Roman" w:hAnsi="Times New Roman" w:eastAsia="Times New Roman" w:cs="Times New Roman"/>
                      <w:spacing w:val="2"/>
                      <w:sz w:val="19"/>
                      <w:szCs w:val="19"/>
                    </w:rPr>
                    <w:t>无毒</w:t>
                  </w:r>
                </w:p>
              </w:tc>
              <w:tc>
                <w:tcPr>
                  <w:tcW w:w="460" w:type="pct"/>
                  <w:tcBorders>
                    <w:tl2br w:val="nil"/>
                    <w:tr2bl w:val="nil"/>
                  </w:tcBorders>
                  <w:shd w:val="clear" w:color="auto" w:fill="auto"/>
                  <w:vAlign w:val="top"/>
                </w:tcPr>
                <w:p w14:paraId="79D404E8">
                  <w:pPr>
                    <w:spacing w:before="55" w:line="199" w:lineRule="auto"/>
                    <w:rPr>
                      <w:rFonts w:hint="default" w:ascii="Times New Roman" w:hAnsi="Times New Roman" w:eastAsia="宋体" w:cs="Times New Roman"/>
                      <w:color w:val="0000FF"/>
                      <w:spacing w:val="2"/>
                      <w:kern w:val="2"/>
                      <w:sz w:val="19"/>
                      <w:szCs w:val="19"/>
                      <w:u w:val="single"/>
                      <w:lang w:val="en-US" w:eastAsia="zh-CN" w:bidi="ar-SA"/>
                    </w:rPr>
                  </w:pPr>
                  <w:r>
                    <w:rPr>
                      <w:rFonts w:hint="eastAsia" w:cs="Times New Roman"/>
                      <w:color w:val="0000FF"/>
                      <w:spacing w:val="2"/>
                      <w:sz w:val="19"/>
                      <w:szCs w:val="19"/>
                      <w:u w:val="single"/>
                      <w:lang w:val="en-US" w:eastAsia="zh-CN"/>
                    </w:rPr>
                    <w:t>4988.25</w:t>
                  </w:r>
                </w:p>
              </w:tc>
              <w:tc>
                <w:tcPr>
                  <w:tcW w:w="379" w:type="pct"/>
                  <w:tcBorders>
                    <w:tl2br w:val="nil"/>
                    <w:tr2bl w:val="nil"/>
                  </w:tcBorders>
                  <w:shd w:val="clear" w:color="auto" w:fill="auto"/>
                  <w:vAlign w:val="top"/>
                </w:tcPr>
                <w:p w14:paraId="4491FF40">
                  <w:pPr>
                    <w:spacing w:before="55" w:line="199" w:lineRule="auto"/>
                    <w:rPr>
                      <w:rFonts w:ascii="Times New Roman" w:hAnsi="Times New Roman" w:eastAsia="Times New Roman" w:cs="Times New Roman"/>
                      <w:spacing w:val="2"/>
                      <w:kern w:val="2"/>
                      <w:sz w:val="19"/>
                      <w:szCs w:val="19"/>
                      <w:lang w:val="en-US" w:eastAsia="zh-CN" w:bidi="ar-SA"/>
                    </w:rPr>
                  </w:pPr>
                  <w:r>
                    <w:rPr>
                      <w:rFonts w:ascii="Times New Roman" w:hAnsi="Times New Roman" w:eastAsia="Times New Roman" w:cs="Times New Roman"/>
                      <w:spacing w:val="2"/>
                      <w:sz w:val="19"/>
                      <w:szCs w:val="19"/>
                    </w:rPr>
                    <w:t>稳定</w:t>
                  </w:r>
                </w:p>
              </w:tc>
              <w:tc>
                <w:tcPr>
                  <w:tcW w:w="340" w:type="pct"/>
                  <w:tcBorders>
                    <w:tl2br w:val="nil"/>
                    <w:tr2bl w:val="nil"/>
                  </w:tcBorders>
                  <w:shd w:val="clear" w:color="auto" w:fill="auto"/>
                  <w:vAlign w:val="top"/>
                </w:tcPr>
                <w:p w14:paraId="161455BF">
                  <w:pPr>
                    <w:spacing w:before="55" w:line="199" w:lineRule="auto"/>
                    <w:rPr>
                      <w:rFonts w:ascii="Times New Roman" w:hAnsi="Times New Roman" w:eastAsia="Times New Roman" w:cs="Times New Roman"/>
                      <w:spacing w:val="2"/>
                      <w:kern w:val="2"/>
                      <w:sz w:val="19"/>
                      <w:szCs w:val="19"/>
                      <w:lang w:val="en-US" w:eastAsia="zh-CN" w:bidi="ar-SA"/>
                    </w:rPr>
                  </w:pPr>
                  <w:r>
                    <w:rPr>
                      <w:rFonts w:ascii="Times New Roman" w:hAnsi="Times New Roman" w:eastAsia="Times New Roman" w:cs="Times New Roman"/>
                      <w:spacing w:val="2"/>
                      <w:sz w:val="19"/>
                      <w:szCs w:val="19"/>
                    </w:rPr>
                    <w:t>无</w:t>
                  </w:r>
                </w:p>
              </w:tc>
              <w:tc>
                <w:tcPr>
                  <w:tcW w:w="478" w:type="pct"/>
                  <w:tcBorders>
                    <w:tl2br w:val="nil"/>
                    <w:tr2bl w:val="nil"/>
                  </w:tcBorders>
                  <w:shd w:val="clear" w:color="auto" w:fill="auto"/>
                  <w:vAlign w:val="top"/>
                </w:tcPr>
                <w:p w14:paraId="1E7EAB48">
                  <w:pPr>
                    <w:spacing w:before="55" w:line="199" w:lineRule="auto"/>
                    <w:rPr>
                      <w:rFonts w:hint="eastAsia" w:ascii="Times New Roman" w:hAnsi="Times New Roman" w:eastAsia="宋体" w:cs="Times New Roman"/>
                      <w:spacing w:val="2"/>
                      <w:kern w:val="2"/>
                      <w:sz w:val="19"/>
                      <w:szCs w:val="19"/>
                      <w:lang w:val="en-US" w:eastAsia="zh-CN" w:bidi="ar-SA"/>
                    </w:rPr>
                  </w:pPr>
                  <w:r>
                    <w:rPr>
                      <w:rFonts w:ascii="Times New Roman" w:hAnsi="Times New Roman" w:eastAsia="Times New Roman" w:cs="Times New Roman"/>
                      <w:spacing w:val="2"/>
                      <w:sz w:val="19"/>
                      <w:szCs w:val="19"/>
                    </w:rPr>
                    <w:t>暂存一般固废</w:t>
                  </w:r>
                  <w:r>
                    <w:rPr>
                      <w:rFonts w:hint="eastAsia" w:eastAsia="宋体" w:cs="Times New Roman"/>
                      <w:spacing w:val="2"/>
                      <w:sz w:val="19"/>
                      <w:szCs w:val="19"/>
                      <w:lang w:val="en-US" w:eastAsia="zh-CN"/>
                    </w:rPr>
                    <w:t>区</w:t>
                  </w:r>
                </w:p>
              </w:tc>
              <w:tc>
                <w:tcPr>
                  <w:tcW w:w="565" w:type="pct"/>
                  <w:tcBorders>
                    <w:tl2br w:val="nil"/>
                    <w:tr2bl w:val="nil"/>
                  </w:tcBorders>
                  <w:shd w:val="clear" w:color="auto" w:fill="auto"/>
                  <w:vAlign w:val="top"/>
                </w:tcPr>
                <w:p w14:paraId="1A1B9C4B">
                  <w:pPr>
                    <w:spacing w:before="55" w:line="199" w:lineRule="auto"/>
                    <w:rPr>
                      <w:rFonts w:ascii="Times New Roman" w:hAnsi="Times New Roman" w:eastAsia="Times New Roman" w:cs="Times New Roman"/>
                      <w:spacing w:val="2"/>
                      <w:kern w:val="2"/>
                      <w:sz w:val="19"/>
                      <w:szCs w:val="19"/>
                      <w:lang w:val="en-US" w:eastAsia="zh-CN" w:bidi="ar-SA"/>
                    </w:rPr>
                  </w:pPr>
                  <w:r>
                    <w:rPr>
                      <w:rFonts w:ascii="Times New Roman" w:hAnsi="Times New Roman" w:eastAsia="Times New Roman" w:cs="Times New Roman"/>
                      <w:spacing w:val="2"/>
                      <w:sz w:val="19"/>
                      <w:szCs w:val="19"/>
                    </w:rPr>
                    <w:t>外售做建筑材料</w:t>
                  </w:r>
                </w:p>
              </w:tc>
              <w:tc>
                <w:tcPr>
                  <w:tcW w:w="392" w:type="pct"/>
                  <w:vMerge w:val="continue"/>
                  <w:tcBorders>
                    <w:tl2br w:val="nil"/>
                    <w:tr2bl w:val="nil"/>
                  </w:tcBorders>
                  <w:vAlign w:val="top"/>
                </w:tcPr>
                <w:p w14:paraId="4B6BF035">
                  <w:pPr>
                    <w:spacing w:before="55" w:line="199" w:lineRule="auto"/>
                    <w:rPr>
                      <w:rFonts w:ascii="Times New Roman" w:hAnsi="Times New Roman" w:eastAsia="Times New Roman" w:cs="Times New Roman"/>
                      <w:spacing w:val="2"/>
                      <w:sz w:val="19"/>
                      <w:szCs w:val="19"/>
                    </w:rPr>
                  </w:pPr>
                </w:p>
              </w:tc>
            </w:tr>
            <w:tr w14:paraId="4BB4C55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76" w:type="pct"/>
                  <w:tcBorders>
                    <w:tl2br w:val="nil"/>
                    <w:tr2bl w:val="nil"/>
                  </w:tcBorders>
                  <w:vAlign w:val="top"/>
                </w:tcPr>
                <w:p w14:paraId="5E0FD613">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生 活</w:t>
                  </w:r>
                </w:p>
              </w:tc>
              <w:tc>
                <w:tcPr>
                  <w:tcW w:w="474" w:type="pct"/>
                  <w:tcBorders>
                    <w:tl2br w:val="nil"/>
                    <w:tr2bl w:val="nil"/>
                  </w:tcBorders>
                  <w:vAlign w:val="top"/>
                </w:tcPr>
                <w:p w14:paraId="398769E1">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生活垃 圾</w:t>
                  </w:r>
                </w:p>
              </w:tc>
              <w:tc>
                <w:tcPr>
                  <w:tcW w:w="485" w:type="pct"/>
                  <w:tcBorders>
                    <w:tl2br w:val="nil"/>
                    <w:tr2bl w:val="nil"/>
                  </w:tcBorders>
                  <w:vAlign w:val="top"/>
                </w:tcPr>
                <w:p w14:paraId="1638F55E">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w:t>
                  </w:r>
                </w:p>
              </w:tc>
              <w:tc>
                <w:tcPr>
                  <w:tcW w:w="764" w:type="pct"/>
                  <w:tcBorders>
                    <w:tl2br w:val="nil"/>
                    <w:tr2bl w:val="nil"/>
                  </w:tcBorders>
                  <w:vAlign w:val="top"/>
                </w:tcPr>
                <w:p w14:paraId="152B6723">
                  <w:pPr>
                    <w:spacing w:before="55" w:line="199" w:lineRule="auto"/>
                    <w:rPr>
                      <w:rFonts w:ascii="Times New Roman" w:hAnsi="Times New Roman" w:eastAsia="Times New Roman" w:cs="Times New Roman"/>
                      <w:spacing w:val="2"/>
                      <w:sz w:val="19"/>
                      <w:szCs w:val="19"/>
                    </w:rPr>
                  </w:pPr>
                  <w:r>
                    <w:rPr>
                      <w:rFonts w:hint="eastAsia" w:ascii="Times New Roman" w:hAnsi="Times New Roman" w:eastAsia="Times New Roman" w:cs="Times New Roman"/>
                      <w:spacing w:val="2"/>
                      <w:sz w:val="19"/>
                      <w:szCs w:val="19"/>
                      <w:lang w:val="en-US" w:eastAsia="zh-CN"/>
                    </w:rPr>
                    <w:t>S</w:t>
                  </w:r>
                  <w:r>
                    <w:rPr>
                      <w:rFonts w:hint="eastAsia" w:eastAsia="Times New Roman" w:cs="Times New Roman"/>
                      <w:spacing w:val="2"/>
                      <w:sz w:val="19"/>
                      <w:szCs w:val="19"/>
                      <w:lang w:val="en-US" w:eastAsia="zh-CN"/>
                    </w:rPr>
                    <w:t>6</w:t>
                  </w:r>
                  <w:r>
                    <w:rPr>
                      <w:rFonts w:hint="eastAsia" w:ascii="Times New Roman" w:hAnsi="Times New Roman" w:eastAsia="Times New Roman" w:cs="Times New Roman"/>
                      <w:spacing w:val="2"/>
                      <w:sz w:val="19"/>
                      <w:szCs w:val="19"/>
                      <w:lang w:val="en-US" w:eastAsia="zh-CN"/>
                    </w:rPr>
                    <w:t>1</w:t>
                  </w:r>
                  <w:r>
                    <w:rPr>
                      <w:rFonts w:ascii="Times New Roman" w:hAnsi="Times New Roman" w:eastAsia="Times New Roman" w:cs="Times New Roman"/>
                      <w:spacing w:val="2"/>
                      <w:sz w:val="19"/>
                      <w:szCs w:val="19"/>
                    </w:rPr>
                    <w:t>/</w:t>
                  </w:r>
                  <w:r>
                    <w:rPr>
                      <w:rFonts w:hint="eastAsia" w:ascii="Times New Roman" w:hAnsi="Times New Roman" w:eastAsia="Times New Roman" w:cs="Times New Roman"/>
                      <w:spacing w:val="2"/>
                      <w:sz w:val="19"/>
                      <w:szCs w:val="19"/>
                      <w:lang w:val="en-US" w:eastAsia="zh-CN"/>
                    </w:rPr>
                    <w:t>900-002-S61</w:t>
                  </w:r>
                </w:p>
                <w:p w14:paraId="1C7F60CC">
                  <w:pPr>
                    <w:spacing w:before="55" w:line="199" w:lineRule="auto"/>
                    <w:rPr>
                      <w:rFonts w:ascii="Times New Roman" w:hAnsi="Times New Roman" w:eastAsia="Times New Roman" w:cs="Times New Roman"/>
                      <w:spacing w:val="2"/>
                      <w:sz w:val="19"/>
                      <w:szCs w:val="19"/>
                    </w:rPr>
                  </w:pPr>
                </w:p>
              </w:tc>
              <w:tc>
                <w:tcPr>
                  <w:tcW w:w="383" w:type="pct"/>
                  <w:tcBorders>
                    <w:tl2br w:val="nil"/>
                    <w:tr2bl w:val="nil"/>
                  </w:tcBorders>
                  <w:vAlign w:val="top"/>
                </w:tcPr>
                <w:p w14:paraId="1ADEB299">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无毒</w:t>
                  </w:r>
                </w:p>
              </w:tc>
              <w:tc>
                <w:tcPr>
                  <w:tcW w:w="460" w:type="pct"/>
                  <w:tcBorders>
                    <w:tl2br w:val="nil"/>
                    <w:tr2bl w:val="nil"/>
                  </w:tcBorders>
                  <w:vAlign w:val="top"/>
                </w:tcPr>
                <w:p w14:paraId="1FAA5660">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6.0</w:t>
                  </w:r>
                </w:p>
              </w:tc>
              <w:tc>
                <w:tcPr>
                  <w:tcW w:w="379" w:type="pct"/>
                  <w:tcBorders>
                    <w:tl2br w:val="nil"/>
                    <w:tr2bl w:val="nil"/>
                  </w:tcBorders>
                  <w:vAlign w:val="top"/>
                </w:tcPr>
                <w:p w14:paraId="435A96A9">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稳定</w:t>
                  </w:r>
                </w:p>
              </w:tc>
              <w:tc>
                <w:tcPr>
                  <w:tcW w:w="340" w:type="pct"/>
                  <w:tcBorders>
                    <w:tl2br w:val="nil"/>
                    <w:tr2bl w:val="nil"/>
                  </w:tcBorders>
                  <w:vAlign w:val="top"/>
                </w:tcPr>
                <w:p w14:paraId="343416E2">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无</w:t>
                  </w:r>
                </w:p>
              </w:tc>
              <w:tc>
                <w:tcPr>
                  <w:tcW w:w="478" w:type="pct"/>
                  <w:tcBorders>
                    <w:tl2br w:val="nil"/>
                    <w:tr2bl w:val="nil"/>
                  </w:tcBorders>
                  <w:vAlign w:val="top"/>
                </w:tcPr>
                <w:p w14:paraId="49638735">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垃圾箱</w:t>
                  </w:r>
                </w:p>
              </w:tc>
              <w:tc>
                <w:tcPr>
                  <w:tcW w:w="565" w:type="pct"/>
                  <w:tcBorders>
                    <w:tl2br w:val="nil"/>
                    <w:tr2bl w:val="nil"/>
                  </w:tcBorders>
                  <w:vAlign w:val="top"/>
                </w:tcPr>
                <w:p w14:paraId="69F841ED">
                  <w:pPr>
                    <w:spacing w:before="55" w:line="199" w:lineRule="auto"/>
                    <w:rPr>
                      <w:rFonts w:ascii="Times New Roman" w:hAnsi="Times New Roman" w:eastAsia="Times New Roman" w:cs="Times New Roman"/>
                      <w:spacing w:val="2"/>
                      <w:sz w:val="19"/>
                      <w:szCs w:val="19"/>
                    </w:rPr>
                  </w:pPr>
                  <w:r>
                    <w:rPr>
                      <w:rFonts w:ascii="Times New Roman" w:hAnsi="Times New Roman" w:eastAsia="Times New Roman" w:cs="Times New Roman"/>
                      <w:spacing w:val="2"/>
                      <w:sz w:val="19"/>
                      <w:szCs w:val="19"/>
                    </w:rPr>
                    <w:t>环卫部门定期清运</w:t>
                  </w:r>
                </w:p>
              </w:tc>
              <w:tc>
                <w:tcPr>
                  <w:tcW w:w="392" w:type="pct"/>
                  <w:vMerge w:val="continue"/>
                  <w:tcBorders>
                    <w:tl2br w:val="nil"/>
                    <w:tr2bl w:val="nil"/>
                  </w:tcBorders>
                  <w:vAlign w:val="top"/>
                </w:tcPr>
                <w:p w14:paraId="3FEE6961">
                  <w:pPr>
                    <w:spacing w:before="55" w:line="199" w:lineRule="auto"/>
                    <w:rPr>
                      <w:rFonts w:ascii="Times New Roman" w:hAnsi="Times New Roman" w:eastAsia="Times New Roman" w:cs="Times New Roman"/>
                      <w:spacing w:val="2"/>
                      <w:sz w:val="19"/>
                      <w:szCs w:val="19"/>
                    </w:rPr>
                  </w:pPr>
                </w:p>
              </w:tc>
            </w:tr>
          </w:tbl>
          <w:p w14:paraId="2FBD82A8">
            <w:pPr>
              <w:pStyle w:val="52"/>
              <w:keepNext w:val="0"/>
              <w:keepLines w:val="0"/>
              <w:pageBreakBefore w:val="0"/>
              <w:widowControl w:val="0"/>
              <w:numPr>
                <w:ilvl w:val="0"/>
                <w:numId w:val="7"/>
              </w:numPr>
              <w:kinsoku/>
              <w:wordWrap/>
              <w:overflowPunct/>
              <w:topLinePunct w:val="0"/>
              <w:autoSpaceDE/>
              <w:autoSpaceDN/>
              <w:bidi w:val="0"/>
              <w:adjustRightInd/>
              <w:snapToGrid/>
              <w:spacing w:line="360" w:lineRule="auto"/>
              <w:ind w:left="633"/>
              <w:textAlignment w:val="auto"/>
              <w:rPr>
                <w:rFonts w:hint="eastAsia" w:ascii="宋体" w:hAnsi="宋体" w:eastAsia="宋体" w:cs="宋体"/>
                <w:spacing w:val="7"/>
                <w:sz w:val="24"/>
                <w:szCs w:val="24"/>
              </w:rPr>
            </w:pPr>
            <w:r>
              <w:rPr>
                <w:rFonts w:hint="eastAsia" w:cs="宋体"/>
                <w:spacing w:val="7"/>
                <w:sz w:val="24"/>
                <w:szCs w:val="24"/>
                <w:lang w:eastAsia="zh-CN"/>
              </w:rPr>
              <w:t>固废处置可行性及</w:t>
            </w:r>
            <w:r>
              <w:rPr>
                <w:rFonts w:hint="eastAsia" w:ascii="宋体" w:hAnsi="宋体" w:eastAsia="宋体" w:cs="宋体"/>
                <w:spacing w:val="7"/>
                <w:sz w:val="24"/>
                <w:szCs w:val="24"/>
              </w:rPr>
              <w:t>环境管理要求</w:t>
            </w:r>
          </w:p>
          <w:p w14:paraId="5359C62C">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4" w:firstLineChars="200"/>
              <w:textAlignment w:val="auto"/>
              <w:rPr>
                <w:rFonts w:hint="eastAsia" w:cs="宋体"/>
                <w:color w:val="0000FF"/>
                <w:spacing w:val="11"/>
                <w:sz w:val="24"/>
                <w:szCs w:val="24"/>
                <w:lang w:eastAsia="zh-CN"/>
              </w:rPr>
            </w:pPr>
            <w:r>
              <w:rPr>
                <w:rFonts w:hint="eastAsia" w:cs="宋体"/>
                <w:color w:val="0000FF"/>
                <w:spacing w:val="11"/>
                <w:sz w:val="24"/>
                <w:szCs w:val="24"/>
                <w:u w:val="single"/>
                <w:lang w:eastAsia="zh-CN"/>
              </w:rPr>
              <w:t>除尘器除下的粉尘、筛分石墨渣、石墨沉渣均属于未膨胀完全或未成型的石墨，可回用于生产重新插层及烘干筛分，使插层剂充分插入石墨层间，从而达到合格产品的标准。例如，当膨胀倍数仅为合格标准的60%时，通过调整反应参数进行二次插层，可使膨胀倍数提升至合格范围。</w:t>
            </w:r>
          </w:p>
          <w:p w14:paraId="2B07531C">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4" w:firstLineChars="200"/>
              <w:textAlignment w:val="auto"/>
              <w:rPr>
                <w:rFonts w:hint="eastAsia" w:ascii="宋体" w:hAnsi="宋体" w:eastAsia="宋体" w:cs="宋体"/>
                <w:sz w:val="24"/>
                <w:szCs w:val="24"/>
              </w:rPr>
            </w:pPr>
            <w:r>
              <w:rPr>
                <w:rFonts w:hint="eastAsia" w:ascii="宋体" w:hAnsi="宋体" w:eastAsia="宋体" w:cs="宋体"/>
                <w:spacing w:val="11"/>
                <w:sz w:val="24"/>
                <w:szCs w:val="24"/>
              </w:rPr>
              <w:t>本项目污水处理产生的污泥（石膏</w:t>
            </w:r>
            <w:r>
              <w:rPr>
                <w:rFonts w:hint="eastAsia" w:ascii="宋体" w:hAnsi="宋体" w:eastAsia="宋体" w:cs="宋体"/>
                <w:spacing w:val="-3"/>
                <w:sz w:val="24"/>
                <w:szCs w:val="24"/>
              </w:rPr>
              <w:t>）</w:t>
            </w:r>
            <w:r>
              <w:rPr>
                <w:rFonts w:hint="eastAsia" w:ascii="宋体" w:hAnsi="宋体" w:eastAsia="宋体" w:cs="宋体"/>
                <w:spacing w:val="-58"/>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11"/>
                <w:sz w:val="24"/>
                <w:szCs w:val="24"/>
              </w:rPr>
              <w:t>属于一般固废。主要成分是硫酸钙，在烧结砖瓦中它可以起着增强作用，固化作用和助燃作用。在成型时它可以减少成型水分，减少水分不但可以降低烧成损耗，而且还能降低烧成煤耗。让成型后的砖坯提前固化，减少烘干过程的压裂等现象发生。在焙烧时它起着助燃作用，它可以使砖坯提前液相熔融降低烧成温度，扩</w:t>
            </w:r>
            <w:r>
              <w:rPr>
                <w:rFonts w:hint="eastAsia" w:ascii="宋体" w:hAnsi="宋体" w:eastAsia="宋体" w:cs="宋体"/>
                <w:spacing w:val="9"/>
                <w:sz w:val="24"/>
                <w:szCs w:val="24"/>
              </w:rPr>
              <w:t>宽烧成范围，增强产品强度。因此，石膏可广泛用于烧结砖生产。</w:t>
            </w:r>
          </w:p>
          <w:p w14:paraId="114BE185">
            <w:pPr>
              <w:pStyle w:val="52"/>
              <w:keepNext w:val="0"/>
              <w:keepLines w:val="0"/>
              <w:pageBreakBefore w:val="0"/>
              <w:widowControl w:val="0"/>
              <w:kinsoku/>
              <w:wordWrap/>
              <w:overflowPunct/>
              <w:topLinePunct w:val="0"/>
              <w:autoSpaceDE/>
              <w:autoSpaceDN/>
              <w:bidi w:val="0"/>
              <w:adjustRightInd/>
              <w:snapToGrid/>
              <w:spacing w:line="360" w:lineRule="auto"/>
              <w:ind w:right="107" w:firstLine="524" w:firstLineChars="200"/>
              <w:jc w:val="both"/>
              <w:textAlignment w:val="auto"/>
              <w:rPr>
                <w:rFonts w:hint="eastAsia" w:ascii="宋体" w:hAnsi="宋体" w:eastAsia="宋体" w:cs="宋体"/>
                <w:spacing w:val="9"/>
                <w:sz w:val="24"/>
                <w:szCs w:val="24"/>
              </w:rPr>
            </w:pPr>
            <w:r>
              <w:rPr>
                <w:rFonts w:hint="eastAsia" w:ascii="宋体" w:hAnsi="宋体" w:eastAsia="宋体" w:cs="宋体"/>
                <w:spacing w:val="11"/>
                <w:sz w:val="24"/>
                <w:szCs w:val="24"/>
              </w:rPr>
              <w:t>石膏可作为原料，生产硫铝酸盐体系水泥、石膏矿渣水泥、石膏铝矾土膨胀水泥等。在生产水泥时，掺入适量石膏调节水泥的凝结速度。若不掺石膏或石膏掺量不足时，水泥可能</w:t>
            </w:r>
            <w:r>
              <w:rPr>
                <w:rFonts w:hint="eastAsia" w:ascii="宋体" w:hAnsi="宋体" w:eastAsia="宋体" w:cs="宋体"/>
                <w:spacing w:val="9"/>
                <w:sz w:val="24"/>
                <w:szCs w:val="24"/>
              </w:rPr>
              <w:t>会发生瞬凝现象。因此，石膏也是生产水泥必不可少的原料。</w:t>
            </w:r>
          </w:p>
          <w:p w14:paraId="7B9BAE60">
            <w:pPr>
              <w:pStyle w:val="52"/>
              <w:keepNext w:val="0"/>
              <w:keepLines w:val="0"/>
              <w:pageBreakBefore w:val="0"/>
              <w:widowControl w:val="0"/>
              <w:kinsoku/>
              <w:wordWrap/>
              <w:overflowPunct/>
              <w:topLinePunct w:val="0"/>
              <w:autoSpaceDE/>
              <w:autoSpaceDN/>
              <w:bidi w:val="0"/>
              <w:adjustRightInd/>
              <w:snapToGrid/>
              <w:spacing w:line="360" w:lineRule="auto"/>
              <w:ind w:right="107" w:firstLine="524" w:firstLineChars="200"/>
              <w:jc w:val="both"/>
              <w:textAlignment w:val="auto"/>
              <w:rPr>
                <w:rFonts w:hint="eastAsia" w:ascii="宋体" w:hAnsi="宋体" w:eastAsia="宋体" w:cs="宋体"/>
                <w:spacing w:val="9"/>
                <w:sz w:val="24"/>
                <w:szCs w:val="24"/>
              </w:rPr>
            </w:pPr>
            <w:r>
              <w:rPr>
                <w:rFonts w:hint="eastAsia" w:ascii="宋体" w:hAnsi="宋体" w:eastAsia="宋体" w:cs="宋体"/>
                <w:spacing w:val="11"/>
                <w:sz w:val="24"/>
                <w:szCs w:val="24"/>
              </w:rPr>
              <w:t>本项目所在地各类水泥厂和烧结砖等企业较多，为企业处理石膏提供了便利条件。企业</w:t>
            </w:r>
            <w:r>
              <w:rPr>
                <w:rFonts w:hint="eastAsia" w:ascii="宋体" w:hAnsi="宋体" w:eastAsia="宋体" w:cs="宋体"/>
                <w:spacing w:val="9"/>
                <w:sz w:val="24"/>
                <w:szCs w:val="24"/>
              </w:rPr>
              <w:t>建成后，需认真落实固废去向，保证不随意丢弃固废，避免造成二次污染。</w:t>
            </w:r>
          </w:p>
          <w:p w14:paraId="6C35E78F">
            <w:pPr>
              <w:pStyle w:val="52"/>
              <w:keepNext w:val="0"/>
              <w:keepLines w:val="0"/>
              <w:pageBreakBefore w:val="0"/>
              <w:widowControl w:val="0"/>
              <w:kinsoku/>
              <w:wordWrap/>
              <w:overflowPunct/>
              <w:topLinePunct w:val="0"/>
              <w:autoSpaceDE/>
              <w:autoSpaceDN/>
              <w:bidi w:val="0"/>
              <w:adjustRightInd/>
              <w:snapToGrid/>
              <w:spacing w:line="360" w:lineRule="auto"/>
              <w:ind w:right="107" w:firstLine="516" w:firstLineChars="200"/>
              <w:jc w:val="both"/>
              <w:textAlignment w:val="auto"/>
              <w:rPr>
                <w:rFonts w:hint="eastAsia" w:ascii="宋体" w:hAnsi="宋体" w:eastAsia="宋体" w:cs="宋体"/>
                <w:sz w:val="24"/>
                <w:szCs w:val="24"/>
              </w:rPr>
            </w:pPr>
            <w:r>
              <w:rPr>
                <w:rFonts w:hint="eastAsia" w:ascii="宋体" w:hAnsi="宋体" w:eastAsia="宋体" w:cs="宋体"/>
                <w:spacing w:val="9"/>
                <w:sz w:val="24"/>
                <w:szCs w:val="24"/>
              </w:rPr>
              <w:t>由于压滤后的石膏产生量较大，故对污泥的一般固废</w:t>
            </w:r>
            <w:r>
              <w:rPr>
                <w:rFonts w:hint="eastAsia" w:ascii="宋体" w:hAnsi="宋体" w:eastAsia="宋体" w:cs="宋体"/>
                <w:spacing w:val="8"/>
                <w:sz w:val="24"/>
                <w:szCs w:val="24"/>
              </w:rPr>
              <w:t>暂存区环境管理要求如下：</w:t>
            </w:r>
          </w:p>
          <w:p w14:paraId="069B9D2B">
            <w:pPr>
              <w:pStyle w:val="52"/>
              <w:keepNext w:val="0"/>
              <w:keepLines w:val="0"/>
              <w:pageBreakBefore w:val="0"/>
              <w:widowControl w:val="0"/>
              <w:kinsoku/>
              <w:wordWrap/>
              <w:overflowPunct/>
              <w:topLinePunct w:val="0"/>
              <w:autoSpaceDE/>
              <w:autoSpaceDN/>
              <w:bidi w:val="0"/>
              <w:adjustRightInd/>
              <w:snapToGrid/>
              <w:spacing w:line="360" w:lineRule="auto"/>
              <w:ind w:left="531"/>
              <w:textAlignment w:val="auto"/>
              <w:rPr>
                <w:rFonts w:hint="eastAsia" w:ascii="宋体" w:hAnsi="宋体" w:eastAsia="宋体" w:cs="宋体"/>
                <w:sz w:val="24"/>
                <w:szCs w:val="24"/>
              </w:rPr>
            </w:pPr>
            <w:r>
              <w:rPr>
                <w:rFonts w:hint="eastAsia" w:ascii="宋体" w:hAnsi="宋体" w:eastAsia="宋体" w:cs="宋体"/>
                <w:spacing w:val="7"/>
                <w:sz w:val="24"/>
                <w:szCs w:val="24"/>
              </w:rPr>
              <w:t>①设置收集</w:t>
            </w:r>
            <w:r>
              <w:rPr>
                <w:rFonts w:hint="eastAsia" w:ascii="宋体" w:hAnsi="宋体" w:eastAsia="宋体" w:cs="宋体"/>
                <w:spacing w:val="7"/>
                <w:sz w:val="24"/>
                <w:szCs w:val="24"/>
                <w:lang w:eastAsia="zh-CN"/>
              </w:rPr>
              <w:t>池</w:t>
            </w:r>
            <w:r>
              <w:rPr>
                <w:rFonts w:hint="eastAsia" w:ascii="宋体" w:hAnsi="宋体" w:eastAsia="宋体" w:cs="宋体"/>
                <w:spacing w:val="7"/>
                <w:sz w:val="24"/>
                <w:szCs w:val="24"/>
              </w:rPr>
              <w:t>收集</w:t>
            </w:r>
            <w:r>
              <w:rPr>
                <w:rFonts w:hint="eastAsia" w:ascii="宋体" w:hAnsi="宋体" w:eastAsia="宋体" w:cs="宋体"/>
                <w:spacing w:val="7"/>
                <w:sz w:val="24"/>
                <w:szCs w:val="24"/>
                <w:lang w:eastAsia="zh-CN"/>
              </w:rPr>
              <w:t>，收集池做好防渗</w:t>
            </w:r>
            <w:r>
              <w:rPr>
                <w:rFonts w:hint="eastAsia" w:ascii="宋体" w:hAnsi="宋体" w:eastAsia="宋体" w:cs="宋体"/>
                <w:spacing w:val="7"/>
                <w:sz w:val="24"/>
                <w:szCs w:val="24"/>
              </w:rPr>
              <w:t>。</w:t>
            </w:r>
          </w:p>
          <w:p w14:paraId="245BE377">
            <w:pPr>
              <w:pStyle w:val="52"/>
              <w:keepNext w:val="0"/>
              <w:keepLines w:val="0"/>
              <w:pageBreakBefore w:val="0"/>
              <w:widowControl w:val="0"/>
              <w:kinsoku/>
              <w:wordWrap/>
              <w:overflowPunct/>
              <w:topLinePunct w:val="0"/>
              <w:autoSpaceDE/>
              <w:autoSpaceDN/>
              <w:bidi w:val="0"/>
              <w:adjustRightInd/>
              <w:snapToGrid/>
              <w:spacing w:line="360" w:lineRule="auto"/>
              <w:ind w:left="530"/>
              <w:textAlignment w:val="auto"/>
              <w:rPr>
                <w:rFonts w:hint="eastAsia" w:ascii="宋体" w:hAnsi="宋体" w:eastAsia="宋体" w:cs="宋体"/>
                <w:sz w:val="24"/>
                <w:szCs w:val="24"/>
              </w:rPr>
            </w:pPr>
            <w:r>
              <w:rPr>
                <w:rFonts w:hint="eastAsia" w:ascii="宋体" w:hAnsi="宋体" w:eastAsia="宋体" w:cs="宋体"/>
                <w:spacing w:val="9"/>
                <w:sz w:val="24"/>
                <w:szCs w:val="24"/>
              </w:rPr>
              <w:t>②贮存场所禁止</w:t>
            </w:r>
            <w:r>
              <w:rPr>
                <w:rFonts w:hint="eastAsia" w:ascii="宋体" w:hAnsi="宋体" w:eastAsia="宋体" w:cs="宋体"/>
                <w:spacing w:val="9"/>
                <w:sz w:val="24"/>
                <w:szCs w:val="24"/>
                <w:lang w:eastAsia="zh-CN"/>
              </w:rPr>
              <w:t>其他</w:t>
            </w:r>
            <w:r>
              <w:rPr>
                <w:rFonts w:hint="eastAsia" w:ascii="宋体" w:hAnsi="宋体" w:eastAsia="宋体" w:cs="宋体"/>
                <w:spacing w:val="9"/>
                <w:sz w:val="24"/>
                <w:szCs w:val="24"/>
              </w:rPr>
              <w:t>混入。</w:t>
            </w:r>
          </w:p>
          <w:p w14:paraId="78B14282">
            <w:pPr>
              <w:pStyle w:val="52"/>
              <w:keepNext w:val="0"/>
              <w:keepLines w:val="0"/>
              <w:pageBreakBefore w:val="0"/>
              <w:widowControl w:val="0"/>
              <w:kinsoku/>
              <w:wordWrap/>
              <w:overflowPunct/>
              <w:topLinePunct w:val="0"/>
              <w:autoSpaceDE/>
              <w:autoSpaceDN/>
              <w:bidi w:val="0"/>
              <w:adjustRightInd/>
              <w:snapToGrid/>
              <w:spacing w:line="360" w:lineRule="auto"/>
              <w:ind w:left="530"/>
              <w:textAlignment w:val="auto"/>
              <w:rPr>
                <w:rFonts w:hint="eastAsia" w:ascii="宋体" w:hAnsi="宋体" w:eastAsia="宋体" w:cs="宋体"/>
                <w:sz w:val="24"/>
                <w:szCs w:val="24"/>
              </w:rPr>
            </w:pPr>
            <w:r>
              <w:rPr>
                <w:rFonts w:hint="eastAsia" w:ascii="宋体" w:hAnsi="宋体" w:eastAsia="宋体" w:cs="宋体"/>
                <w:spacing w:val="9"/>
                <w:sz w:val="24"/>
                <w:szCs w:val="24"/>
              </w:rPr>
              <w:t>③贮存场应建立检查维护制度，定期清运。</w:t>
            </w:r>
          </w:p>
          <w:p w14:paraId="62D83063">
            <w:pPr>
              <w:pStyle w:val="52"/>
              <w:keepNext w:val="0"/>
              <w:keepLines w:val="0"/>
              <w:pageBreakBefore w:val="0"/>
              <w:widowControl w:val="0"/>
              <w:kinsoku/>
              <w:wordWrap/>
              <w:overflowPunct/>
              <w:topLinePunct w:val="0"/>
              <w:autoSpaceDE/>
              <w:autoSpaceDN/>
              <w:bidi w:val="0"/>
              <w:adjustRightInd/>
              <w:snapToGrid/>
              <w:spacing w:line="360" w:lineRule="auto"/>
              <w:ind w:left="113" w:right="115" w:firstLine="477"/>
              <w:textAlignment w:val="auto"/>
              <w:rPr>
                <w:rFonts w:hint="eastAsia" w:ascii="宋体" w:hAnsi="宋体" w:eastAsia="宋体" w:cs="宋体"/>
                <w:sz w:val="24"/>
                <w:szCs w:val="24"/>
              </w:rPr>
            </w:pPr>
            <w:r>
              <w:rPr>
                <w:rFonts w:hint="eastAsia" w:ascii="宋体" w:hAnsi="宋体" w:eastAsia="宋体" w:cs="宋体"/>
                <w:spacing w:val="10"/>
                <w:sz w:val="24"/>
                <w:szCs w:val="24"/>
              </w:rPr>
              <w:t>④企业应建立档案制度。应将入场的一般工业固体废物的种类和</w:t>
            </w:r>
            <w:r>
              <w:rPr>
                <w:rFonts w:hint="eastAsia" w:ascii="宋体" w:hAnsi="宋体" w:eastAsia="宋体" w:cs="宋体"/>
                <w:spacing w:val="9"/>
                <w:sz w:val="24"/>
                <w:szCs w:val="24"/>
              </w:rPr>
              <w:t>数量以及下列资料，详细记录各种设施和设备的检查维护资料，长期保存，供随时查阅。</w:t>
            </w:r>
          </w:p>
          <w:p w14:paraId="08A50172">
            <w:pPr>
              <w:pStyle w:val="52"/>
              <w:keepNext w:val="0"/>
              <w:keepLines w:val="0"/>
              <w:pageBreakBefore w:val="0"/>
              <w:widowControl w:val="0"/>
              <w:kinsoku/>
              <w:wordWrap/>
              <w:overflowPunct/>
              <w:topLinePunct w:val="0"/>
              <w:autoSpaceDE/>
              <w:autoSpaceDN/>
              <w:bidi w:val="0"/>
              <w:spacing w:line="360" w:lineRule="auto"/>
              <w:ind w:left="115"/>
              <w:textAlignment w:val="auto"/>
              <w:rPr>
                <w:rFonts w:hint="eastAsia" w:ascii="宋体" w:hAnsi="宋体" w:eastAsia="宋体" w:cs="宋体"/>
                <w:sz w:val="24"/>
                <w:szCs w:val="24"/>
              </w:rPr>
            </w:pPr>
            <w:r>
              <w:rPr>
                <w:rFonts w:hint="eastAsia" w:ascii="宋体" w:hAnsi="宋体" w:eastAsia="宋体" w:cs="宋体"/>
                <w:b/>
                <w:bCs/>
                <w:spacing w:val="-10"/>
                <w:sz w:val="24"/>
                <w:szCs w:val="24"/>
              </w:rPr>
              <w:t>五、地下水和土壤</w:t>
            </w:r>
          </w:p>
          <w:p w14:paraId="65FF33B8">
            <w:pPr>
              <w:pStyle w:val="52"/>
              <w:keepNext w:val="0"/>
              <w:keepLines w:val="0"/>
              <w:pageBreakBefore w:val="0"/>
              <w:widowControl w:val="0"/>
              <w:kinsoku/>
              <w:wordWrap/>
              <w:overflowPunct/>
              <w:topLinePunct w:val="0"/>
              <w:autoSpaceDE/>
              <w:autoSpaceDN/>
              <w:bidi w:val="0"/>
              <w:spacing w:line="360" w:lineRule="auto"/>
              <w:ind w:left="109" w:right="53" w:firstLine="437"/>
              <w:jc w:val="both"/>
              <w:textAlignment w:val="auto"/>
              <w:rPr>
                <w:rFonts w:hint="eastAsia" w:ascii="宋体" w:hAnsi="宋体" w:eastAsia="宋体" w:cs="宋体"/>
                <w:sz w:val="24"/>
                <w:szCs w:val="24"/>
              </w:rPr>
            </w:pPr>
            <w:r>
              <w:rPr>
                <w:rFonts w:hint="eastAsia" w:ascii="宋体" w:hAnsi="宋体" w:eastAsia="宋体" w:cs="宋体"/>
                <w:spacing w:val="7"/>
                <w:sz w:val="24"/>
                <w:szCs w:val="24"/>
              </w:rPr>
              <w:t>根据《环境影响评价技术导则 地下水环境》（</w:t>
            </w:r>
            <w:r>
              <w:rPr>
                <w:rFonts w:hint="eastAsia" w:ascii="宋体" w:hAnsi="宋体" w:eastAsia="宋体" w:cs="宋体"/>
                <w:sz w:val="24"/>
                <w:szCs w:val="24"/>
              </w:rPr>
              <w:t>HJ</w:t>
            </w:r>
            <w:r>
              <w:rPr>
                <w:rFonts w:hint="eastAsia" w:ascii="宋体" w:hAnsi="宋体" w:eastAsia="宋体" w:cs="宋体"/>
                <w:spacing w:val="7"/>
                <w:sz w:val="24"/>
                <w:szCs w:val="24"/>
              </w:rPr>
              <w:t>6</w:t>
            </w:r>
            <w:r>
              <w:rPr>
                <w:rFonts w:hint="eastAsia" w:ascii="宋体" w:hAnsi="宋体" w:eastAsia="宋体" w:cs="宋体"/>
                <w:spacing w:val="6"/>
                <w:sz w:val="24"/>
                <w:szCs w:val="24"/>
              </w:rPr>
              <w:t>10-2016）附录</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A</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，本项目属于“J 非金</w:t>
            </w:r>
            <w:r>
              <w:rPr>
                <w:rFonts w:hint="eastAsia" w:ascii="宋体" w:hAnsi="宋体" w:eastAsia="宋体" w:cs="宋体"/>
                <w:spacing w:val="8"/>
                <w:sz w:val="24"/>
                <w:szCs w:val="24"/>
              </w:rPr>
              <w:t>属矿采选及制品制造”下的“69 石墨</w:t>
            </w:r>
            <w:r>
              <w:rPr>
                <w:rFonts w:hint="eastAsia" w:cs="宋体"/>
                <w:spacing w:val="8"/>
                <w:sz w:val="24"/>
                <w:szCs w:val="24"/>
                <w:lang w:eastAsia="zh-CN"/>
              </w:rPr>
              <w:t>及其他</w:t>
            </w:r>
            <w:r>
              <w:rPr>
                <w:rFonts w:hint="eastAsia" w:ascii="宋体" w:hAnsi="宋体" w:eastAsia="宋体" w:cs="宋体"/>
                <w:spacing w:val="8"/>
                <w:sz w:val="24"/>
                <w:szCs w:val="24"/>
              </w:rPr>
              <w:t>非金属矿物制品”，本</w:t>
            </w:r>
            <w:r>
              <w:rPr>
                <w:rFonts w:hint="eastAsia" w:ascii="宋体" w:hAnsi="宋体" w:eastAsia="宋体" w:cs="宋体"/>
                <w:spacing w:val="7"/>
                <w:sz w:val="24"/>
                <w:szCs w:val="24"/>
              </w:rPr>
              <w:t>项目属于地下水环境影响评价</w:t>
            </w:r>
            <w:r>
              <w:rPr>
                <w:rFonts w:hint="eastAsia" w:ascii="宋体" w:hAnsi="宋体" w:eastAsia="宋体" w:cs="宋体"/>
                <w:spacing w:val="5"/>
                <w:sz w:val="24"/>
                <w:szCs w:val="24"/>
              </w:rPr>
              <w:t>项目类别Ⅳ类项目。根据《环境影响评价技术导则 地下水环境》（</w:t>
            </w:r>
            <w:r>
              <w:rPr>
                <w:rFonts w:hint="eastAsia" w:ascii="宋体" w:hAnsi="宋体" w:eastAsia="宋体" w:cs="宋体"/>
                <w:sz w:val="24"/>
                <w:szCs w:val="24"/>
              </w:rPr>
              <w:t>HJ</w:t>
            </w:r>
            <w:r>
              <w:rPr>
                <w:rFonts w:hint="eastAsia" w:ascii="宋体" w:hAnsi="宋体" w:eastAsia="宋体" w:cs="宋体"/>
                <w:spacing w:val="5"/>
                <w:sz w:val="24"/>
                <w:szCs w:val="24"/>
              </w:rPr>
              <w:t>610-2016）中第</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4</w:t>
            </w:r>
            <w:r>
              <w:rPr>
                <w:rFonts w:hint="eastAsia" w:ascii="宋体" w:hAnsi="宋体" w:eastAsia="宋体" w:cs="宋体"/>
                <w:spacing w:val="4"/>
                <w:sz w:val="24"/>
                <w:szCs w:val="24"/>
              </w:rPr>
              <w:t>.</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1 条，</w:t>
            </w:r>
            <w:r>
              <w:rPr>
                <w:rFonts w:hint="eastAsia" w:cs="宋体"/>
                <w:spacing w:val="4"/>
                <w:sz w:val="24"/>
                <w:szCs w:val="24"/>
                <w:lang w:eastAsia="zh-CN"/>
              </w:rPr>
              <w:t>Ⅳ类</w:t>
            </w:r>
            <w:r>
              <w:rPr>
                <w:rFonts w:hint="eastAsia" w:ascii="宋体" w:hAnsi="宋体" w:eastAsia="宋体" w:cs="宋体"/>
                <w:spacing w:val="10"/>
                <w:sz w:val="24"/>
                <w:szCs w:val="24"/>
              </w:rPr>
              <w:t>建设项目不开展地下水环境影响评价，因此</w:t>
            </w:r>
            <w:r>
              <w:rPr>
                <w:rFonts w:hint="eastAsia" w:ascii="宋体" w:hAnsi="宋体" w:eastAsia="宋体" w:cs="宋体"/>
                <w:spacing w:val="9"/>
                <w:sz w:val="24"/>
                <w:szCs w:val="24"/>
              </w:rPr>
              <w:t>本项目无需开展地下水环境影响评价。</w:t>
            </w:r>
          </w:p>
          <w:p w14:paraId="43145355">
            <w:pPr>
              <w:pStyle w:val="52"/>
              <w:keepNext w:val="0"/>
              <w:keepLines w:val="0"/>
              <w:pageBreakBefore w:val="0"/>
              <w:widowControl w:val="0"/>
              <w:kinsoku/>
              <w:wordWrap/>
              <w:overflowPunct/>
              <w:topLinePunct w:val="0"/>
              <w:autoSpaceDE/>
              <w:autoSpaceDN/>
              <w:bidi w:val="0"/>
              <w:spacing w:line="360" w:lineRule="auto"/>
              <w:ind w:left="112" w:right="110" w:firstLine="420"/>
              <w:textAlignment w:val="auto"/>
              <w:rPr>
                <w:rFonts w:hint="eastAsia" w:ascii="宋体" w:hAnsi="宋体" w:eastAsia="宋体" w:cs="宋体"/>
                <w:sz w:val="24"/>
                <w:szCs w:val="24"/>
              </w:rPr>
            </w:pPr>
            <w:r>
              <w:rPr>
                <w:rFonts w:hint="eastAsia" w:ascii="宋体" w:hAnsi="宋体" w:eastAsia="宋体" w:cs="宋体"/>
                <w:spacing w:val="7"/>
                <w:sz w:val="24"/>
                <w:szCs w:val="24"/>
              </w:rPr>
              <w:t>根据《环境影响评价技术导则 土壤环境》（</w:t>
            </w:r>
            <w:r>
              <w:rPr>
                <w:rFonts w:hint="eastAsia" w:ascii="宋体" w:hAnsi="宋体" w:eastAsia="宋体" w:cs="宋体"/>
                <w:sz w:val="24"/>
                <w:szCs w:val="24"/>
              </w:rPr>
              <w:t>HJ</w:t>
            </w:r>
            <w:r>
              <w:rPr>
                <w:rFonts w:hint="eastAsia" w:ascii="宋体" w:hAnsi="宋体" w:eastAsia="宋体" w:cs="宋体"/>
                <w:spacing w:val="7"/>
                <w:sz w:val="24"/>
                <w:szCs w:val="24"/>
              </w:rPr>
              <w:t>964-2018）附录</w:t>
            </w:r>
            <w:r>
              <w:rPr>
                <w:rFonts w:hint="eastAsia" w:ascii="宋体" w:hAnsi="宋体" w:eastAsia="宋体" w:cs="宋体"/>
                <w:spacing w:val="-43"/>
                <w:sz w:val="24"/>
                <w:szCs w:val="24"/>
              </w:rPr>
              <w:t xml:space="preserve"> </w:t>
            </w:r>
            <w:r>
              <w:rPr>
                <w:rFonts w:hint="eastAsia" w:ascii="宋体" w:hAnsi="宋体" w:eastAsia="宋体" w:cs="宋体"/>
                <w:spacing w:val="7"/>
                <w:sz w:val="24"/>
                <w:szCs w:val="24"/>
              </w:rPr>
              <w:t>A 土壤</w:t>
            </w:r>
            <w:r>
              <w:rPr>
                <w:rFonts w:hint="eastAsia" w:ascii="宋体" w:hAnsi="宋体" w:eastAsia="宋体" w:cs="宋体"/>
                <w:spacing w:val="6"/>
                <w:sz w:val="24"/>
                <w:szCs w:val="24"/>
              </w:rPr>
              <w:t>环境影响评价项目</w:t>
            </w:r>
            <w:r>
              <w:rPr>
                <w:rFonts w:hint="eastAsia" w:ascii="宋体" w:hAnsi="宋体" w:eastAsia="宋体" w:cs="宋体"/>
                <w:spacing w:val="9"/>
                <w:sz w:val="24"/>
                <w:szCs w:val="24"/>
              </w:rPr>
              <w:t>类别划分标准，本项目石墨属于其他行业，所以项目类别为Ⅳ类，无需开展土壤评价工作。</w:t>
            </w:r>
          </w:p>
          <w:p w14:paraId="36A976C4">
            <w:pPr>
              <w:pStyle w:val="52"/>
              <w:keepNext w:val="0"/>
              <w:keepLines w:val="0"/>
              <w:pageBreakBefore w:val="0"/>
              <w:widowControl w:val="0"/>
              <w:kinsoku/>
              <w:wordWrap/>
              <w:overflowPunct/>
              <w:topLinePunct w:val="0"/>
              <w:autoSpaceDE/>
              <w:autoSpaceDN/>
              <w:bidi w:val="0"/>
              <w:spacing w:line="360" w:lineRule="auto"/>
              <w:ind w:left="107" w:right="107" w:firstLine="524" w:firstLineChars="200"/>
              <w:textAlignment w:val="auto"/>
              <w:rPr>
                <w:rFonts w:hint="eastAsia" w:ascii="宋体" w:hAnsi="宋体" w:eastAsia="宋体" w:cs="宋体"/>
                <w:sz w:val="24"/>
                <w:szCs w:val="24"/>
              </w:rPr>
            </w:pPr>
            <w:r>
              <w:rPr>
                <w:rFonts w:hint="eastAsia" w:ascii="宋体" w:hAnsi="宋体" w:eastAsia="宋体" w:cs="宋体"/>
                <w:spacing w:val="11"/>
                <w:sz w:val="24"/>
                <w:szCs w:val="24"/>
              </w:rPr>
              <w:t>项目可能对地下水和土壤产生污染的环节包括：①</w:t>
            </w:r>
            <w:r>
              <w:rPr>
                <w:rFonts w:hint="eastAsia" w:ascii="宋体" w:hAnsi="宋体" w:eastAsia="宋体" w:cs="宋体"/>
                <w:spacing w:val="11"/>
                <w:sz w:val="24"/>
                <w:szCs w:val="24"/>
                <w:lang w:val="en-US" w:eastAsia="zh-CN"/>
              </w:rPr>
              <w:t>各种</w:t>
            </w:r>
            <w:r>
              <w:rPr>
                <w:rFonts w:hint="eastAsia" w:ascii="宋体" w:hAnsi="宋体" w:eastAsia="宋体" w:cs="宋体"/>
                <w:spacing w:val="11"/>
                <w:sz w:val="24"/>
                <w:szCs w:val="24"/>
              </w:rPr>
              <w:t>罐罐底部发生破损；②废水输送管道发生破损；③储罐破损；主要是通过垂直入渗对水体和土壤产生影响，使水体和土壤</w:t>
            </w:r>
            <w:r>
              <w:rPr>
                <w:rFonts w:hint="eastAsia" w:cs="宋体"/>
                <w:spacing w:val="11"/>
                <w:sz w:val="24"/>
                <w:szCs w:val="24"/>
                <w:lang w:eastAsia="zh-CN"/>
              </w:rPr>
              <w:t>pH值</w:t>
            </w:r>
            <w:r>
              <w:rPr>
                <w:rFonts w:hint="eastAsia" w:ascii="宋体" w:hAnsi="宋体" w:eastAsia="宋体" w:cs="宋体"/>
                <w:spacing w:val="8"/>
                <w:sz w:val="24"/>
                <w:szCs w:val="24"/>
              </w:rPr>
              <w:t>降低，引起土壤酸化。</w:t>
            </w:r>
          </w:p>
          <w:p w14:paraId="55AAF909">
            <w:pPr>
              <w:pStyle w:val="52"/>
              <w:keepNext w:val="0"/>
              <w:keepLines w:val="0"/>
              <w:pageBreakBefore w:val="0"/>
              <w:widowControl w:val="0"/>
              <w:kinsoku/>
              <w:wordWrap/>
              <w:overflowPunct/>
              <w:topLinePunct w:val="0"/>
              <w:autoSpaceDE/>
              <w:autoSpaceDN/>
              <w:bidi w:val="0"/>
              <w:spacing w:line="360" w:lineRule="auto"/>
              <w:ind w:left="129" w:right="108" w:firstLine="402"/>
              <w:jc w:val="both"/>
              <w:textAlignment w:val="auto"/>
              <w:rPr>
                <w:rFonts w:hint="eastAsia" w:ascii="宋体" w:hAnsi="宋体" w:eastAsia="宋体" w:cs="宋体"/>
                <w:sz w:val="24"/>
                <w:szCs w:val="24"/>
              </w:rPr>
            </w:pPr>
            <w:r>
              <w:rPr>
                <w:rFonts w:hint="eastAsia" w:ascii="宋体" w:hAnsi="宋体" w:eastAsia="宋体" w:cs="宋体"/>
                <w:spacing w:val="8"/>
                <w:sz w:val="24"/>
                <w:szCs w:val="24"/>
              </w:rPr>
              <w:t>根据《环境影响评价技术导则 地下水环境》（</w:t>
            </w:r>
            <w:r>
              <w:rPr>
                <w:rFonts w:hint="eastAsia" w:ascii="宋体" w:hAnsi="宋体" w:eastAsia="宋体" w:cs="宋体"/>
                <w:sz w:val="24"/>
                <w:szCs w:val="24"/>
              </w:rPr>
              <w:t>HJ</w:t>
            </w:r>
            <w:r>
              <w:rPr>
                <w:rFonts w:hint="eastAsia" w:ascii="宋体" w:hAnsi="宋体" w:eastAsia="宋体" w:cs="宋体"/>
                <w:spacing w:val="8"/>
                <w:sz w:val="24"/>
                <w:szCs w:val="24"/>
              </w:rPr>
              <w:t>610-2016）中对建设项目分区防</w:t>
            </w:r>
            <w:r>
              <w:rPr>
                <w:rFonts w:hint="eastAsia" w:ascii="宋体" w:hAnsi="宋体" w:eastAsia="宋体" w:cs="宋体"/>
                <w:spacing w:val="7"/>
                <w:sz w:val="24"/>
                <w:szCs w:val="24"/>
              </w:rPr>
              <w:t>控措施</w:t>
            </w:r>
            <w:r>
              <w:rPr>
                <w:rFonts w:hint="eastAsia" w:ascii="宋体" w:hAnsi="宋体" w:eastAsia="宋体" w:cs="宋体"/>
                <w:spacing w:val="11"/>
                <w:sz w:val="24"/>
                <w:szCs w:val="24"/>
              </w:rPr>
              <w:t>的要求，本项目根据建设项目场地天然包气带防污性能、污染控制难易程度和污染物特</w:t>
            </w:r>
            <w:r>
              <w:rPr>
                <w:rFonts w:hint="eastAsia" w:ascii="宋体" w:hAnsi="宋体" w:eastAsia="宋体" w:cs="宋体"/>
                <w:spacing w:val="10"/>
                <w:sz w:val="24"/>
                <w:szCs w:val="24"/>
              </w:rPr>
              <w:t>性提</w:t>
            </w:r>
            <w:r>
              <w:rPr>
                <w:rFonts w:hint="eastAsia" w:ascii="宋体" w:hAnsi="宋体" w:eastAsia="宋体" w:cs="宋体"/>
                <w:spacing w:val="9"/>
                <w:sz w:val="24"/>
                <w:szCs w:val="24"/>
              </w:rPr>
              <w:t>出防渗技术要求。</w:t>
            </w:r>
            <w:r>
              <w:rPr>
                <w:rFonts w:hint="eastAsia" w:ascii="宋体" w:hAnsi="宋体" w:eastAsia="宋体" w:cs="宋体"/>
                <w:spacing w:val="9"/>
                <w:sz w:val="24"/>
                <w:szCs w:val="24"/>
                <w:lang w:eastAsia="zh-CN"/>
              </w:rPr>
              <w:t>根据</w:t>
            </w:r>
            <w:r>
              <w:rPr>
                <w:rFonts w:hint="eastAsia" w:ascii="宋体" w:hAnsi="宋体" w:eastAsia="宋体" w:cs="宋体"/>
                <w:spacing w:val="9"/>
                <w:sz w:val="24"/>
                <w:szCs w:val="24"/>
              </w:rPr>
              <w:t>本项目场地天然包气带的防污性能</w:t>
            </w:r>
            <w:r>
              <w:rPr>
                <w:rFonts w:hint="eastAsia" w:ascii="宋体" w:hAnsi="宋体" w:eastAsia="宋体" w:cs="宋体"/>
                <w:spacing w:val="9"/>
                <w:sz w:val="24"/>
                <w:szCs w:val="24"/>
                <w:lang w:eastAsia="zh-CN"/>
              </w:rPr>
              <w:t>分区</w:t>
            </w:r>
            <w:r>
              <w:rPr>
                <w:rFonts w:hint="eastAsia" w:ascii="宋体" w:hAnsi="宋体" w:eastAsia="宋体" w:cs="宋体"/>
                <w:spacing w:val="9"/>
                <w:sz w:val="24"/>
                <w:szCs w:val="24"/>
              </w:rPr>
              <w:t>，需要人</w:t>
            </w:r>
            <w:r>
              <w:rPr>
                <w:rFonts w:hint="eastAsia" w:ascii="宋体" w:hAnsi="宋体" w:eastAsia="宋体" w:cs="宋体"/>
                <w:spacing w:val="8"/>
                <w:sz w:val="24"/>
                <w:szCs w:val="24"/>
              </w:rPr>
              <w:t>工防渗。</w:t>
            </w:r>
          </w:p>
          <w:p w14:paraId="06E82C2B">
            <w:pPr>
              <w:pStyle w:val="52"/>
              <w:keepNext w:val="0"/>
              <w:keepLines w:val="0"/>
              <w:pageBreakBefore w:val="0"/>
              <w:widowControl w:val="0"/>
              <w:kinsoku/>
              <w:wordWrap/>
              <w:overflowPunct/>
              <w:topLinePunct w:val="0"/>
              <w:autoSpaceDE/>
              <w:autoSpaceDN/>
              <w:bidi w:val="0"/>
              <w:spacing w:line="360" w:lineRule="auto"/>
              <w:ind w:left="113" w:right="108" w:firstLine="420"/>
              <w:jc w:val="both"/>
              <w:textAlignment w:val="auto"/>
              <w:rPr>
                <w:rFonts w:hint="eastAsia" w:ascii="宋体" w:hAnsi="宋体" w:eastAsia="宋体" w:cs="宋体"/>
                <w:sz w:val="24"/>
                <w:szCs w:val="24"/>
              </w:rPr>
            </w:pPr>
            <w:r>
              <w:rPr>
                <w:rFonts w:hint="eastAsia" w:ascii="宋体" w:hAnsi="宋体" w:eastAsia="宋体" w:cs="宋体"/>
                <w:spacing w:val="11"/>
                <w:sz w:val="24"/>
                <w:szCs w:val="24"/>
              </w:rPr>
              <w:t>本项目分为重点防渗区、一般防渗区和简单防渗区，根据本项目运行中各个工段产生的有污染的物料或污染物的类型及泄漏后对地下水环境的影响情况，建议项目厂区应该分为重</w:t>
            </w:r>
            <w:r>
              <w:rPr>
                <w:rFonts w:hint="eastAsia" w:ascii="宋体" w:hAnsi="宋体" w:eastAsia="宋体" w:cs="宋体"/>
                <w:spacing w:val="9"/>
                <w:sz w:val="24"/>
                <w:szCs w:val="24"/>
              </w:rPr>
              <w:t>点防渗区和简单防渗区。本项目具体防渗划分要求如下：</w:t>
            </w:r>
          </w:p>
          <w:p w14:paraId="5D81BFBA">
            <w:pPr>
              <w:pStyle w:val="52"/>
              <w:keepNext w:val="0"/>
              <w:keepLines w:val="0"/>
              <w:pageBreakBefore w:val="0"/>
              <w:widowControl w:val="0"/>
              <w:kinsoku/>
              <w:wordWrap/>
              <w:overflowPunct/>
              <w:topLinePunct w:val="0"/>
              <w:autoSpaceDE/>
              <w:autoSpaceDN/>
              <w:bidi w:val="0"/>
              <w:spacing w:line="360" w:lineRule="auto"/>
              <w:ind w:left="110" w:right="53" w:firstLine="431"/>
              <w:textAlignment w:val="auto"/>
              <w:rPr>
                <w:rFonts w:hint="eastAsia" w:ascii="宋体" w:hAnsi="宋体" w:eastAsia="宋体" w:cs="宋体"/>
                <w:sz w:val="24"/>
                <w:szCs w:val="24"/>
              </w:rPr>
            </w:pPr>
            <w:r>
              <w:rPr>
                <w:rFonts w:hint="eastAsia" w:ascii="宋体" w:hAnsi="宋体" w:eastAsia="宋体" w:cs="宋体"/>
                <w:spacing w:val="8"/>
                <w:sz w:val="24"/>
                <w:szCs w:val="24"/>
              </w:rPr>
              <w:t>（1）重点污染防治区</w:t>
            </w:r>
            <w:r>
              <w:rPr>
                <w:rFonts w:hint="eastAsia" w:ascii="宋体" w:hAnsi="宋体" w:eastAsia="宋体" w:cs="宋体"/>
                <w:spacing w:val="8"/>
                <w:sz w:val="24"/>
                <w:szCs w:val="24"/>
                <w:lang w:val="en-US" w:eastAsia="zh-CN"/>
              </w:rPr>
              <w:t>为车间（车间内设置膨胀石墨生产区、污水处理、事故池、原料区、储罐区、酸雾处理区、一般固废区等区域等），</w:t>
            </w:r>
            <w:r>
              <w:rPr>
                <w:rFonts w:hint="eastAsia" w:ascii="宋体" w:hAnsi="宋体" w:eastAsia="宋体" w:cs="宋体"/>
                <w:spacing w:val="7"/>
                <w:sz w:val="24"/>
                <w:szCs w:val="24"/>
              </w:rPr>
              <w:t>参照《石油化工工程防渗技术规范》（</w:t>
            </w:r>
            <w:r>
              <w:rPr>
                <w:rFonts w:hint="eastAsia" w:ascii="宋体" w:hAnsi="宋体" w:eastAsia="宋体" w:cs="宋体"/>
                <w:sz w:val="24"/>
                <w:szCs w:val="24"/>
              </w:rPr>
              <w:t>GB</w:t>
            </w:r>
            <w:r>
              <w:rPr>
                <w:rFonts w:hint="eastAsia" w:ascii="宋体" w:hAnsi="宋体" w:eastAsia="宋体" w:cs="宋体"/>
                <w:spacing w:val="7"/>
                <w:sz w:val="24"/>
                <w:szCs w:val="24"/>
              </w:rPr>
              <w:t>50934-2013</w:t>
            </w:r>
            <w:r>
              <w:rPr>
                <w:rFonts w:hint="eastAsia" w:ascii="宋体" w:hAnsi="宋体" w:eastAsia="宋体" w:cs="宋体"/>
                <w:spacing w:val="-17"/>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这些区域的地面防渗性能不应低于</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6.0m 厚渗透系数为</w:t>
            </w:r>
            <w:r>
              <w:rPr>
                <w:rFonts w:hint="eastAsia" w:ascii="宋体" w:hAnsi="宋体" w:eastAsia="宋体" w:cs="宋体"/>
                <w:spacing w:val="-21"/>
                <w:sz w:val="24"/>
                <w:szCs w:val="24"/>
              </w:rPr>
              <w:t xml:space="preserve"> </w:t>
            </w:r>
            <w:r>
              <w:rPr>
                <w:rFonts w:hint="eastAsia" w:ascii="宋体" w:hAnsi="宋体" w:eastAsia="宋体" w:cs="宋体"/>
                <w:spacing w:val="7"/>
                <w:sz w:val="24"/>
                <w:szCs w:val="24"/>
              </w:rPr>
              <w:t>1.0×10</w:t>
            </w:r>
            <w:r>
              <w:rPr>
                <w:rFonts w:hint="eastAsia" w:ascii="宋体" w:hAnsi="宋体" w:eastAsia="宋体" w:cs="宋体"/>
                <w:spacing w:val="7"/>
                <w:sz w:val="24"/>
                <w:szCs w:val="24"/>
                <w:vertAlign w:val="superscript"/>
                <w:lang w:eastAsia="zh-CN"/>
              </w:rPr>
              <w:t>－</w:t>
            </w:r>
            <w:r>
              <w:rPr>
                <w:rFonts w:hint="eastAsia" w:ascii="宋体" w:hAnsi="宋体" w:eastAsia="宋体" w:cs="宋体"/>
                <w:spacing w:val="7"/>
                <w:sz w:val="24"/>
                <w:szCs w:val="24"/>
                <w:vertAlign w:val="superscript"/>
                <w:lang w:val="en-US" w:eastAsia="zh-CN"/>
              </w:rPr>
              <w:t>7</w:t>
            </w:r>
            <w:r>
              <w:rPr>
                <w:rFonts w:hint="eastAsia" w:ascii="宋体" w:hAnsi="宋体" w:eastAsia="宋体" w:cs="宋体"/>
                <w:sz w:val="24"/>
                <w:szCs w:val="24"/>
              </w:rPr>
              <w:t>cm</w:t>
            </w:r>
            <w:r>
              <w:rPr>
                <w:rFonts w:hint="eastAsia" w:ascii="宋体" w:hAnsi="宋体" w:eastAsia="宋体" w:cs="宋体"/>
                <w:spacing w:val="7"/>
                <w:sz w:val="24"/>
                <w:szCs w:val="24"/>
              </w:rPr>
              <w:t>/s的粘土层的防渗性能。其</w:t>
            </w:r>
            <w:r>
              <w:rPr>
                <w:rFonts w:hint="eastAsia" w:ascii="宋体" w:hAnsi="宋体" w:eastAsia="宋体" w:cs="宋体"/>
                <w:spacing w:val="8"/>
                <w:sz w:val="24"/>
                <w:szCs w:val="24"/>
              </w:rPr>
              <w:t>中涉及储罐的罐区基础防渗应采用高密度聚乙烯（</w:t>
            </w:r>
            <w:r>
              <w:rPr>
                <w:rFonts w:hint="eastAsia" w:ascii="宋体" w:hAnsi="宋体" w:eastAsia="宋体" w:cs="宋体"/>
                <w:sz w:val="24"/>
                <w:szCs w:val="24"/>
              </w:rPr>
              <w:t>HDPE</w:t>
            </w:r>
            <w:r>
              <w:rPr>
                <w:rFonts w:hint="eastAsia" w:ascii="宋体" w:hAnsi="宋体" w:eastAsia="宋体" w:cs="宋体"/>
                <w:spacing w:val="8"/>
                <w:sz w:val="24"/>
                <w:szCs w:val="24"/>
              </w:rPr>
              <w:t>）膜，厚度不</w:t>
            </w:r>
            <w:r>
              <w:rPr>
                <w:rFonts w:hint="eastAsia" w:ascii="宋体" w:hAnsi="宋体" w:eastAsia="宋体" w:cs="宋体"/>
                <w:spacing w:val="7"/>
                <w:sz w:val="24"/>
                <w:szCs w:val="24"/>
              </w:rPr>
              <w:t>宜小于1.5</w:t>
            </w:r>
            <w:r>
              <w:rPr>
                <w:rFonts w:hint="eastAsia" w:ascii="宋体" w:hAnsi="宋体" w:eastAsia="宋体" w:cs="宋体"/>
                <w:sz w:val="24"/>
                <w:szCs w:val="24"/>
              </w:rPr>
              <w:t>mm</w:t>
            </w:r>
            <w:r>
              <w:rPr>
                <w:rFonts w:hint="eastAsia" w:ascii="宋体" w:hAnsi="宋体" w:eastAsia="宋体" w:cs="宋体"/>
                <w:spacing w:val="7"/>
                <w:sz w:val="24"/>
                <w:szCs w:val="24"/>
              </w:rPr>
              <w:t>；</w:t>
            </w:r>
            <w:r>
              <w:rPr>
                <w:rFonts w:hint="eastAsia" w:cs="宋体"/>
                <w:spacing w:val="7"/>
                <w:sz w:val="24"/>
                <w:szCs w:val="24"/>
                <w:lang w:eastAsia="zh-CN"/>
              </w:rPr>
              <w:t>涉及</w:t>
            </w:r>
            <w:r>
              <w:rPr>
                <w:rFonts w:hint="eastAsia" w:ascii="宋体" w:hAnsi="宋体" w:eastAsia="宋体" w:cs="宋体"/>
                <w:spacing w:val="6"/>
                <w:sz w:val="24"/>
                <w:szCs w:val="24"/>
              </w:rPr>
              <w:t>水池的，水池结构厚度不应小于250</w:t>
            </w:r>
            <w:r>
              <w:rPr>
                <w:rFonts w:hint="eastAsia" w:ascii="宋体" w:hAnsi="宋体" w:eastAsia="宋体" w:cs="宋体"/>
                <w:sz w:val="24"/>
                <w:szCs w:val="24"/>
              </w:rPr>
              <w:t>mm</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，混凝土的抗渗等级不应低于</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P8</w:t>
            </w:r>
            <w:r>
              <w:rPr>
                <w:rFonts w:hint="eastAsia" w:ascii="宋体" w:hAnsi="宋体" w:eastAsia="宋体" w:cs="宋体"/>
                <w:spacing w:val="-24"/>
                <w:sz w:val="24"/>
                <w:szCs w:val="24"/>
              </w:rPr>
              <w:t xml:space="preserve"> </w:t>
            </w:r>
            <w:r>
              <w:rPr>
                <w:rFonts w:hint="eastAsia" w:ascii="宋体" w:hAnsi="宋体" w:eastAsia="宋体" w:cs="宋体"/>
                <w:spacing w:val="6"/>
                <w:sz w:val="24"/>
                <w:szCs w:val="24"/>
              </w:rPr>
              <w:t>，且水池的内表面应</w:t>
            </w:r>
            <w:r>
              <w:rPr>
                <w:rFonts w:hint="eastAsia" w:ascii="宋体" w:hAnsi="宋体" w:eastAsia="宋体" w:cs="宋体"/>
                <w:spacing w:val="8"/>
                <w:sz w:val="24"/>
                <w:szCs w:val="24"/>
              </w:rPr>
              <w:t>涂刷水泥基渗透结晶型（厚度不应小于1</w:t>
            </w:r>
            <w:r>
              <w:rPr>
                <w:rFonts w:hint="eastAsia" w:ascii="宋体" w:hAnsi="宋体" w:eastAsia="宋体" w:cs="宋体"/>
                <w:sz w:val="24"/>
                <w:szCs w:val="24"/>
              </w:rPr>
              <w:t>mm</w:t>
            </w:r>
            <w:r>
              <w:rPr>
                <w:rFonts w:hint="eastAsia" w:ascii="宋体" w:hAnsi="宋体" w:eastAsia="宋体" w:cs="宋体"/>
                <w:spacing w:val="8"/>
                <w:sz w:val="24"/>
                <w:szCs w:val="24"/>
              </w:rPr>
              <w:t>）或喷涂聚脲（厚度不应小于1.5</w:t>
            </w:r>
            <w:r>
              <w:rPr>
                <w:rFonts w:hint="eastAsia" w:ascii="宋体" w:hAnsi="宋体" w:eastAsia="宋体" w:cs="宋体"/>
                <w:sz w:val="24"/>
                <w:szCs w:val="24"/>
              </w:rPr>
              <w:t>mm</w:t>
            </w:r>
            <w:r>
              <w:rPr>
                <w:rFonts w:hint="eastAsia" w:ascii="宋体" w:hAnsi="宋体" w:eastAsia="宋体" w:cs="宋体"/>
                <w:spacing w:val="8"/>
                <w:sz w:val="24"/>
                <w:szCs w:val="24"/>
              </w:rPr>
              <w:t>）等防水涂</w:t>
            </w:r>
            <w:r>
              <w:rPr>
                <w:rFonts w:hint="eastAsia" w:ascii="宋体" w:hAnsi="宋体" w:eastAsia="宋体" w:cs="宋体"/>
                <w:spacing w:val="11"/>
                <w:sz w:val="24"/>
                <w:szCs w:val="24"/>
              </w:rPr>
              <w:t>料，或在混凝土内掺加水泥基渗透结晶型防水剂；地下管道应采用钢制管道，采用非钢制金</w:t>
            </w:r>
            <w:r>
              <w:rPr>
                <w:rFonts w:hint="eastAsia" w:ascii="宋体" w:hAnsi="宋体" w:eastAsia="宋体" w:cs="宋体"/>
                <w:spacing w:val="8"/>
                <w:sz w:val="24"/>
                <w:szCs w:val="24"/>
              </w:rPr>
              <w:t>属管道时宜采用高密度聚乙烯（</w:t>
            </w:r>
            <w:r>
              <w:rPr>
                <w:rFonts w:hint="eastAsia" w:ascii="宋体" w:hAnsi="宋体" w:eastAsia="宋体" w:cs="宋体"/>
                <w:sz w:val="24"/>
                <w:szCs w:val="24"/>
              </w:rPr>
              <w:t>HDPE</w:t>
            </w:r>
            <w:r>
              <w:rPr>
                <w:rFonts w:hint="eastAsia" w:ascii="宋体" w:hAnsi="宋体" w:eastAsia="宋体" w:cs="宋体"/>
                <w:spacing w:val="8"/>
                <w:sz w:val="24"/>
                <w:szCs w:val="24"/>
              </w:rPr>
              <w:t>）膜防渗层（厚度不宜小于1.5</w:t>
            </w:r>
            <w:r>
              <w:rPr>
                <w:rFonts w:hint="eastAsia" w:ascii="宋体" w:hAnsi="宋体" w:eastAsia="宋体" w:cs="宋体"/>
                <w:sz w:val="24"/>
                <w:szCs w:val="24"/>
              </w:rPr>
              <w:t>mm</w:t>
            </w:r>
            <w:r>
              <w:rPr>
                <w:rFonts w:hint="eastAsia" w:ascii="宋体" w:hAnsi="宋体" w:eastAsia="宋体" w:cs="宋体"/>
                <w:spacing w:val="3"/>
                <w:sz w:val="24"/>
                <w:szCs w:val="24"/>
              </w:rPr>
              <w:t>），</w:t>
            </w:r>
            <w:r>
              <w:rPr>
                <w:rFonts w:hint="eastAsia" w:ascii="宋体" w:hAnsi="宋体" w:eastAsia="宋体" w:cs="宋体"/>
                <w:spacing w:val="8"/>
                <w:sz w:val="24"/>
                <w:szCs w:val="24"/>
              </w:rPr>
              <w:t>也可以采用抗渗</w:t>
            </w:r>
            <w:r>
              <w:rPr>
                <w:rFonts w:hint="eastAsia" w:ascii="宋体" w:hAnsi="宋体" w:eastAsia="宋体" w:cs="宋体"/>
                <w:spacing w:val="11"/>
                <w:sz w:val="24"/>
                <w:szCs w:val="24"/>
              </w:rPr>
              <w:t>钢筋混凝土管沟或套管。同时，污水输送暗管途经区域周围，应按</w:t>
            </w:r>
            <w:r>
              <w:rPr>
                <w:rFonts w:hint="eastAsia" w:cs="宋体"/>
                <w:spacing w:val="11"/>
                <w:sz w:val="24"/>
                <w:szCs w:val="24"/>
                <w:lang w:eastAsia="zh-CN"/>
              </w:rPr>
              <w:t>上述</w:t>
            </w:r>
            <w:r>
              <w:rPr>
                <w:rFonts w:hint="eastAsia" w:ascii="宋体" w:hAnsi="宋体" w:eastAsia="宋体" w:cs="宋体"/>
                <w:spacing w:val="11"/>
                <w:sz w:val="24"/>
                <w:szCs w:val="24"/>
              </w:rPr>
              <w:t>技术规范要求，做好</w:t>
            </w:r>
            <w:r>
              <w:rPr>
                <w:rFonts w:hint="eastAsia" w:ascii="宋体" w:hAnsi="宋体" w:eastAsia="宋体" w:cs="宋体"/>
                <w:spacing w:val="7"/>
                <w:sz w:val="24"/>
                <w:szCs w:val="24"/>
              </w:rPr>
              <w:t>相应防范措施。</w:t>
            </w:r>
          </w:p>
          <w:p w14:paraId="6CEF6FB6">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textAlignment w:val="auto"/>
              <w:rPr>
                <w:spacing w:val="8"/>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2</w:t>
            </w:r>
            <w:r>
              <w:rPr>
                <w:rFonts w:hint="eastAsia" w:ascii="宋体" w:hAnsi="宋体" w:eastAsia="宋体" w:cs="宋体"/>
                <w:spacing w:val="8"/>
                <w:sz w:val="24"/>
                <w:szCs w:val="24"/>
              </w:rPr>
              <w:t>）简单防渗区要求采取地面一般硬化处理，包括：道路、办公室和门卫等</w:t>
            </w:r>
            <w:r>
              <w:rPr>
                <w:spacing w:val="8"/>
              </w:rPr>
              <w:t>。</w:t>
            </w:r>
          </w:p>
          <w:p w14:paraId="47CC71E8">
            <w:pPr>
              <w:adjustRightInd w:val="0"/>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6、环境风险分析</w:t>
            </w:r>
            <w:bookmarkStart w:id="9" w:name="OLE_LINK5"/>
            <w:bookmarkStart w:id="10" w:name="OLE_LINK6"/>
          </w:p>
          <w:p w14:paraId="3E638AD3">
            <w:pPr>
              <w:keepNext w:val="0"/>
              <w:keepLines w:val="0"/>
              <w:pageBreakBefore w:val="0"/>
              <w:widowControl/>
              <w:kinsoku/>
              <w:wordWrap/>
              <w:overflowPunct/>
              <w:topLinePunct w:val="0"/>
              <w:autoSpaceDE w:val="0"/>
              <w:autoSpaceDN w:val="0"/>
              <w:bidi w:val="0"/>
              <w:adjustRightInd w:val="0"/>
              <w:snapToGrid w:val="0"/>
              <w:spacing w:line="360" w:lineRule="auto"/>
              <w:ind w:left="3" w:firstLine="484"/>
              <w:textAlignment w:val="baseline"/>
              <w:rPr>
                <w:rFonts w:hint="eastAsia" w:ascii="宋体" w:hAnsi="宋体" w:eastAsia="宋体" w:cs="宋体"/>
                <w:sz w:val="24"/>
                <w:szCs w:val="24"/>
              </w:rPr>
            </w:pPr>
            <w:r>
              <w:rPr>
                <w:rFonts w:hint="eastAsia" w:ascii="宋体" w:hAnsi="宋体" w:eastAsia="宋体" w:cs="宋体"/>
                <w:spacing w:val="5"/>
                <w:sz w:val="24"/>
                <w:szCs w:val="24"/>
              </w:rPr>
              <w:t>本项目主要危险物质为生产单元、储存单元用到的原料等危险物质。项目在运行过程中存在危险化学品泄漏、污染物质的事故排放、火灾爆炸风险事故。在装置、原料储存区发生火灾爆炸或泄漏事故情况下，有毒有害污染物或易燃易爆物质可能</w:t>
            </w:r>
            <w:r>
              <w:rPr>
                <w:rFonts w:hint="eastAsia" w:ascii="宋体" w:hAnsi="宋体" w:eastAsia="宋体" w:cs="宋体"/>
                <w:spacing w:val="4"/>
                <w:sz w:val="24"/>
                <w:szCs w:val="24"/>
              </w:rPr>
              <w:t>外溢、扩散到环境。</w:t>
            </w:r>
            <w:r>
              <w:rPr>
                <w:rFonts w:hint="eastAsia" w:ascii="宋体" w:hAnsi="宋体" w:eastAsia="宋体" w:cs="宋体"/>
                <w:spacing w:val="5"/>
                <w:sz w:val="24"/>
                <w:szCs w:val="24"/>
              </w:rPr>
              <w:t>为防止发生风险事故时对周围环境及受纳水体产生影响，本项目采用三级应急防控体</w:t>
            </w:r>
            <w:r>
              <w:rPr>
                <w:rFonts w:hint="eastAsia" w:ascii="宋体" w:hAnsi="宋体" w:eastAsia="宋体" w:cs="宋体"/>
                <w:spacing w:val="-3"/>
                <w:sz w:val="24"/>
                <w:szCs w:val="24"/>
              </w:rPr>
              <w:t>系。</w:t>
            </w:r>
            <w:r>
              <w:rPr>
                <w:rFonts w:hint="eastAsia" w:ascii="宋体" w:hAnsi="宋体" w:eastAsia="宋体" w:cs="宋体"/>
                <w:sz w:val="24"/>
                <w:szCs w:val="24"/>
              </w:rPr>
              <w:t>同时制定环境风险应急预案及应急治理措施，并定期展开演练，与环保部门制定应急响应等，同时加强设备的修护管理，可将环境风险事故影响</w:t>
            </w:r>
            <w:r>
              <w:rPr>
                <w:rFonts w:hint="eastAsia" w:ascii="宋体" w:hAnsi="宋体" w:cs="宋体"/>
                <w:sz w:val="24"/>
                <w:szCs w:val="24"/>
                <w:lang w:eastAsia="zh-CN"/>
              </w:rPr>
              <w:t>降</w:t>
            </w:r>
            <w:r>
              <w:rPr>
                <w:rFonts w:hint="eastAsia" w:ascii="宋体" w:hAnsi="宋体" w:eastAsia="宋体" w:cs="宋体"/>
                <w:sz w:val="24"/>
                <w:szCs w:val="24"/>
              </w:rPr>
              <w:t>至最低。</w:t>
            </w:r>
          </w:p>
          <w:p w14:paraId="5885DC9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iCs/>
                <w:sz w:val="24"/>
                <w:szCs w:val="24"/>
              </w:rPr>
              <w:t>详见环境风险专章内容。</w:t>
            </w:r>
            <w:bookmarkEnd w:id="9"/>
            <w:bookmarkEnd w:id="10"/>
          </w:p>
          <w:p w14:paraId="5C5D03E8">
            <w:pPr>
              <w:adjustRightInd w:val="0"/>
              <w:snapToGrid w:val="0"/>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7、环保设施投资估算</w:t>
            </w:r>
          </w:p>
          <w:p w14:paraId="7CA2482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了确保该项目建成后全厂“三废”排放符合国家排放标准和总量控制要求，创造良好的生活环境和工作环境，减轻运营过程中所带来的环境污染，根据本环评提出的运营期环保治理措施和建议，对该项目各项环保设施投资进行估算，本项目总投资为</w:t>
            </w:r>
            <w:r>
              <w:rPr>
                <w:rFonts w:hint="eastAsia" w:ascii="宋体" w:hAnsi="宋体" w:eastAsia="宋体" w:cs="宋体"/>
                <w:sz w:val="24"/>
                <w:szCs w:val="24"/>
                <w:lang w:val="en-US" w:eastAsia="zh-CN"/>
              </w:rPr>
              <w:t>3</w:t>
            </w:r>
            <w:r>
              <w:rPr>
                <w:rFonts w:hint="eastAsia" w:ascii="宋体" w:hAnsi="宋体" w:eastAsia="宋体" w:cs="宋体"/>
                <w:sz w:val="24"/>
                <w:szCs w:val="24"/>
              </w:rPr>
              <w:t>000万元，其中环保投资为</w:t>
            </w:r>
            <w:r>
              <w:rPr>
                <w:rFonts w:hint="eastAsia" w:ascii="宋体" w:hAnsi="宋体" w:eastAsia="宋体" w:cs="宋体"/>
                <w:sz w:val="24"/>
                <w:szCs w:val="24"/>
                <w:lang w:val="en-US" w:eastAsia="zh-CN"/>
              </w:rPr>
              <w:t>65</w:t>
            </w:r>
            <w:r>
              <w:rPr>
                <w:rFonts w:hint="eastAsia" w:ascii="宋体" w:hAnsi="宋体" w:eastAsia="宋体" w:cs="宋体"/>
                <w:sz w:val="24"/>
                <w:szCs w:val="24"/>
              </w:rPr>
              <w:t>万元，占总投资的2.</w:t>
            </w:r>
            <w:r>
              <w:rPr>
                <w:rFonts w:hint="eastAsia" w:ascii="宋体" w:hAnsi="宋体" w:eastAsia="宋体" w:cs="宋体"/>
                <w:sz w:val="24"/>
                <w:szCs w:val="24"/>
                <w:lang w:val="en-US" w:eastAsia="zh-CN"/>
              </w:rPr>
              <w:t>17</w:t>
            </w:r>
            <w:r>
              <w:rPr>
                <w:rFonts w:hint="eastAsia" w:ascii="宋体" w:hAnsi="宋体" w:eastAsia="宋体" w:cs="宋体"/>
                <w:sz w:val="24"/>
                <w:szCs w:val="24"/>
              </w:rPr>
              <w:t>%。环保投资明细详见下表。</w:t>
            </w:r>
          </w:p>
          <w:p w14:paraId="7991C4FD">
            <w:pPr>
              <w:keepNext w:val="0"/>
              <w:keepLines w:val="0"/>
              <w:pageBreakBefore w:val="0"/>
              <w:widowControl w:val="0"/>
              <w:kinsoku/>
              <w:wordWrap/>
              <w:overflowPunct/>
              <w:topLinePunct w:val="0"/>
              <w:autoSpaceDE/>
              <w:autoSpaceDN/>
              <w:bidi w:val="0"/>
              <w:adjustRightInd w:val="0"/>
              <w:snapToGrid w:val="0"/>
              <w:spacing w:line="240" w:lineRule="atLeast"/>
              <w:ind w:firstLine="2268" w:firstLineChars="1000"/>
              <w:textAlignment w:val="auto"/>
              <w:rPr>
                <w:rFonts w:hint="eastAsia" w:ascii="宋体" w:hAnsi="宋体" w:eastAsia="宋体" w:cs="宋体"/>
                <w:b/>
                <w:bCs/>
                <w:spacing w:val="8"/>
                <w:sz w:val="21"/>
                <w:szCs w:val="21"/>
                <w:lang w:eastAsia="zh-CN"/>
              </w:rPr>
            </w:pPr>
          </w:p>
          <w:p w14:paraId="7A05B3EA">
            <w:pPr>
              <w:keepNext w:val="0"/>
              <w:keepLines w:val="0"/>
              <w:pageBreakBefore w:val="0"/>
              <w:widowControl w:val="0"/>
              <w:kinsoku/>
              <w:wordWrap/>
              <w:overflowPunct/>
              <w:topLinePunct w:val="0"/>
              <w:autoSpaceDE/>
              <w:autoSpaceDN/>
              <w:bidi w:val="0"/>
              <w:adjustRightInd w:val="0"/>
              <w:snapToGrid w:val="0"/>
              <w:spacing w:line="240" w:lineRule="atLeast"/>
              <w:ind w:firstLine="2268" w:firstLineChars="1000"/>
              <w:textAlignment w:val="auto"/>
              <w:rPr>
                <w:rFonts w:hint="eastAsia" w:ascii="宋体" w:hAnsi="宋体" w:eastAsia="宋体" w:cs="宋体"/>
                <w:b/>
                <w:bCs/>
                <w:spacing w:val="8"/>
                <w:sz w:val="21"/>
                <w:szCs w:val="21"/>
                <w:lang w:val="en-US" w:eastAsia="zh-CN"/>
              </w:rPr>
            </w:pPr>
            <w:r>
              <w:rPr>
                <w:rFonts w:hint="eastAsia" w:ascii="宋体" w:hAnsi="宋体" w:eastAsia="宋体" w:cs="宋体"/>
                <w:b/>
                <w:bCs/>
                <w:spacing w:val="8"/>
                <w:sz w:val="21"/>
                <w:szCs w:val="21"/>
                <w:lang w:eastAsia="zh-CN"/>
              </w:rPr>
              <w:t>表</w:t>
            </w:r>
            <w:r>
              <w:rPr>
                <w:rFonts w:hint="eastAsia" w:ascii="宋体" w:hAnsi="宋体" w:cs="宋体"/>
                <w:b/>
                <w:bCs/>
                <w:spacing w:val="8"/>
                <w:sz w:val="21"/>
                <w:szCs w:val="21"/>
                <w:lang w:val="en-US" w:eastAsia="zh-CN"/>
              </w:rPr>
              <w:t>4-11</w:t>
            </w:r>
            <w:r>
              <w:rPr>
                <w:rFonts w:hint="eastAsia" w:ascii="宋体" w:hAnsi="宋体" w:eastAsia="宋体" w:cs="宋体"/>
                <w:b/>
                <w:bCs/>
                <w:spacing w:val="8"/>
                <w:sz w:val="21"/>
                <w:szCs w:val="21"/>
                <w:lang w:val="en-US" w:eastAsia="zh-CN"/>
              </w:rPr>
              <w:t xml:space="preserve">    环保投资</w:t>
            </w:r>
            <w:r>
              <w:rPr>
                <w:rFonts w:hint="eastAsia" w:ascii="宋体" w:hAnsi="宋体" w:cs="宋体"/>
                <w:b/>
                <w:bCs/>
                <w:spacing w:val="8"/>
                <w:sz w:val="21"/>
                <w:szCs w:val="21"/>
                <w:lang w:val="en-US" w:eastAsia="zh-CN"/>
              </w:rPr>
              <w:t>一览表</w:t>
            </w:r>
          </w:p>
          <w:tbl>
            <w:tblPr>
              <w:tblStyle w:val="53"/>
              <w:tblW w:w="4998" w:type="pct"/>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837"/>
              <w:gridCol w:w="4194"/>
              <w:gridCol w:w="1519"/>
            </w:tblGrid>
            <w:tr w14:paraId="53F3737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565" w:type="pct"/>
                  <w:gridSpan w:val="2"/>
                  <w:tcBorders>
                    <w:tl2br w:val="nil"/>
                    <w:tr2bl w:val="nil"/>
                  </w:tcBorders>
                  <w:vAlign w:val="center"/>
                </w:tcPr>
                <w:p w14:paraId="47B19DDD">
                  <w:pPr>
                    <w:pStyle w:val="52"/>
                    <w:spacing w:before="59" w:line="220" w:lineRule="auto"/>
                    <w:jc w:val="center"/>
                    <w:rPr>
                      <w:rFonts w:hint="eastAsia" w:ascii="宋体" w:hAnsi="宋体" w:eastAsia="宋体" w:cs="宋体"/>
                      <w:sz w:val="21"/>
                      <w:szCs w:val="21"/>
                    </w:rPr>
                  </w:pPr>
                  <w:r>
                    <w:rPr>
                      <w:rFonts w:hint="eastAsia" w:ascii="宋体" w:hAnsi="宋体" w:eastAsia="宋体" w:cs="宋体"/>
                      <w:spacing w:val="6"/>
                      <w:sz w:val="21"/>
                      <w:szCs w:val="21"/>
                    </w:rPr>
                    <w:t>污染源</w:t>
                  </w:r>
                </w:p>
              </w:tc>
              <w:tc>
                <w:tcPr>
                  <w:tcW w:w="2521" w:type="pct"/>
                  <w:tcBorders>
                    <w:tl2br w:val="nil"/>
                    <w:tr2bl w:val="nil"/>
                  </w:tcBorders>
                  <w:vAlign w:val="center"/>
                </w:tcPr>
                <w:p w14:paraId="26F318AD">
                  <w:pPr>
                    <w:pStyle w:val="52"/>
                    <w:spacing w:before="59" w:line="220" w:lineRule="auto"/>
                    <w:jc w:val="center"/>
                    <w:rPr>
                      <w:rFonts w:hint="eastAsia" w:ascii="宋体" w:hAnsi="宋体" w:eastAsia="宋体" w:cs="宋体"/>
                      <w:sz w:val="21"/>
                      <w:szCs w:val="21"/>
                    </w:rPr>
                  </w:pPr>
                  <w:r>
                    <w:rPr>
                      <w:rFonts w:hint="eastAsia" w:ascii="宋体" w:hAnsi="宋体" w:eastAsia="宋体" w:cs="宋体"/>
                      <w:spacing w:val="7"/>
                      <w:sz w:val="21"/>
                      <w:szCs w:val="21"/>
                    </w:rPr>
                    <w:t>污染防治措施</w:t>
                  </w:r>
                </w:p>
              </w:tc>
              <w:tc>
                <w:tcPr>
                  <w:tcW w:w="913" w:type="pct"/>
                  <w:tcBorders>
                    <w:tl2br w:val="nil"/>
                    <w:tr2bl w:val="nil"/>
                  </w:tcBorders>
                  <w:vAlign w:val="center"/>
                </w:tcPr>
                <w:p w14:paraId="38BC3D1C">
                  <w:pPr>
                    <w:pStyle w:val="52"/>
                    <w:spacing w:before="59" w:line="220" w:lineRule="auto"/>
                    <w:jc w:val="center"/>
                    <w:rPr>
                      <w:rFonts w:hint="eastAsia" w:ascii="宋体" w:hAnsi="宋体" w:eastAsia="宋体" w:cs="宋体"/>
                      <w:spacing w:val="7"/>
                      <w:sz w:val="21"/>
                      <w:szCs w:val="21"/>
                    </w:rPr>
                  </w:pPr>
                  <w:r>
                    <w:rPr>
                      <w:rFonts w:hint="eastAsia" w:ascii="宋体" w:hAnsi="宋体" w:eastAsia="宋体" w:cs="宋体"/>
                      <w:spacing w:val="7"/>
                      <w:sz w:val="21"/>
                      <w:szCs w:val="21"/>
                    </w:rPr>
                    <w:t>环保投资</w:t>
                  </w:r>
                </w:p>
                <w:p w14:paraId="0236673E">
                  <w:pPr>
                    <w:pStyle w:val="52"/>
                    <w:spacing w:before="59" w:line="220" w:lineRule="auto"/>
                    <w:jc w:val="center"/>
                    <w:rPr>
                      <w:rFonts w:hint="default" w:ascii="宋体" w:hAnsi="宋体" w:eastAsia="宋体" w:cs="宋体"/>
                      <w:sz w:val="21"/>
                      <w:szCs w:val="21"/>
                      <w:lang w:val="en-US" w:eastAsia="zh-CN"/>
                    </w:rPr>
                  </w:pPr>
                  <w:r>
                    <w:rPr>
                      <w:rFonts w:hint="eastAsia" w:cs="宋体"/>
                      <w:spacing w:val="7"/>
                      <w:sz w:val="21"/>
                      <w:szCs w:val="21"/>
                      <w:lang w:eastAsia="zh-CN"/>
                    </w:rPr>
                    <w:t>（</w:t>
                  </w:r>
                  <w:r>
                    <w:rPr>
                      <w:rFonts w:hint="eastAsia" w:cs="宋体"/>
                      <w:spacing w:val="7"/>
                      <w:sz w:val="21"/>
                      <w:szCs w:val="21"/>
                      <w:lang w:val="en-US" w:eastAsia="zh-CN"/>
                    </w:rPr>
                    <w:t>万元）</w:t>
                  </w:r>
                </w:p>
              </w:tc>
            </w:tr>
            <w:tr w14:paraId="5751544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60" w:type="pct"/>
                  <w:vMerge w:val="restart"/>
                  <w:tcBorders>
                    <w:tl2br w:val="nil"/>
                    <w:tr2bl w:val="nil"/>
                  </w:tcBorders>
                  <w:vAlign w:val="center"/>
                </w:tcPr>
                <w:p w14:paraId="3FE2EFB5">
                  <w:pPr>
                    <w:pStyle w:val="52"/>
                    <w:spacing w:before="65" w:line="228" w:lineRule="auto"/>
                    <w:jc w:val="center"/>
                    <w:rPr>
                      <w:rFonts w:hint="eastAsia" w:ascii="宋体" w:hAnsi="宋体" w:eastAsia="宋体" w:cs="宋体"/>
                      <w:sz w:val="21"/>
                      <w:szCs w:val="21"/>
                    </w:rPr>
                  </w:pPr>
                  <w:r>
                    <w:rPr>
                      <w:rFonts w:hint="eastAsia" w:ascii="宋体" w:hAnsi="宋体" w:eastAsia="宋体" w:cs="宋体"/>
                      <w:spacing w:val="7"/>
                      <w:sz w:val="21"/>
                      <w:szCs w:val="21"/>
                    </w:rPr>
                    <w:t>废气污</w:t>
                  </w:r>
                  <w:r>
                    <w:rPr>
                      <w:rFonts w:hint="eastAsia" w:ascii="宋体" w:hAnsi="宋体" w:eastAsia="宋体" w:cs="宋体"/>
                      <w:spacing w:val="5"/>
                      <w:sz w:val="21"/>
                      <w:szCs w:val="21"/>
                    </w:rPr>
                    <w:t>染防治</w:t>
                  </w:r>
                </w:p>
              </w:tc>
              <w:tc>
                <w:tcPr>
                  <w:tcW w:w="1104" w:type="pct"/>
                  <w:tcBorders>
                    <w:tl2br w:val="nil"/>
                    <w:tr2bl w:val="nil"/>
                  </w:tcBorders>
                  <w:vAlign w:val="center"/>
                </w:tcPr>
                <w:p w14:paraId="79C7D6D5">
                  <w:pPr>
                    <w:pStyle w:val="52"/>
                    <w:spacing w:before="59" w:line="220" w:lineRule="auto"/>
                    <w:jc w:val="center"/>
                    <w:rPr>
                      <w:rFonts w:hint="eastAsia" w:ascii="宋体" w:hAnsi="宋体" w:eastAsia="宋体" w:cs="宋体"/>
                      <w:spacing w:val="6"/>
                      <w:sz w:val="21"/>
                      <w:szCs w:val="21"/>
                    </w:rPr>
                  </w:pPr>
                  <w:r>
                    <w:rPr>
                      <w:rFonts w:hint="eastAsia" w:ascii="宋体" w:hAnsi="宋体" w:eastAsia="宋体" w:cs="宋体"/>
                      <w:color w:val="00B050"/>
                      <w:spacing w:val="6"/>
                      <w:sz w:val="21"/>
                      <w:szCs w:val="21"/>
                      <w:u w:val="single"/>
                    </w:rPr>
                    <w:t>插层釜、压滤脱酸</w:t>
                  </w:r>
                </w:p>
              </w:tc>
              <w:tc>
                <w:tcPr>
                  <w:tcW w:w="2521" w:type="pct"/>
                  <w:tcBorders>
                    <w:tl2br w:val="nil"/>
                    <w:tr2bl w:val="nil"/>
                  </w:tcBorders>
                  <w:vAlign w:val="center"/>
                </w:tcPr>
                <w:p w14:paraId="4F0A0F4C">
                  <w:pPr>
                    <w:pStyle w:val="52"/>
                    <w:spacing w:before="59" w:line="220"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lang w:eastAsia="zh-CN"/>
                    </w:rPr>
                    <w:t>集气罩收集，</w:t>
                  </w:r>
                  <w:r>
                    <w:rPr>
                      <w:rFonts w:hint="eastAsia" w:ascii="宋体" w:hAnsi="宋体" w:eastAsia="宋体" w:cs="宋体"/>
                      <w:spacing w:val="6"/>
                      <w:sz w:val="21"/>
                      <w:szCs w:val="21"/>
                    </w:rPr>
                    <w:t>1套酸雾喷淋设施，通过1根15m排气筒排放（DA001）</w:t>
                  </w:r>
                </w:p>
              </w:tc>
              <w:tc>
                <w:tcPr>
                  <w:tcW w:w="913" w:type="pct"/>
                  <w:tcBorders>
                    <w:tl2br w:val="nil"/>
                    <w:tr2bl w:val="nil"/>
                  </w:tcBorders>
                  <w:vAlign w:val="center"/>
                </w:tcPr>
                <w:p w14:paraId="55E7D643">
                  <w:pPr>
                    <w:spacing w:before="57" w:line="195"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r>
            <w:tr w14:paraId="63F8482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460" w:type="pct"/>
                  <w:vMerge w:val="continue"/>
                  <w:tcBorders>
                    <w:tl2br w:val="nil"/>
                    <w:tr2bl w:val="nil"/>
                  </w:tcBorders>
                  <w:vAlign w:val="center"/>
                </w:tcPr>
                <w:p w14:paraId="4E486AFB">
                  <w:pPr>
                    <w:jc w:val="center"/>
                    <w:rPr>
                      <w:rFonts w:hint="eastAsia" w:ascii="宋体" w:hAnsi="宋体" w:eastAsia="宋体" w:cs="宋体"/>
                      <w:sz w:val="21"/>
                      <w:szCs w:val="21"/>
                    </w:rPr>
                  </w:pPr>
                </w:p>
              </w:tc>
              <w:tc>
                <w:tcPr>
                  <w:tcW w:w="1104" w:type="pct"/>
                  <w:tcBorders>
                    <w:tl2br w:val="nil"/>
                    <w:tr2bl w:val="nil"/>
                  </w:tcBorders>
                  <w:vAlign w:val="center"/>
                </w:tcPr>
                <w:p w14:paraId="1DF957E6">
                  <w:pPr>
                    <w:pStyle w:val="52"/>
                    <w:spacing w:before="59" w:line="220"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烘干炉</w:t>
                  </w:r>
                </w:p>
              </w:tc>
              <w:tc>
                <w:tcPr>
                  <w:tcW w:w="2521" w:type="pct"/>
                  <w:tcBorders>
                    <w:tl2br w:val="nil"/>
                    <w:tr2bl w:val="nil"/>
                  </w:tcBorders>
                  <w:vAlign w:val="center"/>
                </w:tcPr>
                <w:p w14:paraId="4AD4F877">
                  <w:pPr>
                    <w:pStyle w:val="52"/>
                    <w:spacing w:before="59" w:line="220"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低氮燃烧、通过1根15m排气筒排放（DA002）</w:t>
                  </w:r>
                </w:p>
              </w:tc>
              <w:tc>
                <w:tcPr>
                  <w:tcW w:w="913" w:type="pct"/>
                  <w:tcBorders>
                    <w:tl2br w:val="nil"/>
                    <w:tr2bl w:val="nil"/>
                  </w:tcBorders>
                  <w:vAlign w:val="center"/>
                </w:tcPr>
                <w:p w14:paraId="1C67DB80">
                  <w:pPr>
                    <w:spacing w:before="193" w:line="195" w:lineRule="auto"/>
                    <w:jc w:val="center"/>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5</w:t>
                  </w:r>
                </w:p>
              </w:tc>
            </w:tr>
            <w:tr w14:paraId="2A8023C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60" w:type="pct"/>
                  <w:vMerge w:val="continue"/>
                  <w:tcBorders>
                    <w:tl2br w:val="nil"/>
                    <w:tr2bl w:val="nil"/>
                  </w:tcBorders>
                  <w:vAlign w:val="center"/>
                </w:tcPr>
                <w:p w14:paraId="7EA79323">
                  <w:pPr>
                    <w:jc w:val="center"/>
                    <w:rPr>
                      <w:rFonts w:hint="eastAsia" w:ascii="宋体" w:hAnsi="宋体" w:eastAsia="宋体" w:cs="宋体"/>
                      <w:sz w:val="21"/>
                      <w:szCs w:val="21"/>
                    </w:rPr>
                  </w:pPr>
                </w:p>
              </w:tc>
              <w:tc>
                <w:tcPr>
                  <w:tcW w:w="1104" w:type="pct"/>
                  <w:tcBorders>
                    <w:tl2br w:val="nil"/>
                    <w:tr2bl w:val="nil"/>
                  </w:tcBorders>
                  <w:vAlign w:val="center"/>
                </w:tcPr>
                <w:p w14:paraId="496E0BDD">
                  <w:pPr>
                    <w:pStyle w:val="52"/>
                    <w:spacing w:before="59" w:line="220"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产品筛分检验、包装</w:t>
                  </w:r>
                </w:p>
              </w:tc>
              <w:tc>
                <w:tcPr>
                  <w:tcW w:w="2521" w:type="pct"/>
                  <w:tcBorders>
                    <w:tl2br w:val="nil"/>
                    <w:tr2bl w:val="nil"/>
                  </w:tcBorders>
                  <w:vAlign w:val="center"/>
                </w:tcPr>
                <w:p w14:paraId="29B8027C">
                  <w:pPr>
                    <w:pStyle w:val="52"/>
                    <w:spacing w:before="59" w:line="220" w:lineRule="auto"/>
                    <w:jc w:val="both"/>
                    <w:rPr>
                      <w:rFonts w:hint="eastAsia" w:ascii="宋体" w:hAnsi="宋体" w:eastAsia="宋体" w:cs="宋体"/>
                      <w:spacing w:val="6"/>
                      <w:sz w:val="21"/>
                      <w:szCs w:val="21"/>
                    </w:rPr>
                  </w:pPr>
                  <w:r>
                    <w:rPr>
                      <w:rFonts w:hint="eastAsia" w:ascii="宋体" w:hAnsi="宋体" w:eastAsia="宋体" w:cs="宋体"/>
                      <w:spacing w:val="6"/>
                      <w:sz w:val="21"/>
                      <w:szCs w:val="21"/>
                    </w:rPr>
                    <w:t>布袋除尘器，通过1根15m排气筒（DA003）</w:t>
                  </w:r>
                </w:p>
              </w:tc>
              <w:tc>
                <w:tcPr>
                  <w:tcW w:w="913" w:type="pct"/>
                  <w:tcBorders>
                    <w:tl2br w:val="nil"/>
                    <w:tr2bl w:val="nil"/>
                  </w:tcBorders>
                  <w:vAlign w:val="center"/>
                </w:tcPr>
                <w:p w14:paraId="4B2332D6">
                  <w:pPr>
                    <w:spacing w:before="206" w:line="195" w:lineRule="auto"/>
                    <w:jc w:val="center"/>
                    <w:rPr>
                      <w:rFonts w:hint="eastAsia" w:ascii="宋体" w:hAnsi="宋体" w:eastAsia="宋体" w:cs="宋体"/>
                      <w:sz w:val="21"/>
                      <w:szCs w:val="21"/>
                      <w:lang w:eastAsia="zh-CN"/>
                    </w:rPr>
                  </w:pPr>
                  <w:r>
                    <w:rPr>
                      <w:rFonts w:hint="eastAsia" w:ascii="宋体" w:hAnsi="宋体" w:eastAsia="宋体" w:cs="宋体"/>
                      <w:spacing w:val="2"/>
                      <w:sz w:val="21"/>
                      <w:szCs w:val="21"/>
                      <w:lang w:val="en-US" w:eastAsia="zh-CN"/>
                    </w:rPr>
                    <w:t>3</w:t>
                  </w:r>
                </w:p>
              </w:tc>
            </w:tr>
            <w:tr w14:paraId="6AF3677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60" w:type="pct"/>
                  <w:tcBorders>
                    <w:tl2br w:val="nil"/>
                    <w:tr2bl w:val="nil"/>
                  </w:tcBorders>
                  <w:vAlign w:val="center"/>
                </w:tcPr>
                <w:p w14:paraId="1792BB4C">
                  <w:pPr>
                    <w:pStyle w:val="52"/>
                    <w:spacing w:before="35" w:line="233" w:lineRule="auto"/>
                    <w:ind w:right="36"/>
                    <w:jc w:val="center"/>
                    <w:rPr>
                      <w:rFonts w:hint="eastAsia" w:ascii="宋体" w:hAnsi="宋体" w:eastAsia="宋体" w:cs="宋体"/>
                      <w:sz w:val="21"/>
                      <w:szCs w:val="21"/>
                    </w:rPr>
                  </w:pPr>
                  <w:r>
                    <w:rPr>
                      <w:rFonts w:hint="eastAsia" w:ascii="宋体" w:hAnsi="宋体" w:eastAsia="宋体" w:cs="宋体"/>
                      <w:spacing w:val="3"/>
                      <w:sz w:val="21"/>
                      <w:szCs w:val="21"/>
                    </w:rPr>
                    <w:t>噪声控</w:t>
                  </w:r>
                  <w:r>
                    <w:rPr>
                      <w:rFonts w:hint="eastAsia" w:ascii="宋体" w:hAnsi="宋体" w:eastAsia="宋体" w:cs="宋体"/>
                      <w:sz w:val="21"/>
                      <w:szCs w:val="21"/>
                    </w:rPr>
                    <w:t>制</w:t>
                  </w:r>
                </w:p>
              </w:tc>
              <w:tc>
                <w:tcPr>
                  <w:tcW w:w="1104" w:type="pct"/>
                  <w:tcBorders>
                    <w:tl2br w:val="nil"/>
                    <w:tr2bl w:val="nil"/>
                  </w:tcBorders>
                  <w:vAlign w:val="center"/>
                </w:tcPr>
                <w:p w14:paraId="33FC1C57">
                  <w:pPr>
                    <w:pStyle w:val="52"/>
                    <w:spacing w:before="59" w:line="220"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设备噪声</w:t>
                  </w:r>
                </w:p>
              </w:tc>
              <w:tc>
                <w:tcPr>
                  <w:tcW w:w="2521" w:type="pct"/>
                  <w:tcBorders>
                    <w:tl2br w:val="nil"/>
                    <w:tr2bl w:val="nil"/>
                  </w:tcBorders>
                  <w:vAlign w:val="center"/>
                </w:tcPr>
                <w:p w14:paraId="628B1F5A">
                  <w:pPr>
                    <w:pStyle w:val="52"/>
                    <w:spacing w:before="59" w:line="220" w:lineRule="auto"/>
                    <w:jc w:val="center"/>
                    <w:rPr>
                      <w:rFonts w:hint="eastAsia" w:ascii="宋体" w:hAnsi="宋体" w:eastAsia="宋体" w:cs="宋体"/>
                      <w:spacing w:val="6"/>
                      <w:sz w:val="21"/>
                      <w:szCs w:val="21"/>
                    </w:rPr>
                  </w:pPr>
                  <w:r>
                    <w:rPr>
                      <w:rFonts w:hint="eastAsia" w:ascii="宋体" w:hAnsi="宋体" w:eastAsia="宋体" w:cs="宋体"/>
                      <w:spacing w:val="6"/>
                      <w:sz w:val="21"/>
                      <w:szCs w:val="21"/>
                    </w:rPr>
                    <w:t>布局合理，选用低噪音设备，隔声、减振风机口软连接等</w:t>
                  </w:r>
                </w:p>
              </w:tc>
              <w:tc>
                <w:tcPr>
                  <w:tcW w:w="913" w:type="pct"/>
                  <w:tcBorders>
                    <w:tl2br w:val="nil"/>
                    <w:tr2bl w:val="nil"/>
                  </w:tcBorders>
                  <w:vAlign w:val="center"/>
                </w:tcPr>
                <w:p w14:paraId="16DA4E04">
                  <w:pPr>
                    <w:spacing w:before="206" w:line="195" w:lineRule="auto"/>
                    <w:jc w:val="center"/>
                    <w:rPr>
                      <w:rFonts w:hint="eastAsia" w:ascii="宋体" w:hAnsi="宋体" w:eastAsia="宋体" w:cs="宋体"/>
                      <w:sz w:val="21"/>
                      <w:szCs w:val="21"/>
                      <w:lang w:eastAsia="zh-CN"/>
                    </w:rPr>
                  </w:pPr>
                  <w:r>
                    <w:rPr>
                      <w:rFonts w:hint="eastAsia" w:ascii="宋体" w:hAnsi="宋体" w:eastAsia="宋体" w:cs="宋体"/>
                      <w:spacing w:val="3"/>
                      <w:sz w:val="21"/>
                      <w:szCs w:val="21"/>
                      <w:lang w:val="en-US" w:eastAsia="zh-CN"/>
                    </w:rPr>
                    <w:t>2</w:t>
                  </w:r>
                </w:p>
              </w:tc>
            </w:tr>
            <w:tr w14:paraId="4108BE5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0" w:type="pct"/>
                  <w:tcBorders>
                    <w:tl2br w:val="nil"/>
                    <w:tr2bl w:val="nil"/>
                  </w:tcBorders>
                  <w:vAlign w:val="center"/>
                </w:tcPr>
                <w:p w14:paraId="2BB3D49D">
                  <w:pPr>
                    <w:pStyle w:val="52"/>
                    <w:spacing w:before="179" w:line="228" w:lineRule="auto"/>
                    <w:jc w:val="center"/>
                    <w:rPr>
                      <w:rFonts w:hint="eastAsia" w:ascii="宋体" w:hAnsi="宋体" w:eastAsia="宋体" w:cs="宋体"/>
                      <w:sz w:val="21"/>
                      <w:szCs w:val="21"/>
                    </w:rPr>
                  </w:pPr>
                  <w:r>
                    <w:rPr>
                      <w:rFonts w:hint="eastAsia" w:ascii="宋体" w:hAnsi="宋体" w:eastAsia="宋体" w:cs="宋体"/>
                      <w:spacing w:val="7"/>
                      <w:sz w:val="21"/>
                      <w:szCs w:val="21"/>
                    </w:rPr>
                    <w:t>废水污</w:t>
                  </w:r>
                  <w:r>
                    <w:rPr>
                      <w:rFonts w:hint="eastAsia" w:ascii="宋体" w:hAnsi="宋体" w:eastAsia="宋体" w:cs="宋体"/>
                      <w:spacing w:val="5"/>
                      <w:sz w:val="21"/>
                      <w:szCs w:val="21"/>
                    </w:rPr>
                    <w:t>染防治</w:t>
                  </w:r>
                </w:p>
              </w:tc>
              <w:tc>
                <w:tcPr>
                  <w:tcW w:w="1104" w:type="pct"/>
                  <w:tcBorders>
                    <w:tl2br w:val="nil"/>
                    <w:tr2bl w:val="nil"/>
                  </w:tcBorders>
                  <w:vAlign w:val="center"/>
                </w:tcPr>
                <w:p w14:paraId="2C09F448">
                  <w:pPr>
                    <w:pStyle w:val="52"/>
                    <w:spacing w:before="34" w:line="215" w:lineRule="auto"/>
                    <w:jc w:val="center"/>
                    <w:rPr>
                      <w:rFonts w:hint="eastAsia" w:ascii="宋体" w:hAnsi="宋体" w:eastAsia="宋体" w:cs="宋体"/>
                      <w:sz w:val="21"/>
                      <w:szCs w:val="21"/>
                    </w:rPr>
                  </w:pPr>
                  <w:r>
                    <w:rPr>
                      <w:rFonts w:hint="eastAsia" w:ascii="宋体" w:hAnsi="宋体" w:eastAsia="宋体" w:cs="宋体"/>
                      <w:spacing w:val="6"/>
                      <w:sz w:val="21"/>
                      <w:szCs w:val="21"/>
                    </w:rPr>
                    <w:t>生产工艺</w:t>
                  </w:r>
                </w:p>
              </w:tc>
              <w:tc>
                <w:tcPr>
                  <w:tcW w:w="2521" w:type="pct"/>
                  <w:tcBorders>
                    <w:tl2br w:val="nil"/>
                    <w:tr2bl w:val="nil"/>
                  </w:tcBorders>
                  <w:vAlign w:val="center"/>
                </w:tcPr>
                <w:p w14:paraId="38F79C8E">
                  <w:pPr>
                    <w:pStyle w:val="52"/>
                    <w:spacing w:before="34" w:line="215" w:lineRule="auto"/>
                    <w:jc w:val="center"/>
                    <w:rPr>
                      <w:rFonts w:hint="eastAsia" w:ascii="宋体" w:hAnsi="宋体" w:eastAsia="宋体" w:cs="宋体"/>
                      <w:sz w:val="21"/>
                      <w:szCs w:val="21"/>
                    </w:rPr>
                  </w:pPr>
                  <w:r>
                    <w:rPr>
                      <w:rFonts w:hint="eastAsia" w:ascii="宋体" w:hAnsi="宋体" w:eastAsia="宋体" w:cs="宋体"/>
                      <w:spacing w:val="6"/>
                      <w:sz w:val="21"/>
                      <w:szCs w:val="21"/>
                    </w:rPr>
                    <w:t>污水处理系统</w:t>
                  </w:r>
                </w:p>
              </w:tc>
              <w:tc>
                <w:tcPr>
                  <w:tcW w:w="913" w:type="pct"/>
                  <w:tcBorders>
                    <w:tl2br w:val="nil"/>
                    <w:tr2bl w:val="nil"/>
                  </w:tcBorders>
                  <w:vAlign w:val="center"/>
                </w:tcPr>
                <w:p w14:paraId="410842F6">
                  <w:pPr>
                    <w:spacing w:before="69" w:line="195"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r>
            <w:tr w14:paraId="2561522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0" w:type="pct"/>
                  <w:tcBorders>
                    <w:tl2br w:val="nil"/>
                    <w:tr2bl w:val="nil"/>
                  </w:tcBorders>
                  <w:vAlign w:val="center"/>
                </w:tcPr>
                <w:p w14:paraId="5C40FE87">
                  <w:pPr>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固体废</w:t>
                  </w:r>
                  <w:r>
                    <w:rPr>
                      <w:rFonts w:hint="eastAsia" w:ascii="宋体" w:hAnsi="宋体" w:eastAsia="宋体" w:cs="宋体"/>
                      <w:sz w:val="21"/>
                      <w:szCs w:val="21"/>
                      <w:lang w:val="en-US" w:eastAsia="zh-CN"/>
                    </w:rPr>
                    <w:t xml:space="preserve"> 物</w:t>
                  </w:r>
                </w:p>
              </w:tc>
              <w:tc>
                <w:tcPr>
                  <w:tcW w:w="1104" w:type="pct"/>
                  <w:tcBorders>
                    <w:tl2br w:val="nil"/>
                    <w:tr2bl w:val="nil"/>
                  </w:tcBorders>
                  <w:vAlign w:val="center"/>
                </w:tcPr>
                <w:p w14:paraId="094BD8BA">
                  <w:pPr>
                    <w:pStyle w:val="52"/>
                    <w:spacing w:before="52" w:line="228" w:lineRule="auto"/>
                    <w:jc w:val="center"/>
                    <w:rPr>
                      <w:rFonts w:hint="eastAsia" w:ascii="宋体" w:hAnsi="宋体" w:eastAsia="宋体" w:cs="宋体"/>
                      <w:kern w:val="2"/>
                      <w:sz w:val="21"/>
                      <w:szCs w:val="21"/>
                      <w:lang w:val="en-US" w:eastAsia="en-US" w:bidi="ar-SA"/>
                    </w:rPr>
                  </w:pPr>
                  <w:r>
                    <w:rPr>
                      <w:rFonts w:hint="eastAsia" w:ascii="宋体" w:hAnsi="宋体" w:eastAsia="宋体" w:cs="宋体"/>
                      <w:spacing w:val="6"/>
                      <w:sz w:val="21"/>
                      <w:szCs w:val="21"/>
                    </w:rPr>
                    <w:t>一般废物</w:t>
                  </w:r>
                </w:p>
              </w:tc>
              <w:tc>
                <w:tcPr>
                  <w:tcW w:w="2521" w:type="pct"/>
                  <w:tcBorders>
                    <w:tl2br w:val="nil"/>
                    <w:tr2bl w:val="nil"/>
                  </w:tcBorders>
                  <w:vAlign w:val="center"/>
                </w:tcPr>
                <w:p w14:paraId="26A23ADD">
                  <w:pPr>
                    <w:pStyle w:val="52"/>
                    <w:spacing w:before="51" w:line="228" w:lineRule="auto"/>
                    <w:jc w:val="center"/>
                    <w:rPr>
                      <w:rFonts w:hint="eastAsia" w:ascii="宋体" w:hAnsi="宋体" w:eastAsia="宋体" w:cs="宋体"/>
                      <w:kern w:val="2"/>
                      <w:sz w:val="21"/>
                      <w:szCs w:val="21"/>
                      <w:lang w:val="en-US" w:eastAsia="en-US" w:bidi="ar-SA"/>
                    </w:rPr>
                  </w:pPr>
                  <w:r>
                    <w:rPr>
                      <w:rFonts w:hint="eastAsia" w:ascii="宋体" w:hAnsi="宋体" w:eastAsia="宋体" w:cs="宋体"/>
                      <w:spacing w:val="6"/>
                      <w:sz w:val="21"/>
                      <w:szCs w:val="21"/>
                    </w:rPr>
                    <w:t>一般固废暂存间</w:t>
                  </w:r>
                </w:p>
              </w:tc>
              <w:tc>
                <w:tcPr>
                  <w:tcW w:w="913" w:type="pct"/>
                  <w:tcBorders>
                    <w:tl2br w:val="nil"/>
                    <w:tr2bl w:val="nil"/>
                  </w:tcBorders>
                  <w:vAlign w:val="center"/>
                </w:tcPr>
                <w:p w14:paraId="03D5CFFE">
                  <w:pPr>
                    <w:spacing w:before="90" w:line="195"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3347172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60" w:type="pct"/>
                  <w:tcBorders>
                    <w:tl2br w:val="nil"/>
                    <w:tr2bl w:val="nil"/>
                  </w:tcBorders>
                  <w:vAlign w:val="center"/>
                </w:tcPr>
                <w:p w14:paraId="63B55865">
                  <w:pPr>
                    <w:pStyle w:val="52"/>
                    <w:spacing w:before="32" w:line="229" w:lineRule="auto"/>
                    <w:jc w:val="center"/>
                    <w:rPr>
                      <w:rFonts w:hint="eastAsia" w:ascii="宋体" w:hAnsi="宋体" w:eastAsia="宋体" w:cs="宋体"/>
                      <w:sz w:val="21"/>
                      <w:szCs w:val="21"/>
                    </w:rPr>
                  </w:pPr>
                  <w:r>
                    <w:rPr>
                      <w:rFonts w:hint="eastAsia" w:ascii="宋体" w:hAnsi="宋体" w:eastAsia="宋体" w:cs="宋体"/>
                      <w:spacing w:val="6"/>
                      <w:sz w:val="21"/>
                      <w:szCs w:val="21"/>
                    </w:rPr>
                    <w:t>土壤和地下水</w:t>
                  </w:r>
                </w:p>
              </w:tc>
              <w:tc>
                <w:tcPr>
                  <w:tcW w:w="1104" w:type="pct"/>
                  <w:tcBorders>
                    <w:tl2br w:val="nil"/>
                    <w:tr2bl w:val="nil"/>
                  </w:tcBorders>
                  <w:vAlign w:val="center"/>
                </w:tcPr>
                <w:p w14:paraId="1C383FDA">
                  <w:pPr>
                    <w:pStyle w:val="52"/>
                    <w:spacing w:before="169" w:line="228" w:lineRule="auto"/>
                    <w:jc w:val="center"/>
                    <w:rPr>
                      <w:rFonts w:hint="eastAsia" w:ascii="宋体" w:hAnsi="宋体" w:eastAsia="宋体" w:cs="宋体"/>
                      <w:sz w:val="21"/>
                      <w:szCs w:val="21"/>
                    </w:rPr>
                  </w:pPr>
                  <w:r>
                    <w:rPr>
                      <w:rFonts w:hint="eastAsia" w:ascii="宋体" w:hAnsi="宋体" w:eastAsia="宋体" w:cs="宋体"/>
                      <w:spacing w:val="4"/>
                      <w:sz w:val="21"/>
                      <w:szCs w:val="21"/>
                    </w:rPr>
                    <w:t>防渗措施</w:t>
                  </w:r>
                </w:p>
              </w:tc>
              <w:tc>
                <w:tcPr>
                  <w:tcW w:w="2521" w:type="pct"/>
                  <w:tcBorders>
                    <w:tl2br w:val="nil"/>
                    <w:tr2bl w:val="nil"/>
                  </w:tcBorders>
                  <w:vAlign w:val="center"/>
                </w:tcPr>
                <w:p w14:paraId="51FCE84F">
                  <w:pPr>
                    <w:pStyle w:val="52"/>
                    <w:spacing w:before="168" w:line="228" w:lineRule="auto"/>
                    <w:jc w:val="center"/>
                    <w:rPr>
                      <w:rFonts w:hint="eastAsia" w:ascii="宋体" w:hAnsi="宋体" w:eastAsia="宋体" w:cs="宋体"/>
                      <w:sz w:val="21"/>
                      <w:szCs w:val="21"/>
                    </w:rPr>
                  </w:pPr>
                  <w:r>
                    <w:rPr>
                      <w:rFonts w:hint="eastAsia" w:ascii="宋体" w:hAnsi="宋体" w:eastAsia="宋体" w:cs="宋体"/>
                      <w:spacing w:val="7"/>
                      <w:sz w:val="21"/>
                      <w:szCs w:val="21"/>
                    </w:rPr>
                    <w:t>厂内分区防渗</w:t>
                  </w:r>
                </w:p>
              </w:tc>
              <w:tc>
                <w:tcPr>
                  <w:tcW w:w="913" w:type="pct"/>
                  <w:tcBorders>
                    <w:tl2br w:val="nil"/>
                    <w:tr2bl w:val="nil"/>
                  </w:tcBorders>
                  <w:vAlign w:val="center"/>
                </w:tcPr>
                <w:p w14:paraId="7D2134C4">
                  <w:pPr>
                    <w:spacing w:before="205" w:line="195"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r>
            <w:tr w14:paraId="789EA01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60" w:type="pct"/>
                  <w:vMerge w:val="restart"/>
                  <w:tcBorders>
                    <w:tl2br w:val="nil"/>
                    <w:tr2bl w:val="nil"/>
                  </w:tcBorders>
                  <w:vAlign w:val="center"/>
                </w:tcPr>
                <w:p w14:paraId="7DF3B379">
                  <w:pPr>
                    <w:pStyle w:val="52"/>
                    <w:spacing w:before="65" w:line="228" w:lineRule="auto"/>
                    <w:jc w:val="center"/>
                    <w:rPr>
                      <w:rFonts w:hint="eastAsia" w:ascii="宋体" w:hAnsi="宋体" w:eastAsia="宋体" w:cs="宋体"/>
                      <w:sz w:val="21"/>
                      <w:szCs w:val="21"/>
                    </w:rPr>
                  </w:pPr>
                  <w:r>
                    <w:rPr>
                      <w:rFonts w:hint="eastAsia" w:ascii="宋体" w:hAnsi="宋体" w:eastAsia="宋体" w:cs="宋体"/>
                      <w:spacing w:val="4"/>
                      <w:sz w:val="21"/>
                      <w:szCs w:val="21"/>
                    </w:rPr>
                    <w:t>其他</w:t>
                  </w:r>
                </w:p>
              </w:tc>
              <w:tc>
                <w:tcPr>
                  <w:tcW w:w="1104" w:type="pct"/>
                  <w:tcBorders>
                    <w:tl2br w:val="nil"/>
                    <w:tr2bl w:val="nil"/>
                  </w:tcBorders>
                  <w:vAlign w:val="center"/>
                </w:tcPr>
                <w:p w14:paraId="271A16EB">
                  <w:pPr>
                    <w:pStyle w:val="52"/>
                    <w:spacing w:before="35" w:line="215" w:lineRule="auto"/>
                    <w:jc w:val="center"/>
                    <w:rPr>
                      <w:rFonts w:hint="eastAsia" w:ascii="宋体" w:hAnsi="宋体" w:eastAsia="宋体" w:cs="宋体"/>
                      <w:sz w:val="21"/>
                      <w:szCs w:val="21"/>
                    </w:rPr>
                  </w:pPr>
                  <w:r>
                    <w:rPr>
                      <w:rFonts w:hint="eastAsia" w:ascii="宋体" w:hAnsi="宋体" w:eastAsia="宋体" w:cs="宋体"/>
                      <w:spacing w:val="8"/>
                      <w:sz w:val="21"/>
                      <w:szCs w:val="21"/>
                    </w:rPr>
                    <w:t>排污口规范化</w:t>
                  </w:r>
                </w:p>
              </w:tc>
              <w:tc>
                <w:tcPr>
                  <w:tcW w:w="2521" w:type="pct"/>
                  <w:tcBorders>
                    <w:tl2br w:val="nil"/>
                    <w:tr2bl w:val="nil"/>
                  </w:tcBorders>
                  <w:vAlign w:val="center"/>
                </w:tcPr>
                <w:p w14:paraId="28ED9508">
                  <w:pPr>
                    <w:pStyle w:val="52"/>
                    <w:spacing w:before="35" w:line="215" w:lineRule="auto"/>
                    <w:jc w:val="center"/>
                    <w:rPr>
                      <w:rFonts w:hint="eastAsia" w:ascii="宋体" w:hAnsi="宋体" w:eastAsia="宋体" w:cs="宋体"/>
                      <w:sz w:val="21"/>
                      <w:szCs w:val="21"/>
                    </w:rPr>
                  </w:pPr>
                  <w:r>
                    <w:rPr>
                      <w:rFonts w:hint="eastAsia" w:ascii="宋体" w:hAnsi="宋体" w:eastAsia="宋体" w:cs="宋体"/>
                      <w:spacing w:val="9"/>
                      <w:sz w:val="21"/>
                      <w:szCs w:val="21"/>
                    </w:rPr>
                    <w:t>提示警示图形标志、采样平台等</w:t>
                  </w:r>
                </w:p>
              </w:tc>
              <w:tc>
                <w:tcPr>
                  <w:tcW w:w="913" w:type="pct"/>
                  <w:tcBorders>
                    <w:tl2br w:val="nil"/>
                    <w:tr2bl w:val="nil"/>
                  </w:tcBorders>
                  <w:vAlign w:val="center"/>
                </w:tcPr>
                <w:p w14:paraId="0B3AE85D">
                  <w:pPr>
                    <w:spacing w:before="74" w:line="192"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14:paraId="03549C4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0" w:type="pct"/>
                  <w:vMerge w:val="continue"/>
                  <w:tcBorders>
                    <w:tl2br w:val="nil"/>
                    <w:tr2bl w:val="nil"/>
                  </w:tcBorders>
                  <w:vAlign w:val="center"/>
                </w:tcPr>
                <w:p w14:paraId="49684FBB">
                  <w:pPr>
                    <w:jc w:val="center"/>
                    <w:rPr>
                      <w:rFonts w:hint="eastAsia" w:ascii="宋体" w:hAnsi="宋体" w:eastAsia="宋体" w:cs="宋体"/>
                      <w:sz w:val="21"/>
                      <w:szCs w:val="21"/>
                    </w:rPr>
                  </w:pPr>
                </w:p>
              </w:tc>
              <w:tc>
                <w:tcPr>
                  <w:tcW w:w="1104" w:type="pct"/>
                  <w:tcBorders>
                    <w:tl2br w:val="nil"/>
                    <w:tr2bl w:val="nil"/>
                  </w:tcBorders>
                  <w:vAlign w:val="center"/>
                </w:tcPr>
                <w:p w14:paraId="2D8E3491">
                  <w:pPr>
                    <w:pStyle w:val="52"/>
                    <w:spacing w:before="33" w:line="216" w:lineRule="auto"/>
                    <w:jc w:val="center"/>
                    <w:rPr>
                      <w:rFonts w:hint="eastAsia" w:ascii="宋体" w:hAnsi="宋体" w:eastAsia="宋体" w:cs="宋体"/>
                      <w:sz w:val="21"/>
                      <w:szCs w:val="21"/>
                    </w:rPr>
                  </w:pPr>
                  <w:r>
                    <w:rPr>
                      <w:rFonts w:hint="eastAsia" w:ascii="宋体" w:hAnsi="宋体" w:eastAsia="宋体" w:cs="宋体"/>
                      <w:spacing w:val="7"/>
                      <w:sz w:val="21"/>
                      <w:szCs w:val="21"/>
                    </w:rPr>
                    <w:t>环境管理</w:t>
                  </w:r>
                </w:p>
              </w:tc>
              <w:tc>
                <w:tcPr>
                  <w:tcW w:w="2521" w:type="pct"/>
                  <w:tcBorders>
                    <w:tl2br w:val="nil"/>
                    <w:tr2bl w:val="nil"/>
                  </w:tcBorders>
                  <w:vAlign w:val="center"/>
                </w:tcPr>
                <w:p w14:paraId="64EDB44D">
                  <w:pPr>
                    <w:pStyle w:val="52"/>
                    <w:spacing w:before="33" w:line="216" w:lineRule="auto"/>
                    <w:jc w:val="center"/>
                    <w:rPr>
                      <w:rFonts w:hint="eastAsia" w:ascii="宋体" w:hAnsi="宋体" w:eastAsia="宋体" w:cs="宋体"/>
                      <w:sz w:val="21"/>
                      <w:szCs w:val="21"/>
                    </w:rPr>
                  </w:pPr>
                  <w:r>
                    <w:rPr>
                      <w:rFonts w:hint="eastAsia" w:ascii="宋体" w:hAnsi="宋体" w:eastAsia="宋体" w:cs="宋体"/>
                      <w:spacing w:val="9"/>
                      <w:sz w:val="21"/>
                      <w:szCs w:val="21"/>
                    </w:rPr>
                    <w:t>废气、废水、噪声、土壤及地下水定期检测</w:t>
                  </w:r>
                </w:p>
              </w:tc>
              <w:tc>
                <w:tcPr>
                  <w:tcW w:w="913" w:type="pct"/>
                  <w:tcBorders>
                    <w:tl2br w:val="nil"/>
                    <w:tr2bl w:val="nil"/>
                  </w:tcBorders>
                  <w:vAlign w:val="center"/>
                </w:tcPr>
                <w:p w14:paraId="0437F3AF">
                  <w:pPr>
                    <w:spacing w:before="68" w:line="195" w:lineRule="auto"/>
                    <w:jc w:val="center"/>
                    <w:rPr>
                      <w:rFonts w:hint="eastAsia" w:ascii="宋体" w:hAnsi="宋体" w:eastAsia="宋体" w:cs="宋体"/>
                      <w:sz w:val="21"/>
                      <w:szCs w:val="21"/>
                      <w:lang w:eastAsia="zh-CN"/>
                    </w:rPr>
                  </w:pPr>
                  <w:r>
                    <w:rPr>
                      <w:rFonts w:hint="eastAsia" w:ascii="宋体" w:hAnsi="宋体" w:eastAsia="宋体" w:cs="宋体"/>
                      <w:spacing w:val="-8"/>
                      <w:sz w:val="21"/>
                      <w:szCs w:val="21"/>
                      <w:lang w:val="en-US" w:eastAsia="zh-CN"/>
                    </w:rPr>
                    <w:t>2</w:t>
                  </w:r>
                </w:p>
              </w:tc>
            </w:tr>
            <w:tr w14:paraId="411AE03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0" w:type="pct"/>
                  <w:vMerge w:val="continue"/>
                  <w:tcBorders>
                    <w:tl2br w:val="nil"/>
                    <w:tr2bl w:val="nil"/>
                  </w:tcBorders>
                  <w:vAlign w:val="center"/>
                </w:tcPr>
                <w:p w14:paraId="3283BEF2">
                  <w:pPr>
                    <w:jc w:val="center"/>
                    <w:rPr>
                      <w:rFonts w:hint="eastAsia" w:ascii="宋体" w:hAnsi="宋体" w:eastAsia="宋体" w:cs="宋体"/>
                      <w:sz w:val="21"/>
                      <w:szCs w:val="21"/>
                    </w:rPr>
                  </w:pPr>
                </w:p>
              </w:tc>
              <w:tc>
                <w:tcPr>
                  <w:tcW w:w="1104" w:type="pct"/>
                  <w:tcBorders>
                    <w:tl2br w:val="nil"/>
                    <w:tr2bl w:val="nil"/>
                  </w:tcBorders>
                  <w:vAlign w:val="center"/>
                </w:tcPr>
                <w:p w14:paraId="74065BB5">
                  <w:pPr>
                    <w:pStyle w:val="52"/>
                    <w:spacing w:before="34" w:line="215" w:lineRule="auto"/>
                    <w:jc w:val="center"/>
                    <w:rPr>
                      <w:rFonts w:hint="eastAsia" w:ascii="宋体" w:hAnsi="宋体" w:eastAsia="宋体" w:cs="宋体"/>
                      <w:sz w:val="21"/>
                      <w:szCs w:val="21"/>
                    </w:rPr>
                  </w:pPr>
                  <w:r>
                    <w:rPr>
                      <w:rFonts w:hint="eastAsia" w:ascii="宋体" w:hAnsi="宋体" w:eastAsia="宋体" w:cs="宋体"/>
                      <w:spacing w:val="6"/>
                      <w:sz w:val="21"/>
                      <w:szCs w:val="21"/>
                    </w:rPr>
                    <w:t>事故池</w:t>
                  </w:r>
                </w:p>
              </w:tc>
              <w:tc>
                <w:tcPr>
                  <w:tcW w:w="2521" w:type="pct"/>
                  <w:tcBorders>
                    <w:tl2br w:val="nil"/>
                    <w:tr2bl w:val="nil"/>
                  </w:tcBorders>
                  <w:vAlign w:val="center"/>
                </w:tcPr>
                <w:p w14:paraId="75F66DDF">
                  <w:pPr>
                    <w:pStyle w:val="52"/>
                    <w:spacing w:before="16" w:line="231" w:lineRule="auto"/>
                    <w:jc w:val="center"/>
                    <w:rPr>
                      <w:rFonts w:hint="eastAsia" w:ascii="宋体" w:hAnsi="宋体" w:eastAsia="宋体" w:cs="宋体"/>
                      <w:sz w:val="21"/>
                      <w:szCs w:val="21"/>
                      <w:u w:val="single"/>
                      <w:lang w:val="en-US" w:eastAsia="zh-CN"/>
                    </w:rPr>
                  </w:pPr>
                  <w:r>
                    <w:rPr>
                      <w:rFonts w:hint="eastAsia" w:ascii="宋体" w:hAnsi="宋体" w:eastAsia="宋体" w:cs="宋体"/>
                      <w:color w:val="00B050"/>
                      <w:spacing w:val="4"/>
                      <w:sz w:val="21"/>
                      <w:szCs w:val="21"/>
                      <w:u w:val="single"/>
                    </w:rPr>
                    <w:t>有效容积</w:t>
                  </w:r>
                  <w:r>
                    <w:rPr>
                      <w:rFonts w:hint="eastAsia" w:ascii="宋体" w:hAnsi="宋体" w:eastAsia="宋体" w:cs="宋体"/>
                      <w:color w:val="00B050"/>
                      <w:spacing w:val="4"/>
                      <w:sz w:val="21"/>
                      <w:szCs w:val="21"/>
                      <w:u w:val="single"/>
                      <w:lang w:val="en-US" w:eastAsia="zh-CN"/>
                    </w:rPr>
                    <w:t>12</w:t>
                  </w:r>
                  <w:r>
                    <w:rPr>
                      <w:rFonts w:hint="eastAsia" w:ascii="宋体" w:hAnsi="宋体" w:eastAsia="宋体" w:cs="宋体"/>
                      <w:color w:val="00B050"/>
                      <w:spacing w:val="4"/>
                      <w:sz w:val="21"/>
                      <w:szCs w:val="21"/>
                      <w:u w:val="single"/>
                    </w:rPr>
                    <w:t>0m</w:t>
                  </w:r>
                  <w:r>
                    <w:rPr>
                      <w:rFonts w:hint="eastAsia" w:ascii="宋体" w:hAnsi="宋体" w:eastAsia="宋体" w:cs="宋体"/>
                      <w:color w:val="00B050"/>
                      <w:spacing w:val="4"/>
                      <w:sz w:val="21"/>
                      <w:szCs w:val="21"/>
                      <w:u w:val="single"/>
                      <w:vertAlign w:val="superscript"/>
                      <w:lang w:val="en-US" w:eastAsia="zh-CN"/>
                    </w:rPr>
                    <w:t>3</w:t>
                  </w:r>
                </w:p>
              </w:tc>
              <w:tc>
                <w:tcPr>
                  <w:tcW w:w="913" w:type="pct"/>
                  <w:tcBorders>
                    <w:tl2br w:val="nil"/>
                    <w:tr2bl w:val="nil"/>
                  </w:tcBorders>
                  <w:vAlign w:val="center"/>
                </w:tcPr>
                <w:p w14:paraId="69243858">
                  <w:pPr>
                    <w:spacing w:before="70" w:line="195" w:lineRule="auto"/>
                    <w:jc w:val="center"/>
                    <w:rPr>
                      <w:rFonts w:hint="eastAsia" w:ascii="宋体" w:hAnsi="宋体" w:eastAsia="宋体" w:cs="宋体"/>
                      <w:sz w:val="21"/>
                      <w:szCs w:val="21"/>
                      <w:lang w:eastAsia="zh-CN"/>
                    </w:rPr>
                  </w:pPr>
                  <w:r>
                    <w:rPr>
                      <w:rFonts w:hint="eastAsia" w:ascii="宋体" w:hAnsi="宋体" w:eastAsia="宋体" w:cs="宋体"/>
                      <w:spacing w:val="-8"/>
                      <w:sz w:val="21"/>
                      <w:szCs w:val="21"/>
                      <w:lang w:val="en-US" w:eastAsia="zh-CN"/>
                    </w:rPr>
                    <w:t>3</w:t>
                  </w:r>
                </w:p>
              </w:tc>
            </w:tr>
            <w:tr w14:paraId="7766C75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60" w:type="pct"/>
                  <w:vMerge w:val="continue"/>
                  <w:tcBorders>
                    <w:tl2br w:val="nil"/>
                    <w:tr2bl w:val="nil"/>
                  </w:tcBorders>
                  <w:vAlign w:val="center"/>
                </w:tcPr>
                <w:p w14:paraId="2FA4FBA1">
                  <w:pPr>
                    <w:jc w:val="center"/>
                    <w:rPr>
                      <w:rFonts w:hint="eastAsia" w:ascii="宋体" w:hAnsi="宋体" w:eastAsia="宋体" w:cs="宋体"/>
                      <w:sz w:val="21"/>
                      <w:szCs w:val="21"/>
                    </w:rPr>
                  </w:pPr>
                </w:p>
              </w:tc>
              <w:tc>
                <w:tcPr>
                  <w:tcW w:w="1104" w:type="pct"/>
                  <w:tcBorders>
                    <w:tl2br w:val="nil"/>
                    <w:tr2bl w:val="nil"/>
                  </w:tcBorders>
                  <w:vAlign w:val="center"/>
                </w:tcPr>
                <w:p w14:paraId="59811AB2">
                  <w:pPr>
                    <w:pStyle w:val="52"/>
                    <w:spacing w:before="35" w:line="215" w:lineRule="auto"/>
                    <w:jc w:val="center"/>
                    <w:rPr>
                      <w:rFonts w:hint="eastAsia" w:ascii="宋体" w:hAnsi="宋体" w:eastAsia="宋体" w:cs="宋体"/>
                      <w:sz w:val="21"/>
                      <w:szCs w:val="21"/>
                    </w:rPr>
                  </w:pPr>
                  <w:r>
                    <w:rPr>
                      <w:rFonts w:hint="eastAsia" w:ascii="宋体" w:hAnsi="宋体" w:eastAsia="宋体" w:cs="宋体"/>
                      <w:spacing w:val="8"/>
                      <w:sz w:val="21"/>
                      <w:szCs w:val="21"/>
                    </w:rPr>
                    <w:t>天然气泄漏报警</w:t>
                  </w:r>
                </w:p>
              </w:tc>
              <w:tc>
                <w:tcPr>
                  <w:tcW w:w="2521" w:type="pct"/>
                  <w:tcBorders>
                    <w:tl2br w:val="nil"/>
                    <w:tr2bl w:val="nil"/>
                  </w:tcBorders>
                  <w:vAlign w:val="center"/>
                </w:tcPr>
                <w:p w14:paraId="586A7ADB">
                  <w:pPr>
                    <w:pStyle w:val="52"/>
                    <w:spacing w:before="35" w:line="215" w:lineRule="auto"/>
                    <w:jc w:val="center"/>
                    <w:rPr>
                      <w:rFonts w:hint="eastAsia" w:ascii="宋体" w:hAnsi="宋体" w:eastAsia="宋体" w:cs="宋体"/>
                      <w:sz w:val="21"/>
                      <w:szCs w:val="21"/>
                      <w:u w:val="single"/>
                    </w:rPr>
                  </w:pPr>
                  <w:r>
                    <w:rPr>
                      <w:rFonts w:hint="eastAsia" w:cs="宋体"/>
                      <w:color w:val="00B050"/>
                      <w:spacing w:val="-10"/>
                      <w:sz w:val="21"/>
                      <w:szCs w:val="21"/>
                      <w:u w:val="single"/>
                      <w:lang w:val="en-US" w:eastAsia="zh-CN"/>
                    </w:rPr>
                    <w:t>1</w:t>
                  </w:r>
                  <w:r>
                    <w:rPr>
                      <w:rFonts w:hint="eastAsia" w:ascii="宋体" w:hAnsi="宋体" w:eastAsia="宋体" w:cs="宋体"/>
                      <w:color w:val="00B050"/>
                      <w:spacing w:val="-10"/>
                      <w:sz w:val="21"/>
                      <w:szCs w:val="21"/>
                      <w:u w:val="single"/>
                    </w:rPr>
                    <w:t>套</w:t>
                  </w:r>
                </w:p>
              </w:tc>
              <w:tc>
                <w:tcPr>
                  <w:tcW w:w="913" w:type="pct"/>
                  <w:tcBorders>
                    <w:tl2br w:val="nil"/>
                    <w:tr2bl w:val="nil"/>
                  </w:tcBorders>
                  <w:vAlign w:val="center"/>
                </w:tcPr>
                <w:p w14:paraId="0AB4D5E1">
                  <w:pPr>
                    <w:spacing w:before="71" w:line="195"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rPr>
                    <w:t>1</w:t>
                  </w:r>
                </w:p>
              </w:tc>
            </w:tr>
            <w:tr w14:paraId="4DEE694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086" w:type="pct"/>
                  <w:gridSpan w:val="3"/>
                  <w:tcBorders>
                    <w:tl2br w:val="nil"/>
                    <w:tr2bl w:val="nil"/>
                  </w:tcBorders>
                  <w:vAlign w:val="center"/>
                </w:tcPr>
                <w:p w14:paraId="5CB95A4E">
                  <w:pPr>
                    <w:pStyle w:val="52"/>
                    <w:spacing w:before="33" w:line="216" w:lineRule="auto"/>
                    <w:ind w:left="3396"/>
                    <w:jc w:val="center"/>
                    <w:rPr>
                      <w:rFonts w:hint="eastAsia" w:ascii="宋体" w:hAnsi="宋体" w:eastAsia="宋体" w:cs="宋体"/>
                      <w:sz w:val="21"/>
                      <w:szCs w:val="21"/>
                    </w:rPr>
                  </w:pPr>
                  <w:r>
                    <w:rPr>
                      <w:rFonts w:hint="eastAsia" w:ascii="宋体" w:hAnsi="宋体" w:eastAsia="宋体" w:cs="宋体"/>
                      <w:spacing w:val="4"/>
                      <w:sz w:val="21"/>
                      <w:szCs w:val="21"/>
                    </w:rPr>
                    <w:t>合计</w:t>
                  </w:r>
                </w:p>
              </w:tc>
              <w:tc>
                <w:tcPr>
                  <w:tcW w:w="913" w:type="pct"/>
                  <w:tcBorders>
                    <w:tl2br w:val="nil"/>
                    <w:tr2bl w:val="nil"/>
                  </w:tcBorders>
                  <w:vAlign w:val="center"/>
                </w:tcPr>
                <w:p w14:paraId="5E90FB78">
                  <w:pPr>
                    <w:spacing w:before="69" w:line="195"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65</w:t>
                  </w:r>
                </w:p>
              </w:tc>
            </w:tr>
          </w:tbl>
          <w:p w14:paraId="3E95324C">
            <w:pPr>
              <w:keepNext w:val="0"/>
              <w:keepLines w:val="0"/>
              <w:pageBreakBefore w:val="0"/>
              <w:widowControl w:val="0"/>
              <w:kinsoku/>
              <w:wordWrap/>
              <w:overflowPunct/>
              <w:topLinePunct w:val="0"/>
              <w:autoSpaceDE/>
              <w:autoSpaceDN/>
              <w:bidi w:val="0"/>
              <w:adjustRightInd w:val="0"/>
              <w:snapToGrid w:val="0"/>
              <w:spacing w:line="360" w:lineRule="auto"/>
              <w:ind w:firstLine="452" w:firstLineChars="200"/>
              <w:textAlignment w:val="auto"/>
              <w:rPr>
                <w:rFonts w:hint="eastAsia"/>
                <w:spacing w:val="8"/>
              </w:rPr>
            </w:pPr>
          </w:p>
        </w:tc>
      </w:tr>
    </w:tbl>
    <w:p w14:paraId="3F471582">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749DAACB">
      <w:pPr>
        <w:pStyle w:val="18"/>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11" w:name="_Hlk54167917"/>
      <w:r>
        <w:rPr>
          <w:rFonts w:hint="eastAsia" w:ascii="黑体" w:hAnsi="黑体" w:eastAsia="黑体"/>
          <w:snapToGrid w:val="0"/>
          <w:sz w:val="30"/>
          <w:szCs w:val="30"/>
        </w:rPr>
        <w:t>环境保护措施监督检查清单</w:t>
      </w:r>
      <w:bookmarkEnd w:id="11"/>
    </w:p>
    <w:tbl>
      <w:tblPr>
        <w:tblStyle w:val="53"/>
        <w:tblW w:w="90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Layout w:type="fixed"/>
        <w:tblCellMar>
          <w:top w:w="0" w:type="dxa"/>
          <w:left w:w="0" w:type="dxa"/>
          <w:bottom w:w="0" w:type="dxa"/>
          <w:right w:w="0" w:type="dxa"/>
        </w:tblCellMar>
      </w:tblPr>
      <w:tblGrid>
        <w:gridCol w:w="1517"/>
        <w:gridCol w:w="1897"/>
        <w:gridCol w:w="1348"/>
        <w:gridCol w:w="1917"/>
        <w:gridCol w:w="2378"/>
      </w:tblGrid>
      <w:tr w14:paraId="5CE3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554" w:hRule="atLeast"/>
        </w:trPr>
        <w:tc>
          <w:tcPr>
            <w:tcW w:w="1517" w:type="dxa"/>
            <w:tcBorders>
              <w:tl2br w:val="nil"/>
              <w:tr2bl w:val="nil"/>
            </w:tcBorders>
            <w:vAlign w:val="top"/>
          </w:tcPr>
          <w:p w14:paraId="4F27A636">
            <w:pPr>
              <w:pStyle w:val="52"/>
              <w:keepNext w:val="0"/>
              <w:keepLines w:val="0"/>
              <w:pageBreakBefore w:val="0"/>
              <w:widowControl w:val="0"/>
              <w:kinsoku/>
              <w:wordWrap/>
              <w:overflowPunct/>
              <w:topLinePunct w:val="0"/>
              <w:autoSpaceDE/>
              <w:autoSpaceDN/>
              <w:bidi w:val="0"/>
              <w:adjustRightInd/>
              <w:snapToGrid/>
              <w:spacing w:line="240" w:lineRule="atLeast"/>
              <w:ind w:left="111" w:right="147" w:firstLine="864"/>
              <w:textAlignment w:val="auto"/>
            </w:pPr>
            <w:r>
              <w:rPr>
                <w:spacing w:val="-8"/>
              </w:rPr>
              <w:t>内容</w:t>
            </w:r>
            <w:r>
              <w:t xml:space="preserve"> </w:t>
            </w:r>
            <w:r>
              <w:rPr>
                <w:spacing w:val="4"/>
              </w:rPr>
              <w:t>要素</w:t>
            </w:r>
          </w:p>
        </w:tc>
        <w:tc>
          <w:tcPr>
            <w:tcW w:w="1897" w:type="dxa"/>
            <w:tcBorders>
              <w:tl2br w:val="nil"/>
              <w:tr2bl w:val="nil"/>
            </w:tcBorders>
            <w:vAlign w:val="top"/>
          </w:tcPr>
          <w:p w14:paraId="22945D68">
            <w:pPr>
              <w:pStyle w:val="52"/>
              <w:keepNext w:val="0"/>
              <w:keepLines w:val="0"/>
              <w:pageBreakBefore w:val="0"/>
              <w:widowControl w:val="0"/>
              <w:kinsoku/>
              <w:wordWrap/>
              <w:overflowPunct/>
              <w:topLinePunct w:val="0"/>
              <w:autoSpaceDE/>
              <w:autoSpaceDN/>
              <w:bidi w:val="0"/>
              <w:adjustRightInd/>
              <w:snapToGrid/>
              <w:spacing w:line="240" w:lineRule="atLeast"/>
              <w:ind w:left="285"/>
              <w:textAlignment w:val="auto"/>
            </w:pPr>
            <w:r>
              <w:rPr>
                <w:spacing w:val="5"/>
              </w:rPr>
              <w:t>排放口</w:t>
            </w:r>
            <w:r>
              <w:rPr>
                <w:rFonts w:ascii="Times New Roman" w:hAnsi="Times New Roman" w:eastAsia="Times New Roman" w:cs="Times New Roman"/>
                <w:spacing w:val="5"/>
              </w:rPr>
              <w:t>(</w:t>
            </w:r>
            <w:r>
              <w:rPr>
                <w:spacing w:val="5"/>
              </w:rPr>
              <w:t>编号、</w:t>
            </w:r>
          </w:p>
          <w:p w14:paraId="3B4EBB36">
            <w:pPr>
              <w:pStyle w:val="52"/>
              <w:keepNext w:val="0"/>
              <w:keepLines w:val="0"/>
              <w:pageBreakBefore w:val="0"/>
              <w:widowControl w:val="0"/>
              <w:kinsoku/>
              <w:wordWrap/>
              <w:overflowPunct/>
              <w:topLinePunct w:val="0"/>
              <w:autoSpaceDE/>
              <w:autoSpaceDN/>
              <w:bidi w:val="0"/>
              <w:adjustRightInd/>
              <w:snapToGrid/>
              <w:spacing w:line="240" w:lineRule="atLeast"/>
              <w:ind w:left="364"/>
              <w:textAlignment w:val="auto"/>
            </w:pPr>
            <w:r>
              <w:rPr>
                <w:spacing w:val="6"/>
              </w:rPr>
              <w:t>名称</w:t>
            </w:r>
            <w:r>
              <w:rPr>
                <w:rFonts w:ascii="Times New Roman" w:hAnsi="Times New Roman" w:eastAsia="Times New Roman" w:cs="Times New Roman"/>
                <w:spacing w:val="6"/>
              </w:rPr>
              <w:t>)/</w:t>
            </w:r>
            <w:r>
              <w:rPr>
                <w:spacing w:val="6"/>
              </w:rPr>
              <w:t>污染源</w:t>
            </w:r>
          </w:p>
        </w:tc>
        <w:tc>
          <w:tcPr>
            <w:tcW w:w="1348" w:type="dxa"/>
            <w:tcBorders>
              <w:tl2br w:val="nil"/>
              <w:tr2bl w:val="nil"/>
            </w:tcBorders>
            <w:vAlign w:val="top"/>
          </w:tcPr>
          <w:p w14:paraId="5C60A028">
            <w:pPr>
              <w:pStyle w:val="52"/>
              <w:keepNext w:val="0"/>
              <w:keepLines w:val="0"/>
              <w:pageBreakBefore w:val="0"/>
              <w:widowControl w:val="0"/>
              <w:kinsoku/>
              <w:wordWrap/>
              <w:overflowPunct/>
              <w:topLinePunct w:val="0"/>
              <w:autoSpaceDE/>
              <w:autoSpaceDN/>
              <w:bidi w:val="0"/>
              <w:adjustRightInd/>
              <w:snapToGrid/>
              <w:spacing w:line="240" w:lineRule="atLeast"/>
              <w:ind w:left="154"/>
              <w:textAlignment w:val="auto"/>
            </w:pPr>
            <w:r>
              <w:rPr>
                <w:spacing w:val="7"/>
              </w:rPr>
              <w:t>污染物项目</w:t>
            </w:r>
          </w:p>
        </w:tc>
        <w:tc>
          <w:tcPr>
            <w:tcW w:w="1917" w:type="dxa"/>
            <w:tcBorders>
              <w:tl2br w:val="nil"/>
              <w:tr2bl w:val="nil"/>
            </w:tcBorders>
            <w:vAlign w:val="top"/>
          </w:tcPr>
          <w:p w14:paraId="7423D3CE">
            <w:pPr>
              <w:pStyle w:val="52"/>
              <w:keepNext w:val="0"/>
              <w:keepLines w:val="0"/>
              <w:pageBreakBefore w:val="0"/>
              <w:widowControl w:val="0"/>
              <w:kinsoku/>
              <w:wordWrap/>
              <w:overflowPunct/>
              <w:topLinePunct w:val="0"/>
              <w:autoSpaceDE/>
              <w:autoSpaceDN/>
              <w:bidi w:val="0"/>
              <w:adjustRightInd/>
              <w:snapToGrid/>
              <w:spacing w:line="240" w:lineRule="atLeast"/>
              <w:ind w:left="335"/>
              <w:textAlignment w:val="auto"/>
            </w:pPr>
            <w:r>
              <w:rPr>
                <w:spacing w:val="8"/>
              </w:rPr>
              <w:t>环境保护措施</w:t>
            </w:r>
          </w:p>
        </w:tc>
        <w:tc>
          <w:tcPr>
            <w:tcW w:w="2378" w:type="dxa"/>
            <w:tcBorders>
              <w:tl2br w:val="nil"/>
              <w:tr2bl w:val="nil"/>
            </w:tcBorders>
            <w:vAlign w:val="top"/>
          </w:tcPr>
          <w:p w14:paraId="63527449">
            <w:pPr>
              <w:pStyle w:val="52"/>
              <w:keepNext w:val="0"/>
              <w:keepLines w:val="0"/>
              <w:pageBreakBefore w:val="0"/>
              <w:widowControl w:val="0"/>
              <w:kinsoku/>
              <w:wordWrap/>
              <w:overflowPunct/>
              <w:topLinePunct w:val="0"/>
              <w:autoSpaceDE/>
              <w:autoSpaceDN/>
              <w:bidi w:val="0"/>
              <w:adjustRightInd/>
              <w:snapToGrid/>
              <w:spacing w:line="240" w:lineRule="atLeast"/>
              <w:ind w:left="775"/>
              <w:textAlignment w:val="auto"/>
            </w:pPr>
            <w:r>
              <w:rPr>
                <w:spacing w:val="7"/>
              </w:rPr>
              <w:t>执行标准</w:t>
            </w:r>
          </w:p>
        </w:tc>
      </w:tr>
      <w:tr w14:paraId="69FDD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1093" w:hRule="atLeast"/>
        </w:trPr>
        <w:tc>
          <w:tcPr>
            <w:tcW w:w="1517" w:type="dxa"/>
            <w:vMerge w:val="restart"/>
            <w:tcBorders>
              <w:tl2br w:val="nil"/>
              <w:tr2bl w:val="nil"/>
            </w:tcBorders>
            <w:vAlign w:val="top"/>
          </w:tcPr>
          <w:p w14:paraId="1B2A95EB">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7BAAF2A4">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45496E67">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4A27AEC5">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12EBDA61">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14291D5B">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3E9FF49C">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25F4FD8D">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6B1E016A">
            <w:pPr>
              <w:pStyle w:val="52"/>
              <w:keepNext w:val="0"/>
              <w:keepLines w:val="0"/>
              <w:pageBreakBefore w:val="0"/>
              <w:widowControl w:val="0"/>
              <w:kinsoku/>
              <w:wordWrap/>
              <w:overflowPunct/>
              <w:topLinePunct w:val="0"/>
              <w:autoSpaceDE/>
              <w:autoSpaceDN/>
              <w:bidi w:val="0"/>
              <w:adjustRightInd/>
              <w:snapToGrid/>
              <w:spacing w:line="240" w:lineRule="atLeast"/>
              <w:ind w:left="340"/>
              <w:textAlignment w:val="auto"/>
            </w:pPr>
            <w:r>
              <w:rPr>
                <w:spacing w:val="6"/>
              </w:rPr>
              <w:t>大气环境</w:t>
            </w:r>
          </w:p>
        </w:tc>
        <w:tc>
          <w:tcPr>
            <w:tcW w:w="1897" w:type="dxa"/>
            <w:tcBorders>
              <w:tl2br w:val="nil"/>
              <w:tr2bl w:val="nil"/>
            </w:tcBorders>
            <w:vAlign w:val="top"/>
          </w:tcPr>
          <w:p w14:paraId="442C51B1">
            <w:pPr>
              <w:pStyle w:val="52"/>
              <w:keepNext w:val="0"/>
              <w:keepLines w:val="0"/>
              <w:pageBreakBefore w:val="0"/>
              <w:widowControl w:val="0"/>
              <w:kinsoku/>
              <w:wordWrap/>
              <w:overflowPunct/>
              <w:topLinePunct w:val="0"/>
              <w:autoSpaceDE/>
              <w:autoSpaceDN/>
              <w:bidi w:val="0"/>
              <w:adjustRightInd/>
              <w:snapToGrid/>
              <w:spacing w:line="240" w:lineRule="atLeast"/>
              <w:ind w:right="167"/>
              <w:jc w:val="center"/>
              <w:textAlignment w:val="auto"/>
              <w:rPr>
                <w:rFonts w:ascii="Times New Roman" w:hAnsi="Times New Roman" w:eastAsia="Times New Roman" w:cs="Times New Roman"/>
                <w:spacing w:val="7"/>
              </w:rPr>
            </w:pPr>
            <w:r>
              <w:rPr>
                <w:spacing w:val="7"/>
              </w:rPr>
              <w:t>插层釜</w:t>
            </w:r>
            <w:r>
              <w:rPr>
                <w:rFonts w:ascii="Times New Roman" w:hAnsi="Times New Roman" w:eastAsia="Times New Roman" w:cs="Times New Roman"/>
                <w:spacing w:val="7"/>
              </w:rPr>
              <w:t>/</w:t>
            </w:r>
          </w:p>
          <w:p w14:paraId="03557C97">
            <w:pPr>
              <w:pStyle w:val="52"/>
              <w:keepNext w:val="0"/>
              <w:keepLines w:val="0"/>
              <w:pageBreakBefore w:val="0"/>
              <w:widowControl w:val="0"/>
              <w:kinsoku/>
              <w:wordWrap/>
              <w:overflowPunct/>
              <w:topLinePunct w:val="0"/>
              <w:autoSpaceDE/>
              <w:autoSpaceDN/>
              <w:bidi w:val="0"/>
              <w:adjustRightInd/>
              <w:snapToGrid/>
              <w:spacing w:line="240" w:lineRule="atLeast"/>
              <w:ind w:right="167"/>
              <w:jc w:val="center"/>
              <w:textAlignment w:val="auto"/>
            </w:pPr>
            <w:r>
              <w:rPr>
                <w:rFonts w:ascii="Times New Roman" w:hAnsi="Times New Roman" w:eastAsia="Times New Roman" w:cs="Times New Roman"/>
              </w:rPr>
              <w:t>DA</w:t>
            </w:r>
            <w:r>
              <w:rPr>
                <w:rFonts w:ascii="Times New Roman" w:hAnsi="Times New Roman" w:eastAsia="Times New Roman" w:cs="Times New Roman"/>
                <w:spacing w:val="7"/>
              </w:rPr>
              <w:t>001</w:t>
            </w:r>
            <w:r>
              <w:rPr>
                <w:spacing w:val="7"/>
              </w:rPr>
              <w:t>排</w:t>
            </w:r>
            <w:r>
              <w:rPr>
                <w:spacing w:val="4"/>
              </w:rPr>
              <w:t>气筒</w:t>
            </w:r>
          </w:p>
        </w:tc>
        <w:tc>
          <w:tcPr>
            <w:tcW w:w="1348" w:type="dxa"/>
            <w:tcBorders>
              <w:tl2br w:val="nil"/>
              <w:tr2bl w:val="nil"/>
            </w:tcBorders>
            <w:vAlign w:val="top"/>
          </w:tcPr>
          <w:p w14:paraId="57009262">
            <w:pPr>
              <w:pStyle w:val="52"/>
              <w:keepNext w:val="0"/>
              <w:keepLines w:val="0"/>
              <w:pageBreakBefore w:val="0"/>
              <w:widowControl w:val="0"/>
              <w:kinsoku/>
              <w:wordWrap/>
              <w:overflowPunct/>
              <w:topLinePunct w:val="0"/>
              <w:autoSpaceDE/>
              <w:autoSpaceDN/>
              <w:bidi w:val="0"/>
              <w:adjustRightInd/>
              <w:snapToGrid/>
              <w:spacing w:line="240" w:lineRule="atLeast"/>
              <w:ind w:left="153"/>
              <w:textAlignment w:val="auto"/>
            </w:pPr>
            <w:r>
              <w:rPr>
                <w:spacing w:val="5"/>
              </w:rPr>
              <w:t>石墨粉尘、</w:t>
            </w:r>
            <w:r>
              <w:rPr>
                <w:spacing w:val="7"/>
              </w:rPr>
              <w:t>硫酸雾</w:t>
            </w:r>
          </w:p>
        </w:tc>
        <w:tc>
          <w:tcPr>
            <w:tcW w:w="1917" w:type="dxa"/>
            <w:tcBorders>
              <w:tl2br w:val="nil"/>
              <w:tr2bl w:val="nil"/>
            </w:tcBorders>
            <w:vAlign w:val="top"/>
          </w:tcPr>
          <w:p w14:paraId="391D6E70">
            <w:pPr>
              <w:pStyle w:val="52"/>
              <w:keepNext w:val="0"/>
              <w:keepLines w:val="0"/>
              <w:pageBreakBefore w:val="0"/>
              <w:widowControl w:val="0"/>
              <w:kinsoku/>
              <w:wordWrap/>
              <w:overflowPunct/>
              <w:topLinePunct w:val="0"/>
              <w:autoSpaceDE/>
              <w:autoSpaceDN/>
              <w:bidi w:val="0"/>
              <w:adjustRightInd/>
              <w:snapToGrid/>
              <w:spacing w:line="240" w:lineRule="atLeast"/>
              <w:textAlignment w:val="auto"/>
            </w:pPr>
            <w:r>
              <w:rPr>
                <w:rFonts w:ascii="Times New Roman" w:hAnsi="Times New Roman" w:eastAsia="Times New Roman" w:cs="Times New Roman"/>
                <w:spacing w:val="5"/>
              </w:rPr>
              <w:t>1</w:t>
            </w:r>
            <w:r>
              <w:rPr>
                <w:spacing w:val="7"/>
              </w:rPr>
              <w:t>套酸雾喷淋设</w:t>
            </w:r>
            <w:r>
              <w:rPr>
                <w:spacing w:val="6"/>
              </w:rPr>
              <w:t>施</w:t>
            </w:r>
            <w:r>
              <w:rPr>
                <w:rFonts w:ascii="Times New Roman" w:hAnsi="Times New Roman" w:eastAsia="Times New Roman" w:cs="Times New Roman"/>
                <w:spacing w:val="6"/>
              </w:rPr>
              <w:t>+15m</w:t>
            </w:r>
            <w:r>
              <w:rPr>
                <w:spacing w:val="6"/>
              </w:rPr>
              <w:t>排气筒</w:t>
            </w:r>
          </w:p>
        </w:tc>
        <w:tc>
          <w:tcPr>
            <w:tcW w:w="2378" w:type="dxa"/>
            <w:tcBorders>
              <w:tl2br w:val="nil"/>
              <w:tr2bl w:val="nil"/>
            </w:tcBorders>
            <w:vAlign w:val="top"/>
          </w:tcPr>
          <w:p w14:paraId="6B2E1287">
            <w:pPr>
              <w:pStyle w:val="52"/>
              <w:keepNext w:val="0"/>
              <w:keepLines w:val="0"/>
              <w:pageBreakBefore w:val="0"/>
              <w:widowControl w:val="0"/>
              <w:kinsoku/>
              <w:wordWrap/>
              <w:overflowPunct/>
              <w:topLinePunct w:val="0"/>
              <w:autoSpaceDE/>
              <w:autoSpaceDN/>
              <w:bidi w:val="0"/>
              <w:adjustRightInd/>
              <w:snapToGrid/>
              <w:spacing w:line="240" w:lineRule="atLeast"/>
              <w:ind w:left="149"/>
              <w:textAlignment w:val="auto"/>
            </w:pPr>
            <w:r>
              <w:rPr>
                <w:spacing w:val="8"/>
              </w:rPr>
              <w:t>《大气污染物综合排放</w:t>
            </w:r>
          </w:p>
          <w:p w14:paraId="6F6C4B69">
            <w:pPr>
              <w:pStyle w:val="52"/>
              <w:keepNext w:val="0"/>
              <w:keepLines w:val="0"/>
              <w:pageBreakBefore w:val="0"/>
              <w:widowControl w:val="0"/>
              <w:kinsoku/>
              <w:wordWrap/>
              <w:overflowPunct/>
              <w:topLinePunct w:val="0"/>
              <w:autoSpaceDE/>
              <w:autoSpaceDN/>
              <w:bidi w:val="0"/>
              <w:adjustRightInd/>
              <w:snapToGrid/>
              <w:spacing w:line="240" w:lineRule="atLeast"/>
              <w:ind w:right="7"/>
              <w:jc w:val="right"/>
              <w:textAlignment w:val="auto"/>
            </w:pPr>
            <w:r>
              <w:rPr>
                <w:spacing w:val="-1"/>
              </w:rPr>
              <w:t>标准》（</w:t>
            </w:r>
            <w:r>
              <w:rPr>
                <w:rFonts w:ascii="Times New Roman" w:hAnsi="Times New Roman" w:eastAsia="Times New Roman" w:cs="Times New Roman"/>
                <w:spacing w:val="-1"/>
              </w:rPr>
              <w:t>GB16297-1996</w:t>
            </w:r>
            <w:r>
              <w:rPr>
                <w:spacing w:val="-1"/>
              </w:rPr>
              <w:t>）</w:t>
            </w:r>
          </w:p>
          <w:p w14:paraId="561197E8">
            <w:pPr>
              <w:pStyle w:val="52"/>
              <w:keepNext w:val="0"/>
              <w:keepLines w:val="0"/>
              <w:pageBreakBefore w:val="0"/>
              <w:widowControl w:val="0"/>
              <w:kinsoku/>
              <w:wordWrap/>
              <w:overflowPunct/>
              <w:topLinePunct w:val="0"/>
              <w:autoSpaceDE/>
              <w:autoSpaceDN/>
              <w:bidi w:val="0"/>
              <w:adjustRightInd/>
              <w:snapToGrid/>
              <w:spacing w:line="240" w:lineRule="atLeast"/>
              <w:ind w:left="145"/>
              <w:textAlignment w:val="auto"/>
            </w:pPr>
            <w:r>
              <w:rPr>
                <w:spacing w:val="8"/>
              </w:rPr>
              <w:t>新污染源大气污染物二</w:t>
            </w:r>
          </w:p>
          <w:p w14:paraId="2D755842">
            <w:pPr>
              <w:pStyle w:val="52"/>
              <w:keepNext w:val="0"/>
              <w:keepLines w:val="0"/>
              <w:pageBreakBefore w:val="0"/>
              <w:widowControl w:val="0"/>
              <w:kinsoku/>
              <w:wordWrap/>
              <w:overflowPunct/>
              <w:topLinePunct w:val="0"/>
              <w:autoSpaceDE/>
              <w:autoSpaceDN/>
              <w:bidi w:val="0"/>
              <w:adjustRightInd/>
              <w:snapToGrid/>
              <w:spacing w:line="240" w:lineRule="atLeast"/>
              <w:ind w:left="673"/>
              <w:textAlignment w:val="auto"/>
            </w:pPr>
            <w:r>
              <w:rPr>
                <w:spacing w:val="7"/>
              </w:rPr>
              <w:t>级排放标准</w:t>
            </w:r>
          </w:p>
        </w:tc>
      </w:tr>
      <w:tr w14:paraId="55061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430" w:hRule="atLeast"/>
        </w:trPr>
        <w:tc>
          <w:tcPr>
            <w:tcW w:w="1517" w:type="dxa"/>
            <w:vMerge w:val="continue"/>
            <w:tcBorders>
              <w:tl2br w:val="nil"/>
              <w:tr2bl w:val="nil"/>
            </w:tcBorders>
            <w:vAlign w:val="top"/>
          </w:tcPr>
          <w:p w14:paraId="1B371C7E">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c>
          <w:tcPr>
            <w:tcW w:w="1897" w:type="dxa"/>
            <w:vMerge w:val="restart"/>
            <w:tcBorders>
              <w:tl2br w:val="nil"/>
              <w:tr2bl w:val="nil"/>
            </w:tcBorders>
            <w:vAlign w:val="top"/>
          </w:tcPr>
          <w:p w14:paraId="7E5374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59E8A7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67F8469D">
            <w:pPr>
              <w:pStyle w:val="52"/>
              <w:keepNext w:val="0"/>
              <w:keepLines w:val="0"/>
              <w:pageBreakBefore w:val="0"/>
              <w:widowControl w:val="0"/>
              <w:kinsoku/>
              <w:wordWrap/>
              <w:overflowPunct/>
              <w:topLinePunct w:val="0"/>
              <w:autoSpaceDE/>
              <w:autoSpaceDN/>
              <w:bidi w:val="0"/>
              <w:adjustRightInd/>
              <w:snapToGrid/>
              <w:spacing w:line="240" w:lineRule="atLeast"/>
              <w:ind w:right="167"/>
              <w:jc w:val="center"/>
              <w:textAlignment w:val="auto"/>
              <w:rPr>
                <w:rFonts w:ascii="Times New Roman" w:hAnsi="Times New Roman" w:eastAsia="Times New Roman" w:cs="Times New Roman"/>
                <w:spacing w:val="7"/>
              </w:rPr>
            </w:pPr>
            <w:r>
              <w:rPr>
                <w:spacing w:val="7"/>
              </w:rPr>
              <w:t>烘干炉</w:t>
            </w:r>
            <w:r>
              <w:rPr>
                <w:rFonts w:ascii="Times New Roman" w:hAnsi="Times New Roman" w:eastAsia="Times New Roman" w:cs="Times New Roman"/>
                <w:spacing w:val="7"/>
              </w:rPr>
              <w:t>/</w:t>
            </w:r>
          </w:p>
          <w:p w14:paraId="41B50C93">
            <w:pPr>
              <w:pStyle w:val="52"/>
              <w:keepNext w:val="0"/>
              <w:keepLines w:val="0"/>
              <w:pageBreakBefore w:val="0"/>
              <w:widowControl w:val="0"/>
              <w:kinsoku/>
              <w:wordWrap/>
              <w:overflowPunct/>
              <w:topLinePunct w:val="0"/>
              <w:autoSpaceDE/>
              <w:autoSpaceDN/>
              <w:bidi w:val="0"/>
              <w:adjustRightInd/>
              <w:snapToGrid/>
              <w:spacing w:line="240" w:lineRule="atLeast"/>
              <w:ind w:right="167"/>
              <w:jc w:val="center"/>
              <w:textAlignment w:val="auto"/>
            </w:pPr>
            <w:r>
              <w:rPr>
                <w:rFonts w:ascii="Times New Roman" w:hAnsi="Times New Roman" w:eastAsia="Times New Roman" w:cs="Times New Roman"/>
              </w:rPr>
              <w:t>DA</w:t>
            </w:r>
            <w:r>
              <w:rPr>
                <w:rFonts w:ascii="Times New Roman" w:hAnsi="Times New Roman" w:eastAsia="Times New Roman" w:cs="Times New Roman"/>
                <w:spacing w:val="7"/>
              </w:rPr>
              <w:t>002</w:t>
            </w:r>
            <w:r>
              <w:rPr>
                <w:spacing w:val="7"/>
              </w:rPr>
              <w:t>排</w:t>
            </w:r>
            <w:r>
              <w:rPr>
                <w:spacing w:val="4"/>
              </w:rPr>
              <w:t>气筒</w:t>
            </w:r>
          </w:p>
        </w:tc>
        <w:tc>
          <w:tcPr>
            <w:tcW w:w="1348" w:type="dxa"/>
            <w:tcBorders>
              <w:tl2br w:val="nil"/>
              <w:tr2bl w:val="nil"/>
            </w:tcBorders>
            <w:vAlign w:val="top"/>
          </w:tcPr>
          <w:p w14:paraId="5930CD3C">
            <w:pPr>
              <w:pStyle w:val="52"/>
              <w:keepNext w:val="0"/>
              <w:keepLines w:val="0"/>
              <w:pageBreakBefore w:val="0"/>
              <w:widowControl w:val="0"/>
              <w:kinsoku/>
              <w:wordWrap/>
              <w:overflowPunct/>
              <w:topLinePunct w:val="0"/>
              <w:autoSpaceDE/>
              <w:autoSpaceDN/>
              <w:bidi w:val="0"/>
              <w:adjustRightInd/>
              <w:snapToGrid/>
              <w:spacing w:line="240" w:lineRule="atLeast"/>
              <w:ind w:left="153"/>
              <w:textAlignment w:val="auto"/>
            </w:pPr>
            <w:r>
              <w:rPr>
                <w:spacing w:val="8"/>
              </w:rPr>
              <w:t>烟（粉）尘</w:t>
            </w:r>
          </w:p>
        </w:tc>
        <w:tc>
          <w:tcPr>
            <w:tcW w:w="1917" w:type="dxa"/>
            <w:vMerge w:val="restart"/>
            <w:tcBorders>
              <w:tl2br w:val="nil"/>
              <w:tr2bl w:val="nil"/>
            </w:tcBorders>
            <w:vAlign w:val="top"/>
          </w:tcPr>
          <w:p w14:paraId="0E49C624">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436EF811">
            <w:pPr>
              <w:pStyle w:val="52"/>
              <w:keepNext w:val="0"/>
              <w:keepLines w:val="0"/>
              <w:pageBreakBefore w:val="0"/>
              <w:widowControl w:val="0"/>
              <w:kinsoku/>
              <w:wordWrap/>
              <w:overflowPunct/>
              <w:topLinePunct w:val="0"/>
              <w:autoSpaceDE/>
              <w:autoSpaceDN/>
              <w:bidi w:val="0"/>
              <w:adjustRightInd/>
              <w:snapToGrid/>
              <w:spacing w:line="240" w:lineRule="atLeast"/>
              <w:ind w:right="113"/>
              <w:textAlignment w:val="auto"/>
            </w:pPr>
            <w:r>
              <w:rPr>
                <w:spacing w:val="7"/>
              </w:rPr>
              <w:t>低氮燃烧、</w:t>
            </w:r>
            <w:r>
              <w:rPr>
                <w:rFonts w:ascii="Times New Roman" w:hAnsi="Times New Roman" w:eastAsia="Times New Roman" w:cs="Times New Roman"/>
                <w:spacing w:val="7"/>
              </w:rPr>
              <w:t>15m</w:t>
            </w:r>
            <w:r>
              <w:rPr>
                <w:spacing w:val="7"/>
              </w:rPr>
              <w:t>排</w:t>
            </w:r>
            <w:r>
              <w:rPr>
                <w:spacing w:val="1"/>
              </w:rPr>
              <w:t xml:space="preserve"> </w:t>
            </w:r>
            <w:r>
              <w:rPr>
                <w:spacing w:val="4"/>
              </w:rPr>
              <w:t>气筒</w:t>
            </w:r>
          </w:p>
        </w:tc>
        <w:tc>
          <w:tcPr>
            <w:tcW w:w="2378" w:type="dxa"/>
            <w:vMerge w:val="restart"/>
            <w:tcBorders>
              <w:tl2br w:val="nil"/>
              <w:tr2bl w:val="nil"/>
            </w:tcBorders>
            <w:vAlign w:val="top"/>
          </w:tcPr>
          <w:p w14:paraId="3B43730F">
            <w:pPr>
              <w:pStyle w:val="52"/>
              <w:keepNext w:val="0"/>
              <w:keepLines w:val="0"/>
              <w:pageBreakBefore w:val="0"/>
              <w:widowControl w:val="0"/>
              <w:kinsoku/>
              <w:wordWrap/>
              <w:overflowPunct/>
              <w:topLinePunct w:val="0"/>
              <w:autoSpaceDE/>
              <w:autoSpaceDN/>
              <w:bidi w:val="0"/>
              <w:adjustRightInd/>
              <w:snapToGrid/>
              <w:spacing w:line="240" w:lineRule="atLeast"/>
              <w:jc w:val="left"/>
              <w:textAlignment w:val="auto"/>
            </w:pPr>
            <w:r>
              <w:rPr>
                <w:spacing w:val="6"/>
              </w:rPr>
              <w:t>《工业</w:t>
            </w:r>
            <w:r>
              <w:rPr>
                <w:spacing w:val="8"/>
              </w:rPr>
              <w:t>炉窑大气污染物排放标准》（</w:t>
            </w:r>
            <w:r>
              <w:rPr>
                <w:rFonts w:ascii="Times New Roman" w:hAnsi="Times New Roman" w:eastAsia="Times New Roman" w:cs="Times New Roman"/>
              </w:rPr>
              <w:t>GB</w:t>
            </w:r>
            <w:r>
              <w:rPr>
                <w:rFonts w:ascii="Times New Roman" w:hAnsi="Times New Roman" w:eastAsia="Times New Roman" w:cs="Times New Roman"/>
                <w:spacing w:val="8"/>
              </w:rPr>
              <w:t>9078-1996</w:t>
            </w:r>
            <w:r>
              <w:rPr>
                <w:spacing w:val="8"/>
              </w:rPr>
              <w:t>）</w:t>
            </w:r>
            <w:r>
              <w:rPr>
                <w:rFonts w:hint="eastAsia"/>
                <w:spacing w:val="8"/>
                <w:lang w:eastAsia="zh-CN"/>
              </w:rPr>
              <w:t>、</w:t>
            </w:r>
            <w:r>
              <w:rPr>
                <w:spacing w:val="8"/>
              </w:rPr>
              <w:t>《大气污染物综合排放</w:t>
            </w:r>
            <w:r>
              <w:rPr>
                <w:spacing w:val="-1"/>
              </w:rPr>
              <w:t>标准》（</w:t>
            </w:r>
            <w:r>
              <w:rPr>
                <w:rFonts w:ascii="Times New Roman" w:hAnsi="Times New Roman" w:eastAsia="Times New Roman" w:cs="Times New Roman"/>
                <w:spacing w:val="-1"/>
              </w:rPr>
              <w:t>GB16297-1996</w:t>
            </w:r>
            <w:r>
              <w:rPr>
                <w:spacing w:val="-1"/>
              </w:rPr>
              <w:t>）</w:t>
            </w:r>
          </w:p>
          <w:p w14:paraId="170CCFD6">
            <w:pPr>
              <w:pStyle w:val="52"/>
              <w:keepNext w:val="0"/>
              <w:keepLines w:val="0"/>
              <w:pageBreakBefore w:val="0"/>
              <w:widowControl w:val="0"/>
              <w:kinsoku/>
              <w:wordWrap/>
              <w:overflowPunct/>
              <w:topLinePunct w:val="0"/>
              <w:autoSpaceDE/>
              <w:autoSpaceDN/>
              <w:bidi w:val="0"/>
              <w:adjustRightInd/>
              <w:snapToGrid/>
              <w:spacing w:line="240" w:lineRule="atLeast"/>
              <w:ind w:left="145" w:right="134" w:firstLine="4"/>
              <w:jc w:val="both"/>
              <w:textAlignment w:val="auto"/>
            </w:pPr>
          </w:p>
        </w:tc>
      </w:tr>
      <w:tr w14:paraId="6E8C3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429" w:hRule="atLeast"/>
        </w:trPr>
        <w:tc>
          <w:tcPr>
            <w:tcW w:w="1517" w:type="dxa"/>
            <w:vMerge w:val="continue"/>
            <w:tcBorders>
              <w:tl2br w:val="nil"/>
              <w:tr2bl w:val="nil"/>
            </w:tcBorders>
            <w:vAlign w:val="top"/>
          </w:tcPr>
          <w:p w14:paraId="763AB07D">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c>
          <w:tcPr>
            <w:tcW w:w="1897" w:type="dxa"/>
            <w:vMerge w:val="continue"/>
            <w:tcBorders>
              <w:tl2br w:val="nil"/>
              <w:tr2bl w:val="nil"/>
            </w:tcBorders>
            <w:vAlign w:val="top"/>
          </w:tcPr>
          <w:p w14:paraId="36112F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348" w:type="dxa"/>
            <w:tcBorders>
              <w:tl2br w:val="nil"/>
              <w:tr2bl w:val="nil"/>
            </w:tcBorders>
            <w:vAlign w:val="top"/>
          </w:tcPr>
          <w:p w14:paraId="2F083357">
            <w:pPr>
              <w:keepNext w:val="0"/>
              <w:keepLines w:val="0"/>
              <w:pageBreakBefore w:val="0"/>
              <w:widowControl w:val="0"/>
              <w:kinsoku/>
              <w:wordWrap/>
              <w:overflowPunct/>
              <w:topLinePunct w:val="0"/>
              <w:autoSpaceDE/>
              <w:autoSpaceDN/>
              <w:bidi w:val="0"/>
              <w:adjustRightInd/>
              <w:snapToGrid/>
              <w:spacing w:line="240" w:lineRule="atLeast"/>
              <w:ind w:left="508"/>
              <w:textAlignment w:val="auto"/>
              <w:rPr>
                <w:rFonts w:ascii="Times New Roman" w:hAnsi="Times New Roman" w:eastAsia="Times New Roman" w:cs="Times New Roman"/>
                <w:sz w:val="14"/>
                <w:szCs w:val="14"/>
              </w:rPr>
            </w:pPr>
            <w:r>
              <w:rPr>
                <w:rFonts w:ascii="Times New Roman" w:hAnsi="Times New Roman" w:eastAsia="Times New Roman" w:cs="Times New Roman"/>
                <w:spacing w:val="-5"/>
                <w:sz w:val="22"/>
                <w:szCs w:val="22"/>
              </w:rPr>
              <w:t>SO</w:t>
            </w:r>
            <w:r>
              <w:rPr>
                <w:rFonts w:ascii="Times New Roman" w:hAnsi="Times New Roman" w:eastAsia="Times New Roman" w:cs="Times New Roman"/>
                <w:spacing w:val="-5"/>
                <w:position w:val="-1"/>
                <w:sz w:val="14"/>
                <w:szCs w:val="14"/>
              </w:rPr>
              <w:t>2</w:t>
            </w:r>
          </w:p>
        </w:tc>
        <w:tc>
          <w:tcPr>
            <w:tcW w:w="1917" w:type="dxa"/>
            <w:vMerge w:val="continue"/>
            <w:tcBorders>
              <w:tl2br w:val="nil"/>
              <w:tr2bl w:val="nil"/>
            </w:tcBorders>
            <w:vAlign w:val="top"/>
          </w:tcPr>
          <w:p w14:paraId="0AE08309">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c>
          <w:tcPr>
            <w:tcW w:w="2378" w:type="dxa"/>
            <w:vMerge w:val="continue"/>
            <w:tcBorders>
              <w:tl2br w:val="nil"/>
              <w:tr2bl w:val="nil"/>
            </w:tcBorders>
            <w:vAlign w:val="top"/>
          </w:tcPr>
          <w:p w14:paraId="7C8740BC">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r>
      <w:tr w14:paraId="5C65A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429" w:hRule="atLeast"/>
        </w:trPr>
        <w:tc>
          <w:tcPr>
            <w:tcW w:w="1517" w:type="dxa"/>
            <w:vMerge w:val="continue"/>
            <w:tcBorders>
              <w:tl2br w:val="nil"/>
              <w:tr2bl w:val="nil"/>
            </w:tcBorders>
            <w:vAlign w:val="top"/>
          </w:tcPr>
          <w:p w14:paraId="6DB3A67B">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c>
          <w:tcPr>
            <w:tcW w:w="1897" w:type="dxa"/>
            <w:vMerge w:val="continue"/>
            <w:tcBorders>
              <w:tl2br w:val="nil"/>
              <w:tr2bl w:val="nil"/>
            </w:tcBorders>
            <w:vAlign w:val="top"/>
          </w:tcPr>
          <w:p w14:paraId="52C130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348" w:type="dxa"/>
            <w:tcBorders>
              <w:tl2br w:val="nil"/>
              <w:tr2bl w:val="nil"/>
            </w:tcBorders>
            <w:vAlign w:val="top"/>
          </w:tcPr>
          <w:p w14:paraId="55D89AF3">
            <w:pPr>
              <w:keepNext w:val="0"/>
              <w:keepLines w:val="0"/>
              <w:pageBreakBefore w:val="0"/>
              <w:widowControl w:val="0"/>
              <w:kinsoku/>
              <w:wordWrap/>
              <w:overflowPunct/>
              <w:topLinePunct w:val="0"/>
              <w:autoSpaceDE/>
              <w:autoSpaceDN/>
              <w:bidi w:val="0"/>
              <w:adjustRightInd/>
              <w:snapToGrid/>
              <w:spacing w:line="240" w:lineRule="atLeast"/>
              <w:ind w:left="463"/>
              <w:textAlignment w:val="auto"/>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NOx</w:t>
            </w:r>
          </w:p>
        </w:tc>
        <w:tc>
          <w:tcPr>
            <w:tcW w:w="1917" w:type="dxa"/>
            <w:vMerge w:val="continue"/>
            <w:tcBorders>
              <w:tl2br w:val="nil"/>
              <w:tr2bl w:val="nil"/>
            </w:tcBorders>
            <w:vAlign w:val="top"/>
          </w:tcPr>
          <w:p w14:paraId="2A7BA35B">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c>
          <w:tcPr>
            <w:tcW w:w="2378" w:type="dxa"/>
            <w:vMerge w:val="continue"/>
            <w:tcBorders>
              <w:tl2br w:val="nil"/>
              <w:tr2bl w:val="nil"/>
            </w:tcBorders>
            <w:vAlign w:val="top"/>
          </w:tcPr>
          <w:p w14:paraId="1AC2C2A9">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r>
      <w:tr w14:paraId="62248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430" w:hRule="atLeast"/>
        </w:trPr>
        <w:tc>
          <w:tcPr>
            <w:tcW w:w="1517" w:type="dxa"/>
            <w:vMerge w:val="continue"/>
            <w:tcBorders>
              <w:tl2br w:val="nil"/>
              <w:tr2bl w:val="nil"/>
            </w:tcBorders>
            <w:vAlign w:val="top"/>
          </w:tcPr>
          <w:p w14:paraId="77534AC6">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c>
          <w:tcPr>
            <w:tcW w:w="1897" w:type="dxa"/>
            <w:vMerge w:val="continue"/>
            <w:tcBorders>
              <w:tl2br w:val="nil"/>
              <w:tr2bl w:val="nil"/>
            </w:tcBorders>
            <w:vAlign w:val="top"/>
          </w:tcPr>
          <w:p w14:paraId="732B20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348" w:type="dxa"/>
            <w:tcBorders>
              <w:tl2br w:val="nil"/>
              <w:tr2bl w:val="nil"/>
            </w:tcBorders>
            <w:vAlign w:val="top"/>
          </w:tcPr>
          <w:p w14:paraId="1AF1C536">
            <w:pPr>
              <w:pStyle w:val="52"/>
              <w:keepNext w:val="0"/>
              <w:keepLines w:val="0"/>
              <w:pageBreakBefore w:val="0"/>
              <w:widowControl w:val="0"/>
              <w:kinsoku/>
              <w:wordWrap/>
              <w:overflowPunct/>
              <w:topLinePunct w:val="0"/>
              <w:autoSpaceDE/>
              <w:autoSpaceDN/>
              <w:bidi w:val="0"/>
              <w:adjustRightInd/>
              <w:snapToGrid/>
              <w:spacing w:line="240" w:lineRule="atLeast"/>
              <w:ind w:left="153"/>
              <w:textAlignment w:val="auto"/>
            </w:pPr>
            <w:r>
              <w:rPr>
                <w:spacing w:val="7"/>
              </w:rPr>
              <w:t>林格曼黑度</w:t>
            </w:r>
          </w:p>
        </w:tc>
        <w:tc>
          <w:tcPr>
            <w:tcW w:w="1917" w:type="dxa"/>
            <w:vMerge w:val="continue"/>
            <w:tcBorders>
              <w:tl2br w:val="nil"/>
              <w:tr2bl w:val="nil"/>
            </w:tcBorders>
            <w:vAlign w:val="top"/>
          </w:tcPr>
          <w:p w14:paraId="0E23BB58">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c>
          <w:tcPr>
            <w:tcW w:w="2378" w:type="dxa"/>
            <w:vMerge w:val="continue"/>
            <w:tcBorders>
              <w:tl2br w:val="nil"/>
              <w:tr2bl w:val="nil"/>
            </w:tcBorders>
            <w:vAlign w:val="top"/>
          </w:tcPr>
          <w:p w14:paraId="4D2449E3">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r>
      <w:tr w14:paraId="6A4F2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869" w:hRule="atLeast"/>
        </w:trPr>
        <w:tc>
          <w:tcPr>
            <w:tcW w:w="1517" w:type="dxa"/>
            <w:vMerge w:val="continue"/>
            <w:tcBorders>
              <w:tl2br w:val="nil"/>
              <w:tr2bl w:val="nil"/>
            </w:tcBorders>
            <w:vAlign w:val="top"/>
          </w:tcPr>
          <w:p w14:paraId="2469A621">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c>
          <w:tcPr>
            <w:tcW w:w="1897" w:type="dxa"/>
            <w:tcBorders>
              <w:tl2br w:val="nil"/>
              <w:tr2bl w:val="nil"/>
            </w:tcBorders>
            <w:vAlign w:val="top"/>
          </w:tcPr>
          <w:p w14:paraId="376C11FD">
            <w:pPr>
              <w:pStyle w:val="52"/>
              <w:keepNext w:val="0"/>
              <w:keepLines w:val="0"/>
              <w:pageBreakBefore w:val="0"/>
              <w:widowControl w:val="0"/>
              <w:kinsoku/>
              <w:wordWrap/>
              <w:overflowPunct/>
              <w:topLinePunct w:val="0"/>
              <w:autoSpaceDE/>
              <w:autoSpaceDN/>
              <w:bidi w:val="0"/>
              <w:adjustRightInd/>
              <w:snapToGrid/>
              <w:spacing w:line="240" w:lineRule="atLeast"/>
              <w:ind w:right="167"/>
              <w:jc w:val="center"/>
              <w:textAlignment w:val="auto"/>
              <w:rPr>
                <w:rFonts w:ascii="Times New Roman" w:hAnsi="Times New Roman" w:eastAsia="Times New Roman" w:cs="Times New Roman"/>
                <w:spacing w:val="7"/>
              </w:rPr>
            </w:pPr>
            <w:r>
              <w:rPr>
                <w:spacing w:val="7"/>
              </w:rPr>
              <w:t>筛分</w:t>
            </w:r>
            <w:r>
              <w:rPr>
                <w:rFonts w:ascii="Times New Roman" w:hAnsi="Times New Roman" w:eastAsia="Times New Roman" w:cs="Times New Roman"/>
                <w:spacing w:val="7"/>
              </w:rPr>
              <w:t>/</w:t>
            </w:r>
          </w:p>
          <w:p w14:paraId="4A7908A9">
            <w:pPr>
              <w:pStyle w:val="52"/>
              <w:keepNext w:val="0"/>
              <w:keepLines w:val="0"/>
              <w:pageBreakBefore w:val="0"/>
              <w:widowControl w:val="0"/>
              <w:kinsoku/>
              <w:wordWrap/>
              <w:overflowPunct/>
              <w:topLinePunct w:val="0"/>
              <w:autoSpaceDE/>
              <w:autoSpaceDN/>
              <w:bidi w:val="0"/>
              <w:adjustRightInd/>
              <w:snapToGrid/>
              <w:spacing w:line="240" w:lineRule="atLeast"/>
              <w:ind w:right="167"/>
              <w:jc w:val="center"/>
              <w:textAlignment w:val="auto"/>
            </w:pPr>
            <w:r>
              <w:rPr>
                <w:rFonts w:ascii="Times New Roman" w:hAnsi="Times New Roman" w:eastAsia="Times New Roman" w:cs="Times New Roman"/>
              </w:rPr>
              <w:t>DA</w:t>
            </w:r>
            <w:r>
              <w:rPr>
                <w:rFonts w:ascii="Times New Roman" w:hAnsi="Times New Roman" w:eastAsia="Times New Roman" w:cs="Times New Roman"/>
                <w:spacing w:val="7"/>
              </w:rPr>
              <w:t>003</w:t>
            </w:r>
            <w:r>
              <w:rPr>
                <w:spacing w:val="7"/>
              </w:rPr>
              <w:t>排气</w:t>
            </w:r>
            <w:r>
              <w:t>筒</w:t>
            </w:r>
          </w:p>
        </w:tc>
        <w:tc>
          <w:tcPr>
            <w:tcW w:w="1348" w:type="dxa"/>
            <w:tcBorders>
              <w:tl2br w:val="nil"/>
              <w:tr2bl w:val="nil"/>
            </w:tcBorders>
            <w:vAlign w:val="top"/>
          </w:tcPr>
          <w:p w14:paraId="58A4FE54">
            <w:pPr>
              <w:pStyle w:val="52"/>
              <w:keepNext w:val="0"/>
              <w:keepLines w:val="0"/>
              <w:pageBreakBefore w:val="0"/>
              <w:widowControl w:val="0"/>
              <w:kinsoku/>
              <w:wordWrap/>
              <w:overflowPunct/>
              <w:topLinePunct w:val="0"/>
              <w:autoSpaceDE/>
              <w:autoSpaceDN/>
              <w:bidi w:val="0"/>
              <w:adjustRightInd/>
              <w:snapToGrid/>
              <w:spacing w:line="240" w:lineRule="atLeast"/>
              <w:ind w:left="362"/>
              <w:textAlignment w:val="auto"/>
            </w:pPr>
            <w:r>
              <w:rPr>
                <w:spacing w:val="7"/>
              </w:rPr>
              <w:t>颗粒物</w:t>
            </w:r>
          </w:p>
        </w:tc>
        <w:tc>
          <w:tcPr>
            <w:tcW w:w="1917" w:type="dxa"/>
            <w:tcBorders>
              <w:tl2br w:val="nil"/>
              <w:tr2bl w:val="nil"/>
            </w:tcBorders>
            <w:vAlign w:val="top"/>
          </w:tcPr>
          <w:p w14:paraId="57FD18BE">
            <w:pPr>
              <w:pStyle w:val="52"/>
              <w:keepNext w:val="0"/>
              <w:keepLines w:val="0"/>
              <w:pageBreakBefore w:val="0"/>
              <w:widowControl w:val="0"/>
              <w:kinsoku/>
              <w:wordWrap/>
              <w:overflowPunct/>
              <w:topLinePunct w:val="0"/>
              <w:autoSpaceDE/>
              <w:autoSpaceDN/>
              <w:bidi w:val="0"/>
              <w:adjustRightInd/>
              <w:snapToGrid/>
              <w:spacing w:line="240" w:lineRule="atLeast"/>
              <w:textAlignment w:val="auto"/>
            </w:pPr>
            <w:r>
              <w:rPr>
                <w:rFonts w:ascii="Times New Roman" w:hAnsi="Times New Roman" w:eastAsia="Times New Roman" w:cs="Times New Roman"/>
                <w:spacing w:val="4"/>
              </w:rPr>
              <w:t>1</w:t>
            </w:r>
            <w:r>
              <w:rPr>
                <w:spacing w:val="4"/>
              </w:rPr>
              <w:t>套布袋除尘器</w:t>
            </w:r>
            <w:r>
              <w:rPr>
                <w:rFonts w:ascii="Times New Roman" w:hAnsi="Times New Roman" w:eastAsia="Times New Roman" w:cs="Times New Roman"/>
                <w:spacing w:val="6"/>
              </w:rPr>
              <w:t>+15m</w:t>
            </w:r>
            <w:r>
              <w:rPr>
                <w:spacing w:val="6"/>
              </w:rPr>
              <w:t>排气筒</w:t>
            </w:r>
          </w:p>
        </w:tc>
        <w:tc>
          <w:tcPr>
            <w:tcW w:w="2378" w:type="dxa"/>
            <w:tcBorders>
              <w:tl2br w:val="nil"/>
              <w:tr2bl w:val="nil"/>
            </w:tcBorders>
            <w:vAlign w:val="top"/>
          </w:tcPr>
          <w:p w14:paraId="1211A833">
            <w:pPr>
              <w:pStyle w:val="52"/>
              <w:keepNext w:val="0"/>
              <w:keepLines w:val="0"/>
              <w:pageBreakBefore w:val="0"/>
              <w:widowControl w:val="0"/>
              <w:kinsoku/>
              <w:wordWrap/>
              <w:overflowPunct/>
              <w:topLinePunct w:val="0"/>
              <w:autoSpaceDE/>
              <w:autoSpaceDN/>
              <w:bidi w:val="0"/>
              <w:adjustRightInd/>
              <w:snapToGrid/>
              <w:spacing w:line="240" w:lineRule="atLeast"/>
              <w:ind w:left="149"/>
              <w:textAlignment w:val="auto"/>
            </w:pPr>
            <w:r>
              <w:rPr>
                <w:spacing w:val="8"/>
              </w:rPr>
              <w:t>《大气污染物综合排放</w:t>
            </w:r>
          </w:p>
          <w:p w14:paraId="39CAE292">
            <w:pPr>
              <w:pStyle w:val="52"/>
              <w:keepNext w:val="0"/>
              <w:keepLines w:val="0"/>
              <w:pageBreakBefore w:val="0"/>
              <w:widowControl w:val="0"/>
              <w:kinsoku/>
              <w:wordWrap/>
              <w:overflowPunct/>
              <w:topLinePunct w:val="0"/>
              <w:autoSpaceDE/>
              <w:autoSpaceDN/>
              <w:bidi w:val="0"/>
              <w:adjustRightInd/>
              <w:snapToGrid/>
              <w:spacing w:line="240" w:lineRule="atLeast"/>
              <w:ind w:right="7"/>
              <w:jc w:val="right"/>
              <w:textAlignment w:val="auto"/>
            </w:pPr>
            <w:r>
              <w:rPr>
                <w:spacing w:val="-1"/>
              </w:rPr>
              <w:t>标准》（</w:t>
            </w:r>
            <w:r>
              <w:rPr>
                <w:rFonts w:ascii="Times New Roman" w:hAnsi="Times New Roman" w:eastAsia="Times New Roman" w:cs="Times New Roman"/>
                <w:spacing w:val="-1"/>
              </w:rPr>
              <w:t>GB16297-1996</w:t>
            </w:r>
            <w:r>
              <w:rPr>
                <w:spacing w:val="-1"/>
              </w:rPr>
              <w:t>）</w:t>
            </w:r>
          </w:p>
          <w:p w14:paraId="791C0BF5">
            <w:pPr>
              <w:pStyle w:val="52"/>
              <w:keepNext w:val="0"/>
              <w:keepLines w:val="0"/>
              <w:pageBreakBefore w:val="0"/>
              <w:widowControl w:val="0"/>
              <w:kinsoku/>
              <w:wordWrap/>
              <w:overflowPunct/>
              <w:topLinePunct w:val="0"/>
              <w:autoSpaceDE/>
              <w:autoSpaceDN/>
              <w:bidi w:val="0"/>
              <w:adjustRightInd/>
              <w:snapToGrid/>
              <w:spacing w:line="240" w:lineRule="atLeast"/>
              <w:ind w:left="145"/>
              <w:textAlignment w:val="auto"/>
            </w:pPr>
            <w:r>
              <w:rPr>
                <w:spacing w:val="8"/>
              </w:rPr>
              <w:t>新污染源大气污染物二</w:t>
            </w:r>
          </w:p>
          <w:p w14:paraId="53872F71">
            <w:pPr>
              <w:pStyle w:val="52"/>
              <w:keepNext w:val="0"/>
              <w:keepLines w:val="0"/>
              <w:pageBreakBefore w:val="0"/>
              <w:widowControl w:val="0"/>
              <w:kinsoku/>
              <w:wordWrap/>
              <w:overflowPunct/>
              <w:topLinePunct w:val="0"/>
              <w:autoSpaceDE/>
              <w:autoSpaceDN/>
              <w:bidi w:val="0"/>
              <w:adjustRightInd/>
              <w:snapToGrid/>
              <w:spacing w:line="240" w:lineRule="atLeast"/>
              <w:ind w:left="673"/>
              <w:textAlignment w:val="auto"/>
            </w:pPr>
            <w:r>
              <w:rPr>
                <w:spacing w:val="7"/>
              </w:rPr>
              <w:t>级排放标准</w:t>
            </w:r>
          </w:p>
        </w:tc>
      </w:tr>
      <w:tr w14:paraId="6FB3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821" w:hRule="atLeast"/>
        </w:trPr>
        <w:tc>
          <w:tcPr>
            <w:tcW w:w="1517" w:type="dxa"/>
            <w:vMerge w:val="restart"/>
            <w:tcBorders>
              <w:tl2br w:val="nil"/>
              <w:tr2bl w:val="nil"/>
            </w:tcBorders>
            <w:vAlign w:val="top"/>
          </w:tcPr>
          <w:p w14:paraId="041FD6C9">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0C596720">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0E2AE732">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044220A8">
            <w:pPr>
              <w:pStyle w:val="52"/>
              <w:keepNext w:val="0"/>
              <w:keepLines w:val="0"/>
              <w:pageBreakBefore w:val="0"/>
              <w:widowControl w:val="0"/>
              <w:kinsoku/>
              <w:wordWrap/>
              <w:overflowPunct/>
              <w:topLinePunct w:val="0"/>
              <w:autoSpaceDE/>
              <w:autoSpaceDN/>
              <w:bidi w:val="0"/>
              <w:adjustRightInd/>
              <w:snapToGrid/>
              <w:spacing w:line="240" w:lineRule="atLeast"/>
              <w:ind w:left="232"/>
              <w:textAlignment w:val="auto"/>
            </w:pPr>
            <w:r>
              <w:rPr>
                <w:spacing w:val="8"/>
              </w:rPr>
              <w:t>地表水环境</w:t>
            </w:r>
          </w:p>
        </w:tc>
        <w:tc>
          <w:tcPr>
            <w:tcW w:w="1897" w:type="dxa"/>
            <w:tcBorders>
              <w:tl2br w:val="nil"/>
              <w:tr2bl w:val="nil"/>
            </w:tcBorders>
            <w:vAlign w:val="top"/>
          </w:tcPr>
          <w:p w14:paraId="4974BBAA">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12EA849B">
            <w:pPr>
              <w:pStyle w:val="52"/>
              <w:keepNext w:val="0"/>
              <w:keepLines w:val="0"/>
              <w:pageBreakBefore w:val="0"/>
              <w:widowControl w:val="0"/>
              <w:kinsoku/>
              <w:wordWrap/>
              <w:overflowPunct/>
              <w:topLinePunct w:val="0"/>
              <w:autoSpaceDE/>
              <w:autoSpaceDN/>
              <w:bidi w:val="0"/>
              <w:adjustRightInd/>
              <w:snapToGrid/>
              <w:spacing w:line="240" w:lineRule="atLeast"/>
              <w:ind w:left="532"/>
              <w:textAlignment w:val="auto"/>
            </w:pPr>
            <w:r>
              <w:rPr>
                <w:spacing w:val="6"/>
              </w:rPr>
              <w:t>生活污水</w:t>
            </w:r>
          </w:p>
        </w:tc>
        <w:tc>
          <w:tcPr>
            <w:tcW w:w="1348" w:type="dxa"/>
            <w:tcBorders>
              <w:tl2br w:val="nil"/>
              <w:tr2bl w:val="nil"/>
            </w:tcBorders>
            <w:vAlign w:val="top"/>
          </w:tcPr>
          <w:p w14:paraId="293355B3">
            <w:pPr>
              <w:pStyle w:val="52"/>
              <w:keepNext w:val="0"/>
              <w:keepLines w:val="0"/>
              <w:pageBreakBefore w:val="0"/>
              <w:widowControl w:val="0"/>
              <w:kinsoku/>
              <w:wordWrap/>
              <w:overflowPunct/>
              <w:topLinePunct w:val="0"/>
              <w:autoSpaceDE/>
              <w:autoSpaceDN/>
              <w:bidi w:val="0"/>
              <w:adjustRightInd/>
              <w:snapToGrid/>
              <w:spacing w:line="240" w:lineRule="atLeast"/>
              <w:ind w:left="107"/>
              <w:textAlignment w:val="auto"/>
            </w:pPr>
            <w:r>
              <w:rPr>
                <w:rFonts w:ascii="Times New Roman" w:hAnsi="Times New Roman" w:eastAsia="Times New Roman" w:cs="Times New Roman"/>
              </w:rPr>
              <w:t>PH</w:t>
            </w:r>
            <w:r>
              <w:rPr>
                <w:rFonts w:ascii="Times New Roman" w:hAnsi="Times New Roman" w:eastAsia="Times New Roman" w:cs="Times New Roman"/>
                <w:spacing w:val="-25"/>
              </w:rPr>
              <w:t xml:space="preserve"> </w:t>
            </w:r>
            <w:r>
              <w:rPr>
                <w:spacing w:val="7"/>
              </w:rPr>
              <w:t>、</w:t>
            </w:r>
            <w:r>
              <w:rPr>
                <w:rFonts w:ascii="Times New Roman" w:hAnsi="Times New Roman" w:eastAsia="Times New Roman" w:cs="Times New Roman"/>
              </w:rPr>
              <w:t>COD</w:t>
            </w:r>
            <w:r>
              <w:rPr>
                <w:spacing w:val="7"/>
              </w:rPr>
              <w:t>、</w:t>
            </w:r>
          </w:p>
          <w:p w14:paraId="271988B9">
            <w:pPr>
              <w:pStyle w:val="52"/>
              <w:keepNext w:val="0"/>
              <w:keepLines w:val="0"/>
              <w:pageBreakBefore w:val="0"/>
              <w:widowControl w:val="0"/>
              <w:kinsoku/>
              <w:wordWrap/>
              <w:overflowPunct/>
              <w:topLinePunct w:val="0"/>
              <w:autoSpaceDE/>
              <w:autoSpaceDN/>
              <w:bidi w:val="0"/>
              <w:adjustRightInd/>
              <w:snapToGrid/>
              <w:spacing w:line="240" w:lineRule="atLeast"/>
              <w:ind w:left="123"/>
              <w:textAlignment w:val="auto"/>
            </w:pPr>
            <w:r>
              <w:rPr>
                <w:rFonts w:ascii="Times New Roman" w:hAnsi="Times New Roman" w:eastAsia="Times New Roman" w:cs="Times New Roman"/>
              </w:rPr>
              <w:t>BOD</w:t>
            </w:r>
            <w:r>
              <w:rPr>
                <w:rFonts w:ascii="Times New Roman" w:hAnsi="Times New Roman" w:eastAsia="Times New Roman" w:cs="Times New Roman"/>
                <w:spacing w:val="-25"/>
              </w:rPr>
              <w:t xml:space="preserve"> </w:t>
            </w:r>
            <w:r>
              <w:rPr>
                <w:spacing w:val="6"/>
              </w:rPr>
              <w:t>、</w:t>
            </w:r>
            <w:r>
              <w:rPr>
                <w:rFonts w:ascii="Times New Roman" w:hAnsi="Times New Roman" w:eastAsia="Times New Roman" w:cs="Times New Roman"/>
              </w:rPr>
              <w:t>SS</w:t>
            </w:r>
            <w:r>
              <w:rPr>
                <w:spacing w:val="6"/>
              </w:rPr>
              <w:t>、</w:t>
            </w:r>
          </w:p>
          <w:p w14:paraId="4263AB26">
            <w:pPr>
              <w:pStyle w:val="52"/>
              <w:keepNext w:val="0"/>
              <w:keepLines w:val="0"/>
              <w:pageBreakBefore w:val="0"/>
              <w:widowControl w:val="0"/>
              <w:kinsoku/>
              <w:wordWrap/>
              <w:overflowPunct/>
              <w:topLinePunct w:val="0"/>
              <w:autoSpaceDE/>
              <w:autoSpaceDN/>
              <w:bidi w:val="0"/>
              <w:adjustRightInd/>
              <w:snapToGrid/>
              <w:spacing w:line="240" w:lineRule="atLeast"/>
              <w:ind w:left="152"/>
              <w:textAlignment w:val="auto"/>
            </w:pPr>
            <w:r>
              <w:rPr>
                <w:spacing w:val="8"/>
              </w:rPr>
              <w:t>氨氮、总磷</w:t>
            </w:r>
          </w:p>
        </w:tc>
        <w:tc>
          <w:tcPr>
            <w:tcW w:w="1917" w:type="dxa"/>
            <w:tcBorders>
              <w:tl2br w:val="nil"/>
              <w:tr2bl w:val="nil"/>
            </w:tcBorders>
            <w:vAlign w:val="top"/>
          </w:tcPr>
          <w:p w14:paraId="5492A4EF">
            <w:pPr>
              <w:pStyle w:val="52"/>
              <w:keepNext w:val="0"/>
              <w:keepLines w:val="0"/>
              <w:pageBreakBefore w:val="0"/>
              <w:widowControl w:val="0"/>
              <w:kinsoku/>
              <w:wordWrap/>
              <w:overflowPunct/>
              <w:topLinePunct w:val="0"/>
              <w:autoSpaceDE/>
              <w:autoSpaceDN/>
              <w:bidi w:val="0"/>
              <w:adjustRightInd/>
              <w:snapToGrid/>
              <w:spacing w:line="240" w:lineRule="atLeast"/>
              <w:ind w:right="115"/>
              <w:textAlignment w:val="auto"/>
            </w:pPr>
            <w:r>
              <w:rPr>
                <w:spacing w:val="9"/>
              </w:rPr>
              <w:t>进入</w:t>
            </w:r>
            <w:r>
              <w:rPr>
                <w:rFonts w:hint="eastAsia"/>
                <w:spacing w:val="8"/>
                <w:lang w:eastAsia="zh-CN"/>
              </w:rPr>
              <w:t>市政下水</w:t>
            </w:r>
            <w:r>
              <w:rPr>
                <w:spacing w:val="8"/>
              </w:rPr>
              <w:t>管网</w:t>
            </w:r>
          </w:p>
        </w:tc>
        <w:tc>
          <w:tcPr>
            <w:tcW w:w="2378" w:type="dxa"/>
            <w:vMerge w:val="restart"/>
            <w:tcBorders>
              <w:tl2br w:val="nil"/>
              <w:tr2bl w:val="nil"/>
            </w:tcBorders>
            <w:vAlign w:val="top"/>
          </w:tcPr>
          <w:p w14:paraId="76E7F367">
            <w:pPr>
              <w:pStyle w:val="52"/>
              <w:keepNext w:val="0"/>
              <w:keepLines w:val="0"/>
              <w:pageBreakBefore w:val="0"/>
              <w:widowControl w:val="0"/>
              <w:kinsoku/>
              <w:wordWrap/>
              <w:overflowPunct/>
              <w:topLinePunct w:val="0"/>
              <w:autoSpaceDE/>
              <w:autoSpaceDN/>
              <w:bidi w:val="0"/>
              <w:adjustRightInd/>
              <w:snapToGrid/>
              <w:spacing w:line="240" w:lineRule="atLeast"/>
              <w:textAlignment w:val="auto"/>
            </w:pPr>
            <w:r>
              <w:rPr>
                <w:spacing w:val="7"/>
              </w:rPr>
              <w:t>《污水综合排放标准》</w:t>
            </w: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8978-1996</w:t>
            </w:r>
            <w:r>
              <w:rPr>
                <w:spacing w:val="-9"/>
              </w:rPr>
              <w:t>），</w:t>
            </w:r>
            <w:r>
              <w:rPr>
                <w:spacing w:val="9"/>
              </w:rPr>
              <w:t>《污水排入城镇下</w:t>
            </w:r>
            <w:r>
              <w:rPr>
                <w:spacing w:val="6"/>
              </w:rPr>
              <w:t>水道水质标准》</w:t>
            </w:r>
            <w:r>
              <w:rPr>
                <w:spacing w:val="4"/>
              </w:rPr>
              <w:t>（</w:t>
            </w:r>
            <w:r>
              <w:rPr>
                <w:rFonts w:ascii="Times New Roman" w:hAnsi="Times New Roman" w:eastAsia="Times New Roman" w:cs="Times New Roman"/>
              </w:rPr>
              <w:t>GB</w:t>
            </w:r>
            <w:r>
              <w:rPr>
                <w:rFonts w:ascii="Times New Roman" w:hAnsi="Times New Roman" w:eastAsia="Times New Roman" w:cs="Times New Roman"/>
                <w:spacing w:val="4"/>
              </w:rPr>
              <w:t>/T31962-2015</w:t>
            </w:r>
            <w:r>
              <w:rPr>
                <w:spacing w:val="4"/>
              </w:rPr>
              <w:t>）</w:t>
            </w:r>
          </w:p>
        </w:tc>
      </w:tr>
      <w:tr w14:paraId="4E3CF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1090" w:hRule="atLeast"/>
        </w:trPr>
        <w:tc>
          <w:tcPr>
            <w:tcW w:w="1517" w:type="dxa"/>
            <w:vMerge w:val="continue"/>
            <w:tcBorders>
              <w:tl2br w:val="nil"/>
              <w:tr2bl w:val="nil"/>
            </w:tcBorders>
            <w:vAlign w:val="top"/>
          </w:tcPr>
          <w:p w14:paraId="3C5FBD72">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c>
          <w:tcPr>
            <w:tcW w:w="1897" w:type="dxa"/>
            <w:tcBorders>
              <w:tl2br w:val="nil"/>
              <w:tr2bl w:val="nil"/>
            </w:tcBorders>
            <w:vAlign w:val="top"/>
          </w:tcPr>
          <w:p w14:paraId="74FBA44F">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54FBD1D5">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13AF6D34">
            <w:pPr>
              <w:pStyle w:val="52"/>
              <w:keepNext w:val="0"/>
              <w:keepLines w:val="0"/>
              <w:pageBreakBefore w:val="0"/>
              <w:widowControl w:val="0"/>
              <w:kinsoku/>
              <w:wordWrap/>
              <w:overflowPunct/>
              <w:topLinePunct w:val="0"/>
              <w:autoSpaceDE/>
              <w:autoSpaceDN/>
              <w:bidi w:val="0"/>
              <w:adjustRightInd/>
              <w:snapToGrid/>
              <w:spacing w:line="240" w:lineRule="atLeast"/>
              <w:ind w:left="532"/>
              <w:textAlignment w:val="auto"/>
            </w:pPr>
            <w:r>
              <w:rPr>
                <w:spacing w:val="6"/>
              </w:rPr>
              <w:t>生产工艺</w:t>
            </w:r>
          </w:p>
        </w:tc>
        <w:tc>
          <w:tcPr>
            <w:tcW w:w="1348" w:type="dxa"/>
            <w:tcBorders>
              <w:tl2br w:val="nil"/>
              <w:tr2bl w:val="nil"/>
            </w:tcBorders>
            <w:vAlign w:val="top"/>
          </w:tcPr>
          <w:p w14:paraId="47304E76">
            <w:pPr>
              <w:pStyle w:val="52"/>
              <w:keepNext w:val="0"/>
              <w:keepLines w:val="0"/>
              <w:pageBreakBefore w:val="0"/>
              <w:widowControl w:val="0"/>
              <w:kinsoku/>
              <w:wordWrap/>
              <w:overflowPunct/>
              <w:topLinePunct w:val="0"/>
              <w:autoSpaceDE/>
              <w:autoSpaceDN/>
              <w:bidi w:val="0"/>
              <w:adjustRightInd/>
              <w:snapToGrid/>
              <w:spacing w:line="240" w:lineRule="atLeast"/>
              <w:ind w:left="107"/>
              <w:textAlignment w:val="auto"/>
            </w:pPr>
            <w:r>
              <w:rPr>
                <w:rFonts w:ascii="Times New Roman" w:hAnsi="Times New Roman" w:eastAsia="Times New Roman" w:cs="Times New Roman"/>
              </w:rPr>
              <w:t>PH</w:t>
            </w:r>
            <w:r>
              <w:rPr>
                <w:rFonts w:ascii="Times New Roman" w:hAnsi="Times New Roman" w:eastAsia="Times New Roman" w:cs="Times New Roman"/>
                <w:spacing w:val="-25"/>
              </w:rPr>
              <w:t xml:space="preserve"> </w:t>
            </w:r>
            <w:r>
              <w:rPr>
                <w:spacing w:val="7"/>
              </w:rPr>
              <w:t>、</w:t>
            </w:r>
            <w:r>
              <w:rPr>
                <w:rFonts w:ascii="Times New Roman" w:hAnsi="Times New Roman" w:eastAsia="Times New Roman" w:cs="Times New Roman"/>
              </w:rPr>
              <w:t>COD</w:t>
            </w:r>
            <w:r>
              <w:rPr>
                <w:spacing w:val="7"/>
              </w:rPr>
              <w:t>、</w:t>
            </w:r>
          </w:p>
          <w:p w14:paraId="025A6BC6">
            <w:pPr>
              <w:pStyle w:val="52"/>
              <w:keepNext w:val="0"/>
              <w:keepLines w:val="0"/>
              <w:pageBreakBefore w:val="0"/>
              <w:widowControl w:val="0"/>
              <w:kinsoku/>
              <w:wordWrap/>
              <w:overflowPunct/>
              <w:topLinePunct w:val="0"/>
              <w:autoSpaceDE/>
              <w:autoSpaceDN/>
              <w:bidi w:val="0"/>
              <w:adjustRightInd/>
              <w:snapToGrid/>
              <w:spacing w:line="240" w:lineRule="atLeast"/>
              <w:ind w:right="12"/>
              <w:jc w:val="right"/>
              <w:textAlignment w:val="auto"/>
            </w:pPr>
            <w:r>
              <w:rPr>
                <w:spacing w:val="3"/>
              </w:rPr>
              <w:t>氨氮、总氮、</w:t>
            </w:r>
          </w:p>
          <w:p w14:paraId="7B1C311A">
            <w:pPr>
              <w:pStyle w:val="52"/>
              <w:keepNext w:val="0"/>
              <w:keepLines w:val="0"/>
              <w:pageBreakBefore w:val="0"/>
              <w:widowControl w:val="0"/>
              <w:kinsoku/>
              <w:wordWrap/>
              <w:overflowPunct/>
              <w:topLinePunct w:val="0"/>
              <w:autoSpaceDE/>
              <w:autoSpaceDN/>
              <w:bidi w:val="0"/>
              <w:adjustRightInd/>
              <w:snapToGrid/>
              <w:spacing w:line="240" w:lineRule="atLeast"/>
              <w:ind w:left="145"/>
              <w:textAlignment w:val="auto"/>
            </w:pPr>
            <w:r>
              <w:rPr>
                <w:rFonts w:ascii="Times New Roman" w:hAnsi="Times New Roman" w:eastAsia="Times New Roman" w:cs="Times New Roman"/>
              </w:rPr>
              <w:t>SS</w:t>
            </w:r>
            <w:r>
              <w:rPr>
                <w:rFonts w:ascii="Times New Roman" w:hAnsi="Times New Roman" w:eastAsia="Times New Roman" w:cs="Times New Roman"/>
                <w:spacing w:val="-23"/>
              </w:rPr>
              <w:t xml:space="preserve"> </w:t>
            </w:r>
            <w:r>
              <w:t>、</w:t>
            </w:r>
            <w:r>
              <w:rPr>
                <w:spacing w:val="7"/>
              </w:rPr>
              <w:t>硫酸盐</w:t>
            </w:r>
          </w:p>
        </w:tc>
        <w:tc>
          <w:tcPr>
            <w:tcW w:w="1917" w:type="dxa"/>
            <w:tcBorders>
              <w:tl2br w:val="nil"/>
              <w:tr2bl w:val="nil"/>
            </w:tcBorders>
            <w:vAlign w:val="top"/>
          </w:tcPr>
          <w:p w14:paraId="261F3D7C">
            <w:pPr>
              <w:pStyle w:val="5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宋体" w:cs="Times New Roman"/>
                <w:lang w:val="en-US" w:eastAsia="zh-CN"/>
              </w:rPr>
            </w:pPr>
            <w:r>
              <w:rPr>
                <w:spacing w:val="4"/>
              </w:rPr>
              <w:t>自建污水</w:t>
            </w:r>
            <w:r>
              <w:rPr>
                <w:rFonts w:hint="eastAsia"/>
                <w:spacing w:val="4"/>
                <w:lang w:val="en-US" w:eastAsia="zh-CN"/>
              </w:rPr>
              <w:t>处理系统处理后通过</w:t>
            </w:r>
            <w:r>
              <w:rPr>
                <w:rFonts w:hint="eastAsia"/>
                <w:spacing w:val="8"/>
                <w:lang w:eastAsia="zh-CN"/>
              </w:rPr>
              <w:t>市政下水</w:t>
            </w:r>
            <w:r>
              <w:rPr>
                <w:spacing w:val="8"/>
              </w:rPr>
              <w:t>管网</w:t>
            </w:r>
            <w:r>
              <w:rPr>
                <w:rFonts w:hint="eastAsia"/>
                <w:spacing w:val="8"/>
                <w:lang w:eastAsia="zh-CN"/>
              </w:rPr>
              <w:t>排入四平市污水处理厂</w:t>
            </w:r>
          </w:p>
        </w:tc>
        <w:tc>
          <w:tcPr>
            <w:tcW w:w="2378" w:type="dxa"/>
            <w:vMerge w:val="continue"/>
            <w:tcBorders>
              <w:tl2br w:val="nil"/>
              <w:tr2bl w:val="nil"/>
            </w:tcBorders>
            <w:vAlign w:val="top"/>
          </w:tcPr>
          <w:p w14:paraId="3368E288">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tc>
      </w:tr>
      <w:tr w14:paraId="4918E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1093" w:hRule="atLeast"/>
        </w:trPr>
        <w:tc>
          <w:tcPr>
            <w:tcW w:w="1517" w:type="dxa"/>
            <w:tcBorders>
              <w:tl2br w:val="nil"/>
              <w:tr2bl w:val="nil"/>
            </w:tcBorders>
            <w:vAlign w:val="top"/>
          </w:tcPr>
          <w:p w14:paraId="23BE2734">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5D18472F">
            <w:pPr>
              <w:pStyle w:val="52"/>
              <w:keepNext w:val="0"/>
              <w:keepLines w:val="0"/>
              <w:pageBreakBefore w:val="0"/>
              <w:widowControl w:val="0"/>
              <w:kinsoku/>
              <w:wordWrap/>
              <w:overflowPunct/>
              <w:topLinePunct w:val="0"/>
              <w:autoSpaceDE/>
              <w:autoSpaceDN/>
              <w:bidi w:val="0"/>
              <w:adjustRightInd/>
              <w:snapToGrid/>
              <w:spacing w:line="240" w:lineRule="atLeast"/>
              <w:ind w:left="445"/>
              <w:textAlignment w:val="auto"/>
            </w:pPr>
            <w:r>
              <w:rPr>
                <w:spacing w:val="5"/>
              </w:rPr>
              <w:t>声环境</w:t>
            </w:r>
          </w:p>
        </w:tc>
        <w:tc>
          <w:tcPr>
            <w:tcW w:w="1897" w:type="dxa"/>
            <w:tcBorders>
              <w:tl2br w:val="nil"/>
              <w:tr2bl w:val="nil"/>
            </w:tcBorders>
            <w:vAlign w:val="top"/>
          </w:tcPr>
          <w:p w14:paraId="18E03F04">
            <w:pPr>
              <w:pStyle w:val="52"/>
              <w:keepNext w:val="0"/>
              <w:keepLines w:val="0"/>
              <w:pageBreakBefore w:val="0"/>
              <w:widowControl w:val="0"/>
              <w:kinsoku/>
              <w:wordWrap/>
              <w:overflowPunct/>
              <w:topLinePunct w:val="0"/>
              <w:autoSpaceDE/>
              <w:autoSpaceDN/>
              <w:bidi w:val="0"/>
              <w:adjustRightInd/>
              <w:snapToGrid/>
              <w:spacing w:line="240" w:lineRule="atLeast"/>
              <w:ind w:left="107" w:right="114"/>
              <w:textAlignment w:val="auto"/>
            </w:pPr>
            <w:r>
              <w:rPr>
                <w:spacing w:val="8"/>
              </w:rPr>
              <w:t>插层釜、压滤机、</w:t>
            </w:r>
            <w:r>
              <w:rPr>
                <w:spacing w:val="5"/>
              </w:rPr>
              <w:t xml:space="preserve"> </w:t>
            </w:r>
            <w:r>
              <w:rPr>
                <w:spacing w:val="8"/>
              </w:rPr>
              <w:t>烘干机、筛分机、</w:t>
            </w:r>
            <w:r>
              <w:rPr>
                <w:spacing w:val="4"/>
              </w:rPr>
              <w:t xml:space="preserve"> </w:t>
            </w:r>
            <w:r>
              <w:rPr>
                <w:spacing w:val="8"/>
              </w:rPr>
              <w:t>风机、水泵、空压机等设备</w:t>
            </w:r>
          </w:p>
        </w:tc>
        <w:tc>
          <w:tcPr>
            <w:tcW w:w="1348" w:type="dxa"/>
            <w:tcBorders>
              <w:tl2br w:val="nil"/>
              <w:tr2bl w:val="nil"/>
            </w:tcBorders>
            <w:vAlign w:val="top"/>
          </w:tcPr>
          <w:p w14:paraId="7CB6DE25">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4F0ED72D">
            <w:pPr>
              <w:pStyle w:val="52"/>
              <w:keepNext w:val="0"/>
              <w:keepLines w:val="0"/>
              <w:pageBreakBefore w:val="0"/>
              <w:widowControl w:val="0"/>
              <w:kinsoku/>
              <w:wordWrap/>
              <w:overflowPunct/>
              <w:topLinePunct w:val="0"/>
              <w:autoSpaceDE/>
              <w:autoSpaceDN/>
              <w:bidi w:val="0"/>
              <w:adjustRightInd/>
              <w:snapToGrid/>
              <w:spacing w:line="240" w:lineRule="atLeast"/>
              <w:ind w:left="479"/>
              <w:textAlignment w:val="auto"/>
            </w:pPr>
            <w:r>
              <w:rPr>
                <w:spacing w:val="-1"/>
              </w:rPr>
              <w:t>噪声</w:t>
            </w:r>
          </w:p>
        </w:tc>
        <w:tc>
          <w:tcPr>
            <w:tcW w:w="1917" w:type="dxa"/>
            <w:tcBorders>
              <w:tl2br w:val="nil"/>
              <w:tr2bl w:val="nil"/>
            </w:tcBorders>
            <w:vAlign w:val="top"/>
          </w:tcPr>
          <w:p w14:paraId="364079F8">
            <w:pPr>
              <w:pStyle w:val="52"/>
              <w:keepNext w:val="0"/>
              <w:keepLines w:val="0"/>
              <w:pageBreakBefore w:val="0"/>
              <w:widowControl w:val="0"/>
              <w:kinsoku/>
              <w:wordWrap/>
              <w:overflowPunct/>
              <w:topLinePunct w:val="0"/>
              <w:autoSpaceDE/>
              <w:autoSpaceDN/>
              <w:bidi w:val="0"/>
              <w:adjustRightInd/>
              <w:snapToGrid/>
              <w:spacing w:line="240" w:lineRule="atLeast"/>
              <w:ind w:left="124"/>
              <w:textAlignment w:val="auto"/>
            </w:pPr>
            <w:r>
              <w:rPr>
                <w:spacing w:val="8"/>
              </w:rPr>
              <w:t>布局合理，选用低</w:t>
            </w:r>
          </w:p>
          <w:p w14:paraId="4036808A">
            <w:pPr>
              <w:pStyle w:val="52"/>
              <w:keepNext w:val="0"/>
              <w:keepLines w:val="0"/>
              <w:pageBreakBefore w:val="0"/>
              <w:widowControl w:val="0"/>
              <w:kinsoku/>
              <w:wordWrap/>
              <w:overflowPunct/>
              <w:topLinePunct w:val="0"/>
              <w:autoSpaceDE/>
              <w:autoSpaceDN/>
              <w:bidi w:val="0"/>
              <w:adjustRightInd/>
              <w:snapToGrid/>
              <w:spacing w:line="240" w:lineRule="atLeast"/>
              <w:ind w:left="134"/>
              <w:textAlignment w:val="auto"/>
            </w:pPr>
            <w:r>
              <w:rPr>
                <w:spacing w:val="6"/>
              </w:rPr>
              <w:t>噪音设备，隔声、</w:t>
            </w:r>
          </w:p>
          <w:p w14:paraId="34ABF385">
            <w:pPr>
              <w:pStyle w:val="52"/>
              <w:keepNext w:val="0"/>
              <w:keepLines w:val="0"/>
              <w:pageBreakBefore w:val="0"/>
              <w:widowControl w:val="0"/>
              <w:kinsoku/>
              <w:wordWrap/>
              <w:overflowPunct/>
              <w:topLinePunct w:val="0"/>
              <w:autoSpaceDE/>
              <w:autoSpaceDN/>
              <w:bidi w:val="0"/>
              <w:adjustRightInd/>
              <w:snapToGrid/>
              <w:spacing w:line="240" w:lineRule="atLeast"/>
              <w:ind w:left="124"/>
              <w:textAlignment w:val="auto"/>
            </w:pPr>
            <w:r>
              <w:rPr>
                <w:spacing w:val="8"/>
              </w:rPr>
              <w:t>减振、风机口软连</w:t>
            </w:r>
          </w:p>
          <w:p w14:paraId="19BDF64A">
            <w:pPr>
              <w:pStyle w:val="52"/>
              <w:keepNext w:val="0"/>
              <w:keepLines w:val="0"/>
              <w:pageBreakBefore w:val="0"/>
              <w:widowControl w:val="0"/>
              <w:kinsoku/>
              <w:wordWrap/>
              <w:overflowPunct/>
              <w:topLinePunct w:val="0"/>
              <w:autoSpaceDE/>
              <w:autoSpaceDN/>
              <w:bidi w:val="0"/>
              <w:adjustRightInd/>
              <w:snapToGrid/>
              <w:spacing w:line="240" w:lineRule="atLeast"/>
              <w:ind w:left="649"/>
              <w:textAlignment w:val="auto"/>
            </w:pPr>
            <w:r>
              <w:rPr>
                <w:spacing w:val="3"/>
              </w:rPr>
              <w:t>接等。</w:t>
            </w:r>
          </w:p>
        </w:tc>
        <w:tc>
          <w:tcPr>
            <w:tcW w:w="2378" w:type="dxa"/>
            <w:tcBorders>
              <w:tl2br w:val="nil"/>
              <w:tr2bl w:val="nil"/>
            </w:tcBorders>
            <w:vAlign w:val="top"/>
          </w:tcPr>
          <w:p w14:paraId="70E6EB95">
            <w:pPr>
              <w:pStyle w:val="52"/>
              <w:keepNext w:val="0"/>
              <w:keepLines w:val="0"/>
              <w:pageBreakBefore w:val="0"/>
              <w:widowControl w:val="0"/>
              <w:kinsoku/>
              <w:wordWrap/>
              <w:overflowPunct/>
              <w:topLinePunct w:val="0"/>
              <w:autoSpaceDE/>
              <w:autoSpaceDN/>
              <w:bidi w:val="0"/>
              <w:adjustRightInd/>
              <w:snapToGrid/>
              <w:spacing w:line="240" w:lineRule="atLeast"/>
              <w:ind w:left="149"/>
              <w:textAlignment w:val="auto"/>
            </w:pPr>
            <w:r>
              <w:rPr>
                <w:spacing w:val="8"/>
              </w:rPr>
              <w:t>《工业企业厂界环境噪</w:t>
            </w:r>
          </w:p>
          <w:p w14:paraId="667D10F7">
            <w:pPr>
              <w:pStyle w:val="52"/>
              <w:keepNext w:val="0"/>
              <w:keepLines w:val="0"/>
              <w:pageBreakBefore w:val="0"/>
              <w:widowControl w:val="0"/>
              <w:kinsoku/>
              <w:wordWrap/>
              <w:overflowPunct/>
              <w:topLinePunct w:val="0"/>
              <w:autoSpaceDE/>
              <w:autoSpaceDN/>
              <w:bidi w:val="0"/>
              <w:adjustRightInd/>
              <w:snapToGrid/>
              <w:spacing w:line="240" w:lineRule="atLeast"/>
              <w:ind w:left="568"/>
              <w:textAlignment w:val="auto"/>
            </w:pPr>
            <w:r>
              <w:rPr>
                <w:spacing w:val="6"/>
              </w:rPr>
              <w:t>声排放标准》</w:t>
            </w:r>
          </w:p>
          <w:p w14:paraId="49EC32B5">
            <w:pPr>
              <w:pStyle w:val="52"/>
              <w:keepNext w:val="0"/>
              <w:keepLines w:val="0"/>
              <w:pageBreakBefore w:val="0"/>
              <w:widowControl w:val="0"/>
              <w:kinsoku/>
              <w:wordWrap/>
              <w:overflowPunct/>
              <w:topLinePunct w:val="0"/>
              <w:autoSpaceDE/>
              <w:autoSpaceDN/>
              <w:bidi w:val="0"/>
              <w:adjustRightInd/>
              <w:snapToGrid/>
              <w:spacing w:line="240" w:lineRule="atLeast"/>
              <w:ind w:left="288"/>
              <w:textAlignment w:val="auto"/>
            </w:pPr>
            <w:r>
              <w:rPr>
                <w:rFonts w:ascii="Times New Roman" w:hAnsi="Times New Roman" w:eastAsia="Times New Roman" w:cs="Times New Roman"/>
                <w:spacing w:val="5"/>
              </w:rPr>
              <w:t>(</w:t>
            </w:r>
            <w:r>
              <w:rPr>
                <w:rFonts w:ascii="Times New Roman" w:hAnsi="Times New Roman" w:eastAsia="Times New Roman" w:cs="Times New Roman"/>
              </w:rPr>
              <w:t>GB</w:t>
            </w:r>
            <w:r>
              <w:rPr>
                <w:rFonts w:ascii="Times New Roman" w:hAnsi="Times New Roman" w:eastAsia="Times New Roman" w:cs="Times New Roman"/>
                <w:spacing w:val="5"/>
              </w:rPr>
              <w:t>12348-2008)3</w:t>
            </w:r>
            <w:r>
              <w:rPr>
                <w:spacing w:val="5"/>
              </w:rPr>
              <w:t>类</w:t>
            </w:r>
          </w:p>
        </w:tc>
      </w:tr>
      <w:tr w14:paraId="5BEEF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430" w:hRule="atLeast"/>
        </w:trPr>
        <w:tc>
          <w:tcPr>
            <w:tcW w:w="1517" w:type="dxa"/>
            <w:tcBorders>
              <w:tl2br w:val="nil"/>
              <w:tr2bl w:val="nil"/>
            </w:tcBorders>
            <w:vAlign w:val="top"/>
          </w:tcPr>
          <w:p w14:paraId="25217868">
            <w:pPr>
              <w:pStyle w:val="52"/>
              <w:keepNext w:val="0"/>
              <w:keepLines w:val="0"/>
              <w:pageBreakBefore w:val="0"/>
              <w:widowControl w:val="0"/>
              <w:kinsoku/>
              <w:wordWrap/>
              <w:overflowPunct/>
              <w:topLinePunct w:val="0"/>
              <w:autoSpaceDE/>
              <w:autoSpaceDN/>
              <w:bidi w:val="0"/>
              <w:adjustRightInd/>
              <w:snapToGrid/>
              <w:spacing w:line="240" w:lineRule="atLeast"/>
              <w:ind w:left="362"/>
              <w:textAlignment w:val="auto"/>
            </w:pPr>
            <w:r>
              <w:rPr>
                <w:spacing w:val="1"/>
              </w:rPr>
              <w:t>电磁辐射</w:t>
            </w:r>
          </w:p>
        </w:tc>
        <w:tc>
          <w:tcPr>
            <w:tcW w:w="1897" w:type="dxa"/>
            <w:tcBorders>
              <w:tl2br w:val="nil"/>
              <w:tr2bl w:val="nil"/>
            </w:tcBorders>
            <w:vAlign w:val="top"/>
          </w:tcPr>
          <w:p w14:paraId="5B41BF4A">
            <w:pPr>
              <w:keepNext w:val="0"/>
              <w:keepLines w:val="0"/>
              <w:pageBreakBefore w:val="0"/>
              <w:widowControl w:val="0"/>
              <w:kinsoku/>
              <w:wordWrap/>
              <w:overflowPunct/>
              <w:topLinePunct w:val="0"/>
              <w:autoSpaceDE/>
              <w:autoSpaceDN/>
              <w:bidi w:val="0"/>
              <w:adjustRightInd/>
              <w:snapToGrid/>
              <w:spacing w:line="240" w:lineRule="atLeast"/>
              <w:ind w:left="913"/>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48" w:type="dxa"/>
            <w:tcBorders>
              <w:tl2br w:val="nil"/>
              <w:tr2bl w:val="nil"/>
            </w:tcBorders>
            <w:vAlign w:val="top"/>
          </w:tcPr>
          <w:p w14:paraId="600DEFCD">
            <w:pPr>
              <w:keepNext w:val="0"/>
              <w:keepLines w:val="0"/>
              <w:pageBreakBefore w:val="0"/>
              <w:widowControl w:val="0"/>
              <w:kinsoku/>
              <w:wordWrap/>
              <w:overflowPunct/>
              <w:topLinePunct w:val="0"/>
              <w:autoSpaceDE/>
              <w:autoSpaceDN/>
              <w:bidi w:val="0"/>
              <w:adjustRightInd/>
              <w:snapToGrid/>
              <w:spacing w:line="240" w:lineRule="atLeast"/>
              <w:ind w:left="641"/>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17" w:type="dxa"/>
            <w:tcBorders>
              <w:tl2br w:val="nil"/>
              <w:tr2bl w:val="nil"/>
            </w:tcBorders>
            <w:vAlign w:val="top"/>
          </w:tcPr>
          <w:p w14:paraId="3F4DA588">
            <w:pPr>
              <w:keepNext w:val="0"/>
              <w:keepLines w:val="0"/>
              <w:pageBreakBefore w:val="0"/>
              <w:widowControl w:val="0"/>
              <w:kinsoku/>
              <w:wordWrap/>
              <w:overflowPunct/>
              <w:topLinePunct w:val="0"/>
              <w:autoSpaceDE/>
              <w:autoSpaceDN/>
              <w:bidi w:val="0"/>
              <w:adjustRightInd/>
              <w:snapToGrid/>
              <w:spacing w:line="240" w:lineRule="atLeast"/>
              <w:ind w:left="927"/>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378" w:type="dxa"/>
            <w:tcBorders>
              <w:tl2br w:val="nil"/>
              <w:tr2bl w:val="nil"/>
            </w:tcBorders>
            <w:vAlign w:val="top"/>
          </w:tcPr>
          <w:p w14:paraId="187617A7">
            <w:pPr>
              <w:keepNext w:val="0"/>
              <w:keepLines w:val="0"/>
              <w:pageBreakBefore w:val="0"/>
              <w:widowControl w:val="0"/>
              <w:kinsoku/>
              <w:wordWrap/>
              <w:overflowPunct/>
              <w:topLinePunct w:val="0"/>
              <w:autoSpaceDE/>
              <w:autoSpaceDN/>
              <w:bidi w:val="0"/>
              <w:adjustRightInd/>
              <w:snapToGrid/>
              <w:spacing w:line="240" w:lineRule="atLeast"/>
              <w:ind w:left="1158"/>
              <w:textAlignment w:val="auto"/>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3B6DA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1637" w:hRule="atLeast"/>
        </w:trPr>
        <w:tc>
          <w:tcPr>
            <w:tcW w:w="1517" w:type="dxa"/>
            <w:tcBorders>
              <w:tl2br w:val="nil"/>
              <w:tr2bl w:val="nil"/>
            </w:tcBorders>
            <w:vAlign w:val="top"/>
          </w:tcPr>
          <w:p w14:paraId="4C9DD36E">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1398BF21">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4B8939F2">
            <w:pPr>
              <w:pStyle w:val="52"/>
              <w:keepNext w:val="0"/>
              <w:keepLines w:val="0"/>
              <w:pageBreakBefore w:val="0"/>
              <w:widowControl w:val="0"/>
              <w:kinsoku/>
              <w:wordWrap/>
              <w:overflowPunct/>
              <w:topLinePunct w:val="0"/>
              <w:autoSpaceDE/>
              <w:autoSpaceDN/>
              <w:bidi w:val="0"/>
              <w:adjustRightInd/>
              <w:snapToGrid/>
              <w:spacing w:line="240" w:lineRule="atLeast"/>
              <w:ind w:left="356"/>
              <w:textAlignment w:val="auto"/>
            </w:pPr>
            <w:r>
              <w:rPr>
                <w:spacing w:val="2"/>
              </w:rPr>
              <w:t>固体废物</w:t>
            </w:r>
          </w:p>
        </w:tc>
        <w:tc>
          <w:tcPr>
            <w:tcW w:w="7540" w:type="dxa"/>
            <w:gridSpan w:val="4"/>
            <w:tcBorders>
              <w:tl2br w:val="nil"/>
              <w:tr2bl w:val="nil"/>
            </w:tcBorders>
            <w:vAlign w:val="top"/>
          </w:tcPr>
          <w:p w14:paraId="5D4BB5C3">
            <w:pPr>
              <w:pStyle w:val="52"/>
              <w:keepNext w:val="0"/>
              <w:keepLines w:val="0"/>
              <w:pageBreakBefore w:val="0"/>
              <w:widowControl w:val="0"/>
              <w:kinsoku/>
              <w:wordWrap/>
              <w:overflowPunct/>
              <w:topLinePunct w:val="0"/>
              <w:autoSpaceDE/>
              <w:autoSpaceDN/>
              <w:bidi w:val="0"/>
              <w:adjustRightInd/>
              <w:snapToGrid/>
              <w:spacing w:line="240" w:lineRule="atLeast"/>
              <w:ind w:left="106" w:right="102" w:firstLine="1"/>
              <w:textAlignment w:val="auto"/>
            </w:pPr>
            <w:r>
              <w:rPr>
                <w:spacing w:val="9"/>
              </w:rPr>
              <w:t>筛分机筛上物为杂质回收做建筑材料；废包装物主要为石墨废包袋，收集后</w:t>
            </w:r>
            <w:r>
              <w:rPr>
                <w:rFonts w:hint="eastAsia"/>
                <w:spacing w:val="9"/>
                <w:lang w:val="en-US" w:eastAsia="zh-CN"/>
              </w:rPr>
              <w:t>厂家回收</w:t>
            </w:r>
            <w:r>
              <w:rPr>
                <w:spacing w:val="9"/>
              </w:rPr>
              <w:t>；污水</w:t>
            </w:r>
            <w:r>
              <w:rPr>
                <w:rFonts w:hint="eastAsia"/>
                <w:spacing w:val="9"/>
                <w:lang w:val="en-US" w:eastAsia="zh-CN"/>
              </w:rPr>
              <w:t>处理</w:t>
            </w:r>
            <w:r>
              <w:rPr>
                <w:spacing w:val="9"/>
              </w:rPr>
              <w:t>产生的污泥不属于危险废物，作为建筑材料外售；</w:t>
            </w:r>
            <w:r>
              <w:rPr>
                <w:rFonts w:hint="eastAsia"/>
                <w:spacing w:val="9"/>
                <w:lang w:val="en-US" w:eastAsia="zh-CN"/>
              </w:rPr>
              <w:t>脱酸中和沉淀物</w:t>
            </w:r>
            <w:r>
              <w:rPr>
                <w:spacing w:val="9"/>
              </w:rPr>
              <w:t>，作为建筑材料外售；</w:t>
            </w:r>
            <w:r>
              <w:rPr>
                <w:spacing w:val="8"/>
              </w:rPr>
              <w:t>生活垃圾由环卫部门定期清运。</w:t>
            </w:r>
          </w:p>
        </w:tc>
      </w:tr>
      <w:tr w14:paraId="40D98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670" w:hRule="atLeast"/>
        </w:trPr>
        <w:tc>
          <w:tcPr>
            <w:tcW w:w="1517" w:type="dxa"/>
            <w:tcBorders>
              <w:tl2br w:val="nil"/>
              <w:tr2bl w:val="nil"/>
            </w:tcBorders>
            <w:vAlign w:val="top"/>
          </w:tcPr>
          <w:p w14:paraId="5BF33014">
            <w:pPr>
              <w:pStyle w:val="52"/>
              <w:keepNext w:val="0"/>
              <w:keepLines w:val="0"/>
              <w:pageBreakBefore w:val="0"/>
              <w:widowControl w:val="0"/>
              <w:kinsoku/>
              <w:wordWrap/>
              <w:overflowPunct/>
              <w:topLinePunct w:val="0"/>
              <w:autoSpaceDE/>
              <w:autoSpaceDN/>
              <w:bidi w:val="0"/>
              <w:adjustRightInd/>
              <w:snapToGrid/>
              <w:spacing w:line="240" w:lineRule="atLeast"/>
              <w:ind w:left="127"/>
              <w:textAlignment w:val="auto"/>
            </w:pPr>
            <w:r>
              <w:rPr>
                <w:spacing w:val="8"/>
              </w:rPr>
              <w:t>土壤及地下水</w:t>
            </w:r>
          </w:p>
          <w:p w14:paraId="1F758A77">
            <w:pPr>
              <w:pStyle w:val="52"/>
              <w:keepNext w:val="0"/>
              <w:keepLines w:val="0"/>
              <w:pageBreakBefore w:val="0"/>
              <w:widowControl w:val="0"/>
              <w:kinsoku/>
              <w:wordWrap/>
              <w:overflowPunct/>
              <w:topLinePunct w:val="0"/>
              <w:autoSpaceDE/>
              <w:autoSpaceDN/>
              <w:bidi w:val="0"/>
              <w:adjustRightInd/>
              <w:snapToGrid/>
              <w:spacing w:line="240" w:lineRule="atLeast"/>
              <w:ind w:left="128"/>
              <w:textAlignment w:val="auto"/>
            </w:pPr>
            <w:r>
              <w:rPr>
                <w:spacing w:val="7"/>
              </w:rPr>
              <w:t>污染防治措施</w:t>
            </w:r>
          </w:p>
        </w:tc>
        <w:tc>
          <w:tcPr>
            <w:tcW w:w="7540" w:type="dxa"/>
            <w:gridSpan w:val="4"/>
            <w:tcBorders>
              <w:tl2br w:val="nil"/>
              <w:tr2bl w:val="nil"/>
            </w:tcBorders>
            <w:vAlign w:val="top"/>
          </w:tcPr>
          <w:p w14:paraId="2473A3FD">
            <w:pPr>
              <w:pStyle w:val="52"/>
              <w:keepNext w:val="0"/>
              <w:keepLines w:val="0"/>
              <w:pageBreakBefore w:val="0"/>
              <w:widowControl w:val="0"/>
              <w:kinsoku/>
              <w:wordWrap/>
              <w:overflowPunct/>
              <w:topLinePunct w:val="0"/>
              <w:autoSpaceDE/>
              <w:autoSpaceDN/>
              <w:bidi w:val="0"/>
              <w:adjustRightInd/>
              <w:snapToGrid/>
              <w:spacing w:line="240" w:lineRule="atLeast"/>
              <w:ind w:left="107" w:firstLine="436" w:firstLineChars="200"/>
              <w:textAlignment w:val="auto"/>
              <w:rPr>
                <w:rFonts w:hint="eastAsia" w:eastAsia="宋体"/>
                <w:lang w:eastAsia="zh-CN"/>
              </w:rPr>
            </w:pPr>
            <w:r>
              <w:rPr>
                <w:spacing w:val="9"/>
              </w:rPr>
              <w:t>采取分区防控的措施</w:t>
            </w:r>
            <w:r>
              <w:rPr>
                <w:rFonts w:hint="eastAsia"/>
                <w:spacing w:val="9"/>
                <w:lang w:eastAsia="zh-CN"/>
              </w:rPr>
              <w:t>。</w:t>
            </w:r>
          </w:p>
        </w:tc>
      </w:tr>
      <w:tr w14:paraId="1BC94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2" w:space="0"/>
          </w:tblBorders>
          <w:tblCellMar>
            <w:top w:w="0" w:type="dxa"/>
            <w:left w:w="0" w:type="dxa"/>
            <w:bottom w:w="0" w:type="dxa"/>
            <w:right w:w="0" w:type="dxa"/>
          </w:tblCellMar>
        </w:tblPrEx>
        <w:trPr>
          <w:trHeight w:val="833" w:hRule="atLeast"/>
        </w:trPr>
        <w:tc>
          <w:tcPr>
            <w:tcW w:w="1517" w:type="dxa"/>
            <w:tcBorders>
              <w:tl2br w:val="nil"/>
              <w:tr2bl w:val="nil"/>
            </w:tcBorders>
            <w:vAlign w:val="top"/>
          </w:tcPr>
          <w:p w14:paraId="5F92DC23">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sz w:val="21"/>
              </w:rPr>
            </w:pPr>
          </w:p>
          <w:p w14:paraId="4B1EF1D1">
            <w:pPr>
              <w:pStyle w:val="52"/>
              <w:keepNext w:val="0"/>
              <w:keepLines w:val="0"/>
              <w:pageBreakBefore w:val="0"/>
              <w:widowControl w:val="0"/>
              <w:kinsoku/>
              <w:wordWrap/>
              <w:overflowPunct/>
              <w:topLinePunct w:val="0"/>
              <w:autoSpaceDE/>
              <w:autoSpaceDN/>
              <w:bidi w:val="0"/>
              <w:adjustRightInd/>
              <w:snapToGrid/>
              <w:spacing w:line="240" w:lineRule="atLeast"/>
              <w:ind w:left="128"/>
              <w:textAlignment w:val="auto"/>
            </w:pPr>
            <w:r>
              <w:rPr>
                <w:spacing w:val="7"/>
              </w:rPr>
              <w:t>生态保护措施</w:t>
            </w:r>
          </w:p>
        </w:tc>
        <w:tc>
          <w:tcPr>
            <w:tcW w:w="7540" w:type="dxa"/>
            <w:gridSpan w:val="4"/>
            <w:tcBorders>
              <w:tl2br w:val="nil"/>
              <w:tr2bl w:val="nil"/>
            </w:tcBorders>
            <w:vAlign w:val="top"/>
          </w:tcPr>
          <w:p w14:paraId="049CA9DC">
            <w:pPr>
              <w:pStyle w:val="52"/>
              <w:keepNext w:val="0"/>
              <w:keepLines w:val="0"/>
              <w:pageBreakBefore w:val="0"/>
              <w:widowControl w:val="0"/>
              <w:kinsoku/>
              <w:wordWrap/>
              <w:overflowPunct/>
              <w:topLinePunct w:val="0"/>
              <w:autoSpaceDE/>
              <w:autoSpaceDN/>
              <w:bidi w:val="0"/>
              <w:adjustRightInd/>
              <w:snapToGrid/>
              <w:spacing w:line="240" w:lineRule="atLeast"/>
              <w:ind w:left="107" w:right="50" w:firstLine="420"/>
              <w:textAlignment w:val="auto"/>
            </w:pPr>
            <w:r>
              <w:rPr>
                <w:spacing w:val="4"/>
              </w:rPr>
              <w:t>本项目在企业</w:t>
            </w:r>
            <w:r>
              <w:rPr>
                <w:rFonts w:hint="eastAsia"/>
                <w:spacing w:val="4"/>
                <w:lang w:eastAsia="zh-CN"/>
              </w:rPr>
              <w:t>现有</w:t>
            </w:r>
            <w:r>
              <w:rPr>
                <w:spacing w:val="4"/>
              </w:rPr>
              <w:t>厂区内建设，不新增用地，本项目建成后，加强厂区绿化，</w:t>
            </w:r>
            <w:r>
              <w:rPr>
                <w:spacing w:val="13"/>
              </w:rPr>
              <w:t xml:space="preserve"> </w:t>
            </w:r>
            <w:r>
              <w:rPr>
                <w:spacing w:val="10"/>
              </w:rPr>
              <w:t>通过厂区环境整治和地面硬化，可以明显改善厂区</w:t>
            </w:r>
            <w:r>
              <w:rPr>
                <w:spacing w:val="9"/>
              </w:rPr>
              <w:t>环境及对周围生态环境的影</w:t>
            </w:r>
            <w:r>
              <w:t xml:space="preserve">   响。</w:t>
            </w:r>
          </w:p>
        </w:tc>
      </w:tr>
    </w:tbl>
    <w:p w14:paraId="430B8B0A">
      <w:pPr>
        <w:pStyle w:val="18"/>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45FE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5EC06B70">
            <w:pPr>
              <w:spacing w:line="360" w:lineRule="auto"/>
              <w:ind w:firstLine="480" w:firstLineChars="200"/>
              <w:jc w:val="both"/>
              <w:rPr>
                <w:rFonts w:ascii="宋体" w:cs="宋体"/>
                <w:sz w:val="24"/>
              </w:rPr>
            </w:pPr>
            <w:r>
              <w:rPr>
                <w:rFonts w:ascii="宋体" w:hAnsi="宋体" w:eastAsia="宋体" w:cs="宋体"/>
                <w:sz w:val="24"/>
                <w:szCs w:val="24"/>
              </w:rPr>
              <w:t>本建设项目符合国家相关产业政策要求。只要认真落实本报告中提出的各项污染防治措施及建议</w:t>
            </w:r>
            <w:r>
              <w:rPr>
                <w:rFonts w:ascii="宋体" w:hAnsi="宋体" w:eastAsia="宋体" w:cs="宋体"/>
                <w:spacing w:val="-27"/>
                <w:sz w:val="24"/>
                <w:szCs w:val="24"/>
              </w:rPr>
              <w:t>，</w:t>
            </w:r>
            <w:r>
              <w:rPr>
                <w:rFonts w:ascii="宋体" w:hAnsi="宋体" w:eastAsia="宋体" w:cs="宋体"/>
                <w:sz w:val="24"/>
                <w:szCs w:val="24"/>
              </w:rPr>
              <w:t>加强环境管理和计划</w:t>
            </w:r>
            <w:r>
              <w:rPr>
                <w:rFonts w:ascii="宋体" w:hAnsi="宋体" w:eastAsia="宋体" w:cs="宋体"/>
                <w:spacing w:val="-29"/>
                <w:sz w:val="24"/>
                <w:szCs w:val="24"/>
              </w:rPr>
              <w:t>，</w:t>
            </w:r>
            <w:r>
              <w:rPr>
                <w:rFonts w:ascii="宋体" w:hAnsi="宋体" w:eastAsia="宋体" w:cs="宋体"/>
                <w:sz w:val="24"/>
                <w:szCs w:val="24"/>
              </w:rPr>
              <w:t>其噪声</w:t>
            </w:r>
            <w:r>
              <w:rPr>
                <w:rFonts w:ascii="宋体" w:hAnsi="宋体" w:eastAsia="宋体" w:cs="宋体"/>
                <w:spacing w:val="-29"/>
                <w:sz w:val="24"/>
                <w:szCs w:val="24"/>
              </w:rPr>
              <w:t>、</w:t>
            </w:r>
            <w:r>
              <w:rPr>
                <w:rFonts w:ascii="宋体" w:hAnsi="宋体" w:eastAsia="宋体" w:cs="宋体"/>
                <w:sz w:val="24"/>
                <w:szCs w:val="24"/>
              </w:rPr>
              <w:t>废水</w:t>
            </w:r>
            <w:r>
              <w:rPr>
                <w:rFonts w:ascii="宋体" w:hAnsi="宋体" w:eastAsia="宋体" w:cs="宋体"/>
                <w:spacing w:val="-27"/>
                <w:sz w:val="24"/>
                <w:szCs w:val="24"/>
              </w:rPr>
              <w:t>、</w:t>
            </w:r>
            <w:r>
              <w:rPr>
                <w:rFonts w:ascii="宋体" w:hAnsi="宋体" w:eastAsia="宋体" w:cs="宋体"/>
                <w:sz w:val="24"/>
                <w:szCs w:val="24"/>
              </w:rPr>
              <w:t>废气、固废等对周围环境影响可以降低到最低程度，从环境保护角度来看，本项目建设环境影响可</w:t>
            </w:r>
            <w:r>
              <w:rPr>
                <w:rFonts w:hint="eastAsia" w:ascii="宋体" w:hAnsi="宋体" w:eastAsia="宋体" w:cs="宋体"/>
                <w:sz w:val="24"/>
                <w:szCs w:val="24"/>
                <w:lang w:val="en-US" w:eastAsia="zh-CN"/>
              </w:rPr>
              <w:t>接</w:t>
            </w:r>
            <w:r>
              <w:rPr>
                <w:rFonts w:hint="eastAsia" w:ascii="宋体" w:hAnsi="宋体" w:cs="宋体"/>
                <w:sz w:val="24"/>
                <w:szCs w:val="24"/>
                <w:lang w:val="en-US" w:eastAsia="zh-CN"/>
              </w:rPr>
              <w:t>受。</w:t>
            </w:r>
          </w:p>
        </w:tc>
      </w:tr>
    </w:tbl>
    <w:p w14:paraId="03BFFD27">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7D995ACE">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tLeast"/>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14:paraId="543E0133">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tLeast"/>
        <w:jc w:val="center"/>
        <w:textAlignment w:val="auto"/>
        <w:outlineLvl w:val="0"/>
        <w:rPr>
          <w:rFonts w:hint="eastAsia"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2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515"/>
        <w:gridCol w:w="1701"/>
        <w:gridCol w:w="1276"/>
        <w:gridCol w:w="1701"/>
        <w:gridCol w:w="1559"/>
        <w:gridCol w:w="1761"/>
        <w:gridCol w:w="1959"/>
        <w:gridCol w:w="826"/>
      </w:tblGrid>
      <w:tr w14:paraId="5F300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90" w:type="dxa"/>
            <w:tcBorders>
              <w:tl2br w:val="single" w:color="auto" w:sz="4" w:space="0"/>
            </w:tcBorders>
            <w:noWrap w:val="0"/>
            <w:tcMar>
              <w:left w:w="28" w:type="dxa"/>
              <w:right w:w="28" w:type="dxa"/>
            </w:tcMar>
            <w:vAlign w:val="center"/>
          </w:tcPr>
          <w:p w14:paraId="3B5759F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jc w:val="right"/>
              <w:textAlignment w:val="auto"/>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14:paraId="7E86C20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jc w:val="left"/>
              <w:textAlignment w:val="auto"/>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515" w:type="dxa"/>
            <w:noWrap w:val="0"/>
            <w:tcMar>
              <w:left w:w="28" w:type="dxa"/>
              <w:right w:w="28" w:type="dxa"/>
            </w:tcMar>
            <w:vAlign w:val="center"/>
          </w:tcPr>
          <w:p w14:paraId="5CE60C7B">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污染物名称</w:t>
            </w:r>
          </w:p>
        </w:tc>
        <w:tc>
          <w:tcPr>
            <w:tcW w:w="1701" w:type="dxa"/>
            <w:noWrap w:val="0"/>
            <w:tcMar>
              <w:left w:w="28" w:type="dxa"/>
              <w:right w:w="28" w:type="dxa"/>
            </w:tcMar>
            <w:vAlign w:val="center"/>
          </w:tcPr>
          <w:p w14:paraId="717D2E6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14:paraId="225EAF1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1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color w:val="000000"/>
                <w:spacing w:val="-6"/>
                <w:kern w:val="21"/>
                <w:szCs w:val="21"/>
              </w:rPr>
              <w:fldChar w:fldCharType="end"/>
            </w:r>
          </w:p>
        </w:tc>
        <w:tc>
          <w:tcPr>
            <w:tcW w:w="1276" w:type="dxa"/>
            <w:noWrap w:val="0"/>
            <w:tcMar>
              <w:left w:w="28" w:type="dxa"/>
              <w:right w:w="28" w:type="dxa"/>
            </w:tcMar>
            <w:vAlign w:val="center"/>
          </w:tcPr>
          <w:p w14:paraId="3BD5FC6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14:paraId="0B7F8B6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许可排放量</w:t>
            </w:r>
          </w:p>
          <w:p w14:paraId="5FF6992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2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snapToGrid w:val="0"/>
                <w:color w:val="000000"/>
                <w:spacing w:val="-6"/>
                <w:kern w:val="21"/>
                <w:szCs w:val="21"/>
              </w:rPr>
              <w:t>②</w:t>
            </w:r>
            <w:r>
              <w:rPr>
                <w:rFonts w:ascii="黑体" w:hAnsi="黑体" w:eastAsia="黑体"/>
                <w:snapToGrid w:val="0"/>
                <w:color w:val="000000"/>
                <w:spacing w:val="-6"/>
                <w:kern w:val="21"/>
                <w:szCs w:val="21"/>
              </w:rPr>
              <w:fldChar w:fldCharType="end"/>
            </w:r>
          </w:p>
        </w:tc>
        <w:tc>
          <w:tcPr>
            <w:tcW w:w="1701" w:type="dxa"/>
            <w:noWrap w:val="0"/>
            <w:tcMar>
              <w:left w:w="28" w:type="dxa"/>
              <w:right w:w="28" w:type="dxa"/>
            </w:tcMar>
            <w:vAlign w:val="center"/>
          </w:tcPr>
          <w:p w14:paraId="238EBDF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在建工程</w:t>
            </w:r>
          </w:p>
          <w:p w14:paraId="4B143FC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3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color w:val="000000"/>
                <w:spacing w:val="-6"/>
                <w:kern w:val="21"/>
                <w:szCs w:val="21"/>
              </w:rPr>
              <w:fldChar w:fldCharType="end"/>
            </w:r>
          </w:p>
        </w:tc>
        <w:tc>
          <w:tcPr>
            <w:tcW w:w="1559" w:type="dxa"/>
            <w:noWrap w:val="0"/>
            <w:tcMar>
              <w:left w:w="28" w:type="dxa"/>
              <w:right w:w="28" w:type="dxa"/>
            </w:tcMar>
            <w:vAlign w:val="center"/>
          </w:tcPr>
          <w:p w14:paraId="1B70FB9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本项目</w:t>
            </w:r>
          </w:p>
          <w:p w14:paraId="2FF4476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4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color w:val="000000"/>
                <w:spacing w:val="-6"/>
                <w:kern w:val="21"/>
                <w:szCs w:val="21"/>
              </w:rPr>
              <w:fldChar w:fldCharType="end"/>
            </w:r>
          </w:p>
        </w:tc>
        <w:tc>
          <w:tcPr>
            <w:tcW w:w="1761" w:type="dxa"/>
            <w:noWrap w:val="0"/>
            <w:tcMar>
              <w:left w:w="28" w:type="dxa"/>
              <w:right w:w="28" w:type="dxa"/>
            </w:tcMar>
            <w:vAlign w:val="center"/>
          </w:tcPr>
          <w:p w14:paraId="3C14BA8B">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以新带老削减量</w:t>
            </w:r>
          </w:p>
          <w:p w14:paraId="6CDBD30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16"/>
                <w:kern w:val="21"/>
                <w:szCs w:val="21"/>
              </w:rPr>
            </w:pPr>
            <w:r>
              <w:rPr>
                <w:rFonts w:ascii="黑体" w:hAnsi="黑体" w:eastAsia="黑体"/>
                <w:snapToGrid w:val="0"/>
                <w:color w:val="000000"/>
                <w:spacing w:val="-16"/>
                <w:kern w:val="21"/>
                <w:szCs w:val="21"/>
              </w:rPr>
              <w:t>（新建项目不填）</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5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color w:val="000000"/>
                <w:spacing w:val="-16"/>
                <w:kern w:val="21"/>
                <w:szCs w:val="21"/>
              </w:rPr>
              <w:fldChar w:fldCharType="end"/>
            </w:r>
          </w:p>
        </w:tc>
        <w:tc>
          <w:tcPr>
            <w:tcW w:w="1959" w:type="dxa"/>
            <w:noWrap w:val="0"/>
            <w:tcMar>
              <w:left w:w="28" w:type="dxa"/>
              <w:right w:w="28" w:type="dxa"/>
            </w:tcMar>
            <w:vAlign w:val="center"/>
          </w:tcPr>
          <w:p w14:paraId="314CC94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本项目建成后</w:t>
            </w:r>
          </w:p>
          <w:p w14:paraId="10564C6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全厂</w:t>
            </w:r>
            <w:r>
              <w:rPr>
                <w:rFonts w:ascii="黑体" w:hAnsi="黑体" w:eastAsia="黑体"/>
                <w:snapToGrid w:val="0"/>
                <w:color w:val="000000"/>
                <w:spacing w:val="-16"/>
                <w:kern w:val="21"/>
                <w:szCs w:val="21"/>
              </w:rPr>
              <w:t>排放量（固</w:t>
            </w:r>
            <w:r>
              <w:rPr>
                <w:rFonts w:hint="eastAsia" w:ascii="黑体" w:hAnsi="黑体" w:eastAsia="黑体"/>
                <w:snapToGrid w:val="0"/>
                <w:color w:val="000000"/>
                <w:spacing w:val="-16"/>
                <w:kern w:val="21"/>
                <w:szCs w:val="21"/>
              </w:rPr>
              <w:t>体</w:t>
            </w:r>
            <w:r>
              <w:rPr>
                <w:rFonts w:ascii="黑体" w:hAnsi="黑体" w:eastAsia="黑体"/>
                <w:snapToGrid w:val="0"/>
                <w:color w:val="000000"/>
                <w:spacing w:val="-16"/>
                <w:kern w:val="21"/>
                <w:szCs w:val="21"/>
              </w:rPr>
              <w:t>废</w:t>
            </w:r>
            <w:r>
              <w:rPr>
                <w:rFonts w:hint="eastAsia" w:ascii="黑体" w:hAnsi="黑体" w:eastAsia="黑体"/>
                <w:snapToGrid w:val="0"/>
                <w:color w:val="000000"/>
                <w:spacing w:val="-16"/>
                <w:kern w:val="21"/>
                <w:szCs w:val="21"/>
              </w:rPr>
              <w:t>物</w:t>
            </w:r>
            <w:r>
              <w:rPr>
                <w:rFonts w:ascii="黑体" w:hAnsi="黑体" w:eastAsia="黑体"/>
                <w:snapToGrid w:val="0"/>
                <w:color w:val="000000"/>
                <w:spacing w:val="-16"/>
                <w:kern w:val="21"/>
                <w:szCs w:val="21"/>
              </w:rPr>
              <w:t>产生量）</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6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color w:val="000000"/>
                <w:spacing w:val="-16"/>
                <w:kern w:val="21"/>
                <w:szCs w:val="21"/>
              </w:rPr>
              <w:fldChar w:fldCharType="end"/>
            </w:r>
          </w:p>
        </w:tc>
        <w:tc>
          <w:tcPr>
            <w:tcW w:w="826" w:type="dxa"/>
            <w:noWrap w:val="0"/>
            <w:tcMar>
              <w:left w:w="28" w:type="dxa"/>
              <w:right w:w="28" w:type="dxa"/>
            </w:tcMar>
            <w:vAlign w:val="center"/>
          </w:tcPr>
          <w:p w14:paraId="6BE9A36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变化量</w:t>
            </w:r>
          </w:p>
          <w:p w14:paraId="630DA33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7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color w:val="000000"/>
                <w:spacing w:val="-6"/>
                <w:kern w:val="21"/>
                <w:szCs w:val="21"/>
              </w:rPr>
              <w:fldChar w:fldCharType="end"/>
            </w:r>
          </w:p>
        </w:tc>
      </w:tr>
      <w:tr w14:paraId="52308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490" w:type="dxa"/>
            <w:vMerge w:val="restart"/>
            <w:noWrap w:val="0"/>
            <w:vAlign w:val="center"/>
          </w:tcPr>
          <w:p w14:paraId="71AA402A">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rPr>
            </w:pPr>
            <w:r>
              <w:rPr>
                <w:rFonts w:hint="eastAsia" w:hAnsi="宋体" w:cs="宋体"/>
                <w:snapToGrid w:val="0"/>
                <w:color w:val="000000"/>
                <w:kern w:val="21"/>
                <w:szCs w:val="21"/>
              </w:rPr>
              <w:t>废气</w:t>
            </w:r>
          </w:p>
        </w:tc>
        <w:tc>
          <w:tcPr>
            <w:tcW w:w="1515" w:type="dxa"/>
            <w:noWrap w:val="0"/>
            <w:vAlign w:val="center"/>
          </w:tcPr>
          <w:p w14:paraId="13455DD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酸雾</w:t>
            </w:r>
          </w:p>
          <w:p w14:paraId="07A8CFA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投料粉尘</w:t>
            </w:r>
          </w:p>
        </w:tc>
        <w:tc>
          <w:tcPr>
            <w:tcW w:w="1701" w:type="dxa"/>
            <w:noWrap w:val="0"/>
            <w:vAlign w:val="center"/>
          </w:tcPr>
          <w:p w14:paraId="1260671F">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3ABE5DBA">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2A5AEC0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11CEE0D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0.152t/a</w:t>
            </w:r>
          </w:p>
          <w:p w14:paraId="195F7933">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cs="宋体"/>
                <w:snapToGrid w:val="0"/>
                <w:color w:val="000000"/>
                <w:kern w:val="21"/>
                <w:szCs w:val="21"/>
                <w:lang w:val="en-US" w:eastAsia="zh-CN"/>
              </w:rPr>
            </w:pPr>
            <w:r>
              <w:rPr>
                <w:rFonts w:hint="eastAsia" w:ascii="宋体" w:hAnsi="宋体" w:eastAsia="宋体" w:cs="宋体"/>
                <w:spacing w:val="-2"/>
                <w:sz w:val="18"/>
                <w:szCs w:val="18"/>
                <w:lang w:val="en-US" w:eastAsia="zh-CN"/>
              </w:rPr>
              <w:t>0.012t/a</w:t>
            </w:r>
          </w:p>
        </w:tc>
        <w:tc>
          <w:tcPr>
            <w:tcW w:w="1761" w:type="dxa"/>
            <w:noWrap w:val="0"/>
            <w:vAlign w:val="center"/>
          </w:tcPr>
          <w:p w14:paraId="4F6B8BD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30582A2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54B2C78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7C8D3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0" w:type="dxa"/>
            <w:vMerge w:val="continue"/>
            <w:noWrap w:val="0"/>
            <w:vAlign w:val="center"/>
          </w:tcPr>
          <w:p w14:paraId="74D3438F">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rPr>
            </w:pPr>
          </w:p>
        </w:tc>
        <w:tc>
          <w:tcPr>
            <w:tcW w:w="1515" w:type="dxa"/>
            <w:noWrap w:val="0"/>
            <w:vAlign w:val="center"/>
          </w:tcPr>
          <w:p w14:paraId="1458EAB0">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烟尘</w:t>
            </w:r>
          </w:p>
          <w:p w14:paraId="406168F3">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pacing w:val="-2"/>
                <w:sz w:val="18"/>
                <w:szCs w:val="18"/>
                <w:vertAlign w:val="subscript"/>
                <w:lang w:val="en-US" w:eastAsia="zh-CN"/>
              </w:rPr>
            </w:pPr>
            <w:r>
              <w:rPr>
                <w:rFonts w:hint="eastAsia" w:ascii="宋体" w:hAnsi="宋体" w:eastAsia="宋体" w:cs="宋体"/>
                <w:spacing w:val="-2"/>
                <w:sz w:val="18"/>
                <w:szCs w:val="18"/>
                <w:lang w:val="en-US" w:eastAsia="zh-CN"/>
              </w:rPr>
              <w:t>SO</w:t>
            </w:r>
            <w:r>
              <w:rPr>
                <w:rFonts w:hint="eastAsia" w:ascii="宋体" w:hAnsi="宋体" w:eastAsia="宋体" w:cs="宋体"/>
                <w:spacing w:val="-2"/>
                <w:sz w:val="18"/>
                <w:szCs w:val="18"/>
                <w:vertAlign w:val="subscript"/>
                <w:lang w:val="en-US" w:eastAsia="zh-CN"/>
              </w:rPr>
              <w:t>2</w:t>
            </w:r>
          </w:p>
          <w:p w14:paraId="3F5BECA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pacing w:val="-2"/>
                <w:sz w:val="18"/>
                <w:szCs w:val="18"/>
                <w:vertAlign w:val="subscript"/>
                <w:lang w:val="en-US" w:eastAsia="zh-CN"/>
              </w:rPr>
            </w:pPr>
            <w:r>
              <w:rPr>
                <w:rFonts w:hint="eastAsia" w:ascii="宋体" w:hAnsi="宋体" w:eastAsia="宋体" w:cs="宋体"/>
                <w:spacing w:val="-2"/>
                <w:sz w:val="18"/>
                <w:szCs w:val="18"/>
                <w:lang w:val="en-US" w:eastAsia="zh-CN"/>
              </w:rPr>
              <w:t>NO</w:t>
            </w:r>
            <w:r>
              <w:rPr>
                <w:rFonts w:hint="eastAsia" w:ascii="宋体" w:hAnsi="宋体" w:eastAsia="宋体" w:cs="宋体"/>
                <w:spacing w:val="-2"/>
                <w:sz w:val="18"/>
                <w:szCs w:val="18"/>
                <w:vertAlign w:val="subscript"/>
                <w:lang w:val="en-US" w:eastAsia="zh-CN"/>
              </w:rPr>
              <w:t>X</w:t>
            </w:r>
          </w:p>
        </w:tc>
        <w:tc>
          <w:tcPr>
            <w:tcW w:w="1701" w:type="dxa"/>
            <w:noWrap w:val="0"/>
            <w:vAlign w:val="center"/>
          </w:tcPr>
          <w:p w14:paraId="4662ECD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22F5515A">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793357D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201515A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0.06t/a</w:t>
            </w:r>
          </w:p>
          <w:p w14:paraId="094A53D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0.04t/a</w:t>
            </w:r>
          </w:p>
          <w:p w14:paraId="3653230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lang w:val="en-US" w:eastAsia="zh-CN"/>
              </w:rPr>
            </w:pPr>
            <w:r>
              <w:rPr>
                <w:rFonts w:hint="eastAsia" w:ascii="宋体" w:hAnsi="宋体" w:eastAsia="宋体" w:cs="宋体"/>
                <w:spacing w:val="-2"/>
                <w:sz w:val="18"/>
                <w:szCs w:val="18"/>
                <w:lang w:val="en-US" w:eastAsia="zh-CN"/>
              </w:rPr>
              <w:t>0.</w:t>
            </w:r>
            <w:r>
              <w:rPr>
                <w:rFonts w:hint="eastAsia" w:cs="宋体"/>
                <w:spacing w:val="-2"/>
                <w:sz w:val="18"/>
                <w:szCs w:val="18"/>
                <w:lang w:val="en-US" w:eastAsia="zh-CN"/>
              </w:rPr>
              <w:t>013</w:t>
            </w:r>
            <w:r>
              <w:rPr>
                <w:rFonts w:hint="eastAsia" w:ascii="宋体" w:hAnsi="宋体" w:eastAsia="宋体" w:cs="宋体"/>
                <w:spacing w:val="-2"/>
                <w:sz w:val="18"/>
                <w:szCs w:val="18"/>
                <w:lang w:val="en-US" w:eastAsia="zh-CN"/>
              </w:rPr>
              <w:t>t/a</w:t>
            </w:r>
          </w:p>
        </w:tc>
        <w:tc>
          <w:tcPr>
            <w:tcW w:w="1761" w:type="dxa"/>
            <w:noWrap w:val="0"/>
            <w:vAlign w:val="center"/>
          </w:tcPr>
          <w:p w14:paraId="4E01F54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140F4FAB">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26469AFA">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09F39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90" w:type="dxa"/>
            <w:vMerge w:val="continue"/>
            <w:noWrap w:val="0"/>
            <w:vAlign w:val="center"/>
          </w:tcPr>
          <w:p w14:paraId="157A3DE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rPr>
            </w:pPr>
          </w:p>
        </w:tc>
        <w:tc>
          <w:tcPr>
            <w:tcW w:w="1515" w:type="dxa"/>
            <w:noWrap w:val="0"/>
            <w:vAlign w:val="center"/>
          </w:tcPr>
          <w:p w14:paraId="075C248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eastAsia="仿宋_GB2312" w:cs="宋体"/>
                <w:snapToGrid w:val="0"/>
                <w:color w:val="000000"/>
                <w:kern w:val="21"/>
                <w:szCs w:val="21"/>
                <w:lang w:val="en-US" w:eastAsia="zh-CN"/>
              </w:rPr>
            </w:pPr>
            <w:r>
              <w:rPr>
                <w:rFonts w:hint="eastAsia" w:hAnsi="宋体" w:cs="宋体"/>
                <w:snapToGrid w:val="0"/>
                <w:color w:val="000000"/>
                <w:kern w:val="21"/>
                <w:szCs w:val="21"/>
                <w:lang w:val="en-US" w:eastAsia="zh-CN"/>
              </w:rPr>
              <w:t>筛分粉尘</w:t>
            </w:r>
          </w:p>
        </w:tc>
        <w:tc>
          <w:tcPr>
            <w:tcW w:w="1701" w:type="dxa"/>
            <w:noWrap w:val="0"/>
            <w:vAlign w:val="center"/>
          </w:tcPr>
          <w:p w14:paraId="7D5FF236">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1A636A8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70E5067F">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713949F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0.087</w:t>
            </w:r>
            <w:r>
              <w:rPr>
                <w:rFonts w:hint="eastAsia" w:ascii="宋体" w:hAnsi="宋体" w:eastAsia="宋体" w:cs="宋体"/>
                <w:spacing w:val="-2"/>
                <w:sz w:val="18"/>
                <w:szCs w:val="18"/>
                <w:lang w:val="en-US" w:eastAsia="zh-CN"/>
              </w:rPr>
              <w:t>t/a</w:t>
            </w:r>
          </w:p>
        </w:tc>
        <w:tc>
          <w:tcPr>
            <w:tcW w:w="1761" w:type="dxa"/>
            <w:noWrap w:val="0"/>
            <w:vAlign w:val="center"/>
          </w:tcPr>
          <w:p w14:paraId="2C88E04B">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6C30EF06">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354E881A">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2B3F7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490" w:type="dxa"/>
            <w:vMerge w:val="restart"/>
            <w:noWrap w:val="0"/>
            <w:vAlign w:val="center"/>
          </w:tcPr>
          <w:p w14:paraId="453D489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rPr>
            </w:pPr>
            <w:r>
              <w:rPr>
                <w:rFonts w:hint="eastAsia" w:hAnsi="宋体" w:cs="宋体"/>
                <w:snapToGrid w:val="0"/>
                <w:color w:val="000000"/>
                <w:kern w:val="21"/>
                <w:szCs w:val="21"/>
              </w:rPr>
              <w:t>废水</w:t>
            </w:r>
          </w:p>
        </w:tc>
        <w:tc>
          <w:tcPr>
            <w:tcW w:w="1515" w:type="dxa"/>
            <w:noWrap w:val="0"/>
            <w:vAlign w:val="center"/>
          </w:tcPr>
          <w:p w14:paraId="3DC0CF8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eastAsia="仿宋_GB2312" w:cs="宋体"/>
                <w:snapToGrid w:val="0"/>
                <w:color w:val="000000"/>
                <w:kern w:val="21"/>
                <w:szCs w:val="21"/>
                <w:lang w:val="en-US" w:eastAsia="zh-CN"/>
              </w:rPr>
            </w:pPr>
            <w:r>
              <w:rPr>
                <w:rFonts w:hint="eastAsia" w:hAnsi="宋体" w:cs="宋体"/>
                <w:snapToGrid w:val="0"/>
                <w:color w:val="000000"/>
                <w:kern w:val="21"/>
                <w:szCs w:val="21"/>
                <w:lang w:val="en-US" w:eastAsia="zh-CN"/>
              </w:rPr>
              <w:t>悬浮物</w:t>
            </w:r>
          </w:p>
        </w:tc>
        <w:tc>
          <w:tcPr>
            <w:tcW w:w="1701" w:type="dxa"/>
            <w:noWrap w:val="0"/>
            <w:vAlign w:val="center"/>
          </w:tcPr>
          <w:p w14:paraId="7CA2FF6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4DEDF9F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58547FF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4837B71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r>
              <w:rPr>
                <w:rFonts w:hint="eastAsia" w:ascii="宋体" w:hAnsi="宋体" w:cs="宋体"/>
                <w:b w:val="0"/>
                <w:bCs w:val="0"/>
                <w:sz w:val="18"/>
                <w:szCs w:val="18"/>
                <w:lang w:val="en-US" w:eastAsia="zh-CN"/>
              </w:rPr>
              <w:t>1.0</w:t>
            </w:r>
            <w:r>
              <w:rPr>
                <w:rFonts w:hint="eastAsia" w:ascii="宋体" w:hAnsi="宋体" w:eastAsia="宋体" w:cs="宋体"/>
                <w:spacing w:val="-2"/>
                <w:sz w:val="18"/>
                <w:szCs w:val="18"/>
                <w:lang w:val="en-US" w:eastAsia="zh-CN"/>
              </w:rPr>
              <w:t>t/a</w:t>
            </w:r>
          </w:p>
        </w:tc>
        <w:tc>
          <w:tcPr>
            <w:tcW w:w="1761" w:type="dxa"/>
            <w:noWrap w:val="0"/>
            <w:vAlign w:val="center"/>
          </w:tcPr>
          <w:p w14:paraId="4A24E42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3EDD2488">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117660C3">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0FA1B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490" w:type="dxa"/>
            <w:vMerge w:val="continue"/>
            <w:noWrap w:val="0"/>
            <w:vAlign w:val="center"/>
          </w:tcPr>
          <w:p w14:paraId="0F4275DA">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rPr>
            </w:pPr>
          </w:p>
        </w:tc>
        <w:tc>
          <w:tcPr>
            <w:tcW w:w="1515" w:type="dxa"/>
            <w:noWrap w:val="0"/>
            <w:vAlign w:val="center"/>
          </w:tcPr>
          <w:p w14:paraId="4DB2B58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eastAsia="仿宋_GB2312" w:cs="宋体"/>
                <w:snapToGrid w:val="0"/>
                <w:color w:val="000000"/>
                <w:kern w:val="21"/>
                <w:szCs w:val="21"/>
                <w:lang w:val="en-US" w:eastAsia="zh-CN"/>
              </w:rPr>
            </w:pPr>
            <w:r>
              <w:rPr>
                <w:rFonts w:hint="eastAsia" w:hAnsi="宋体" w:cs="宋体"/>
                <w:snapToGrid w:val="0"/>
                <w:color w:val="000000"/>
                <w:kern w:val="21"/>
                <w:szCs w:val="21"/>
                <w:lang w:val="en-US" w:eastAsia="zh-CN"/>
              </w:rPr>
              <w:t>硫酸盐</w:t>
            </w:r>
          </w:p>
        </w:tc>
        <w:tc>
          <w:tcPr>
            <w:tcW w:w="1701" w:type="dxa"/>
            <w:noWrap w:val="0"/>
            <w:vAlign w:val="center"/>
          </w:tcPr>
          <w:p w14:paraId="1ED1D30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41C1A49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1633706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7B3BA30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r>
              <w:rPr>
                <w:rFonts w:hint="eastAsia" w:ascii="宋体" w:hAnsi="宋体" w:cs="宋体"/>
                <w:b w:val="0"/>
                <w:bCs w:val="0"/>
                <w:sz w:val="18"/>
                <w:szCs w:val="18"/>
                <w:lang w:val="en-US" w:eastAsia="zh-CN"/>
              </w:rPr>
              <w:t>0.53</w:t>
            </w:r>
            <w:r>
              <w:rPr>
                <w:rFonts w:hint="eastAsia" w:ascii="宋体" w:hAnsi="宋体" w:eastAsia="宋体" w:cs="宋体"/>
                <w:spacing w:val="-2"/>
                <w:sz w:val="18"/>
                <w:szCs w:val="18"/>
                <w:lang w:val="en-US" w:eastAsia="zh-CN"/>
              </w:rPr>
              <w:t>t/a</w:t>
            </w:r>
          </w:p>
        </w:tc>
        <w:tc>
          <w:tcPr>
            <w:tcW w:w="1761" w:type="dxa"/>
            <w:noWrap w:val="0"/>
            <w:vAlign w:val="center"/>
          </w:tcPr>
          <w:p w14:paraId="4514185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59AECBE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1ED49DE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7E943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0" w:type="dxa"/>
            <w:vMerge w:val="restart"/>
            <w:noWrap w:val="0"/>
            <w:vAlign w:val="center"/>
          </w:tcPr>
          <w:p w14:paraId="210037E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r>
              <w:rPr>
                <w:rFonts w:hint="eastAsia" w:hAnsi="宋体" w:cs="宋体"/>
                <w:snapToGrid w:val="0"/>
                <w:color w:val="000000"/>
                <w:kern w:val="21"/>
                <w:szCs w:val="21"/>
              </w:rPr>
              <w:t>一般工业</w:t>
            </w:r>
          </w:p>
          <w:p w14:paraId="0D0C734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rPr>
            </w:pPr>
            <w:r>
              <w:rPr>
                <w:rFonts w:hint="eastAsia" w:hAnsi="宋体" w:cs="宋体"/>
                <w:snapToGrid w:val="0"/>
                <w:color w:val="000000"/>
                <w:kern w:val="21"/>
                <w:szCs w:val="21"/>
              </w:rPr>
              <w:t>固体废物</w:t>
            </w:r>
          </w:p>
        </w:tc>
        <w:tc>
          <w:tcPr>
            <w:tcW w:w="1515" w:type="dxa"/>
            <w:noWrap w:val="0"/>
            <w:vAlign w:val="center"/>
          </w:tcPr>
          <w:p w14:paraId="5D28DC6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eastAsia="仿宋_GB2312" w:cs="宋体"/>
                <w:snapToGrid w:val="0"/>
                <w:color w:val="000000"/>
                <w:kern w:val="21"/>
                <w:szCs w:val="21"/>
                <w:lang w:val="en-US" w:eastAsia="zh-CN"/>
              </w:rPr>
            </w:pPr>
            <w:r>
              <w:rPr>
                <w:rFonts w:hint="eastAsia" w:hAnsi="宋体" w:cs="宋体"/>
                <w:snapToGrid w:val="0"/>
                <w:color w:val="000000"/>
                <w:kern w:val="21"/>
                <w:szCs w:val="21"/>
                <w:lang w:val="en-US" w:eastAsia="zh-CN"/>
              </w:rPr>
              <w:t>筛分布袋除尘收集</w:t>
            </w:r>
          </w:p>
        </w:tc>
        <w:tc>
          <w:tcPr>
            <w:tcW w:w="1701" w:type="dxa"/>
            <w:noWrap w:val="0"/>
            <w:vAlign w:val="center"/>
          </w:tcPr>
          <w:p w14:paraId="563ACBA8">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1B951F6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57BC23C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0725568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eastAsia="仿宋_GB2312" w:cs="宋体"/>
                <w:snapToGrid w:val="0"/>
                <w:color w:val="000000"/>
                <w:kern w:val="21"/>
                <w:szCs w:val="21"/>
                <w:lang w:val="en-US" w:eastAsia="zh-CN"/>
              </w:rPr>
            </w:pPr>
            <w:r>
              <w:rPr>
                <w:rFonts w:hint="eastAsia" w:hAnsi="宋体" w:cs="宋体"/>
                <w:snapToGrid w:val="0"/>
                <w:color w:val="000000"/>
                <w:kern w:val="21"/>
                <w:szCs w:val="21"/>
                <w:lang w:val="en-US" w:eastAsia="zh-CN"/>
              </w:rPr>
              <w:t>8.64</w:t>
            </w:r>
            <w:r>
              <w:rPr>
                <w:rFonts w:hint="eastAsia" w:ascii="宋体" w:hAnsi="宋体" w:eastAsia="宋体" w:cs="宋体"/>
                <w:spacing w:val="-2"/>
                <w:sz w:val="18"/>
                <w:szCs w:val="18"/>
                <w:lang w:val="en-US" w:eastAsia="zh-CN"/>
              </w:rPr>
              <w:t>t/a</w:t>
            </w:r>
          </w:p>
        </w:tc>
        <w:tc>
          <w:tcPr>
            <w:tcW w:w="1761" w:type="dxa"/>
            <w:noWrap w:val="0"/>
            <w:vAlign w:val="center"/>
          </w:tcPr>
          <w:p w14:paraId="38EC9D2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0A3ADC2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60EABBD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3B62C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90" w:type="dxa"/>
            <w:vMerge w:val="continue"/>
            <w:noWrap w:val="0"/>
            <w:vAlign w:val="center"/>
          </w:tcPr>
          <w:p w14:paraId="737C13E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15" w:type="dxa"/>
            <w:noWrap w:val="0"/>
            <w:vAlign w:val="center"/>
          </w:tcPr>
          <w:p w14:paraId="6CF7318F">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eastAsia="仿宋_GB2312" w:cs="宋体"/>
                <w:snapToGrid w:val="0"/>
                <w:color w:val="000000"/>
                <w:kern w:val="21"/>
                <w:szCs w:val="21"/>
                <w:lang w:val="en-US" w:eastAsia="zh-CN"/>
              </w:rPr>
            </w:pPr>
            <w:r>
              <w:rPr>
                <w:rFonts w:hint="eastAsia" w:hAnsi="宋体" w:cs="宋体"/>
                <w:snapToGrid w:val="0"/>
                <w:color w:val="000000"/>
                <w:kern w:val="21"/>
                <w:szCs w:val="21"/>
                <w:lang w:val="en-US" w:eastAsia="zh-CN"/>
              </w:rPr>
              <w:t>筛分</w:t>
            </w:r>
          </w:p>
        </w:tc>
        <w:tc>
          <w:tcPr>
            <w:tcW w:w="1701" w:type="dxa"/>
            <w:noWrap w:val="0"/>
            <w:vAlign w:val="center"/>
          </w:tcPr>
          <w:p w14:paraId="022982F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2E9A832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3E20AB1A">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7925072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eastAsia="仿宋_GB2312" w:cs="宋体"/>
                <w:snapToGrid w:val="0"/>
                <w:color w:val="000000"/>
                <w:kern w:val="21"/>
                <w:szCs w:val="21"/>
                <w:lang w:val="en-US" w:eastAsia="zh-CN"/>
              </w:rPr>
            </w:pPr>
            <w:r>
              <w:rPr>
                <w:rFonts w:hint="eastAsia" w:hAnsi="宋体" w:cs="宋体"/>
                <w:snapToGrid w:val="0"/>
                <w:color w:val="000000"/>
                <w:kern w:val="21"/>
                <w:szCs w:val="21"/>
                <w:lang w:val="en-US" w:eastAsia="zh-CN"/>
              </w:rPr>
              <w:t>50</w:t>
            </w:r>
            <w:r>
              <w:rPr>
                <w:rFonts w:hint="eastAsia" w:ascii="宋体" w:hAnsi="宋体" w:eastAsia="宋体" w:cs="宋体"/>
                <w:spacing w:val="-2"/>
                <w:sz w:val="18"/>
                <w:szCs w:val="18"/>
                <w:lang w:val="en-US" w:eastAsia="zh-CN"/>
              </w:rPr>
              <w:t>t/a</w:t>
            </w:r>
          </w:p>
        </w:tc>
        <w:tc>
          <w:tcPr>
            <w:tcW w:w="1761" w:type="dxa"/>
            <w:noWrap w:val="0"/>
            <w:vAlign w:val="center"/>
          </w:tcPr>
          <w:p w14:paraId="051665E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717AA510">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22AA51D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7B724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490" w:type="dxa"/>
            <w:vMerge w:val="continue"/>
            <w:noWrap w:val="0"/>
            <w:vAlign w:val="center"/>
          </w:tcPr>
          <w:p w14:paraId="11C57FB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15" w:type="dxa"/>
            <w:noWrap w:val="0"/>
            <w:vAlign w:val="center"/>
          </w:tcPr>
          <w:p w14:paraId="279AC33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废包装</w:t>
            </w:r>
          </w:p>
        </w:tc>
        <w:tc>
          <w:tcPr>
            <w:tcW w:w="1701" w:type="dxa"/>
            <w:noWrap w:val="0"/>
            <w:vAlign w:val="center"/>
          </w:tcPr>
          <w:p w14:paraId="7EB01C0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24EE7760">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785BEF76">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634D2FC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0.5</w:t>
            </w:r>
            <w:r>
              <w:rPr>
                <w:rFonts w:hint="eastAsia" w:ascii="宋体" w:hAnsi="宋体" w:eastAsia="宋体" w:cs="宋体"/>
                <w:spacing w:val="-2"/>
                <w:sz w:val="18"/>
                <w:szCs w:val="18"/>
                <w:lang w:val="en-US" w:eastAsia="zh-CN"/>
              </w:rPr>
              <w:t>t/a</w:t>
            </w:r>
          </w:p>
        </w:tc>
        <w:tc>
          <w:tcPr>
            <w:tcW w:w="1761" w:type="dxa"/>
            <w:noWrap w:val="0"/>
            <w:vAlign w:val="center"/>
          </w:tcPr>
          <w:p w14:paraId="4A6F702B">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5882D66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3905FDFB">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19481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0" w:type="dxa"/>
            <w:vMerge w:val="continue"/>
            <w:noWrap w:val="0"/>
            <w:vAlign w:val="center"/>
          </w:tcPr>
          <w:p w14:paraId="0360D913">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15" w:type="dxa"/>
            <w:noWrap w:val="0"/>
            <w:vAlign w:val="center"/>
          </w:tcPr>
          <w:p w14:paraId="4F62610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cs="宋体"/>
                <w:snapToGrid w:val="0"/>
                <w:color w:val="000000"/>
                <w:kern w:val="21"/>
                <w:szCs w:val="21"/>
                <w:lang w:val="en-US" w:eastAsia="zh-CN"/>
              </w:rPr>
            </w:pPr>
            <w:r>
              <w:rPr>
                <w:rFonts w:hint="eastAsia" w:hAnsi="宋体" w:cs="宋体"/>
                <w:snapToGrid w:val="0"/>
                <w:color w:val="000000"/>
                <w:kern w:val="21"/>
                <w:szCs w:val="21"/>
                <w:lang w:val="en-US" w:eastAsia="zh-CN"/>
              </w:rPr>
              <w:t>污泥</w:t>
            </w:r>
          </w:p>
        </w:tc>
        <w:tc>
          <w:tcPr>
            <w:tcW w:w="1701" w:type="dxa"/>
            <w:noWrap w:val="0"/>
            <w:vAlign w:val="center"/>
          </w:tcPr>
          <w:p w14:paraId="109E5986">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56DA23D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57AD099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6B5A20A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cs="宋体"/>
                <w:snapToGrid w:val="0"/>
                <w:color w:val="0000FF"/>
                <w:kern w:val="21"/>
                <w:szCs w:val="21"/>
                <w:u w:val="single"/>
                <w:lang w:val="en-US" w:eastAsia="zh-CN"/>
              </w:rPr>
            </w:pPr>
            <w:r>
              <w:rPr>
                <w:rFonts w:hint="eastAsia" w:hAnsi="宋体" w:cs="宋体"/>
                <w:snapToGrid w:val="0"/>
                <w:color w:val="0000FF"/>
                <w:kern w:val="21"/>
                <w:szCs w:val="21"/>
                <w:u w:val="single"/>
                <w:lang w:val="en-US" w:eastAsia="zh-CN"/>
              </w:rPr>
              <w:t>674.475</w:t>
            </w:r>
            <w:r>
              <w:rPr>
                <w:rFonts w:hint="eastAsia" w:ascii="宋体" w:hAnsi="宋体" w:eastAsia="宋体" w:cs="宋体"/>
                <w:color w:val="0000FF"/>
                <w:spacing w:val="-2"/>
                <w:sz w:val="18"/>
                <w:szCs w:val="18"/>
                <w:u w:val="single"/>
                <w:lang w:val="en-US" w:eastAsia="zh-CN"/>
              </w:rPr>
              <w:t>t/a</w:t>
            </w:r>
          </w:p>
        </w:tc>
        <w:tc>
          <w:tcPr>
            <w:tcW w:w="1761" w:type="dxa"/>
            <w:noWrap w:val="0"/>
            <w:vAlign w:val="center"/>
          </w:tcPr>
          <w:p w14:paraId="57E1570D">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353A8340">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666E922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440F2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0" w:type="dxa"/>
            <w:vMerge w:val="continue"/>
            <w:noWrap w:val="0"/>
            <w:vAlign w:val="center"/>
          </w:tcPr>
          <w:p w14:paraId="7C843FF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15" w:type="dxa"/>
            <w:noWrap w:val="0"/>
            <w:vAlign w:val="center"/>
          </w:tcPr>
          <w:p w14:paraId="7C3990A3">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脱酸中和沉淀物（硫酸钙）</w:t>
            </w:r>
          </w:p>
        </w:tc>
        <w:tc>
          <w:tcPr>
            <w:tcW w:w="1701" w:type="dxa"/>
            <w:noWrap w:val="0"/>
            <w:vAlign w:val="center"/>
          </w:tcPr>
          <w:p w14:paraId="2EA12CA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1F99742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301477E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43EF9E0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default" w:hAnsi="宋体" w:cs="宋体"/>
                <w:snapToGrid w:val="0"/>
                <w:color w:val="0000FF"/>
                <w:kern w:val="21"/>
                <w:szCs w:val="21"/>
                <w:u w:val="single"/>
                <w:lang w:val="en-US" w:eastAsia="zh-CN"/>
              </w:rPr>
            </w:pPr>
            <w:r>
              <w:rPr>
                <w:rFonts w:hint="eastAsia" w:hAnsi="宋体" w:cs="宋体"/>
                <w:snapToGrid w:val="0"/>
                <w:color w:val="0000FF"/>
                <w:kern w:val="21"/>
                <w:szCs w:val="21"/>
                <w:u w:val="single"/>
                <w:lang w:val="en-US" w:eastAsia="zh-CN"/>
              </w:rPr>
              <w:t>4988.25</w:t>
            </w:r>
            <w:r>
              <w:rPr>
                <w:rFonts w:hint="eastAsia" w:ascii="宋体" w:hAnsi="宋体" w:eastAsia="宋体" w:cs="宋体"/>
                <w:color w:val="0000FF"/>
                <w:spacing w:val="-2"/>
                <w:sz w:val="18"/>
                <w:szCs w:val="18"/>
                <w:u w:val="single"/>
                <w:lang w:val="en-US" w:eastAsia="zh-CN"/>
              </w:rPr>
              <w:t>t/a</w:t>
            </w:r>
          </w:p>
        </w:tc>
        <w:tc>
          <w:tcPr>
            <w:tcW w:w="1761" w:type="dxa"/>
            <w:noWrap w:val="0"/>
            <w:vAlign w:val="center"/>
          </w:tcPr>
          <w:p w14:paraId="5AF0EEE6">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5AF9B781">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4E762D0F">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0BE64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0" w:type="dxa"/>
            <w:vMerge w:val="continue"/>
            <w:noWrap w:val="0"/>
            <w:vAlign w:val="center"/>
          </w:tcPr>
          <w:p w14:paraId="745EF566">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15" w:type="dxa"/>
            <w:noWrap w:val="0"/>
            <w:vAlign w:val="center"/>
          </w:tcPr>
          <w:p w14:paraId="4720A01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lang w:val="en-US" w:eastAsia="zh-CN"/>
              </w:rPr>
            </w:pPr>
          </w:p>
        </w:tc>
        <w:tc>
          <w:tcPr>
            <w:tcW w:w="1701" w:type="dxa"/>
            <w:noWrap w:val="0"/>
            <w:vAlign w:val="center"/>
          </w:tcPr>
          <w:p w14:paraId="14D04D8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61E2570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11DA324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4906C93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lang w:val="en-US" w:eastAsia="zh-CN"/>
              </w:rPr>
            </w:pPr>
          </w:p>
        </w:tc>
        <w:tc>
          <w:tcPr>
            <w:tcW w:w="1761" w:type="dxa"/>
            <w:noWrap w:val="0"/>
            <w:vAlign w:val="center"/>
          </w:tcPr>
          <w:p w14:paraId="6D17EC3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16BE85F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53302CD2">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5CC32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0" w:type="dxa"/>
            <w:vMerge w:val="restart"/>
            <w:noWrap w:val="0"/>
            <w:vAlign w:val="center"/>
          </w:tcPr>
          <w:p w14:paraId="51A41BD6">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rPr>
            </w:pPr>
            <w:r>
              <w:rPr>
                <w:rFonts w:hint="eastAsia" w:hAnsi="宋体" w:cs="宋体"/>
                <w:snapToGrid w:val="0"/>
                <w:color w:val="000000"/>
                <w:kern w:val="21"/>
                <w:szCs w:val="21"/>
              </w:rPr>
              <w:t>危险废物</w:t>
            </w:r>
          </w:p>
        </w:tc>
        <w:tc>
          <w:tcPr>
            <w:tcW w:w="1515" w:type="dxa"/>
            <w:noWrap w:val="0"/>
            <w:vAlign w:val="center"/>
          </w:tcPr>
          <w:p w14:paraId="444C80E8">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rPr>
            </w:pPr>
          </w:p>
        </w:tc>
        <w:tc>
          <w:tcPr>
            <w:tcW w:w="1701" w:type="dxa"/>
            <w:noWrap w:val="0"/>
            <w:vAlign w:val="center"/>
          </w:tcPr>
          <w:p w14:paraId="709E62C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5DE6B320">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1A28E89C">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5517CF0B">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61" w:type="dxa"/>
            <w:noWrap w:val="0"/>
            <w:vAlign w:val="center"/>
          </w:tcPr>
          <w:p w14:paraId="751E223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43048B7F">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3F067515">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r w14:paraId="4E4A7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0" w:type="dxa"/>
            <w:vMerge w:val="continue"/>
            <w:noWrap w:val="0"/>
            <w:vAlign w:val="center"/>
          </w:tcPr>
          <w:p w14:paraId="028A3FD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15" w:type="dxa"/>
            <w:noWrap w:val="0"/>
            <w:vAlign w:val="center"/>
          </w:tcPr>
          <w:p w14:paraId="78ACC3F8">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int="eastAsia" w:hAnsi="宋体" w:cs="宋体"/>
                <w:snapToGrid w:val="0"/>
                <w:color w:val="000000"/>
                <w:kern w:val="21"/>
                <w:szCs w:val="21"/>
              </w:rPr>
            </w:pPr>
          </w:p>
        </w:tc>
        <w:tc>
          <w:tcPr>
            <w:tcW w:w="1701" w:type="dxa"/>
            <w:noWrap w:val="0"/>
            <w:vAlign w:val="center"/>
          </w:tcPr>
          <w:p w14:paraId="2ECF3D79">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276" w:type="dxa"/>
            <w:noWrap w:val="0"/>
            <w:vAlign w:val="center"/>
          </w:tcPr>
          <w:p w14:paraId="111DB9A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01" w:type="dxa"/>
            <w:noWrap w:val="0"/>
            <w:vAlign w:val="center"/>
          </w:tcPr>
          <w:p w14:paraId="01651DDE">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559" w:type="dxa"/>
            <w:noWrap w:val="0"/>
            <w:vAlign w:val="center"/>
          </w:tcPr>
          <w:p w14:paraId="0FC1B480">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761" w:type="dxa"/>
            <w:noWrap w:val="0"/>
            <w:vAlign w:val="center"/>
          </w:tcPr>
          <w:p w14:paraId="01F75F26">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1959" w:type="dxa"/>
            <w:noWrap w:val="0"/>
            <w:vAlign w:val="center"/>
          </w:tcPr>
          <w:p w14:paraId="5F2F6314">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c>
          <w:tcPr>
            <w:tcW w:w="826" w:type="dxa"/>
            <w:noWrap w:val="0"/>
            <w:vAlign w:val="center"/>
          </w:tcPr>
          <w:p w14:paraId="1EAB3677">
            <w:pPr>
              <w:pStyle w:val="46"/>
              <w:keepNext w:val="0"/>
              <w:keepLines w:val="0"/>
              <w:pageBreakBefore w:val="0"/>
              <w:widowControl w:val="0"/>
              <w:kinsoku/>
              <w:wordWrap/>
              <w:overflowPunct/>
              <w:topLinePunct w:val="0"/>
              <w:autoSpaceDE/>
              <w:autoSpaceDN/>
              <w:bidi w:val="0"/>
              <w:adjustRightInd w:val="0"/>
              <w:snapToGrid w:val="0"/>
              <w:spacing w:beforeLines="0" w:afterLines="0" w:line="240" w:lineRule="atLeast"/>
              <w:textAlignment w:val="auto"/>
              <w:rPr>
                <w:rFonts w:hAnsi="宋体" w:cs="宋体"/>
                <w:snapToGrid w:val="0"/>
                <w:color w:val="000000"/>
                <w:kern w:val="21"/>
                <w:szCs w:val="21"/>
              </w:rPr>
            </w:pPr>
          </w:p>
        </w:tc>
      </w:tr>
    </w:tbl>
    <w:p w14:paraId="0147C47F">
      <w:pPr>
        <w:pStyle w:val="46"/>
        <w:spacing w:before="192" w:beforeLines="80" w:after="24"/>
        <w:jc w:val="left"/>
        <w:rPr>
          <w:rFonts w:hint="eastAsia"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572307CF">
      <w:pPr>
        <w:rPr>
          <w:rFonts w:hint="eastAsia"/>
        </w:rPr>
      </w:pPr>
    </w:p>
    <w:p w14:paraId="2D3E7DA1">
      <w:pPr>
        <w:rPr>
          <w:rFonts w:hint="eastAsia"/>
        </w:rPr>
        <w:sectPr>
          <w:footerReference r:id="rId8" w:type="default"/>
          <w:pgSz w:w="16838" w:h="11906" w:orient="landscape"/>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2C35E15D">
      <w:pPr>
        <w:pStyle w:val="18"/>
        <w:adjustRightInd w:val="0"/>
        <w:snapToGrid w:val="0"/>
        <w:spacing w:before="648" w:beforeLines="270" w:beforeAutospacing="0" w:after="648" w:afterLines="270" w:afterAutospacing="0"/>
        <w:jc w:val="center"/>
        <w:outlineLvl w:val="0"/>
        <w:rPr>
          <w:rFonts w:hint="eastAsia" w:ascii="方正小标宋_GBK" w:hAnsi="黑体" w:eastAsia="方正小标宋_GBK"/>
          <w:snapToGrid w:val="0"/>
          <w:sz w:val="38"/>
          <w:szCs w:val="38"/>
        </w:rPr>
      </w:pPr>
      <w:r>
        <w:rPr>
          <w:rFonts w:hint="eastAsia" w:ascii="方正小标宋_GBK" w:hAnsi="黑体" w:eastAsia="方正小标宋_GBK"/>
          <w:snapToGrid w:val="0"/>
          <w:sz w:val="38"/>
          <w:szCs w:val="38"/>
        </w:rPr>
        <w:t>编制单位和编制人员情况表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327"/>
        <w:gridCol w:w="1859"/>
        <w:gridCol w:w="2180"/>
        <w:gridCol w:w="1361"/>
      </w:tblGrid>
      <w:tr w14:paraId="0F082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4A8D9373">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项目编号</w:t>
            </w:r>
          </w:p>
        </w:tc>
        <w:tc>
          <w:tcPr>
            <w:tcW w:w="5400" w:type="dxa"/>
            <w:gridSpan w:val="3"/>
            <w:noWrap w:val="0"/>
            <w:vAlign w:val="center"/>
          </w:tcPr>
          <w:p w14:paraId="737A7471">
            <w:pPr>
              <w:pStyle w:val="18"/>
              <w:widowControl w:val="0"/>
              <w:adjustRightInd w:val="0"/>
              <w:snapToGrid w:val="0"/>
              <w:spacing w:before="0" w:beforeAutospacing="0" w:after="0" w:afterAutospacing="0"/>
              <w:jc w:val="both"/>
              <w:rPr>
                <w:rFonts w:cs="宋体"/>
                <w:color w:val="000000"/>
                <w:kern w:val="2"/>
                <w:sz w:val="21"/>
                <w:szCs w:val="21"/>
              </w:rPr>
            </w:pPr>
          </w:p>
        </w:tc>
      </w:tr>
      <w:tr w14:paraId="4FF03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6C3ED4DD">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建设项目名称</w:t>
            </w:r>
          </w:p>
        </w:tc>
        <w:tc>
          <w:tcPr>
            <w:tcW w:w="5400" w:type="dxa"/>
            <w:gridSpan w:val="3"/>
            <w:noWrap w:val="0"/>
            <w:vAlign w:val="center"/>
          </w:tcPr>
          <w:p w14:paraId="1371DE18">
            <w:pPr>
              <w:pStyle w:val="18"/>
              <w:widowControl w:val="0"/>
              <w:adjustRightInd w:val="0"/>
              <w:snapToGrid w:val="0"/>
              <w:spacing w:before="0" w:beforeAutospacing="0" w:after="0" w:afterAutospacing="0"/>
              <w:jc w:val="both"/>
              <w:rPr>
                <w:rFonts w:cs="宋体"/>
                <w:color w:val="000000"/>
                <w:kern w:val="2"/>
                <w:sz w:val="21"/>
                <w:szCs w:val="21"/>
              </w:rPr>
            </w:pPr>
          </w:p>
        </w:tc>
      </w:tr>
      <w:tr w14:paraId="57C1A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4AF94650">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建设项目类别</w:t>
            </w:r>
          </w:p>
        </w:tc>
        <w:tc>
          <w:tcPr>
            <w:tcW w:w="5400" w:type="dxa"/>
            <w:gridSpan w:val="3"/>
            <w:noWrap w:val="0"/>
            <w:vAlign w:val="center"/>
          </w:tcPr>
          <w:p w14:paraId="30F7F230">
            <w:pPr>
              <w:pStyle w:val="18"/>
              <w:widowControl w:val="0"/>
              <w:adjustRightInd w:val="0"/>
              <w:snapToGrid w:val="0"/>
              <w:spacing w:before="0" w:beforeAutospacing="0" w:after="0" w:afterAutospacing="0"/>
              <w:jc w:val="both"/>
              <w:rPr>
                <w:rFonts w:cs="宋体"/>
                <w:color w:val="000000"/>
                <w:kern w:val="2"/>
                <w:sz w:val="21"/>
                <w:szCs w:val="21"/>
              </w:rPr>
            </w:pPr>
          </w:p>
        </w:tc>
      </w:tr>
      <w:tr w14:paraId="71F79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01F040E3">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环境影响评价文件类型</w:t>
            </w:r>
          </w:p>
        </w:tc>
        <w:tc>
          <w:tcPr>
            <w:tcW w:w="5400" w:type="dxa"/>
            <w:gridSpan w:val="3"/>
            <w:noWrap w:val="0"/>
            <w:vAlign w:val="center"/>
          </w:tcPr>
          <w:p w14:paraId="53CF6342">
            <w:pPr>
              <w:pStyle w:val="18"/>
              <w:widowControl w:val="0"/>
              <w:adjustRightInd w:val="0"/>
              <w:snapToGrid w:val="0"/>
              <w:spacing w:before="0" w:beforeAutospacing="0" w:after="0" w:afterAutospacing="0"/>
              <w:jc w:val="both"/>
              <w:rPr>
                <w:rFonts w:cs="宋体"/>
                <w:color w:val="000000"/>
                <w:kern w:val="2"/>
                <w:sz w:val="21"/>
                <w:szCs w:val="21"/>
              </w:rPr>
            </w:pPr>
          </w:p>
        </w:tc>
      </w:tr>
      <w:tr w14:paraId="458AA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14:paraId="7028988F">
            <w:pPr>
              <w:pStyle w:val="18"/>
              <w:widowControl w:val="0"/>
              <w:adjustRightInd w:val="0"/>
              <w:snapToGrid w:val="0"/>
              <w:spacing w:before="0" w:beforeAutospacing="0" w:after="0" w:afterAutospacing="0"/>
              <w:jc w:val="both"/>
              <w:rPr>
                <w:rFonts w:ascii="黑体" w:hAnsi="黑体" w:eastAsia="黑体" w:cs="宋体"/>
                <w:color w:val="000000"/>
                <w:kern w:val="2"/>
                <w:sz w:val="21"/>
                <w:szCs w:val="21"/>
              </w:rPr>
            </w:pPr>
            <w:r>
              <w:rPr>
                <w:rFonts w:hint="eastAsia" w:ascii="黑体" w:hAnsi="黑体" w:eastAsia="黑体" w:cs="宋体"/>
                <w:color w:val="000000"/>
                <w:kern w:val="2"/>
                <w:sz w:val="21"/>
                <w:szCs w:val="21"/>
              </w:rPr>
              <w:t>一、建设单位情况</w:t>
            </w:r>
          </w:p>
        </w:tc>
      </w:tr>
      <w:tr w14:paraId="06DFC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1B1963F8">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单位名称（盖章）</w:t>
            </w:r>
          </w:p>
        </w:tc>
        <w:tc>
          <w:tcPr>
            <w:tcW w:w="5400" w:type="dxa"/>
            <w:gridSpan w:val="3"/>
            <w:noWrap w:val="0"/>
            <w:vAlign w:val="center"/>
          </w:tcPr>
          <w:p w14:paraId="7DED60B3">
            <w:pPr>
              <w:pStyle w:val="18"/>
              <w:widowControl w:val="0"/>
              <w:adjustRightInd w:val="0"/>
              <w:snapToGrid w:val="0"/>
              <w:spacing w:before="0" w:beforeAutospacing="0" w:after="0" w:afterAutospacing="0"/>
              <w:jc w:val="both"/>
              <w:rPr>
                <w:rFonts w:cs="宋体"/>
                <w:color w:val="000000"/>
                <w:kern w:val="2"/>
                <w:sz w:val="21"/>
                <w:szCs w:val="21"/>
              </w:rPr>
            </w:pPr>
          </w:p>
        </w:tc>
      </w:tr>
      <w:tr w14:paraId="61949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0DA9663B">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统一社会信用代码</w:t>
            </w:r>
          </w:p>
        </w:tc>
        <w:tc>
          <w:tcPr>
            <w:tcW w:w="5400" w:type="dxa"/>
            <w:gridSpan w:val="3"/>
            <w:noWrap w:val="0"/>
            <w:vAlign w:val="center"/>
          </w:tcPr>
          <w:p w14:paraId="25C4E8B2">
            <w:pPr>
              <w:pStyle w:val="18"/>
              <w:widowControl w:val="0"/>
              <w:adjustRightInd w:val="0"/>
              <w:snapToGrid w:val="0"/>
              <w:spacing w:before="0" w:beforeAutospacing="0" w:after="0" w:afterAutospacing="0"/>
              <w:jc w:val="both"/>
              <w:rPr>
                <w:rFonts w:cs="宋体"/>
                <w:color w:val="000000"/>
                <w:kern w:val="2"/>
                <w:sz w:val="21"/>
                <w:szCs w:val="21"/>
              </w:rPr>
            </w:pPr>
          </w:p>
        </w:tc>
      </w:tr>
      <w:tr w14:paraId="78B88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0609F588">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法定代表人（签章）</w:t>
            </w:r>
          </w:p>
        </w:tc>
        <w:tc>
          <w:tcPr>
            <w:tcW w:w="5400" w:type="dxa"/>
            <w:gridSpan w:val="3"/>
            <w:noWrap w:val="0"/>
            <w:vAlign w:val="center"/>
          </w:tcPr>
          <w:p w14:paraId="5EF7A1B7">
            <w:pPr>
              <w:pStyle w:val="18"/>
              <w:widowControl w:val="0"/>
              <w:adjustRightInd w:val="0"/>
              <w:snapToGrid w:val="0"/>
              <w:spacing w:before="0" w:beforeAutospacing="0" w:after="0" w:afterAutospacing="0"/>
              <w:jc w:val="both"/>
              <w:rPr>
                <w:rFonts w:cs="宋体"/>
                <w:color w:val="000000"/>
                <w:kern w:val="2"/>
                <w:sz w:val="21"/>
                <w:szCs w:val="21"/>
              </w:rPr>
            </w:pPr>
          </w:p>
        </w:tc>
      </w:tr>
      <w:tr w14:paraId="7DEF5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0E59737B">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主要负责人（签字）</w:t>
            </w:r>
          </w:p>
        </w:tc>
        <w:tc>
          <w:tcPr>
            <w:tcW w:w="5400" w:type="dxa"/>
            <w:gridSpan w:val="3"/>
            <w:noWrap w:val="0"/>
            <w:vAlign w:val="center"/>
          </w:tcPr>
          <w:p w14:paraId="571BEAA8">
            <w:pPr>
              <w:pStyle w:val="18"/>
              <w:widowControl w:val="0"/>
              <w:adjustRightInd w:val="0"/>
              <w:snapToGrid w:val="0"/>
              <w:spacing w:before="0" w:beforeAutospacing="0" w:after="0" w:afterAutospacing="0"/>
              <w:jc w:val="both"/>
              <w:rPr>
                <w:rFonts w:cs="宋体"/>
                <w:color w:val="000000"/>
                <w:kern w:val="2"/>
                <w:sz w:val="21"/>
                <w:szCs w:val="21"/>
              </w:rPr>
            </w:pPr>
          </w:p>
        </w:tc>
      </w:tr>
      <w:tr w14:paraId="3AB38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52BEF11D">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直接负责的主管人员（签字）</w:t>
            </w:r>
          </w:p>
        </w:tc>
        <w:tc>
          <w:tcPr>
            <w:tcW w:w="5400" w:type="dxa"/>
            <w:gridSpan w:val="3"/>
            <w:noWrap w:val="0"/>
            <w:vAlign w:val="center"/>
          </w:tcPr>
          <w:p w14:paraId="4633623D">
            <w:pPr>
              <w:pStyle w:val="18"/>
              <w:widowControl w:val="0"/>
              <w:adjustRightInd w:val="0"/>
              <w:snapToGrid w:val="0"/>
              <w:spacing w:before="0" w:beforeAutospacing="0" w:after="0" w:afterAutospacing="0"/>
              <w:jc w:val="both"/>
              <w:rPr>
                <w:rFonts w:cs="宋体"/>
                <w:color w:val="000000"/>
                <w:kern w:val="2"/>
                <w:sz w:val="21"/>
                <w:szCs w:val="21"/>
              </w:rPr>
            </w:pPr>
          </w:p>
        </w:tc>
      </w:tr>
      <w:tr w14:paraId="40FDD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14:paraId="1C74D6E5">
            <w:pPr>
              <w:pStyle w:val="18"/>
              <w:widowControl w:val="0"/>
              <w:adjustRightInd w:val="0"/>
              <w:snapToGrid w:val="0"/>
              <w:spacing w:before="0" w:beforeAutospacing="0" w:after="0" w:afterAutospacing="0"/>
              <w:jc w:val="both"/>
              <w:rPr>
                <w:rFonts w:ascii="黑体" w:hAnsi="黑体" w:eastAsia="黑体" w:cs="宋体"/>
                <w:b/>
                <w:color w:val="000000"/>
                <w:kern w:val="2"/>
                <w:sz w:val="21"/>
                <w:szCs w:val="21"/>
              </w:rPr>
            </w:pPr>
            <w:r>
              <w:rPr>
                <w:rFonts w:hint="eastAsia" w:ascii="黑体" w:hAnsi="黑体" w:eastAsia="黑体" w:cs="宋体"/>
                <w:color w:val="000000"/>
                <w:kern w:val="2"/>
                <w:sz w:val="21"/>
                <w:szCs w:val="21"/>
              </w:rPr>
              <w:t>二、编制单位情况</w:t>
            </w:r>
          </w:p>
        </w:tc>
      </w:tr>
      <w:tr w14:paraId="55FF8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7FC7BF18">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单位名称（盖章）</w:t>
            </w:r>
          </w:p>
        </w:tc>
        <w:tc>
          <w:tcPr>
            <w:tcW w:w="5400" w:type="dxa"/>
            <w:gridSpan w:val="3"/>
            <w:noWrap w:val="0"/>
            <w:vAlign w:val="center"/>
          </w:tcPr>
          <w:p w14:paraId="6A803468">
            <w:pPr>
              <w:pStyle w:val="18"/>
              <w:widowControl w:val="0"/>
              <w:adjustRightInd w:val="0"/>
              <w:snapToGrid w:val="0"/>
              <w:spacing w:before="0" w:beforeAutospacing="0" w:after="0" w:afterAutospacing="0"/>
              <w:jc w:val="center"/>
              <w:rPr>
                <w:rFonts w:cs="宋体"/>
                <w:color w:val="000000"/>
                <w:kern w:val="2"/>
                <w:sz w:val="21"/>
                <w:szCs w:val="21"/>
              </w:rPr>
            </w:pPr>
          </w:p>
        </w:tc>
      </w:tr>
      <w:tr w14:paraId="2AD8E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14:paraId="5698FB20">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统一社会信用代码</w:t>
            </w:r>
          </w:p>
        </w:tc>
        <w:tc>
          <w:tcPr>
            <w:tcW w:w="5400" w:type="dxa"/>
            <w:gridSpan w:val="3"/>
            <w:noWrap w:val="0"/>
            <w:vAlign w:val="center"/>
          </w:tcPr>
          <w:p w14:paraId="352648D9">
            <w:pPr>
              <w:pStyle w:val="18"/>
              <w:widowControl w:val="0"/>
              <w:adjustRightInd w:val="0"/>
              <w:snapToGrid w:val="0"/>
              <w:spacing w:before="0" w:beforeAutospacing="0" w:after="0" w:afterAutospacing="0"/>
              <w:jc w:val="center"/>
              <w:rPr>
                <w:rFonts w:cs="宋体"/>
                <w:color w:val="000000"/>
                <w:kern w:val="2"/>
                <w:sz w:val="21"/>
                <w:szCs w:val="21"/>
              </w:rPr>
            </w:pPr>
          </w:p>
        </w:tc>
      </w:tr>
      <w:tr w14:paraId="003B8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14:paraId="37D97C39">
            <w:pPr>
              <w:pStyle w:val="18"/>
              <w:widowControl w:val="0"/>
              <w:adjustRightInd w:val="0"/>
              <w:snapToGrid w:val="0"/>
              <w:spacing w:before="0" w:beforeAutospacing="0" w:after="0" w:afterAutospacing="0"/>
              <w:rPr>
                <w:rFonts w:ascii="黑体" w:hAnsi="黑体" w:eastAsia="黑体" w:cs="宋体"/>
                <w:color w:val="000000"/>
                <w:kern w:val="2"/>
                <w:sz w:val="21"/>
                <w:szCs w:val="21"/>
              </w:rPr>
            </w:pPr>
            <w:r>
              <w:rPr>
                <w:rFonts w:hint="eastAsia" w:ascii="黑体" w:hAnsi="黑体" w:eastAsia="黑体" w:cs="宋体"/>
                <w:color w:val="000000"/>
                <w:kern w:val="2"/>
                <w:sz w:val="21"/>
                <w:szCs w:val="21"/>
              </w:rPr>
              <w:t>三、编制人员情况</w:t>
            </w:r>
          </w:p>
        </w:tc>
      </w:tr>
      <w:tr w14:paraId="034E1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14:paraId="2C8CEEF7">
            <w:pPr>
              <w:pStyle w:val="18"/>
              <w:widowControl w:val="0"/>
              <w:adjustRightInd w:val="0"/>
              <w:snapToGrid w:val="0"/>
              <w:spacing w:before="0" w:beforeAutospacing="0" w:after="0" w:afterAutospacing="0"/>
              <w:rPr>
                <w:rFonts w:cs="宋体"/>
                <w:color w:val="000000"/>
                <w:kern w:val="2"/>
                <w:sz w:val="21"/>
                <w:szCs w:val="21"/>
              </w:rPr>
            </w:pPr>
            <w:r>
              <w:rPr>
                <w:rFonts w:cs="宋体"/>
                <w:color w:val="000000"/>
                <w:kern w:val="2"/>
                <w:sz w:val="21"/>
                <w:szCs w:val="21"/>
              </w:rPr>
              <w:t>1.</w:t>
            </w:r>
            <w:r>
              <w:rPr>
                <w:rFonts w:hint="eastAsia" w:cs="宋体"/>
                <w:color w:val="000000"/>
                <w:kern w:val="2"/>
                <w:sz w:val="21"/>
                <w:szCs w:val="21"/>
              </w:rPr>
              <w:t>编制主持人</w:t>
            </w:r>
          </w:p>
        </w:tc>
      </w:tr>
      <w:tr w14:paraId="2714D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14:paraId="31F5D6EB">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姓名</w:t>
            </w:r>
          </w:p>
        </w:tc>
        <w:tc>
          <w:tcPr>
            <w:tcW w:w="4186" w:type="dxa"/>
            <w:gridSpan w:val="2"/>
            <w:noWrap w:val="0"/>
            <w:vAlign w:val="center"/>
          </w:tcPr>
          <w:p w14:paraId="6865E9C0">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职业资格证书管理号</w:t>
            </w:r>
          </w:p>
        </w:tc>
        <w:tc>
          <w:tcPr>
            <w:tcW w:w="2180" w:type="dxa"/>
            <w:noWrap w:val="0"/>
            <w:vAlign w:val="center"/>
          </w:tcPr>
          <w:p w14:paraId="1077913F">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信用编号</w:t>
            </w:r>
          </w:p>
        </w:tc>
        <w:tc>
          <w:tcPr>
            <w:tcW w:w="1361" w:type="dxa"/>
            <w:noWrap w:val="0"/>
            <w:vAlign w:val="center"/>
          </w:tcPr>
          <w:p w14:paraId="58720104">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签字</w:t>
            </w:r>
          </w:p>
        </w:tc>
      </w:tr>
      <w:tr w14:paraId="6ACE4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14:paraId="52FC462E">
            <w:pPr>
              <w:pStyle w:val="18"/>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noWrap w:val="0"/>
            <w:vAlign w:val="center"/>
          </w:tcPr>
          <w:p w14:paraId="2AA28D05">
            <w:pPr>
              <w:pStyle w:val="18"/>
              <w:widowControl w:val="0"/>
              <w:adjustRightInd w:val="0"/>
              <w:snapToGrid w:val="0"/>
              <w:spacing w:before="0" w:beforeAutospacing="0" w:after="0" w:afterAutospacing="0"/>
              <w:jc w:val="center"/>
              <w:rPr>
                <w:rFonts w:cs="宋体"/>
                <w:color w:val="000000"/>
                <w:kern w:val="2"/>
                <w:sz w:val="21"/>
                <w:szCs w:val="21"/>
              </w:rPr>
            </w:pPr>
          </w:p>
        </w:tc>
        <w:tc>
          <w:tcPr>
            <w:tcW w:w="2180" w:type="dxa"/>
            <w:noWrap w:val="0"/>
            <w:vAlign w:val="center"/>
          </w:tcPr>
          <w:p w14:paraId="33E9F840">
            <w:pPr>
              <w:pStyle w:val="18"/>
              <w:widowControl w:val="0"/>
              <w:adjustRightInd w:val="0"/>
              <w:snapToGrid w:val="0"/>
              <w:spacing w:before="0" w:beforeAutospacing="0" w:after="0" w:afterAutospacing="0"/>
              <w:jc w:val="center"/>
              <w:rPr>
                <w:rFonts w:cs="宋体"/>
                <w:color w:val="000000"/>
                <w:kern w:val="2"/>
                <w:sz w:val="21"/>
                <w:szCs w:val="21"/>
              </w:rPr>
            </w:pPr>
          </w:p>
        </w:tc>
        <w:tc>
          <w:tcPr>
            <w:tcW w:w="1361" w:type="dxa"/>
            <w:noWrap w:val="0"/>
            <w:vAlign w:val="center"/>
          </w:tcPr>
          <w:p w14:paraId="4B40CE5C">
            <w:pPr>
              <w:pStyle w:val="18"/>
              <w:widowControl w:val="0"/>
              <w:adjustRightInd w:val="0"/>
              <w:snapToGrid w:val="0"/>
              <w:spacing w:before="0" w:beforeAutospacing="0" w:after="0" w:afterAutospacing="0"/>
              <w:jc w:val="center"/>
              <w:rPr>
                <w:rFonts w:cs="宋体"/>
                <w:color w:val="000000"/>
                <w:kern w:val="2"/>
                <w:sz w:val="21"/>
                <w:szCs w:val="21"/>
              </w:rPr>
            </w:pPr>
          </w:p>
        </w:tc>
      </w:tr>
      <w:tr w14:paraId="186A4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14:paraId="687D40BB">
            <w:pPr>
              <w:pStyle w:val="18"/>
              <w:widowControl w:val="0"/>
              <w:adjustRightInd w:val="0"/>
              <w:snapToGrid w:val="0"/>
              <w:spacing w:before="0" w:beforeAutospacing="0" w:after="0" w:afterAutospacing="0"/>
              <w:rPr>
                <w:rFonts w:cs="宋体"/>
                <w:color w:val="000000"/>
                <w:kern w:val="2"/>
                <w:sz w:val="21"/>
                <w:szCs w:val="21"/>
              </w:rPr>
            </w:pPr>
            <w:r>
              <w:rPr>
                <w:rFonts w:cs="宋体"/>
                <w:color w:val="000000"/>
                <w:kern w:val="2"/>
                <w:sz w:val="21"/>
                <w:szCs w:val="21"/>
              </w:rPr>
              <w:t>2.</w:t>
            </w:r>
            <w:r>
              <w:rPr>
                <w:rFonts w:hint="eastAsia" w:cs="宋体"/>
                <w:color w:val="000000"/>
                <w:kern w:val="2"/>
                <w:sz w:val="21"/>
                <w:szCs w:val="21"/>
              </w:rPr>
              <w:t>主要编制人员</w:t>
            </w:r>
          </w:p>
        </w:tc>
      </w:tr>
      <w:tr w14:paraId="5D3C9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14:paraId="0C98CC15">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姓名</w:t>
            </w:r>
          </w:p>
        </w:tc>
        <w:tc>
          <w:tcPr>
            <w:tcW w:w="4186" w:type="dxa"/>
            <w:gridSpan w:val="2"/>
            <w:noWrap w:val="0"/>
            <w:vAlign w:val="center"/>
          </w:tcPr>
          <w:p w14:paraId="2C493203">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主要编写内容</w:t>
            </w:r>
          </w:p>
        </w:tc>
        <w:tc>
          <w:tcPr>
            <w:tcW w:w="2180" w:type="dxa"/>
            <w:noWrap w:val="0"/>
            <w:vAlign w:val="center"/>
          </w:tcPr>
          <w:p w14:paraId="0FAFE506">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信用编号</w:t>
            </w:r>
          </w:p>
        </w:tc>
        <w:tc>
          <w:tcPr>
            <w:tcW w:w="1361" w:type="dxa"/>
            <w:noWrap w:val="0"/>
            <w:vAlign w:val="center"/>
          </w:tcPr>
          <w:p w14:paraId="579C0BB1">
            <w:pPr>
              <w:pStyle w:val="18"/>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签字</w:t>
            </w:r>
          </w:p>
        </w:tc>
      </w:tr>
      <w:tr w14:paraId="685BF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14:paraId="3A69EB65">
            <w:pPr>
              <w:pStyle w:val="18"/>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noWrap w:val="0"/>
            <w:vAlign w:val="center"/>
          </w:tcPr>
          <w:p w14:paraId="33DB5035">
            <w:pPr>
              <w:pStyle w:val="18"/>
              <w:widowControl w:val="0"/>
              <w:adjustRightInd w:val="0"/>
              <w:snapToGrid w:val="0"/>
              <w:spacing w:before="0" w:beforeAutospacing="0" w:after="0" w:afterAutospacing="0"/>
              <w:jc w:val="center"/>
              <w:rPr>
                <w:rFonts w:cs="宋体"/>
                <w:color w:val="000000"/>
                <w:kern w:val="2"/>
                <w:sz w:val="21"/>
                <w:szCs w:val="21"/>
              </w:rPr>
            </w:pPr>
          </w:p>
        </w:tc>
        <w:tc>
          <w:tcPr>
            <w:tcW w:w="2180" w:type="dxa"/>
            <w:noWrap w:val="0"/>
            <w:vAlign w:val="center"/>
          </w:tcPr>
          <w:p w14:paraId="05535A29">
            <w:pPr>
              <w:pStyle w:val="18"/>
              <w:widowControl w:val="0"/>
              <w:adjustRightInd w:val="0"/>
              <w:snapToGrid w:val="0"/>
              <w:spacing w:before="0" w:beforeAutospacing="0" w:after="0" w:afterAutospacing="0"/>
              <w:jc w:val="center"/>
              <w:rPr>
                <w:rFonts w:cs="宋体"/>
                <w:color w:val="000000"/>
                <w:kern w:val="2"/>
                <w:sz w:val="21"/>
                <w:szCs w:val="21"/>
              </w:rPr>
            </w:pPr>
          </w:p>
        </w:tc>
        <w:tc>
          <w:tcPr>
            <w:tcW w:w="1361" w:type="dxa"/>
            <w:noWrap w:val="0"/>
            <w:vAlign w:val="center"/>
          </w:tcPr>
          <w:p w14:paraId="52F9420E">
            <w:pPr>
              <w:pStyle w:val="18"/>
              <w:widowControl w:val="0"/>
              <w:adjustRightInd w:val="0"/>
              <w:snapToGrid w:val="0"/>
              <w:spacing w:before="0" w:beforeAutospacing="0" w:after="0" w:afterAutospacing="0"/>
              <w:jc w:val="center"/>
              <w:rPr>
                <w:rFonts w:cs="宋体"/>
                <w:color w:val="000000"/>
                <w:kern w:val="2"/>
                <w:sz w:val="21"/>
                <w:szCs w:val="21"/>
              </w:rPr>
            </w:pPr>
          </w:p>
        </w:tc>
      </w:tr>
      <w:tr w14:paraId="0792B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14:paraId="00157264">
            <w:pPr>
              <w:pStyle w:val="18"/>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noWrap w:val="0"/>
            <w:vAlign w:val="center"/>
          </w:tcPr>
          <w:p w14:paraId="6FA45801">
            <w:pPr>
              <w:pStyle w:val="18"/>
              <w:widowControl w:val="0"/>
              <w:adjustRightInd w:val="0"/>
              <w:snapToGrid w:val="0"/>
              <w:spacing w:before="0" w:beforeAutospacing="0" w:after="0" w:afterAutospacing="0"/>
              <w:jc w:val="center"/>
              <w:rPr>
                <w:rFonts w:cs="宋体"/>
                <w:color w:val="000000"/>
                <w:kern w:val="2"/>
                <w:sz w:val="21"/>
                <w:szCs w:val="21"/>
              </w:rPr>
            </w:pPr>
          </w:p>
        </w:tc>
        <w:tc>
          <w:tcPr>
            <w:tcW w:w="2180" w:type="dxa"/>
            <w:noWrap w:val="0"/>
            <w:vAlign w:val="center"/>
          </w:tcPr>
          <w:p w14:paraId="46EDD9B3">
            <w:pPr>
              <w:pStyle w:val="18"/>
              <w:widowControl w:val="0"/>
              <w:adjustRightInd w:val="0"/>
              <w:snapToGrid w:val="0"/>
              <w:spacing w:before="0" w:beforeAutospacing="0" w:after="0" w:afterAutospacing="0"/>
              <w:jc w:val="center"/>
              <w:rPr>
                <w:rFonts w:cs="宋体"/>
                <w:color w:val="000000"/>
                <w:kern w:val="2"/>
                <w:sz w:val="21"/>
                <w:szCs w:val="21"/>
              </w:rPr>
            </w:pPr>
          </w:p>
        </w:tc>
        <w:tc>
          <w:tcPr>
            <w:tcW w:w="1361" w:type="dxa"/>
            <w:noWrap w:val="0"/>
            <w:vAlign w:val="center"/>
          </w:tcPr>
          <w:p w14:paraId="79BD62C5">
            <w:pPr>
              <w:pStyle w:val="18"/>
              <w:widowControl w:val="0"/>
              <w:adjustRightInd w:val="0"/>
              <w:snapToGrid w:val="0"/>
              <w:spacing w:before="0" w:beforeAutospacing="0" w:after="0" w:afterAutospacing="0"/>
              <w:jc w:val="center"/>
              <w:rPr>
                <w:rFonts w:cs="宋体"/>
                <w:color w:val="000000"/>
                <w:kern w:val="2"/>
                <w:sz w:val="21"/>
                <w:szCs w:val="21"/>
              </w:rPr>
            </w:pPr>
          </w:p>
        </w:tc>
      </w:tr>
      <w:tr w14:paraId="59F0D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33" w:type="dxa"/>
            <w:noWrap w:val="0"/>
            <w:vAlign w:val="center"/>
          </w:tcPr>
          <w:p w14:paraId="7BC4568E">
            <w:pPr>
              <w:pStyle w:val="18"/>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noWrap w:val="0"/>
            <w:vAlign w:val="center"/>
          </w:tcPr>
          <w:p w14:paraId="73385ABB">
            <w:pPr>
              <w:pStyle w:val="18"/>
              <w:widowControl w:val="0"/>
              <w:adjustRightInd w:val="0"/>
              <w:snapToGrid w:val="0"/>
              <w:spacing w:before="0" w:beforeAutospacing="0" w:after="0" w:afterAutospacing="0"/>
              <w:jc w:val="center"/>
              <w:rPr>
                <w:rFonts w:cs="宋体"/>
                <w:color w:val="000000"/>
                <w:kern w:val="2"/>
                <w:sz w:val="21"/>
                <w:szCs w:val="21"/>
              </w:rPr>
            </w:pPr>
          </w:p>
        </w:tc>
        <w:tc>
          <w:tcPr>
            <w:tcW w:w="2180" w:type="dxa"/>
            <w:noWrap w:val="0"/>
            <w:vAlign w:val="center"/>
          </w:tcPr>
          <w:p w14:paraId="38AFAA20">
            <w:pPr>
              <w:pStyle w:val="18"/>
              <w:widowControl w:val="0"/>
              <w:adjustRightInd w:val="0"/>
              <w:snapToGrid w:val="0"/>
              <w:spacing w:before="0" w:beforeAutospacing="0" w:after="0" w:afterAutospacing="0"/>
              <w:jc w:val="center"/>
              <w:rPr>
                <w:rFonts w:cs="宋体"/>
                <w:color w:val="000000"/>
                <w:kern w:val="2"/>
                <w:sz w:val="21"/>
                <w:szCs w:val="21"/>
              </w:rPr>
            </w:pPr>
          </w:p>
        </w:tc>
        <w:tc>
          <w:tcPr>
            <w:tcW w:w="1361" w:type="dxa"/>
            <w:noWrap w:val="0"/>
            <w:vAlign w:val="center"/>
          </w:tcPr>
          <w:p w14:paraId="0704A3A9">
            <w:pPr>
              <w:pStyle w:val="18"/>
              <w:widowControl w:val="0"/>
              <w:adjustRightInd w:val="0"/>
              <w:snapToGrid w:val="0"/>
              <w:spacing w:before="0" w:beforeAutospacing="0" w:after="0" w:afterAutospacing="0"/>
              <w:jc w:val="center"/>
              <w:rPr>
                <w:rFonts w:cs="宋体"/>
                <w:color w:val="000000"/>
                <w:kern w:val="2"/>
                <w:sz w:val="21"/>
                <w:szCs w:val="21"/>
              </w:rPr>
            </w:pPr>
          </w:p>
        </w:tc>
      </w:tr>
      <w:tr w14:paraId="6DC9E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14:paraId="3FF35FBE">
            <w:pPr>
              <w:pStyle w:val="18"/>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noWrap w:val="0"/>
            <w:vAlign w:val="center"/>
          </w:tcPr>
          <w:p w14:paraId="65B9F5A8">
            <w:pPr>
              <w:pStyle w:val="18"/>
              <w:widowControl w:val="0"/>
              <w:adjustRightInd w:val="0"/>
              <w:snapToGrid w:val="0"/>
              <w:spacing w:before="0" w:beforeAutospacing="0" w:after="0" w:afterAutospacing="0"/>
              <w:jc w:val="center"/>
              <w:rPr>
                <w:rFonts w:cs="宋体"/>
                <w:color w:val="000000"/>
                <w:kern w:val="2"/>
                <w:sz w:val="21"/>
                <w:szCs w:val="21"/>
              </w:rPr>
            </w:pPr>
          </w:p>
        </w:tc>
        <w:tc>
          <w:tcPr>
            <w:tcW w:w="2180" w:type="dxa"/>
            <w:noWrap w:val="0"/>
            <w:vAlign w:val="center"/>
          </w:tcPr>
          <w:p w14:paraId="0E20F73F">
            <w:pPr>
              <w:pStyle w:val="18"/>
              <w:widowControl w:val="0"/>
              <w:adjustRightInd w:val="0"/>
              <w:snapToGrid w:val="0"/>
              <w:spacing w:before="0" w:beforeAutospacing="0" w:after="0" w:afterAutospacing="0"/>
              <w:jc w:val="center"/>
              <w:rPr>
                <w:rFonts w:cs="宋体"/>
                <w:color w:val="000000"/>
                <w:kern w:val="2"/>
                <w:sz w:val="21"/>
                <w:szCs w:val="21"/>
              </w:rPr>
            </w:pPr>
          </w:p>
        </w:tc>
        <w:tc>
          <w:tcPr>
            <w:tcW w:w="1361" w:type="dxa"/>
            <w:noWrap w:val="0"/>
            <w:vAlign w:val="center"/>
          </w:tcPr>
          <w:p w14:paraId="58BE592D">
            <w:pPr>
              <w:pStyle w:val="18"/>
              <w:widowControl w:val="0"/>
              <w:adjustRightInd w:val="0"/>
              <w:snapToGrid w:val="0"/>
              <w:spacing w:before="0" w:beforeAutospacing="0" w:after="0" w:afterAutospacing="0"/>
              <w:jc w:val="center"/>
              <w:rPr>
                <w:rFonts w:cs="宋体"/>
                <w:color w:val="000000"/>
                <w:kern w:val="2"/>
                <w:sz w:val="21"/>
                <w:szCs w:val="21"/>
              </w:rPr>
            </w:pPr>
          </w:p>
        </w:tc>
      </w:tr>
    </w:tbl>
    <w:p w14:paraId="7047451D">
      <w:pPr>
        <w:adjustRightInd w:val="0"/>
        <w:snapToGrid w:val="0"/>
        <w:spacing w:before="192" w:beforeLines="80"/>
        <w:rPr>
          <w:rFonts w:hint="eastAsia" w:ascii="宋体" w:hAnsi="宋体" w:cs="宋体"/>
          <w:szCs w:val="21"/>
        </w:rPr>
      </w:pPr>
      <w:r>
        <w:rPr>
          <w:rFonts w:hint="eastAsia" w:ascii="宋体" w:hAnsi="宋体" w:cs="宋体"/>
          <w:szCs w:val="21"/>
        </w:rPr>
        <w:t>注：该表由环境影响评价信用平台自动生成</w:t>
      </w:r>
    </w:p>
    <w:p w14:paraId="5B061729">
      <w:pPr>
        <w:rPr>
          <w:rFonts w:hint="eastAsia" w:ascii="宋体" w:hAnsi="宋体" w:cs="宋体"/>
          <w:szCs w:val="21"/>
        </w:rPr>
      </w:pPr>
    </w:p>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E801">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93A8">
    <w:pPr>
      <w:pStyle w:val="13"/>
      <w:framePr w:wrap="around" w:vAnchor="text" w:hAnchor="margin" w:xAlign="center" w:y="1"/>
      <w:rPr>
        <w:rStyle w:val="27"/>
      </w:rPr>
    </w:pPr>
    <w:r>
      <w:fldChar w:fldCharType="begin"/>
    </w:r>
    <w:r>
      <w:rPr>
        <w:rStyle w:val="27"/>
      </w:rPr>
      <w:instrText xml:space="preserve">PAGE  </w:instrText>
    </w:r>
    <w:r>
      <w:fldChar w:fldCharType="end"/>
    </w:r>
  </w:p>
  <w:p w14:paraId="53A6C7B4">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5C55">
    <w:pPr>
      <w:pStyle w:val="1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836624">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KTRqeIBAADCAwAADgAA&#10;AAAAAAABACAAAAAeAQAAZHJzL2Uyb0RvYy54bWxQSwUGAAAAAAYABgBZAQAAcgUAAAAA&#10;">
              <v:fill on="f" focussize="0,0"/>
              <v:stroke on="f"/>
              <v:imagedata o:title=""/>
              <o:lock v:ext="edit" aspectratio="f"/>
              <v:textbox inset="0mm,0mm,0mm,0mm" style="mso-fit-shape-to-text:t;">
                <w:txbxContent>
                  <w:p w14:paraId="5483662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A435D">
    <w:pPr>
      <w:pStyle w:val="13"/>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84F381">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1tLBc0BAACdAwAADgAAAAAAAAABACAAAAAeAQAAZHJzL2Uy&#10;b0RvYy54bWxQSwUGAAAAAAYABgBZAQAAXQUAAAAA&#10;">
              <v:fill on="f" focussize="0,0"/>
              <v:stroke on="f"/>
              <v:imagedata o:title=""/>
              <o:lock v:ext="edit" aspectratio="f"/>
              <v:textbox inset="0mm,0mm,0mm,0mm" style="mso-fit-shape-to-text:t;">
                <w:txbxContent>
                  <w:p w14:paraId="5284F38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2152">
    <w:pPr>
      <w:pStyle w:val="13"/>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154D9">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wf8eIBAADCAwAADgAA&#10;AAAAAAABACAAAAAeAQAAZHJzL2Uyb0RvYy54bWxQSwUGAAAAAAYABgBZAQAAcgUAAAAA&#10;">
              <v:fill on="f" focussize="0,0"/>
              <v:stroke on="f"/>
              <v:imagedata o:title=""/>
              <o:lock v:ext="edit" aspectratio="f"/>
              <v:textbox inset="0mm,0mm,0mm,0mm" style="mso-fit-shape-to-text:t;">
                <w:txbxContent>
                  <w:p w14:paraId="79F154D9">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BE31">
    <w:pPr>
      <w:pStyle w:val="13"/>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1B1D0C">
                          <w:pPr>
                            <w:pStyle w:val="13"/>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1cPA+IBAADCAwAADgAA&#10;AAAAAAABACAAAAAeAQAAZHJzL2Uyb0RvYy54bWxQSwUGAAAAAAYABgBZAQAAcgUAAAAA&#10;">
              <v:fill on="f" focussize="0,0"/>
              <v:stroke on="f"/>
              <v:imagedata o:title=""/>
              <o:lock v:ext="edit" aspectratio="f"/>
              <v:textbox inset="0mm,0mm,0mm,0mm" style="mso-fit-shape-to-text:t;">
                <w:txbxContent>
                  <w:p w14:paraId="7F1B1D0C">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527C8">
    <w:pPr>
      <w:pStyle w:val="13"/>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A9389">
                          <w:pPr>
                            <w:pStyle w:val="13"/>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GHEQK4QEAAMIDAAAOAAAA&#10;AAAAAAEAIAAAAB4BAABkcnMvZTJvRG9jLnhtbFBLBQYAAAAABgAGAFkBAABxBQAAAAA=&#10;">
              <v:fill on="f" focussize="0,0"/>
              <v:stroke on="f"/>
              <v:imagedata o:title=""/>
              <o:lock v:ext="edit" aspectratio="f"/>
              <v:textbox inset="0mm,0mm,0mm,0mm" style="mso-fit-shape-to-text:t;">
                <w:txbxContent>
                  <w:p w14:paraId="78DA9389">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92792"/>
    <w:multiLevelType w:val="singleLevel"/>
    <w:tmpl w:val="84592792"/>
    <w:lvl w:ilvl="0" w:tentative="0">
      <w:start w:val="4"/>
      <w:numFmt w:val="decimal"/>
      <w:suff w:val="nothing"/>
      <w:lvlText w:val="（%1）"/>
      <w:lvlJc w:val="left"/>
    </w:lvl>
  </w:abstractNum>
  <w:abstractNum w:abstractNumId="1">
    <w:nsid w:val="84FDA989"/>
    <w:multiLevelType w:val="singleLevel"/>
    <w:tmpl w:val="84FDA989"/>
    <w:lvl w:ilvl="0" w:tentative="0">
      <w:start w:val="4"/>
      <w:numFmt w:val="decimal"/>
      <w:suff w:val="nothing"/>
      <w:lvlText w:val="%1、"/>
      <w:lvlJc w:val="left"/>
    </w:lvl>
  </w:abstractNum>
  <w:abstractNum w:abstractNumId="2">
    <w:nsid w:val="979D0B5A"/>
    <w:multiLevelType w:val="singleLevel"/>
    <w:tmpl w:val="979D0B5A"/>
    <w:lvl w:ilvl="0" w:tentative="0">
      <w:start w:val="2"/>
      <w:numFmt w:val="chineseCounting"/>
      <w:suff w:val="nothing"/>
      <w:lvlText w:val="%1、"/>
      <w:lvlJc w:val="left"/>
      <w:rPr>
        <w:rFonts w:hint="eastAsia"/>
      </w:rPr>
    </w:lvl>
  </w:abstractNum>
  <w:abstractNum w:abstractNumId="3">
    <w:nsid w:val="E60265A4"/>
    <w:multiLevelType w:val="singleLevel"/>
    <w:tmpl w:val="E60265A4"/>
    <w:lvl w:ilvl="0" w:tentative="0">
      <w:start w:val="3"/>
      <w:numFmt w:val="decimal"/>
      <w:suff w:val="nothing"/>
      <w:lvlText w:val="%1、"/>
      <w:lvlJc w:val="left"/>
    </w:lvl>
  </w:abstractNum>
  <w:abstractNum w:abstractNumId="4">
    <w:nsid w:val="16DF2990"/>
    <w:multiLevelType w:val="multilevel"/>
    <w:tmpl w:val="16DF2990"/>
    <w:lvl w:ilvl="0" w:tentative="0">
      <w:start w:val="1"/>
      <w:numFmt w:val="decimal"/>
      <w:lvlText w:val="%1"/>
      <w:lvlJc w:val="left"/>
      <w:pPr>
        <w:tabs>
          <w:tab w:val="left" w:pos="792"/>
        </w:tabs>
        <w:ind w:left="792" w:hanging="432"/>
      </w:pPr>
      <w:rPr>
        <w:rFonts w:cs="Times New Roman"/>
      </w:rPr>
    </w:lvl>
    <w:lvl w:ilvl="1" w:tentative="0">
      <w:start w:val="1"/>
      <w:numFmt w:val="decimal"/>
      <w:lvlText w:val="%1.%2"/>
      <w:lvlJc w:val="left"/>
      <w:pPr>
        <w:tabs>
          <w:tab w:val="left" w:pos="1101"/>
        </w:tabs>
        <w:ind w:left="1101" w:hanging="576"/>
      </w:pPr>
      <w:rPr>
        <w:rFonts w:cs="Times New Roman"/>
        <w:b/>
      </w:rPr>
    </w:lvl>
    <w:lvl w:ilvl="2" w:tentative="0">
      <w:start w:val="1"/>
      <w:numFmt w:val="decimal"/>
      <w:pStyle w:val="62"/>
      <w:lvlText w:val="%1.%2.%3"/>
      <w:lvlJc w:val="left"/>
      <w:pPr>
        <w:tabs>
          <w:tab w:val="left" w:pos="1140"/>
        </w:tabs>
        <w:ind w:left="1140" w:hanging="720"/>
      </w:pPr>
      <w:rPr>
        <w:rFonts w:cs="Times New Roman"/>
      </w:rPr>
    </w:lvl>
    <w:lvl w:ilvl="3" w:tentative="0">
      <w:start w:val="1"/>
      <w:numFmt w:val="decimal"/>
      <w:lvlText w:val="%1.%2.%3.%4"/>
      <w:lvlJc w:val="left"/>
      <w:pPr>
        <w:tabs>
          <w:tab w:val="left" w:pos="1374"/>
        </w:tabs>
        <w:ind w:left="1374" w:hanging="864"/>
      </w:pPr>
      <w:rPr>
        <w:rFonts w:cs="Times New Roman"/>
      </w:rPr>
    </w:lvl>
    <w:lvl w:ilvl="4" w:tentative="0">
      <w:start w:val="1"/>
      <w:numFmt w:val="decimal"/>
      <w:lvlText w:val="%1.%2.%3.%4.%5"/>
      <w:lvlJc w:val="left"/>
      <w:pPr>
        <w:tabs>
          <w:tab w:val="left" w:pos="1518"/>
        </w:tabs>
        <w:ind w:left="1518" w:hanging="1008"/>
      </w:pPr>
      <w:rPr>
        <w:rFonts w:cs="Times New Roman"/>
      </w:rPr>
    </w:lvl>
    <w:lvl w:ilvl="5" w:tentative="0">
      <w:start w:val="1"/>
      <w:numFmt w:val="decimal"/>
      <w:lvlText w:val="%1.%2.%3.%4.%5.%6"/>
      <w:lvlJc w:val="left"/>
      <w:pPr>
        <w:tabs>
          <w:tab w:val="left" w:pos="1662"/>
        </w:tabs>
        <w:ind w:left="1662" w:hanging="1152"/>
      </w:pPr>
      <w:rPr>
        <w:rFonts w:cs="Times New Roman"/>
      </w:rPr>
    </w:lvl>
    <w:lvl w:ilvl="6" w:tentative="0">
      <w:start w:val="1"/>
      <w:numFmt w:val="decimal"/>
      <w:lvlText w:val="%1.%2.%3.%4.%5.%6.%7"/>
      <w:lvlJc w:val="left"/>
      <w:pPr>
        <w:tabs>
          <w:tab w:val="left" w:pos="1806"/>
        </w:tabs>
        <w:ind w:left="1806" w:hanging="1296"/>
      </w:pPr>
      <w:rPr>
        <w:rFonts w:cs="Times New Roman"/>
      </w:rPr>
    </w:lvl>
    <w:lvl w:ilvl="7" w:tentative="0">
      <w:start w:val="1"/>
      <w:numFmt w:val="decimal"/>
      <w:lvlText w:val="%1.%2.%3.%4.%5.%6.%7.%8"/>
      <w:lvlJc w:val="left"/>
      <w:pPr>
        <w:tabs>
          <w:tab w:val="left" w:pos="1950"/>
        </w:tabs>
        <w:ind w:left="1950" w:hanging="1440"/>
      </w:pPr>
      <w:rPr>
        <w:rFonts w:cs="Times New Roman"/>
      </w:rPr>
    </w:lvl>
    <w:lvl w:ilvl="8" w:tentative="0">
      <w:start w:val="1"/>
      <w:numFmt w:val="decimal"/>
      <w:lvlText w:val="%1.%2.%3.%4.%5.%6.%7.%8.%9"/>
      <w:lvlJc w:val="left"/>
      <w:pPr>
        <w:tabs>
          <w:tab w:val="left" w:pos="2094"/>
        </w:tabs>
        <w:ind w:left="2094" w:hanging="1584"/>
      </w:pPr>
      <w:rPr>
        <w:rFonts w:cs="Times New Roman"/>
      </w:rPr>
    </w:lvl>
  </w:abstractNum>
  <w:abstractNum w:abstractNumId="5">
    <w:nsid w:val="57392B4F"/>
    <w:multiLevelType w:val="singleLevel"/>
    <w:tmpl w:val="57392B4F"/>
    <w:lvl w:ilvl="0" w:tentative="0">
      <w:start w:val="2"/>
      <w:numFmt w:val="decimal"/>
      <w:suff w:val="nothing"/>
      <w:lvlText w:val="%1、"/>
      <w:lvlJc w:val="left"/>
    </w:lvl>
  </w:abstractNum>
  <w:abstractNum w:abstractNumId="6">
    <w:nsid w:val="7E9398F4"/>
    <w:multiLevelType w:val="singleLevel"/>
    <w:tmpl w:val="7E9398F4"/>
    <w:lvl w:ilvl="0" w:tentative="0">
      <w:start w:val="2"/>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224FE"/>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8D7421"/>
    <w:rsid w:val="02F96569"/>
    <w:rsid w:val="03D251BA"/>
    <w:rsid w:val="03EA7B21"/>
    <w:rsid w:val="04B846B9"/>
    <w:rsid w:val="04D56E5D"/>
    <w:rsid w:val="05A056BD"/>
    <w:rsid w:val="05F114DE"/>
    <w:rsid w:val="05F83EAE"/>
    <w:rsid w:val="061816F7"/>
    <w:rsid w:val="063E7D85"/>
    <w:rsid w:val="07293586"/>
    <w:rsid w:val="07295285"/>
    <w:rsid w:val="07636392"/>
    <w:rsid w:val="076E3F95"/>
    <w:rsid w:val="07770C56"/>
    <w:rsid w:val="08C77405"/>
    <w:rsid w:val="092217DD"/>
    <w:rsid w:val="093A7294"/>
    <w:rsid w:val="09712508"/>
    <w:rsid w:val="0A263993"/>
    <w:rsid w:val="0A2D3AC2"/>
    <w:rsid w:val="0AA755DF"/>
    <w:rsid w:val="0B120D44"/>
    <w:rsid w:val="0BD27BF6"/>
    <w:rsid w:val="0C3B3C7D"/>
    <w:rsid w:val="0C674136"/>
    <w:rsid w:val="0CAB2EAE"/>
    <w:rsid w:val="0CBF6A52"/>
    <w:rsid w:val="0CD00E5B"/>
    <w:rsid w:val="0CFF09C2"/>
    <w:rsid w:val="0D621C7D"/>
    <w:rsid w:val="0E73034D"/>
    <w:rsid w:val="0ED70B14"/>
    <w:rsid w:val="0F13775A"/>
    <w:rsid w:val="0F5F45FE"/>
    <w:rsid w:val="0F7A03BD"/>
    <w:rsid w:val="0F9A112B"/>
    <w:rsid w:val="106D2F64"/>
    <w:rsid w:val="108E1812"/>
    <w:rsid w:val="10993FB0"/>
    <w:rsid w:val="10AB12C6"/>
    <w:rsid w:val="10B63710"/>
    <w:rsid w:val="10F10820"/>
    <w:rsid w:val="1116015D"/>
    <w:rsid w:val="111C2F7A"/>
    <w:rsid w:val="11665CA1"/>
    <w:rsid w:val="124840FB"/>
    <w:rsid w:val="1266453D"/>
    <w:rsid w:val="12DE6CAE"/>
    <w:rsid w:val="12F26E2C"/>
    <w:rsid w:val="13547AE7"/>
    <w:rsid w:val="136E6DFB"/>
    <w:rsid w:val="13951726"/>
    <w:rsid w:val="14396509"/>
    <w:rsid w:val="14DD2C3C"/>
    <w:rsid w:val="14EF0BCC"/>
    <w:rsid w:val="150647C2"/>
    <w:rsid w:val="16087E1D"/>
    <w:rsid w:val="164C2CF7"/>
    <w:rsid w:val="17035AAC"/>
    <w:rsid w:val="17701D14"/>
    <w:rsid w:val="17735226"/>
    <w:rsid w:val="17CA42DB"/>
    <w:rsid w:val="189F624C"/>
    <w:rsid w:val="1912647A"/>
    <w:rsid w:val="19D774A7"/>
    <w:rsid w:val="19F113B1"/>
    <w:rsid w:val="1A1C66C0"/>
    <w:rsid w:val="1A42393B"/>
    <w:rsid w:val="1A553B47"/>
    <w:rsid w:val="1AAD45DE"/>
    <w:rsid w:val="1B046F80"/>
    <w:rsid w:val="1B3267B5"/>
    <w:rsid w:val="1B40161D"/>
    <w:rsid w:val="1B441859"/>
    <w:rsid w:val="1B6606B1"/>
    <w:rsid w:val="1C492C27"/>
    <w:rsid w:val="1C5E7925"/>
    <w:rsid w:val="1C6B1E96"/>
    <w:rsid w:val="1C743AC1"/>
    <w:rsid w:val="1C817B9F"/>
    <w:rsid w:val="1CA96E43"/>
    <w:rsid w:val="1CFD070F"/>
    <w:rsid w:val="1D443D4D"/>
    <w:rsid w:val="1D5B1CC9"/>
    <w:rsid w:val="1D5F6196"/>
    <w:rsid w:val="1D6132A5"/>
    <w:rsid w:val="1D8E56D5"/>
    <w:rsid w:val="1E7A43DA"/>
    <w:rsid w:val="1FE7539E"/>
    <w:rsid w:val="20671BE0"/>
    <w:rsid w:val="20963CB8"/>
    <w:rsid w:val="20971013"/>
    <w:rsid w:val="20A81A1B"/>
    <w:rsid w:val="20B07FB6"/>
    <w:rsid w:val="20B646FB"/>
    <w:rsid w:val="20E71F9A"/>
    <w:rsid w:val="213B74B1"/>
    <w:rsid w:val="215A2310"/>
    <w:rsid w:val="21852293"/>
    <w:rsid w:val="21AC3DB3"/>
    <w:rsid w:val="21DE318A"/>
    <w:rsid w:val="21EF5B80"/>
    <w:rsid w:val="225620E5"/>
    <w:rsid w:val="22576990"/>
    <w:rsid w:val="22BF1B41"/>
    <w:rsid w:val="22F47480"/>
    <w:rsid w:val="22F73E0B"/>
    <w:rsid w:val="23893CDD"/>
    <w:rsid w:val="23BD5235"/>
    <w:rsid w:val="23DE1C48"/>
    <w:rsid w:val="23F70746"/>
    <w:rsid w:val="240210CD"/>
    <w:rsid w:val="2443398C"/>
    <w:rsid w:val="24BF09F7"/>
    <w:rsid w:val="252D53FE"/>
    <w:rsid w:val="25EC2D81"/>
    <w:rsid w:val="260945AA"/>
    <w:rsid w:val="277057A2"/>
    <w:rsid w:val="280B4D12"/>
    <w:rsid w:val="28E026ED"/>
    <w:rsid w:val="29206EB8"/>
    <w:rsid w:val="29283150"/>
    <w:rsid w:val="29595666"/>
    <w:rsid w:val="297121CD"/>
    <w:rsid w:val="29874881"/>
    <w:rsid w:val="29D8068B"/>
    <w:rsid w:val="29E325E0"/>
    <w:rsid w:val="29FB2613"/>
    <w:rsid w:val="2A452503"/>
    <w:rsid w:val="2AAD23B8"/>
    <w:rsid w:val="2B746B21"/>
    <w:rsid w:val="2B79511B"/>
    <w:rsid w:val="2BA936A8"/>
    <w:rsid w:val="2C315A5A"/>
    <w:rsid w:val="2C387B4E"/>
    <w:rsid w:val="2C4B1C25"/>
    <w:rsid w:val="2C4D184B"/>
    <w:rsid w:val="2C532BDA"/>
    <w:rsid w:val="2CCE4ECA"/>
    <w:rsid w:val="2D9E56F5"/>
    <w:rsid w:val="2E667F96"/>
    <w:rsid w:val="2E8226AB"/>
    <w:rsid w:val="2EF91817"/>
    <w:rsid w:val="2F521AF2"/>
    <w:rsid w:val="2FD065E6"/>
    <w:rsid w:val="2FD96870"/>
    <w:rsid w:val="30580BC9"/>
    <w:rsid w:val="30596614"/>
    <w:rsid w:val="30701433"/>
    <w:rsid w:val="30BD3BC5"/>
    <w:rsid w:val="311E2ED7"/>
    <w:rsid w:val="315619EE"/>
    <w:rsid w:val="315C449C"/>
    <w:rsid w:val="31B82709"/>
    <w:rsid w:val="31D05482"/>
    <w:rsid w:val="323E7DF9"/>
    <w:rsid w:val="32400B34"/>
    <w:rsid w:val="329E6876"/>
    <w:rsid w:val="333015F2"/>
    <w:rsid w:val="334B6320"/>
    <w:rsid w:val="33D934D4"/>
    <w:rsid w:val="33FE2F6A"/>
    <w:rsid w:val="34092470"/>
    <w:rsid w:val="340E07E5"/>
    <w:rsid w:val="34235BF7"/>
    <w:rsid w:val="342F6702"/>
    <w:rsid w:val="34DE40C3"/>
    <w:rsid w:val="358C5FA8"/>
    <w:rsid w:val="35A46E45"/>
    <w:rsid w:val="35C15DF1"/>
    <w:rsid w:val="36074A7F"/>
    <w:rsid w:val="366840D2"/>
    <w:rsid w:val="36923549"/>
    <w:rsid w:val="36B75FBF"/>
    <w:rsid w:val="36BD0C45"/>
    <w:rsid w:val="37E00298"/>
    <w:rsid w:val="38B302F9"/>
    <w:rsid w:val="38F12CD3"/>
    <w:rsid w:val="38F94775"/>
    <w:rsid w:val="392971ED"/>
    <w:rsid w:val="39325651"/>
    <w:rsid w:val="3A872856"/>
    <w:rsid w:val="3B3763D1"/>
    <w:rsid w:val="3C2F6E1E"/>
    <w:rsid w:val="3C4F64BA"/>
    <w:rsid w:val="3C7B3858"/>
    <w:rsid w:val="3CDA245A"/>
    <w:rsid w:val="3D1C15F3"/>
    <w:rsid w:val="3D1E06B7"/>
    <w:rsid w:val="3DB159B2"/>
    <w:rsid w:val="3DB17B9E"/>
    <w:rsid w:val="3E1E09BD"/>
    <w:rsid w:val="3E4D7489"/>
    <w:rsid w:val="3ECA2888"/>
    <w:rsid w:val="3EDA0523"/>
    <w:rsid w:val="406E1939"/>
    <w:rsid w:val="407A6407"/>
    <w:rsid w:val="409F41D0"/>
    <w:rsid w:val="41B93EC7"/>
    <w:rsid w:val="4200449D"/>
    <w:rsid w:val="423A3BCC"/>
    <w:rsid w:val="424E57D2"/>
    <w:rsid w:val="42B26C49"/>
    <w:rsid w:val="433A6FE6"/>
    <w:rsid w:val="43480868"/>
    <w:rsid w:val="4350713C"/>
    <w:rsid w:val="436653E0"/>
    <w:rsid w:val="43BD0C0D"/>
    <w:rsid w:val="43C4431A"/>
    <w:rsid w:val="44216CF4"/>
    <w:rsid w:val="44B951CC"/>
    <w:rsid w:val="44CD14E0"/>
    <w:rsid w:val="44F20B0B"/>
    <w:rsid w:val="452E5F4C"/>
    <w:rsid w:val="45612018"/>
    <w:rsid w:val="458946E9"/>
    <w:rsid w:val="45A47C0E"/>
    <w:rsid w:val="46577FD6"/>
    <w:rsid w:val="46D85D5E"/>
    <w:rsid w:val="46D955A7"/>
    <w:rsid w:val="47133957"/>
    <w:rsid w:val="47A07E0C"/>
    <w:rsid w:val="4870272E"/>
    <w:rsid w:val="4876582E"/>
    <w:rsid w:val="487F6CFC"/>
    <w:rsid w:val="49DC7715"/>
    <w:rsid w:val="4A023139"/>
    <w:rsid w:val="4A651E0D"/>
    <w:rsid w:val="4A7B576F"/>
    <w:rsid w:val="4AE14CE5"/>
    <w:rsid w:val="4AF561A9"/>
    <w:rsid w:val="4B125CE2"/>
    <w:rsid w:val="4C4A0649"/>
    <w:rsid w:val="4C7E5ECA"/>
    <w:rsid w:val="4C876AA5"/>
    <w:rsid w:val="4D0E00FB"/>
    <w:rsid w:val="4D176606"/>
    <w:rsid w:val="4D2717ED"/>
    <w:rsid w:val="4D392A27"/>
    <w:rsid w:val="4D810EFD"/>
    <w:rsid w:val="4DEC4FB0"/>
    <w:rsid w:val="4E075D8A"/>
    <w:rsid w:val="4E782E22"/>
    <w:rsid w:val="4EBA5C9A"/>
    <w:rsid w:val="4EC00FAD"/>
    <w:rsid w:val="4EC210D8"/>
    <w:rsid w:val="4F851586"/>
    <w:rsid w:val="4F9843DC"/>
    <w:rsid w:val="4FC62A8C"/>
    <w:rsid w:val="4FCC3F86"/>
    <w:rsid w:val="4FE20F0D"/>
    <w:rsid w:val="4FE51552"/>
    <w:rsid w:val="502D705A"/>
    <w:rsid w:val="50504C4B"/>
    <w:rsid w:val="507408A5"/>
    <w:rsid w:val="50834F8C"/>
    <w:rsid w:val="509C6E7C"/>
    <w:rsid w:val="5162104E"/>
    <w:rsid w:val="52A64626"/>
    <w:rsid w:val="531D5D9F"/>
    <w:rsid w:val="53A039CC"/>
    <w:rsid w:val="53A1505A"/>
    <w:rsid w:val="53C53372"/>
    <w:rsid w:val="54063E08"/>
    <w:rsid w:val="543437E8"/>
    <w:rsid w:val="54F73313"/>
    <w:rsid w:val="54F80955"/>
    <w:rsid w:val="55014B1F"/>
    <w:rsid w:val="554D5A93"/>
    <w:rsid w:val="555170A7"/>
    <w:rsid w:val="5587536D"/>
    <w:rsid w:val="559B174B"/>
    <w:rsid w:val="55CE0CF4"/>
    <w:rsid w:val="56B22A9C"/>
    <w:rsid w:val="57B72A76"/>
    <w:rsid w:val="57C3426C"/>
    <w:rsid w:val="57CE1F93"/>
    <w:rsid w:val="5829466B"/>
    <w:rsid w:val="586E1D57"/>
    <w:rsid w:val="588743D1"/>
    <w:rsid w:val="5887701A"/>
    <w:rsid w:val="590041B8"/>
    <w:rsid w:val="595079D6"/>
    <w:rsid w:val="599B0D47"/>
    <w:rsid w:val="59C0439F"/>
    <w:rsid w:val="5A7F4A16"/>
    <w:rsid w:val="5A90293C"/>
    <w:rsid w:val="5ABE2233"/>
    <w:rsid w:val="5B0311A3"/>
    <w:rsid w:val="5B743E4F"/>
    <w:rsid w:val="5BDF5D95"/>
    <w:rsid w:val="5BFE7528"/>
    <w:rsid w:val="5CF000D6"/>
    <w:rsid w:val="5E2467F1"/>
    <w:rsid w:val="5E7E03F2"/>
    <w:rsid w:val="5F1A2B43"/>
    <w:rsid w:val="5F5C5FB8"/>
    <w:rsid w:val="5FB837BB"/>
    <w:rsid w:val="60CC405A"/>
    <w:rsid w:val="612E4AA0"/>
    <w:rsid w:val="61351088"/>
    <w:rsid w:val="61E215D8"/>
    <w:rsid w:val="61EF4230"/>
    <w:rsid w:val="621B3775"/>
    <w:rsid w:val="62364782"/>
    <w:rsid w:val="62567076"/>
    <w:rsid w:val="62830E1C"/>
    <w:rsid w:val="631F0B45"/>
    <w:rsid w:val="6394356A"/>
    <w:rsid w:val="63C61B2C"/>
    <w:rsid w:val="63D40BE9"/>
    <w:rsid w:val="640B56F8"/>
    <w:rsid w:val="64102431"/>
    <w:rsid w:val="64A5243A"/>
    <w:rsid w:val="64F531DE"/>
    <w:rsid w:val="65373578"/>
    <w:rsid w:val="654F7238"/>
    <w:rsid w:val="671F124A"/>
    <w:rsid w:val="67694A84"/>
    <w:rsid w:val="677A33C6"/>
    <w:rsid w:val="681F6961"/>
    <w:rsid w:val="68610A2F"/>
    <w:rsid w:val="68805514"/>
    <w:rsid w:val="69316E2F"/>
    <w:rsid w:val="693E3705"/>
    <w:rsid w:val="694E2071"/>
    <w:rsid w:val="69766163"/>
    <w:rsid w:val="697A3B33"/>
    <w:rsid w:val="69BE470A"/>
    <w:rsid w:val="69D44760"/>
    <w:rsid w:val="6A43630C"/>
    <w:rsid w:val="6A520EC7"/>
    <w:rsid w:val="6A9873F8"/>
    <w:rsid w:val="6AF87E20"/>
    <w:rsid w:val="6B322639"/>
    <w:rsid w:val="6B4B624F"/>
    <w:rsid w:val="6C636C38"/>
    <w:rsid w:val="6C892A9E"/>
    <w:rsid w:val="6D5C2995"/>
    <w:rsid w:val="6DB34098"/>
    <w:rsid w:val="6DB545B6"/>
    <w:rsid w:val="6DE02FB4"/>
    <w:rsid w:val="6DE20F9A"/>
    <w:rsid w:val="6E0C014A"/>
    <w:rsid w:val="6E514CED"/>
    <w:rsid w:val="6EB563D5"/>
    <w:rsid w:val="6ED92677"/>
    <w:rsid w:val="6F225983"/>
    <w:rsid w:val="6FA665A6"/>
    <w:rsid w:val="6FFC5590"/>
    <w:rsid w:val="702F6884"/>
    <w:rsid w:val="706D1DD0"/>
    <w:rsid w:val="70856B87"/>
    <w:rsid w:val="70A46B2D"/>
    <w:rsid w:val="70D527EE"/>
    <w:rsid w:val="715B5300"/>
    <w:rsid w:val="71867FE1"/>
    <w:rsid w:val="7198420F"/>
    <w:rsid w:val="71A4221A"/>
    <w:rsid w:val="71D27F8A"/>
    <w:rsid w:val="72553024"/>
    <w:rsid w:val="73041B05"/>
    <w:rsid w:val="73122968"/>
    <w:rsid w:val="731F5D5E"/>
    <w:rsid w:val="73902F14"/>
    <w:rsid w:val="73A15581"/>
    <w:rsid w:val="73C51AD5"/>
    <w:rsid w:val="741E793C"/>
    <w:rsid w:val="745E3944"/>
    <w:rsid w:val="746C5BB4"/>
    <w:rsid w:val="74830CC4"/>
    <w:rsid w:val="7635099D"/>
    <w:rsid w:val="768D3BBF"/>
    <w:rsid w:val="77762421"/>
    <w:rsid w:val="777A2396"/>
    <w:rsid w:val="77B56B1F"/>
    <w:rsid w:val="77F061BF"/>
    <w:rsid w:val="780F09F4"/>
    <w:rsid w:val="78A90480"/>
    <w:rsid w:val="799E680F"/>
    <w:rsid w:val="7A0C2F4B"/>
    <w:rsid w:val="7A224071"/>
    <w:rsid w:val="7A364017"/>
    <w:rsid w:val="7A756E44"/>
    <w:rsid w:val="7A8265E1"/>
    <w:rsid w:val="7B686D42"/>
    <w:rsid w:val="7B841746"/>
    <w:rsid w:val="7C6C5AC7"/>
    <w:rsid w:val="7CC6544B"/>
    <w:rsid w:val="7CE812B2"/>
    <w:rsid w:val="7D0239FF"/>
    <w:rsid w:val="7D5E40CD"/>
    <w:rsid w:val="7D66120F"/>
    <w:rsid w:val="7DCD56F2"/>
    <w:rsid w:val="7DDF2F52"/>
    <w:rsid w:val="7DF32EA2"/>
    <w:rsid w:val="7E6A4C97"/>
    <w:rsid w:val="7EC64A7E"/>
    <w:rsid w:val="7F001CE7"/>
    <w:rsid w:val="7FAD75B9"/>
    <w:rsid w:val="7FCE327F"/>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qFormat="1"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qFormat="1"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qFormat="1"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locked/>
    <w:uiPriority w:val="0"/>
    <w:pPr>
      <w:keepNext/>
      <w:keepLines/>
      <w:spacing w:before="50" w:beforeLines="50" w:after="50" w:afterLines="50" w:line="360" w:lineRule="auto"/>
      <w:ind w:firstLine="0" w:firstLineChars="0"/>
      <w:jc w:val="left"/>
      <w:outlineLvl w:val="2"/>
    </w:pPr>
    <w:rPr>
      <w:b/>
      <w:bCs/>
      <w:sz w:val="28"/>
      <w:szCs w:val="28"/>
    </w:rPr>
  </w:style>
  <w:style w:type="character" w:default="1" w:styleId="25">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annotation text"/>
    <w:basedOn w:val="1"/>
    <w:link w:val="34"/>
    <w:semiHidden/>
    <w:qFormat/>
    <w:uiPriority w:val="0"/>
    <w:pPr>
      <w:jc w:val="left"/>
    </w:pPr>
    <w:rPr>
      <w:kern w:val="0"/>
      <w:sz w:val="24"/>
      <w:szCs w:val="20"/>
    </w:rPr>
  </w:style>
  <w:style w:type="paragraph" w:styleId="6">
    <w:name w:val="Body Text"/>
    <w:basedOn w:val="1"/>
    <w:next w:val="7"/>
    <w:link w:val="35"/>
    <w:qFormat/>
    <w:uiPriority w:val="0"/>
    <w:pPr>
      <w:widowControl/>
      <w:snapToGrid w:val="0"/>
      <w:spacing w:before="60" w:after="160" w:line="259" w:lineRule="auto"/>
      <w:ind w:right="113"/>
    </w:pPr>
    <w:rPr>
      <w:kern w:val="0"/>
      <w:sz w:val="18"/>
      <w:szCs w:val="20"/>
    </w:rPr>
  </w:style>
  <w:style w:type="paragraph" w:styleId="7">
    <w:name w:val="toc 1"/>
    <w:basedOn w:val="1"/>
    <w:next w:val="1"/>
    <w:qFormat/>
    <w:locked/>
    <w:uiPriority w:val="0"/>
    <w:pPr>
      <w:spacing w:line="500" w:lineRule="exact"/>
      <w:ind w:firstLine="480" w:firstLineChars="200"/>
    </w:pPr>
    <w:rPr>
      <w:sz w:val="24"/>
    </w:rPr>
  </w:style>
  <w:style w:type="paragraph" w:styleId="8">
    <w:name w:val="Body Text Indent"/>
    <w:basedOn w:val="1"/>
    <w:link w:val="36"/>
    <w:qFormat/>
    <w:uiPriority w:val="0"/>
    <w:pPr>
      <w:spacing w:after="120"/>
      <w:ind w:left="420" w:leftChars="200"/>
    </w:pPr>
    <w:rPr>
      <w:kern w:val="0"/>
      <w:sz w:val="24"/>
      <w:szCs w:val="20"/>
    </w:rPr>
  </w:style>
  <w:style w:type="paragraph" w:styleId="9">
    <w:name w:val="List 2"/>
    <w:basedOn w:val="1"/>
    <w:unhideWhenUsed/>
    <w:qFormat/>
    <w:locked/>
    <w:uiPriority w:val="0"/>
    <w:pPr>
      <w:ind w:left="100" w:leftChars="200" w:hanging="200" w:hangingChars="200"/>
      <w:contextualSpacing/>
    </w:pPr>
  </w:style>
  <w:style w:type="paragraph" w:styleId="10">
    <w:name w:val="Date"/>
    <w:basedOn w:val="1"/>
    <w:next w:val="1"/>
    <w:link w:val="37"/>
    <w:qFormat/>
    <w:uiPriority w:val="0"/>
    <w:pPr>
      <w:ind w:left="100" w:leftChars="2500"/>
    </w:pPr>
    <w:rPr>
      <w:kern w:val="0"/>
      <w:sz w:val="24"/>
      <w:szCs w:val="20"/>
    </w:rPr>
  </w:style>
  <w:style w:type="paragraph" w:styleId="11">
    <w:name w:val="Body Text Indent 2"/>
    <w:basedOn w:val="1"/>
    <w:next w:val="1"/>
    <w:unhideWhenUsed/>
    <w:qFormat/>
    <w:locked/>
    <w:uiPriority w:val="0"/>
    <w:pPr>
      <w:spacing w:after="120" w:line="480" w:lineRule="auto"/>
      <w:ind w:left="420" w:leftChars="200"/>
    </w:pPr>
  </w:style>
  <w:style w:type="paragraph" w:styleId="12">
    <w:name w:val="Balloon Text"/>
    <w:basedOn w:val="1"/>
    <w:link w:val="38"/>
    <w:semiHidden/>
    <w:qFormat/>
    <w:uiPriority w:val="0"/>
    <w:rPr>
      <w:kern w:val="0"/>
      <w:sz w:val="18"/>
      <w:szCs w:val="20"/>
    </w:rPr>
  </w:style>
  <w:style w:type="paragraph" w:styleId="13">
    <w:name w:val="footer"/>
    <w:basedOn w:val="1"/>
    <w:link w:val="39"/>
    <w:qFormat/>
    <w:uiPriority w:val="99"/>
    <w:pPr>
      <w:tabs>
        <w:tab w:val="center" w:pos="4153"/>
        <w:tab w:val="right" w:pos="8306"/>
      </w:tabs>
      <w:snapToGrid w:val="0"/>
      <w:jc w:val="left"/>
    </w:pPr>
    <w:rPr>
      <w:kern w:val="0"/>
      <w:sz w:val="18"/>
      <w:szCs w:val="20"/>
    </w:rPr>
  </w:style>
  <w:style w:type="paragraph" w:styleId="14">
    <w:name w:val="header"/>
    <w:basedOn w:val="1"/>
    <w:link w:val="40"/>
    <w:qFormat/>
    <w:uiPriority w:val="0"/>
    <w:pPr>
      <w:pBdr>
        <w:bottom w:val="single" w:color="auto" w:sz="6" w:space="1"/>
      </w:pBdr>
      <w:tabs>
        <w:tab w:val="center" w:pos="4153"/>
        <w:tab w:val="right" w:pos="8306"/>
      </w:tabs>
      <w:snapToGrid w:val="0"/>
      <w:jc w:val="center"/>
    </w:pPr>
    <w:rPr>
      <w:kern w:val="0"/>
      <w:sz w:val="18"/>
      <w:szCs w:val="20"/>
    </w:rPr>
  </w:style>
  <w:style w:type="paragraph" w:styleId="15">
    <w:name w:val="footnote text"/>
    <w:basedOn w:val="1"/>
    <w:qFormat/>
    <w:locked/>
    <w:uiPriority w:val="0"/>
    <w:pPr>
      <w:snapToGrid w:val="0"/>
      <w:jc w:val="left"/>
    </w:pPr>
    <w:rPr>
      <w:sz w:val="18"/>
    </w:rPr>
  </w:style>
  <w:style w:type="paragraph" w:styleId="16">
    <w:name w:val="toc 2"/>
    <w:basedOn w:val="1"/>
    <w:next w:val="1"/>
    <w:qFormat/>
    <w:locked/>
    <w:uiPriority w:val="0"/>
    <w:pPr>
      <w:ind w:left="420" w:leftChars="200"/>
    </w:pPr>
  </w:style>
  <w:style w:type="paragraph" w:styleId="17">
    <w:name w:val="Body Text 2"/>
    <w:basedOn w:val="1"/>
    <w:qFormat/>
    <w:locked/>
    <w:uiPriority w:val="0"/>
    <w:pPr>
      <w:spacing w:after="120" w:afterLines="0" w:line="480" w:lineRule="auto"/>
    </w:pPr>
  </w:style>
  <w:style w:type="paragraph" w:styleId="18">
    <w:name w:val="Normal (Web)"/>
    <w:basedOn w:val="1"/>
    <w:link w:val="41"/>
    <w:qFormat/>
    <w:uiPriority w:val="0"/>
    <w:pPr>
      <w:widowControl/>
      <w:spacing w:before="100" w:beforeAutospacing="1" w:after="100" w:afterAutospacing="1"/>
      <w:jc w:val="left"/>
    </w:pPr>
    <w:rPr>
      <w:rFonts w:ascii="宋体" w:hAnsi="宋体"/>
      <w:kern w:val="0"/>
      <w:sz w:val="24"/>
      <w:szCs w:val="20"/>
    </w:rPr>
  </w:style>
  <w:style w:type="paragraph" w:styleId="19">
    <w:name w:val="annotation subject"/>
    <w:basedOn w:val="5"/>
    <w:next w:val="5"/>
    <w:link w:val="42"/>
    <w:semiHidden/>
    <w:qFormat/>
    <w:uiPriority w:val="0"/>
    <w:rPr>
      <w:b/>
      <w:sz w:val="24"/>
      <w:szCs w:val="20"/>
    </w:rPr>
  </w:style>
  <w:style w:type="paragraph" w:styleId="20">
    <w:name w:val="Body Text First Indent"/>
    <w:basedOn w:val="6"/>
    <w:next w:val="1"/>
    <w:qFormat/>
    <w:locked/>
    <w:uiPriority w:val="0"/>
    <w:pPr>
      <w:spacing w:after="120" w:line="240" w:lineRule="auto"/>
      <w:ind w:firstLine="420" w:firstLineChars="100"/>
      <w:jc w:val="both"/>
    </w:pPr>
  </w:style>
  <w:style w:type="paragraph" w:styleId="21">
    <w:name w:val="Body Text First Indent 2"/>
    <w:basedOn w:val="8"/>
    <w:next w:val="1"/>
    <w:qFormat/>
    <w:locked/>
    <w:uiPriority w:val="0"/>
    <w:pPr>
      <w:spacing w:after="120"/>
      <w:ind w:left="420" w:leftChars="200" w:firstLine="420" w:firstLineChars="200"/>
    </w:pPr>
    <w:rPr>
      <w:rFonts w:eastAsia="仿宋_GB2312"/>
      <w:sz w:val="24"/>
    </w:rPr>
  </w:style>
  <w:style w:type="table" w:styleId="23">
    <w:name w:val="Table Grid"/>
    <w:basedOn w:val="22"/>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List 3"/>
    <w:basedOn w:val="22"/>
    <w:qFormat/>
    <w:locked/>
    <w:uiPriority w:val="0"/>
    <w:pPr>
      <w:widowControl w:val="0"/>
      <w:jc w:val="both"/>
    </w:pPr>
    <w:rPr>
      <w:rFonts w:eastAsia="宋体"/>
    </w:rPr>
    <w:tblPr>
      <w:tblBorders>
        <w:top w:val="single" w:color="000000" w:sz="12" w:space="0"/>
        <w:bottom w:val="single" w:color="000000" w:sz="12" w:space="0"/>
        <w:insideH w:val="single" w:color="000000" w:sz="6" w:space="0"/>
        <w:insideV w:val="single" w:color="auto" w:sz="4"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character" w:styleId="26">
    <w:name w:val="Strong"/>
    <w:basedOn w:val="25"/>
    <w:qFormat/>
    <w:locked/>
    <w:uiPriority w:val="0"/>
    <w:rPr>
      <w:b/>
    </w:rPr>
  </w:style>
  <w:style w:type="character" w:styleId="27">
    <w:name w:val="page number"/>
    <w:basedOn w:val="25"/>
    <w:qFormat/>
    <w:locked/>
    <w:uiPriority w:val="0"/>
  </w:style>
  <w:style w:type="character" w:styleId="28">
    <w:name w:val="Hyperlink"/>
    <w:basedOn w:val="25"/>
    <w:qFormat/>
    <w:locked/>
    <w:uiPriority w:val="0"/>
    <w:rPr>
      <w:color w:val="0000FF"/>
      <w:u w:val="single"/>
    </w:rPr>
  </w:style>
  <w:style w:type="character" w:styleId="29">
    <w:name w:val="annotation reference"/>
    <w:semiHidden/>
    <w:qFormat/>
    <w:uiPriority w:val="0"/>
    <w:rPr>
      <w:sz w:val="21"/>
    </w:rPr>
  </w:style>
  <w:style w:type="character" w:styleId="30">
    <w:name w:val="footnote reference"/>
    <w:basedOn w:val="25"/>
    <w:qFormat/>
    <w:locked/>
    <w:uiPriority w:val="0"/>
    <w:rPr>
      <w:vertAlign w:val="superscript"/>
    </w:rPr>
  </w:style>
  <w:style w:type="paragraph" w:customStyle="1" w:styleId="31">
    <w:name w:val="Default"/>
    <w:basedOn w:val="32"/>
    <w:next w:val="1"/>
    <w:qFormat/>
    <w:uiPriority w:val="0"/>
    <w:pPr>
      <w:widowControl w:val="0"/>
      <w:tabs>
        <w:tab w:val="left" w:pos="480"/>
      </w:tabs>
      <w:autoSpaceDE w:val="0"/>
      <w:autoSpaceDN w:val="0"/>
      <w:adjustRightInd w:val="0"/>
    </w:pPr>
    <w:rPr>
      <w:rFonts w:ascii="仿宋_GB2312" w:hAnsi="仿宋_GB2312" w:cs="仿宋_GB2312"/>
      <w:color w:val="000000"/>
      <w:sz w:val="24"/>
      <w:szCs w:val="24"/>
      <w:lang w:val="en-US" w:eastAsia="zh-CN" w:bidi="ar-SA"/>
    </w:rPr>
  </w:style>
  <w:style w:type="paragraph" w:customStyle="1" w:styleId="32">
    <w:name w:val="！正文 Alt+0"/>
    <w:basedOn w:val="1"/>
    <w:qFormat/>
    <w:uiPriority w:val="0"/>
    <w:pPr>
      <w:tabs>
        <w:tab w:val="left" w:pos="480"/>
      </w:tabs>
    </w:pPr>
    <w:rPr>
      <w:sz w:val="28"/>
      <w:szCs w:val="28"/>
    </w:rPr>
  </w:style>
  <w:style w:type="paragraph" w:customStyle="1" w:styleId="33">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批注文字 Char"/>
    <w:link w:val="5"/>
    <w:qFormat/>
    <w:locked/>
    <w:uiPriority w:val="0"/>
    <w:rPr>
      <w:rFonts w:ascii="Times New Roman" w:hAnsi="Times New Roman" w:eastAsia="宋体"/>
      <w:sz w:val="24"/>
    </w:rPr>
  </w:style>
  <w:style w:type="character" w:customStyle="1" w:styleId="35">
    <w:name w:val="正文文本 Char"/>
    <w:link w:val="6"/>
    <w:qFormat/>
    <w:locked/>
    <w:uiPriority w:val="0"/>
    <w:rPr>
      <w:sz w:val="18"/>
    </w:rPr>
  </w:style>
  <w:style w:type="character" w:customStyle="1" w:styleId="36">
    <w:name w:val="正文文本缩进 Char"/>
    <w:link w:val="8"/>
    <w:semiHidden/>
    <w:qFormat/>
    <w:locked/>
    <w:uiPriority w:val="0"/>
    <w:rPr>
      <w:rFonts w:ascii="Times New Roman" w:hAnsi="Times New Roman" w:eastAsia="宋体"/>
      <w:sz w:val="24"/>
    </w:rPr>
  </w:style>
  <w:style w:type="character" w:customStyle="1" w:styleId="37">
    <w:name w:val="日期 Char"/>
    <w:link w:val="10"/>
    <w:qFormat/>
    <w:locked/>
    <w:uiPriority w:val="0"/>
    <w:rPr>
      <w:rFonts w:ascii="Times New Roman" w:hAnsi="Times New Roman" w:eastAsia="宋体"/>
      <w:sz w:val="24"/>
    </w:rPr>
  </w:style>
  <w:style w:type="character" w:customStyle="1" w:styleId="38">
    <w:name w:val="批注框文本 Char"/>
    <w:link w:val="12"/>
    <w:semiHidden/>
    <w:qFormat/>
    <w:locked/>
    <w:uiPriority w:val="0"/>
    <w:rPr>
      <w:rFonts w:ascii="Times New Roman" w:hAnsi="Times New Roman" w:eastAsia="宋体"/>
      <w:sz w:val="18"/>
    </w:rPr>
  </w:style>
  <w:style w:type="character" w:customStyle="1" w:styleId="39">
    <w:name w:val="页脚 Char"/>
    <w:link w:val="13"/>
    <w:qFormat/>
    <w:locked/>
    <w:uiPriority w:val="99"/>
    <w:rPr>
      <w:sz w:val="18"/>
    </w:rPr>
  </w:style>
  <w:style w:type="character" w:customStyle="1" w:styleId="40">
    <w:name w:val="页眉 Char"/>
    <w:link w:val="14"/>
    <w:qFormat/>
    <w:locked/>
    <w:uiPriority w:val="0"/>
    <w:rPr>
      <w:sz w:val="18"/>
    </w:rPr>
  </w:style>
  <w:style w:type="character" w:customStyle="1" w:styleId="41">
    <w:name w:val="普通(网站) Char"/>
    <w:link w:val="18"/>
    <w:qFormat/>
    <w:locked/>
    <w:uiPriority w:val="0"/>
    <w:rPr>
      <w:rFonts w:ascii="宋体" w:hAnsi="宋体" w:eastAsia="宋体"/>
      <w:sz w:val="24"/>
    </w:rPr>
  </w:style>
  <w:style w:type="character" w:customStyle="1" w:styleId="42">
    <w:name w:val="批注主题 Char"/>
    <w:link w:val="19"/>
    <w:semiHidden/>
    <w:qFormat/>
    <w:locked/>
    <w:uiPriority w:val="0"/>
    <w:rPr>
      <w:rFonts w:ascii="Times New Roman" w:hAnsi="Times New Roman" w:eastAsia="宋体"/>
      <w:b/>
      <w:kern w:val="2"/>
      <w:sz w:val="24"/>
    </w:rPr>
  </w:style>
  <w:style w:type="character" w:customStyle="1" w:styleId="43">
    <w:name w:val="页脚 字符"/>
    <w:basedOn w:val="25"/>
    <w:qFormat/>
    <w:uiPriority w:val="99"/>
  </w:style>
  <w:style w:type="character" w:customStyle="1" w:styleId="44">
    <w:name w:val="正文文本 字符1"/>
    <w:semiHidden/>
    <w:qFormat/>
    <w:uiPriority w:val="0"/>
    <w:rPr>
      <w:rFonts w:ascii="Times New Roman" w:hAnsi="Times New Roman" w:eastAsia="宋体"/>
      <w:sz w:val="24"/>
    </w:rPr>
  </w:style>
  <w:style w:type="character" w:customStyle="1" w:styleId="45">
    <w:name w:val="表格 Char"/>
    <w:link w:val="46"/>
    <w:qFormat/>
    <w:locked/>
    <w:uiPriority w:val="0"/>
    <w:rPr>
      <w:rFonts w:ascii="宋体"/>
      <w:sz w:val="21"/>
    </w:rPr>
  </w:style>
  <w:style w:type="paragraph" w:customStyle="1" w:styleId="46">
    <w:name w:val="表格"/>
    <w:basedOn w:val="47"/>
    <w:link w:val="45"/>
    <w:qFormat/>
    <w:uiPriority w:val="0"/>
    <w:pPr>
      <w:adjustRightInd w:val="0"/>
      <w:snapToGrid w:val="0"/>
      <w:spacing w:beforeLines="10" w:afterLines="10" w:line="259" w:lineRule="auto"/>
      <w:jc w:val="center"/>
    </w:pPr>
    <w:rPr>
      <w:rFonts w:ascii="宋体"/>
      <w:kern w:val="0"/>
      <w:szCs w:val="20"/>
    </w:rPr>
  </w:style>
  <w:style w:type="paragraph" w:customStyle="1" w:styleId="47">
    <w:name w:val="表格格式"/>
    <w:basedOn w:val="1"/>
    <w:qFormat/>
    <w:uiPriority w:val="0"/>
    <w:pPr>
      <w:jc w:val="left"/>
    </w:pPr>
    <w:rPr>
      <w:rFonts w:ascii="仿宋_GB2312" w:hAnsi="Times New Roman" w:eastAsia="仿宋_GB2312" w:cs="Times New Roman"/>
      <w:bCs/>
      <w:color w:val="000000"/>
      <w:kern w:val="0"/>
      <w:szCs w:val="21"/>
    </w:rPr>
  </w:style>
  <w:style w:type="character" w:customStyle="1" w:styleId="48">
    <w:name w:val="日期 字符"/>
    <w:semiHidden/>
    <w:qFormat/>
    <w:uiPriority w:val="0"/>
    <w:rPr>
      <w:rFonts w:ascii="Times New Roman" w:hAnsi="Times New Roman" w:eastAsia="宋体"/>
      <w:sz w:val="24"/>
    </w:rPr>
  </w:style>
  <w:style w:type="character" w:customStyle="1" w:styleId="49">
    <w:name w:val="批注文字 字符1"/>
    <w:semiHidden/>
    <w:qFormat/>
    <w:uiPriority w:val="0"/>
    <w:rPr>
      <w:rFonts w:ascii="Times New Roman" w:hAnsi="Times New Roman" w:eastAsia="宋体"/>
      <w:sz w:val="24"/>
    </w:rPr>
  </w:style>
  <w:style w:type="paragraph" w:customStyle="1" w:styleId="5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2">
    <w:name w:val="Table Text"/>
    <w:basedOn w:val="1"/>
    <w:semiHidden/>
    <w:qFormat/>
    <w:uiPriority w:val="0"/>
    <w:rPr>
      <w:rFonts w:ascii="宋体" w:hAnsi="宋体" w:eastAsia="宋体" w:cs="宋体"/>
      <w:sz w:val="20"/>
      <w:szCs w:val="20"/>
      <w:lang w:val="en-US" w:eastAsia="en-US" w:bidi="ar-SA"/>
    </w:rPr>
  </w:style>
  <w:style w:type="table" w:customStyle="1" w:styleId="53">
    <w:name w:val="Table Normal"/>
    <w:unhideWhenUsed/>
    <w:qFormat/>
    <w:uiPriority w:val="0"/>
    <w:tblPr>
      <w:tblCellMar>
        <w:top w:w="0" w:type="dxa"/>
        <w:left w:w="0" w:type="dxa"/>
        <w:bottom w:w="0" w:type="dxa"/>
        <w:right w:w="0" w:type="dxa"/>
      </w:tblCellMar>
    </w:tblPr>
  </w:style>
  <w:style w:type="paragraph" w:customStyle="1" w:styleId="54">
    <w:name w:val="Table Paragraph"/>
    <w:basedOn w:val="1"/>
    <w:qFormat/>
    <w:uiPriority w:val="1"/>
  </w:style>
  <w:style w:type="paragraph" w:customStyle="1" w:styleId="55">
    <w:name w:val="晓丹"/>
    <w:basedOn w:val="20"/>
    <w:next w:val="1"/>
    <w:qFormat/>
    <w:uiPriority w:val="99"/>
    <w:pPr>
      <w:adjustRightInd w:val="0"/>
      <w:snapToGrid w:val="0"/>
      <w:spacing w:line="360" w:lineRule="auto"/>
      <w:ind w:firstLine="200" w:firstLineChars="200"/>
      <w:textAlignment w:val="baseline"/>
    </w:pPr>
    <w:rPr>
      <w:rFonts w:hAnsi="Calibri" w:eastAsia="宋体" w:cs="Times New Roman"/>
      <w:color w:val="000000"/>
      <w:spacing w:val="6"/>
    </w:rPr>
  </w:style>
  <w:style w:type="paragraph" w:customStyle="1" w:styleId="56">
    <w:name w:val="表内字"/>
    <w:qFormat/>
    <w:uiPriority w:val="0"/>
    <w:pPr>
      <w:tabs>
        <w:tab w:val="left" w:pos="4140"/>
      </w:tabs>
      <w:adjustRightInd w:val="0"/>
      <w:snapToGrid w:val="0"/>
      <w:jc w:val="center"/>
    </w:pPr>
    <w:rPr>
      <w:rFonts w:ascii="Times New Roman" w:hAnsi="Times New Roman" w:eastAsia="宋体" w:cs="Times New Roman"/>
      <w:color w:val="000000"/>
      <w:sz w:val="21"/>
      <w:lang w:val="en-US" w:eastAsia="zh-CN" w:bidi="ar-SA"/>
    </w:rPr>
  </w:style>
  <w:style w:type="paragraph" w:customStyle="1" w:styleId="57">
    <w:name w:val="表格--"/>
    <w:basedOn w:val="1"/>
    <w:qFormat/>
    <w:uiPriority w:val="0"/>
    <w:pPr>
      <w:spacing w:line="240" w:lineRule="auto"/>
      <w:ind w:firstLine="0" w:firstLineChars="0"/>
      <w:jc w:val="center"/>
    </w:pPr>
    <w:rPr>
      <w:sz w:val="21"/>
    </w:rPr>
  </w:style>
  <w:style w:type="paragraph" w:customStyle="1" w:styleId="58">
    <w:name w:val="表中文字"/>
    <w:basedOn w:val="1"/>
    <w:qFormat/>
    <w:uiPriority w:val="0"/>
    <w:pPr>
      <w:spacing w:line="240" w:lineRule="auto"/>
      <w:ind w:firstLine="0" w:firstLineChars="0"/>
      <w:jc w:val="center"/>
    </w:pPr>
    <w:rPr>
      <w:sz w:val="21"/>
    </w:rPr>
  </w:style>
  <w:style w:type="paragraph" w:customStyle="1" w:styleId="59">
    <w:name w:val="表头"/>
    <w:basedOn w:val="60"/>
    <w:next w:val="1"/>
    <w:qFormat/>
    <w:uiPriority w:val="0"/>
    <w:pPr>
      <w:spacing w:before="50" w:beforeLines="50" w:line="360" w:lineRule="auto"/>
      <w:ind w:firstLine="0" w:firstLineChars="0"/>
      <w:jc w:val="center"/>
      <w:outlineLvl w:val="9"/>
    </w:pPr>
    <w:rPr>
      <w:rFonts w:ascii="Times New Roman" w:hAnsi="Times New Roman"/>
    </w:rPr>
  </w:style>
  <w:style w:type="paragraph" w:customStyle="1" w:styleId="60">
    <w:name w:val="标题4"/>
    <w:basedOn w:val="61"/>
    <w:qFormat/>
    <w:uiPriority w:val="0"/>
    <w:pPr>
      <w:keepNext w:val="0"/>
      <w:keepLines w:val="0"/>
      <w:adjustRightInd w:val="0"/>
      <w:spacing w:before="50" w:after="50" w:line="360" w:lineRule="auto"/>
      <w:jc w:val="left"/>
      <w:textAlignment w:val="baseline"/>
      <w:outlineLvl w:val="3"/>
    </w:pPr>
    <w:rPr>
      <w:rFonts w:ascii="Times New Roman" w:hAnsi="Times New Roman" w:eastAsia="宋体"/>
      <w:sz w:val="24"/>
      <w:szCs w:val="24"/>
    </w:rPr>
  </w:style>
  <w:style w:type="paragraph" w:customStyle="1" w:styleId="61">
    <w:name w:val="标题3"/>
    <w:basedOn w:val="4"/>
    <w:qFormat/>
    <w:uiPriority w:val="0"/>
    <w:pPr>
      <w:keepLines w:val="0"/>
      <w:spacing w:before="0" w:after="0" w:line="240" w:lineRule="auto"/>
      <w:ind w:firstLine="3784" w:firstLineChars="1050"/>
    </w:pPr>
    <w:rPr>
      <w:rFonts w:eastAsia="仿宋_GB2312" w:cs="仿宋_GB2312"/>
      <w:sz w:val="36"/>
      <w:szCs w:val="36"/>
    </w:rPr>
  </w:style>
  <w:style w:type="paragraph" w:customStyle="1" w:styleId="62">
    <w:name w:val="样式6"/>
    <w:basedOn w:val="1"/>
    <w:qFormat/>
    <w:uiPriority w:val="99"/>
    <w:pPr>
      <w:numPr>
        <w:ilvl w:val="2"/>
        <w:numId w:val="1"/>
      </w:numPr>
      <w:adjustRightInd w:val="0"/>
      <w:snapToGrid w:val="0"/>
      <w:spacing w:beforeLines="50" w:afterLines="50" w:line="360" w:lineRule="auto"/>
      <w:jc w:val="left"/>
      <w:outlineLvl w:val="2"/>
    </w:pPr>
    <w:rPr>
      <w:kern w:val="0"/>
      <w:sz w:val="24"/>
      <w:szCs w:val="20"/>
    </w:rPr>
  </w:style>
  <w:style w:type="paragraph" w:customStyle="1" w:styleId="63">
    <w:name w:val="2-正文"/>
    <w:basedOn w:val="1"/>
    <w:qFormat/>
    <w:uiPriority w:val="0"/>
    <w:pPr>
      <w:widowControl/>
      <w:spacing w:line="480" w:lineRule="exact"/>
      <w:ind w:firstLine="480" w:firstLineChars="200"/>
      <w:jc w:val="left"/>
    </w:pPr>
    <w:rPr>
      <w:rFonts w:ascii="宋体" w:hAnsi="宋体"/>
      <w:kern w:val="0"/>
      <w:sz w:val="24"/>
      <w:szCs w:val="22"/>
      <w:lang w:eastAsia="en-US" w:bidi="en-US"/>
    </w:rPr>
  </w:style>
  <w:style w:type="paragraph" w:customStyle="1" w:styleId="64">
    <w:name w:val="报告书正文"/>
    <w:basedOn w:val="20"/>
    <w:qFormat/>
    <w:uiPriority w:val="0"/>
    <w:pPr>
      <w:spacing w:after="0" w:afterLines="0" w:line="360" w:lineRule="auto"/>
      <w:ind w:firstLine="200" w:firstLineChars="200"/>
    </w:pPr>
    <w:rPr>
      <w:sz w:val="24"/>
    </w:rPr>
  </w:style>
  <w:style w:type="paragraph" w:customStyle="1" w:styleId="65">
    <w:name w:val="表格标题1"/>
    <w:basedOn w:val="1"/>
    <w:next w:val="1"/>
    <w:qFormat/>
    <w:uiPriority w:val="0"/>
    <w:pPr>
      <w:jc w:val="center"/>
    </w:pPr>
    <w:rPr>
      <w:b/>
      <w:u w:val="single"/>
    </w:rPr>
  </w:style>
  <w:style w:type="paragraph" w:customStyle="1" w:styleId="66">
    <w:name w:val="表格-文字"/>
    <w:basedOn w:val="1"/>
    <w:next w:val="1"/>
    <w:qFormat/>
    <w:uiPriority w:val="0"/>
    <w:pPr>
      <w:adjustRightInd w:val="0"/>
      <w:snapToGrid w:val="0"/>
      <w:jc w:val="center"/>
    </w:pPr>
  </w:style>
  <w:style w:type="character" w:customStyle="1" w:styleId="67">
    <w:name w:val="style41"/>
    <w:basedOn w:val="25"/>
    <w:qFormat/>
    <w:uiPriority w:val="0"/>
    <w:rPr>
      <w:color w:val="333333"/>
      <w:sz w:val="21"/>
      <w:szCs w:val="21"/>
    </w:rPr>
  </w:style>
  <w:style w:type="paragraph" w:customStyle="1" w:styleId="68">
    <w:name w:val="报告表表头"/>
    <w:basedOn w:val="1"/>
    <w:qFormat/>
    <w:uiPriority w:val="0"/>
    <w:pPr>
      <w:adjustRightInd w:val="0"/>
      <w:ind w:firstLine="480"/>
      <w:jc w:val="center"/>
      <w:textAlignment w:val="baseline"/>
    </w:pPr>
    <w:rPr>
      <w:b/>
      <w:bCs/>
      <w:szCs w:val="21"/>
    </w:rPr>
  </w:style>
  <w:style w:type="paragraph" w:customStyle="1" w:styleId="69">
    <w:name w:val="表格文字"/>
    <w:basedOn w:val="1"/>
    <w:qFormat/>
    <w:uiPriority w:val="0"/>
    <w:pPr>
      <w:snapToGrid w:val="0"/>
      <w:jc w:val="center"/>
    </w:pPr>
    <w:rPr>
      <w:szCs w:val="21"/>
    </w:rPr>
  </w:style>
  <w:style w:type="paragraph" w:customStyle="1" w:styleId="70">
    <w:name w:val="表格内容自定"/>
    <w:basedOn w:val="1"/>
    <w:qFormat/>
    <w:uiPriority w:val="0"/>
    <w:pPr>
      <w:spacing w:line="280" w:lineRule="exact"/>
      <w:jc w:val="center"/>
    </w:pPr>
    <w:rPr>
      <w:kern w:val="0"/>
      <w:sz w:val="18"/>
      <w:szCs w:val="21"/>
    </w:rPr>
  </w:style>
  <w:style w:type="paragraph" w:customStyle="1" w:styleId="71">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72">
    <w:name w:val="正文（缩进）"/>
    <w:basedOn w:val="1"/>
    <w:qFormat/>
    <w:uiPriority w:val="99"/>
    <w:pPr>
      <w:spacing w:line="360" w:lineRule="auto"/>
      <w:ind w:firstLine="480" w:firstLineChars="200"/>
    </w:pPr>
    <w:rPr>
      <w:rFonts w:ascii="Times New Roman" w:hAnsi="Times New Roman"/>
      <w:sz w:val="24"/>
    </w:rPr>
  </w:style>
  <w:style w:type="paragraph" w:customStyle="1" w:styleId="73">
    <w:name w:val="报告书"/>
    <w:basedOn w:val="1"/>
    <w:qFormat/>
    <w:uiPriority w:val="0"/>
    <w:pPr>
      <w:autoSpaceDE w:val="0"/>
      <w:autoSpaceDN w:val="0"/>
      <w:adjustRightInd w:val="0"/>
      <w:ind w:firstLine="505"/>
      <w:jc w:val="left"/>
      <w:textAlignment w:val="bottom"/>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wmf"/><Relationship Id="rId17" Type="http://schemas.openxmlformats.org/officeDocument/2006/relationships/oleObject" Target="embeddings/oleObject1.bin"/><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59</Pages>
  <Words>327</Words>
  <Characters>371</Characters>
  <Lines>13</Lines>
  <Paragraphs>3</Paragraphs>
  <TotalTime>14</TotalTime>
  <ScaleCrop>false</ScaleCrop>
  <LinksUpToDate>false</LinksUpToDate>
  <CharactersWithSpaces>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一晨</cp:lastModifiedBy>
  <cp:lastPrinted>2020-12-29T02:43:00Z</cp:lastPrinted>
  <dcterms:modified xsi:type="dcterms:W3CDTF">2026-01-26T00:03:31Z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1C66099422B942098ADE8F5E438413CB_13</vt:lpwstr>
  </property>
  <property fmtid="{D5CDD505-2E9C-101B-9397-08002B2CF9AE}" pid="4" name="KSOTemplateDocerSaveRecord">
    <vt:lpwstr>eyJoZGlkIjoiNDg3ZjFlZGFjNTkxNjBhYzY0NGE1NGUyZDA2YzZlZDIiLCJ1c2VySWQiOiI0NDgxODczOTMifQ==</vt:lpwstr>
  </property>
</Properties>
</file>