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75" w:leftChars="100" w:hanging="1265"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lang w:eastAsia="zh-CN"/>
        </w:rPr>
        <w:t>环评批复公示：</w:t>
      </w:r>
    </w:p>
    <w:p>
      <w:pPr>
        <w:spacing w:line="660" w:lineRule="exact"/>
        <w:jc w:val="center"/>
        <w:rPr>
          <w:rFonts w:hint="eastAsia" w:asciiTheme="minorEastAsia" w:hAnsiTheme="minorEastAsia" w:eastAsiaTheme="minorEastAsia" w:cstheme="minorEastAsia"/>
          <w:i w:val="0"/>
          <w:iCs w:val="0"/>
          <w:caps w:val="0"/>
          <w:color w:val="333333"/>
          <w:spacing w:val="0"/>
          <w:sz w:val="28"/>
          <w:szCs w:val="28"/>
        </w:rPr>
      </w:pPr>
      <w:r>
        <w:rPr>
          <w:rFonts w:hint="eastAsia" w:ascii="方正仿宋简体" w:hAnsi="方正仿宋简体" w:eastAsia="方正仿宋简体" w:cs="方正仿宋简体"/>
          <w:sz w:val="24"/>
          <w:szCs w:val="24"/>
        </w:rPr>
        <w:t>四环审（表）字〔202</w:t>
      </w:r>
      <w:r>
        <w:rPr>
          <w:rFonts w:hint="eastAsia" w:ascii="方正仿宋简体" w:hAnsi="方正仿宋简体" w:eastAsia="方正仿宋简体" w:cs="方正仿宋简体"/>
          <w:sz w:val="24"/>
          <w:szCs w:val="24"/>
          <w:lang w:val="en-US" w:eastAsia="zh-CN"/>
        </w:rPr>
        <w:t>3</w:t>
      </w:r>
      <w:r>
        <w:rPr>
          <w:rFonts w:hint="eastAsia" w:ascii="方正仿宋简体" w:hAnsi="方正仿宋简体" w:eastAsia="方正仿宋简体" w:cs="方正仿宋简体"/>
          <w:sz w:val="24"/>
          <w:szCs w:val="24"/>
        </w:rPr>
        <w:t>〕</w:t>
      </w:r>
      <w:r>
        <w:rPr>
          <w:rFonts w:hint="eastAsia" w:ascii="方正仿宋简体" w:hAnsi="方正仿宋简体" w:eastAsia="方正仿宋简体" w:cs="方正仿宋简体"/>
          <w:sz w:val="24"/>
          <w:szCs w:val="24"/>
          <w:lang w:val="en-US" w:eastAsia="zh-CN"/>
        </w:rPr>
        <w:t>31</w:t>
      </w:r>
      <w:r>
        <w:rPr>
          <w:rFonts w:hint="eastAsia" w:ascii="方正仿宋简体" w:hAnsi="方正仿宋简体" w:eastAsia="方正仿宋简体" w:cs="方正仿宋简体"/>
          <w:sz w:val="24"/>
          <w:szCs w:val="24"/>
        </w:rPr>
        <w:t>号</w:t>
      </w:r>
    </w:p>
    <w:p>
      <w:pPr>
        <w:spacing w:line="64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关于四平市社会精神病院扩建项目二期</w:t>
      </w:r>
    </w:p>
    <w:p>
      <w:pPr>
        <w:spacing w:line="64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环境影响报告表的批复</w:t>
      </w:r>
    </w:p>
    <w:p>
      <w:pPr>
        <w:spacing w:line="640" w:lineRule="exact"/>
        <w:jc w:val="center"/>
        <w:rPr>
          <w:rFonts w:ascii="方正小标宋简体" w:eastAsia="方正小标宋简体" w:cs="方正小标宋简体"/>
          <w:sz w:val="44"/>
          <w:szCs w:val="44"/>
        </w:rPr>
      </w:pPr>
    </w:p>
    <w:p>
      <w:pPr>
        <w:pStyle w:val="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四平市社会精神病院:</w:t>
      </w:r>
    </w:p>
    <w:p>
      <w:pPr>
        <w:pStyle w:val="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i w:val="0"/>
          <w:iCs w:val="0"/>
          <w:caps w:val="0"/>
          <w:color w:val="333333"/>
          <w:spacing w:val="0"/>
          <w:sz w:val="32"/>
          <w:szCs w:val="32"/>
        </w:rPr>
        <w:t>你单位委托四平市环境保护研究所有限公司编制的《四平市社会精神病院扩建项目二期环境影响报告表》（报批版）收悉，根据环境影响报告表的评价结论，经研究，批复如下：</w:t>
      </w:r>
    </w:p>
    <w:p>
      <w:pPr>
        <w:pStyle w:val="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xml:space="preserve">    一、本项目位于四平市铁东区北门街道桃源路1001号，项目主要内容为利用现有住院楼新增床位70张。医疗废水和医疗垃圾依托现有设施处理和暂存。此批复不含辐射类内容环境影响评价，你单位应依法依规另行办理相关手续。</w:t>
      </w:r>
    </w:p>
    <w:p>
      <w:pPr>
        <w:pStyle w:val="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xml:space="preserve">    该项目在全面落实报告表提出的各项污染防治措施及环境风险防范措施后，项目建设对环境的不利影响能够得到缓解和控制。因此，从环境保护角度出发，我局原则同意环境影响报告表中所列工程的性质、规模、工艺和拟采取的环境保护措施。</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二、应重点做好以下环保工作:</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一）落实水污染防治工作。生活废水、医疗废水经现有污水处理站处理，实验室含氰废水和含酸废液等必须单独收集预处理后一并进入污水站处理，达到《医疗机构水污染物排放标准》（GB18466-2005）中表2预处理标准后排入市政污水管网，最终进入四平市污水处理厂。</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二）做好大气污染防治工作。运营期医院污水处理站恶臭气体采取加罩（加盖）收集，采用光氧催化+活性炭吸附处理后通过高出地面4m高排气筒排放，达到《医疗机构水污染物排放标准》(GB18466-2005)表3标准要求；食堂油烟经油烟净化器处理后满足《饮食业油烟排放标准（试行）》（GB18483-2001）标准要求，经高于所在建筑物房顶专用排气筒排放。</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（三）落实噪声污染防治措施。对噪声源采取有效减振降噪措施，确保达到《工业企业厂界环境噪声排放标准》（GB12348－2008）中2类标准要求。</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四）做好固废污染防治工作。生活垃圾由环卫部门清运，未被污染的输液器等一般废物单独收集出售给回收部门。除污染处理站污泥外的危险废物（包含含氰废液）严格执行《危险废物贮存污染控制标准》（GB18597-2023）分类收集和暂存，交由有资质部门处理；污水站污泥不暂存，委托有资质部门进行清淘、外运和处理，确保符合《医疗机构水污染物排放标准》（GB18466-2005）表4和《危险废物贮存污染控制标准》（GB18597-2023）管理要求。</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五）落实各项风险防范措施。严格执行有关规范要求，完善应急处理措施、设施，加强危废暂存、污水处理站和消毒剂的管理。做好现有防渗事故储池的日常监管，防止大气、地表水、地下水和土壤环境污染事故发生。</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三、项目建设必须严格执行环境保护设施与主体工程同时设计、同时施工、同时投产使用的环境保护“三同时”制度。建设项目在运行前,你单位应当对建设项目环境保护设施进行竣工验收，向社会公开相关信息，并向所在地县级以上环境保护主管部门报送，接受监督检查。</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pPr>
        <w:pStyle w:val="4"/>
        <w:ind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五、本项目由我局委托四平市生态环境局铁东区分局负责该项目的“三同时”监督检查和管理工作。</w:t>
      </w:r>
    </w:p>
    <w:p>
      <w:pPr>
        <w:pStyle w:val="4"/>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四平市生态环境局</w:t>
      </w:r>
    </w:p>
    <w:p>
      <w:pPr>
        <w:pStyle w:val="4"/>
        <w:jc w:val="right"/>
        <w:rPr>
          <w:rFonts w:hint="eastAsia" w:asciiTheme="minorEastAsia" w:hAnsiTheme="minorEastAsia" w:eastAsiaTheme="minorEastAsia" w:cstheme="minorEastAsia"/>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32"/>
          <w:szCs w:val="32"/>
        </w:rPr>
        <w:t>202</w:t>
      </w:r>
      <w:r>
        <w:rPr>
          <w:rFonts w:hint="eastAsia" w:ascii="仿宋_GB2312" w:hAnsi="仿宋_GB2312" w:eastAsia="仿宋_GB2312" w:cs="仿宋_GB2312"/>
          <w:i w:val="0"/>
          <w:iCs w:val="0"/>
          <w:caps w:val="0"/>
          <w:color w:val="333333"/>
          <w:spacing w:val="0"/>
          <w:sz w:val="32"/>
          <w:szCs w:val="32"/>
          <w:lang w:val="en-US" w:eastAsia="zh-CN"/>
        </w:rPr>
        <w:t>3</w:t>
      </w:r>
      <w:r>
        <w:rPr>
          <w:rFonts w:hint="eastAsia" w:ascii="仿宋_GB2312" w:hAnsi="仿宋_GB2312" w:eastAsia="仿宋_GB2312" w:cs="仿宋_GB2312"/>
          <w:i w:val="0"/>
          <w:iCs w:val="0"/>
          <w:caps w:val="0"/>
          <w:color w:val="333333"/>
          <w:spacing w:val="0"/>
          <w:sz w:val="32"/>
          <w:szCs w:val="32"/>
        </w:rPr>
        <w:t>年</w:t>
      </w:r>
      <w:r>
        <w:rPr>
          <w:rFonts w:hint="eastAsia" w:ascii="仿宋_GB2312" w:hAnsi="仿宋_GB2312" w:eastAsia="仿宋_GB2312" w:cs="仿宋_GB2312"/>
          <w:i w:val="0"/>
          <w:iCs w:val="0"/>
          <w:caps w:val="0"/>
          <w:color w:val="333333"/>
          <w:spacing w:val="0"/>
          <w:sz w:val="32"/>
          <w:szCs w:val="32"/>
          <w:lang w:val="en-US" w:eastAsia="zh-CN"/>
        </w:rPr>
        <w:t>10</w:t>
      </w:r>
      <w:r>
        <w:rPr>
          <w:rFonts w:hint="eastAsia" w:ascii="仿宋_GB2312" w:hAnsi="仿宋_GB2312" w:eastAsia="仿宋_GB2312" w:cs="仿宋_GB2312"/>
          <w:i w:val="0"/>
          <w:iCs w:val="0"/>
          <w:caps w:val="0"/>
          <w:color w:val="333333"/>
          <w:spacing w:val="0"/>
          <w:sz w:val="32"/>
          <w:szCs w:val="32"/>
        </w:rPr>
        <w:t>月</w:t>
      </w:r>
      <w:r>
        <w:rPr>
          <w:rFonts w:hint="eastAsia" w:ascii="仿宋_GB2312" w:hAnsi="仿宋_GB2312" w:eastAsia="仿宋_GB2312" w:cs="仿宋_GB2312"/>
          <w:i w:val="0"/>
          <w:iCs w:val="0"/>
          <w:caps w:val="0"/>
          <w:color w:val="333333"/>
          <w:spacing w:val="0"/>
          <w:sz w:val="32"/>
          <w:szCs w:val="32"/>
          <w:lang w:val="en-US" w:eastAsia="zh-CN"/>
        </w:rPr>
        <w:t>10</w:t>
      </w:r>
      <w:r>
        <w:rPr>
          <w:rFonts w:hint="eastAsia" w:ascii="仿宋_GB2312" w:hAnsi="仿宋_GB2312" w:eastAsia="仿宋_GB2312" w:cs="仿宋_GB2312"/>
          <w:i w:val="0"/>
          <w:iCs w:val="0"/>
          <w:caps w:val="0"/>
          <w:color w:val="333333"/>
          <w:spacing w:val="0"/>
          <w:sz w:val="32"/>
          <w:szCs w:val="32"/>
        </w:rPr>
        <w:t>日</w:t>
      </w:r>
    </w:p>
    <w:p>
      <w:pPr>
        <w:pStyle w:val="5"/>
        <w:rPr>
          <w:rFonts w:hint="eastAsia"/>
        </w:rPr>
      </w:pPr>
    </w:p>
    <w:p>
      <w:pPr>
        <w:spacing w:line="560" w:lineRule="exact"/>
        <w:rPr>
          <w:rFonts w:ascii="方正仿宋简体" w:hAnsi="仿宋" w:eastAsia="方正仿宋简体" w:cs="Times New Roman"/>
          <w:sz w:val="32"/>
          <w:szCs w:val="32"/>
        </w:rPr>
      </w:pPr>
      <w:r>
        <w:rPr>
          <w:rFonts w:hint="eastAsia" w:asciiTheme="minorEastAsia" w:hAnsiTheme="minorEastAsia" w:eastAsiaTheme="minorEastAsia" w:cstheme="minorEastAsia"/>
          <w:i w:val="0"/>
          <w:iCs w:val="0"/>
          <w:caps w:val="0"/>
          <w:color w:val="333333"/>
          <w:spacing w:val="0"/>
          <w:sz w:val="28"/>
          <w:szCs w:val="28"/>
        </w:rPr>
        <w:t>行政复议与行政诉讼权</w:t>
      </w:r>
      <w:bookmarkStart w:id="0" w:name="_GoBack"/>
      <w:bookmarkEnd w:id="0"/>
      <w:r>
        <w:rPr>
          <w:rFonts w:hint="eastAsia" w:asciiTheme="minorEastAsia" w:hAnsiTheme="minorEastAsia" w:eastAsiaTheme="minorEastAsia" w:cstheme="minorEastAsia"/>
          <w:i w:val="0"/>
          <w:iCs w:val="0"/>
          <w:caps w:val="0"/>
          <w:color w:val="333333"/>
          <w:spacing w:val="0"/>
          <w:sz w:val="28"/>
          <w:szCs w:val="28"/>
        </w:rPr>
        <w:t>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333333"/>
          <w:spacing w:val="0"/>
          <w:sz w:val="28"/>
          <w:szCs w:val="28"/>
        </w:rPr>
        <w:br w:type="textWrapping"/>
      </w:r>
      <w:r>
        <w:rPr>
          <w:rFonts w:hint="eastAsia" w:asciiTheme="minorEastAsia" w:hAnsiTheme="minorEastAsia" w:eastAsiaTheme="minorEastAsia" w:cstheme="minorEastAsia"/>
          <w:i w:val="0"/>
          <w:iCs w:val="0"/>
          <w:caps w:val="0"/>
          <w:color w:val="333333"/>
          <w:spacing w:val="0"/>
          <w:sz w:val="28"/>
          <w:szCs w:val="28"/>
        </w:rPr>
        <w:t>联系</w:t>
      </w:r>
      <w:r>
        <w:rPr>
          <w:rFonts w:hint="eastAsia" w:asciiTheme="minorEastAsia" w:hAnsiTheme="minorEastAsia" w:eastAsiaTheme="minorEastAsia" w:cstheme="minorEastAsia"/>
          <w:i w:val="0"/>
          <w:iCs w:val="0"/>
          <w:caps w:val="0"/>
          <w:color w:val="333333"/>
          <w:spacing w:val="0"/>
          <w:sz w:val="28"/>
          <w:szCs w:val="28"/>
          <w:lang w:eastAsia="zh-CN"/>
        </w:rPr>
        <w:t>电话</w:t>
      </w:r>
      <w:r>
        <w:rPr>
          <w:rFonts w:hint="eastAsia" w:asciiTheme="minorEastAsia" w:hAnsiTheme="minorEastAsia" w:eastAsiaTheme="minorEastAsia" w:cstheme="minorEastAsia"/>
          <w:i w:val="0"/>
          <w:iCs w:val="0"/>
          <w:caps w:val="0"/>
          <w:color w:val="333333"/>
          <w:spacing w:val="0"/>
          <w:sz w:val="28"/>
          <w:szCs w:val="28"/>
        </w:rPr>
        <w:t>：</w:t>
      </w:r>
      <w:r>
        <w:rPr>
          <w:rFonts w:hint="eastAsia" w:asciiTheme="minorEastAsia" w:hAnsiTheme="minorEastAsia" w:eastAsiaTheme="minorEastAsia" w:cstheme="minorEastAsia"/>
          <w:i w:val="0"/>
          <w:iCs w:val="0"/>
          <w:caps w:val="0"/>
          <w:color w:val="333333"/>
          <w:spacing w:val="0"/>
          <w:sz w:val="28"/>
          <w:szCs w:val="28"/>
          <w:lang w:val="en-US" w:eastAsia="zh-CN"/>
        </w:rPr>
        <w:t>0434-5188625     邮箱：</w:t>
      </w:r>
      <w:r>
        <w:rPr>
          <w:rFonts w:hint="eastAsia" w:ascii="宋体" w:hAnsi="宋体" w:cs="宋体"/>
          <w:kern w:val="0"/>
          <w:sz w:val="28"/>
          <w:szCs w:val="28"/>
          <w:lang w:val="en-US" w:eastAsia="zh-CN"/>
        </w:rPr>
        <w:t>sphbjspb</w:t>
      </w:r>
      <w:r>
        <w:rPr>
          <w:rFonts w:hint="eastAsia" w:ascii="宋体" w:hAnsi="宋体" w:cs="宋体"/>
          <w:kern w:val="0"/>
          <w:sz w:val="28"/>
          <w:szCs w:val="28"/>
        </w:rPr>
        <w:t>@163.com</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text" w:hAnchor="margin" w:xAlign="center" w:y="1"/>
      <w:rPr>
        <w:rStyle w:val="15"/>
      </w:rPr>
    </w:pPr>
    <w:r>
      <w:rPr>
        <w:rStyle w:val="15"/>
        <w:rFonts w:cs="Calibri"/>
      </w:rPr>
      <w:fldChar w:fldCharType="begin"/>
    </w:r>
    <w:r>
      <w:rPr>
        <w:rStyle w:val="15"/>
        <w:rFonts w:cs="Calibri"/>
      </w:rPr>
      <w:instrText xml:space="preserve">PAGE  </w:instrText>
    </w:r>
    <w:r>
      <w:rPr>
        <w:rStyle w:val="15"/>
        <w:rFonts w:cs="Calibri"/>
      </w:rPr>
      <w:fldChar w:fldCharType="separate"/>
    </w:r>
    <w:r>
      <w:rPr>
        <w:rStyle w:val="15"/>
        <w:rFonts w:cs="Calibri"/>
      </w:rPr>
      <w:t>3</w:t>
    </w:r>
    <w:r>
      <w:rPr>
        <w:rStyle w:val="15"/>
        <w:rFonts w:cs="Calibri"/>
      </w:rPr>
      <w:fldChar w:fldCharType="end"/>
    </w:r>
  </w:p>
  <w:p>
    <w:pPr>
      <w:pStyle w:val="9"/>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xNTgzMTE3N2U5NDE0MDk4MzUwY2QwNjAxMDdhNjAifQ=="/>
  </w:docVars>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4C626DE"/>
    <w:rsid w:val="08122BF1"/>
    <w:rsid w:val="108B3A7A"/>
    <w:rsid w:val="11B6590B"/>
    <w:rsid w:val="1E5E6650"/>
    <w:rsid w:val="1EAF62C5"/>
    <w:rsid w:val="203A6879"/>
    <w:rsid w:val="28483CB7"/>
    <w:rsid w:val="496A7708"/>
    <w:rsid w:val="59570C2C"/>
    <w:rsid w:val="648E119D"/>
    <w:rsid w:val="68737122"/>
    <w:rsid w:val="6AD40758"/>
    <w:rsid w:val="706C50A2"/>
    <w:rsid w:val="72DA55A2"/>
    <w:rsid w:val="73BF4C7F"/>
    <w:rsid w:val="751C0D43"/>
    <w:rsid w:val="764825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27"/>
    <w:semiHidden/>
    <w:qFormat/>
    <w:uiPriority w:val="99"/>
    <w:pPr>
      <w:jc w:val="left"/>
    </w:pPr>
    <w:rPr>
      <w:sz w:val="24"/>
      <w:szCs w:val="24"/>
    </w:rPr>
  </w:style>
  <w:style w:type="paragraph" w:styleId="4">
    <w:name w:val="Body Text"/>
    <w:basedOn w:val="1"/>
    <w:next w:val="5"/>
    <w:link w:val="23"/>
    <w:qFormat/>
    <w:uiPriority w:val="99"/>
    <w:pPr>
      <w:spacing w:after="120"/>
    </w:pPr>
    <w:rPr>
      <w:kern w:val="0"/>
      <w:sz w:val="20"/>
      <w:szCs w:val="20"/>
    </w:rPr>
  </w:style>
  <w:style w:type="paragraph" w:styleId="5">
    <w:name w:val="toc 1"/>
    <w:basedOn w:val="1"/>
    <w:next w:val="1"/>
    <w:qFormat/>
    <w:locked/>
    <w:uiPriority w:val="99"/>
    <w:pPr>
      <w:spacing w:before="120" w:after="120"/>
      <w:jc w:val="left"/>
    </w:pPr>
    <w:rPr>
      <w:b/>
      <w:bCs/>
      <w:caps/>
      <w:sz w:val="20"/>
      <w:szCs w:val="20"/>
    </w:rPr>
  </w:style>
  <w:style w:type="paragraph" w:styleId="6">
    <w:name w:val="Body Text Indent"/>
    <w:basedOn w:val="1"/>
    <w:link w:val="20"/>
    <w:semiHidden/>
    <w:qFormat/>
    <w:uiPriority w:val="99"/>
    <w:pPr>
      <w:spacing w:after="120"/>
      <w:ind w:left="420" w:leftChars="200"/>
    </w:pPr>
    <w:rPr>
      <w:rFonts w:ascii="宋体" w:hAnsi="宋体" w:cs="宋体"/>
      <w:sz w:val="24"/>
      <w:szCs w:val="24"/>
    </w:rPr>
  </w:style>
  <w:style w:type="paragraph" w:styleId="7">
    <w:name w:val="Plain Text"/>
    <w:basedOn w:val="1"/>
    <w:link w:val="26"/>
    <w:semiHidden/>
    <w:qFormat/>
    <w:uiPriority w:val="99"/>
    <w:rPr>
      <w:rFonts w:ascii="宋体" w:hAnsi="Courier New" w:cs="宋体"/>
    </w:rPr>
  </w:style>
  <w:style w:type="paragraph" w:styleId="8">
    <w:name w:val="Body Text Indent 2"/>
    <w:basedOn w:val="1"/>
    <w:link w:val="31"/>
    <w:qFormat/>
    <w:uiPriority w:val="99"/>
    <w:pPr>
      <w:spacing w:after="120" w:line="480" w:lineRule="auto"/>
      <w:ind w:left="420" w:leftChars="200"/>
    </w:pPr>
  </w:style>
  <w:style w:type="paragraph" w:styleId="9">
    <w:name w:val="footer"/>
    <w:basedOn w:val="1"/>
    <w:link w:val="17"/>
    <w:qFormat/>
    <w:uiPriority w:val="99"/>
    <w:pPr>
      <w:tabs>
        <w:tab w:val="center" w:pos="4153"/>
        <w:tab w:val="right" w:pos="8306"/>
      </w:tabs>
      <w:snapToGrid w:val="0"/>
      <w:jc w:val="left"/>
    </w:pPr>
    <w:rPr>
      <w:kern w:val="0"/>
      <w:sz w:val="18"/>
      <w:szCs w:val="18"/>
    </w:rPr>
  </w:style>
  <w:style w:type="paragraph" w:styleId="10">
    <w:name w:val="header"/>
    <w:basedOn w:val="1"/>
    <w:link w:val="29"/>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2"/>
    <w:basedOn w:val="1"/>
    <w:next w:val="1"/>
    <w:qFormat/>
    <w:locked/>
    <w:uiPriority w:val="0"/>
    <w:pPr>
      <w:ind w:left="420" w:leftChars="200"/>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99"/>
    <w:rPr>
      <w:rFonts w:cs="Times New Roman"/>
    </w:rPr>
  </w:style>
  <w:style w:type="paragraph" w:customStyle="1" w:styleId="16">
    <w:name w:val="p17"/>
    <w:basedOn w:val="1"/>
    <w:semiHidden/>
    <w:qFormat/>
    <w:uiPriority w:val="99"/>
    <w:pPr>
      <w:widowControl/>
    </w:pPr>
    <w:rPr>
      <w:kern w:val="0"/>
    </w:rPr>
  </w:style>
  <w:style w:type="character" w:customStyle="1" w:styleId="17">
    <w:name w:val="Footer Char"/>
    <w:basedOn w:val="14"/>
    <w:link w:val="9"/>
    <w:semiHidden/>
    <w:qFormat/>
    <w:locked/>
    <w:uiPriority w:val="99"/>
    <w:rPr>
      <w:rFonts w:cs="Times New Roman"/>
      <w:sz w:val="18"/>
      <w:szCs w:val="18"/>
    </w:rPr>
  </w:style>
  <w:style w:type="character" w:customStyle="1" w:styleId="18">
    <w:name w:val="博士论文正文 Char3"/>
    <w:link w:val="19"/>
    <w:qFormat/>
    <w:locked/>
    <w:uiPriority w:val="99"/>
    <w:rPr>
      <w:sz w:val="24"/>
    </w:rPr>
  </w:style>
  <w:style w:type="paragraph" w:customStyle="1" w:styleId="19">
    <w:name w:val="博士论文正文"/>
    <w:basedOn w:val="1"/>
    <w:link w:val="18"/>
    <w:qFormat/>
    <w:uiPriority w:val="99"/>
    <w:pPr>
      <w:snapToGrid w:val="0"/>
      <w:spacing w:beforeLines="20" w:line="360" w:lineRule="auto"/>
      <w:ind w:firstLine="200" w:firstLineChars="200"/>
    </w:pPr>
    <w:rPr>
      <w:rFonts w:cs="Times New Roman"/>
      <w:kern w:val="0"/>
      <w:sz w:val="24"/>
      <w:szCs w:val="20"/>
    </w:rPr>
  </w:style>
  <w:style w:type="character" w:customStyle="1" w:styleId="20">
    <w:name w:val="Body Text Indent Char"/>
    <w:basedOn w:val="14"/>
    <w:link w:val="6"/>
    <w:semiHidden/>
    <w:qFormat/>
    <w:locked/>
    <w:uiPriority w:val="99"/>
    <w:rPr>
      <w:rFonts w:ascii="宋体" w:hAnsi="宋体" w:eastAsia="宋体" w:cs="宋体"/>
      <w:kern w:val="2"/>
      <w:sz w:val="24"/>
      <w:szCs w:val="24"/>
      <w:lang w:val="en-US" w:eastAsia="zh-CN"/>
    </w:rPr>
  </w:style>
  <w:style w:type="paragraph" w:customStyle="1" w:styleId="21">
    <w:name w:val="p0"/>
    <w:basedOn w:val="1"/>
    <w:qFormat/>
    <w:uiPriority w:val="99"/>
    <w:pPr>
      <w:widowControl/>
    </w:pPr>
    <w:rPr>
      <w:rFonts w:ascii="Times New Roman" w:hAnsi="Times New Roman" w:cs="Times New Roman"/>
      <w:kern w:val="0"/>
    </w:rPr>
  </w:style>
  <w:style w:type="paragraph" w:customStyle="1" w:styleId="22">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3">
    <w:name w:val="Body Text Char"/>
    <w:basedOn w:val="14"/>
    <w:link w:val="4"/>
    <w:semiHidden/>
    <w:qFormat/>
    <w:locked/>
    <w:uiPriority w:val="99"/>
    <w:rPr>
      <w:rFonts w:cs="Times New Roman"/>
    </w:rPr>
  </w:style>
  <w:style w:type="paragraph" w:customStyle="1" w:styleId="24">
    <w:name w:val="Default"/>
    <w:basedOn w:val="25"/>
    <w:next w:val="1"/>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2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Plain Text Char"/>
    <w:basedOn w:val="14"/>
    <w:link w:val="7"/>
    <w:semiHidden/>
    <w:qFormat/>
    <w:locked/>
    <w:uiPriority w:val="99"/>
    <w:rPr>
      <w:rFonts w:ascii="宋体" w:hAnsi="Courier New" w:eastAsia="宋体" w:cs="宋体"/>
      <w:kern w:val="2"/>
      <w:sz w:val="21"/>
      <w:szCs w:val="21"/>
      <w:lang w:val="en-US" w:eastAsia="zh-CN"/>
    </w:rPr>
  </w:style>
  <w:style w:type="character" w:customStyle="1" w:styleId="27">
    <w:name w:val="Comment Text Char"/>
    <w:basedOn w:val="14"/>
    <w:link w:val="3"/>
    <w:semiHidden/>
    <w:qFormat/>
    <w:locked/>
    <w:uiPriority w:val="99"/>
    <w:rPr>
      <w:rFonts w:eastAsia="宋体" w:cs="Times New Roman"/>
      <w:kern w:val="2"/>
      <w:sz w:val="24"/>
      <w:szCs w:val="24"/>
      <w:lang w:val="en-US" w:eastAsia="zh-CN"/>
    </w:rPr>
  </w:style>
  <w:style w:type="character" w:customStyle="1" w:styleId="28">
    <w:name w:val="style41"/>
    <w:qFormat/>
    <w:uiPriority w:val="99"/>
    <w:rPr>
      <w:sz w:val="18"/>
    </w:rPr>
  </w:style>
  <w:style w:type="character" w:customStyle="1" w:styleId="29">
    <w:name w:val="Header Char"/>
    <w:basedOn w:val="14"/>
    <w:link w:val="10"/>
    <w:qFormat/>
    <w:locked/>
    <w:uiPriority w:val="99"/>
    <w:rPr>
      <w:rFonts w:cs="Times New Roman"/>
      <w:sz w:val="18"/>
      <w:szCs w:val="18"/>
    </w:rPr>
  </w:style>
  <w:style w:type="paragraph" w:customStyle="1" w:styleId="30">
    <w:name w:val="5"/>
    <w:basedOn w:val="1"/>
    <w:next w:val="1"/>
    <w:qFormat/>
    <w:uiPriority w:val="99"/>
    <w:pPr>
      <w:spacing w:line="360" w:lineRule="auto"/>
      <w:ind w:firstLine="200" w:firstLineChars="200"/>
    </w:pPr>
    <w:rPr>
      <w:rFonts w:ascii="宋体" w:hAnsi="宋体" w:cs="宋体"/>
      <w:sz w:val="24"/>
      <w:szCs w:val="24"/>
    </w:rPr>
  </w:style>
  <w:style w:type="character" w:customStyle="1" w:styleId="31">
    <w:name w:val="Body Text Indent 2 Char"/>
    <w:basedOn w:val="14"/>
    <w:link w:val="8"/>
    <w:semiHidden/>
    <w:qFormat/>
    <w:uiPriority w:val="99"/>
    <w:rPr>
      <w:rFonts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1622</Words>
  <Characters>1760</Characters>
  <Lines>0</Lines>
  <Paragraphs>0</Paragraphs>
  <TotalTime>1</TotalTime>
  <ScaleCrop>false</ScaleCrop>
  <LinksUpToDate>false</LinksUpToDate>
  <CharactersWithSpaces>1769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2021-01-07T05:23:00Z</dcterms:created>
  <dc:creator>Administrator</dc:creator>
  <cp:lastModifiedBy>盛誉</cp:lastModifiedBy>
  <cp:lastPrinted>2021-01-07T05:27:00Z</cp:lastPrinted>
  <dcterms:modified xsi:type="dcterms:W3CDTF">2023-11-01T02:55:45Z</dcterms:modified>
  <dc:title>四环审（表）字[2018] 45号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5164172110614EEEB9A77986325643C6</vt:lpwstr>
  </property>
</Properties>
</file>