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52" w:rsidRDefault="00F24D8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行政许可流程图</w:t>
      </w:r>
    </w:p>
    <w:p w:rsidR="00002D52" w:rsidRDefault="00002D52"/>
    <w:p w:rsidR="00002D52" w:rsidRDefault="00002D52"/>
    <w:p w:rsidR="00002D52" w:rsidRDefault="00F24D89">
      <w:r>
        <w:pict>
          <v:roundrect id="圆角矩形 53" o:spid="_x0000_s1027" style="position:absolute;left:0;text-align:left;margin-left:-13.55pt;margin-top:460.5pt;width:158.9pt;height:55.85pt;z-index:4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作出不予许可书面决定，说明理由并告知申请人依法享有的救济途径</w:t>
                  </w:r>
                </w:p>
              </w:txbxContent>
            </v:textbox>
          </v:roundrect>
        </w:pict>
      </w:r>
      <w:r>
        <w:pict>
          <v:roundrect id="圆角矩形 58" o:spid="_x0000_s1028" style="position:absolute;left:0;text-align:left;margin-left:164.4pt;margin-top:589.55pt;width:152.2pt;height:39.75pt;z-index:54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归档并向社会公开行政许可决定</w:t>
                  </w:r>
                  <w:r>
                    <w:rPr>
                      <w:rFonts w:hint="eastAsia"/>
                      <w:sz w:val="18"/>
                      <w:szCs w:val="18"/>
                    </w:rPr>
                    <w:t>（音像记录存档）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7" o:spid="_x0000_s1029" type="#_x0000_t32" style="position:absolute;left:0;text-align:left;margin-left:240.7pt;margin-top:566.3pt;width:.35pt;height:23.3pt;z-index:53" o:preferrelative="t" filled="t" strokeweight="1.5pt">
            <v:stroke endarrow="open" miterlimit="2"/>
          </v:shape>
        </w:pict>
      </w:r>
      <w:r>
        <w:pict>
          <v:roundrect id="圆角矩形 56" o:spid="_x0000_s1030" style="position:absolute;left:0;text-align:left;margin-left:182.9pt;margin-top:520.8pt;width:116.25pt;height:45.75pt;z-index:52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制作并颁发加盖本行政机关印章的许可证件</w:t>
                  </w:r>
                </w:p>
              </w:txbxContent>
            </v:textbox>
          </v:roundrect>
        </w:pict>
      </w:r>
      <w:r>
        <w:pict>
          <v:shape id="直接箭头连接符 55" o:spid="_x0000_s1031" type="#_x0000_t32" style="position:absolute;left:0;text-align:left;margin-left:240.7pt;margin-top:496.55pt;width:.35pt;height:23.3pt;z-index:51" o:preferrelative="t" filled="t" strokeweight="1.5pt">
            <v:stroke endarrow="open" miterlimit="2"/>
          </v:shape>
        </w:pict>
      </w:r>
      <w:r>
        <w:pict>
          <v:roundrect id="圆角矩形 54" o:spid="_x0000_s1032" style="position:absolute;left:0;text-align:left;margin-left:177pt;margin-top:459.3pt;width:124.35pt;height:37.5pt;z-index:50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作出准予许可的书面决定</w:t>
                  </w:r>
                </w:p>
              </w:txbxContent>
            </v:textbox>
          </v:roundrect>
        </w:pict>
      </w:r>
      <w:r>
        <w:pict>
          <v:shape id="直接箭头连接符 52" o:spid="_x0000_s1033" type="#_x0000_t32" style="position:absolute;left:0;text-align:left;margin-left:239.2pt;margin-top:436.55pt;width:.35pt;height:23.3pt;z-index:48" o:preferrelative="t" filled="t" strokeweight="1.5pt">
            <v:stroke endarrow="open" miterlimit="2"/>
          </v:shape>
        </w:pict>
      </w:r>
      <w:r>
        <w:pict>
          <v:shape id="直接箭头连接符 51" o:spid="_x0000_s1034" type="#_x0000_t32" style="position:absolute;left:0;text-align:left;margin-left:67.45pt;margin-top:436.55pt;width:.35pt;height:23.3pt;z-index:47" o:preferrelative="t" filled="t" strokeweight="1.5pt">
            <v:stroke endarrow="open" miterlimit="2"/>
          </v:shape>
        </w:pict>
      </w:r>
      <w:r>
        <w:pict>
          <v:roundrect id="圆角矩形 50" o:spid="_x0000_s1035" style="position:absolute;left:0;text-align:left;margin-left:182.8pt;margin-top:407.35pt;width:106.6pt;height:28.5pt;z-index:46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符合法定条件</w:t>
                  </w:r>
                </w:p>
              </w:txbxContent>
            </v:textbox>
          </v:roundrect>
        </w:pict>
      </w:r>
      <w:r>
        <w:pict>
          <v:roundrect id="圆角矩形 49" o:spid="_x0000_s1036" style="position:absolute;left:0;text-align:left;margin-left:12.65pt;margin-top:406.6pt;width:105pt;height:29.25pt;z-index:45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不符合法定条件</w:t>
                  </w:r>
                </w:p>
              </w:txbxContent>
            </v:textbox>
          </v:roundrect>
        </w:pict>
      </w:r>
      <w:r>
        <w:pict>
          <v:shape id="直接箭头连接符 48" o:spid="_x0000_s1037" type="#_x0000_t32" style="position:absolute;left:0;text-align:left;margin-left:237.7pt;margin-top:383.3pt;width:.35pt;height:23.3pt;z-index:44" o:preferrelative="t" filled="t" strokeweight="1.5pt">
            <v:stroke endarrow="open" miterlimit="2"/>
          </v:shape>
        </w:pict>
      </w:r>
      <w:r>
        <w:pict>
          <v:shape id="直接箭头连接符 47" o:spid="_x0000_s1038" type="#_x0000_t32" style="position:absolute;left:0;text-align:left;margin-left:65.95pt;margin-top:382.55pt;width:.35pt;height:23.3pt;z-index:43" o:preferrelative="t" filled="t" strokeweight="1.5pt">
            <v:stroke endarrow="open" miterlimit="2"/>
          </v:shape>
        </w:pict>
      </w:r>
      <w:r>
        <w:pict>
          <v:line id="直接连接符 42" o:spid="_x0000_s1039" style="position:absolute;left:0;text-align:left;z-index:38" from="65.9pt,382.6pt" to="238.4pt,382.65pt" o:preferrelative="t" strokeweight="1.5pt">
            <v:stroke miterlimit="2"/>
          </v:line>
        </w:pict>
      </w:r>
      <w:r>
        <w:pict>
          <v:line id="直接连接符 41" o:spid="_x0000_s1040" style="position:absolute;left:0;text-align:left;z-index:37" from="152.9pt,363.1pt" to="152.95pt,381.85pt" o:preferrelative="t" strokeweight="1.5pt">
            <v:stroke miterlimit="2"/>
          </v:line>
        </w:pict>
      </w:r>
      <w:r>
        <w:pict>
          <v:roundrect id="圆角矩形 44" o:spid="_x0000_s1041" style="position:absolute;left:0;text-align:left;margin-left:117.65pt;margin-top:336.85pt;width:69.75pt;height:25.5pt;z-index:40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审核决定</w:t>
                  </w:r>
                </w:p>
              </w:txbxContent>
            </v:textbox>
          </v:roundrect>
        </w:pict>
      </w:r>
      <w:r>
        <w:pict>
          <v:shape id="直接箭头连接符 32" o:spid="_x0000_s1042" type="#_x0000_t32" style="position:absolute;left:0;text-align:left;margin-left:407.2pt;margin-top:145.55pt;width:.35pt;height:23.3pt;z-index:30" o:preferrelative="t" filled="t" strokeweight="1.5pt">
            <v:stroke endarrow="open" miterlimit="2"/>
          </v:shape>
        </w:pict>
      </w: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40" o:spid="_x0000_s1043" type="#_x0000_t33" style="position:absolute;left:0;text-align:left;margin-left:299.8pt;margin-top:145.75pt;width:72.5pt;height:19pt;rotation:90;flip:y;z-index:36" o:preferrelative="t" filled="t" strokeweight="2.25pt">
            <v:stroke dashstyle="1 1" endarrow="open" miterlimit="2"/>
          </v:shape>
        </w:pict>
      </w:r>
      <w:r>
        <w:pict>
          <v:shape id="直接箭头连接符 43" o:spid="_x0000_s1044" type="#_x0000_t32" style="position:absolute;left:0;text-align:left;margin-left:153.7pt;margin-top:313.55pt;width:.35pt;height:23.3pt;z-index:39" o:preferrelative="t" filled="t" strokeweight="1.5pt">
            <v:stroke endarrow="open" miterlimit="2"/>
          </v:shape>
        </w:pict>
      </w:r>
      <w:r>
        <w:pict>
          <v:line id="直接连接符 35" o:spid="_x0000_s1045" style="position:absolute;left:0;text-align:left;z-index:33" from="30.3pt,313.6pt" to="265.05pt,313.65pt" o:preferrelative="t" strokeweight="1.5pt">
            <v:stroke miterlimit="2"/>
          </v:line>
        </w:pict>
      </w:r>
      <w:r>
        <w:pict>
          <v:line id="直接连接符 34" o:spid="_x0000_s1046" style="position:absolute;left:0;text-align:left;z-index:32" from="265.05pt,294.85pt" to="265.1pt,313.6pt" o:preferrelative="t" strokeweight="1.5pt">
            <v:stroke miterlimit="2"/>
          </v:line>
        </w:pict>
      </w:r>
      <w:r>
        <w:pict>
          <v:roundrect id="圆角矩形 31" o:spid="_x0000_s1047" style="position:absolute;left:0;text-align:left;margin-left:215.55pt;margin-top:261.85pt;width:96pt;height:33pt;z-index:2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无需听证</w:t>
                  </w:r>
                </w:p>
              </w:txbxContent>
            </v:textbox>
          </v:roundrect>
        </w:pict>
      </w:r>
      <w:r>
        <w:pict>
          <v:line id="直接连接符 33" o:spid="_x0000_s1048" style="position:absolute;left:0;text-align:left;z-index:31" from="31.05pt,295.6pt" to="31.1pt,314.35pt" o:preferrelative="t" strokeweight="1.5pt">
            <v:stroke miterlimit="2"/>
          </v:line>
        </w:pict>
      </w:r>
      <w:r>
        <w:pict>
          <v:roundrect id="圆角矩形 30" o:spid="_x0000_s1049" style="position:absolute;left:0;text-align:left;margin-left:-24.45pt;margin-top:263.35pt;width:111pt;height:32.25pt;z-index:2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符合听证条件举行听证</w:t>
                  </w:r>
                </w:p>
              </w:txbxContent>
            </v:textbox>
          </v:roundrect>
        </w:pict>
      </w:r>
      <w:r>
        <w:pict>
          <v:shape id="直接箭头连接符 29" o:spid="_x0000_s1050" type="#_x0000_t32" style="position:absolute;left:0;text-align:left;margin-left:265.45pt;margin-top:240.05pt;width:.35pt;height:23.3pt;z-index:27" o:preferrelative="t" filled="t" strokeweight="1.5pt">
            <v:stroke endarrow="open" miterlimit="2"/>
          </v:shape>
        </w:pict>
      </w:r>
      <w:r>
        <w:pict>
          <v:shape id="直接箭头连接符 28" o:spid="_x0000_s1051" type="#_x0000_t32" style="position:absolute;left:0;text-align:left;margin-left:30.7pt;margin-top:239.3pt;width:.35pt;height:23.3pt;z-index:26" o:preferrelative="t" filled="t" strokeweight="1.5pt">
            <v:stroke endarrow="open" miterlimit="2"/>
          </v:shape>
        </w:pict>
      </w:r>
      <w:r>
        <w:pict>
          <v:line id="直接连接符 27" o:spid="_x0000_s1052" style="position:absolute;left:0;text-align:left;flip:y;z-index:25" from="30.3pt,239.35pt" to="265.8pt,240.1pt" o:preferrelative="t" strokeweight="1.5pt">
            <v:stroke miterlimit="2"/>
          </v:line>
        </w:pict>
      </w:r>
      <w:r>
        <w:pict>
          <v:roundrect id="圆角矩形 24" o:spid="_x0000_s1053" style="position:absolute;left:0;text-align:left;margin-left:225.3pt;margin-top:177.85pt;width:111.05pt;height:45.8pt;z-index:22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符合法定要求的，可以当场作出书面许可决定</w:t>
                  </w:r>
                </w:p>
              </w:txbxContent>
            </v:textbox>
          </v:roundrect>
        </w:pict>
      </w:r>
      <w:r>
        <w:pict>
          <v:roundrect id="圆角矩形 25" o:spid="_x0000_s1054" style="position:absolute;left:0;text-align:left;margin-left:100.05pt;margin-top:178.6pt;width:104.25pt;height:35.25pt;z-index:2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实质审查</w:t>
                  </w:r>
                </w:p>
              </w:txbxContent>
            </v:textbox>
          </v:roundrect>
        </w:pict>
      </w:r>
      <w:r>
        <w:pict>
          <v:shape id="直接箭头连接符 23" o:spid="_x0000_s1055" type="#_x0000_t32" style="position:absolute;left:0;text-align:left;margin-left:155.95pt;margin-top:154.55pt;width:.35pt;height:23.3pt;z-index:21" o:preferrelative="t" filled="t" strokeweight="1.5pt">
            <v:stroke endarrow="open" miterlimit="2"/>
          </v:shape>
        </w:pict>
      </w:r>
      <w:r>
        <w:pict>
          <v:shape id="直接箭头连接符 46" o:spid="_x0000_s1056" type="#_x0000_t32" style="position:absolute;left:0;text-align:left;margin-left:290.2pt;margin-top:154.55pt;width:.35pt;height:23.3pt;z-index:42" o:preferrelative="t" filled="t" strokeweight="1.5pt">
            <v:stroke endarrow="open" miterlimit="2"/>
          </v:shape>
        </w:pict>
      </w:r>
      <w:r>
        <w:pict>
          <v:line id="直接连接符 22" o:spid="_x0000_s1057" style="position:absolute;left:0;text-align:left;z-index:20" from="154.8pt,154.6pt" to="289.8pt,154.65pt" o:preferrelative="t" strokeweight="1.5pt">
            <v:stroke miterlimit="2"/>
          </v:line>
        </w:pict>
      </w:r>
      <w:r>
        <w:pict>
          <v:line id="直接连接符 45" o:spid="_x0000_s1058" style="position:absolute;left:0;text-align:left;z-index:41" from="269.15pt,135.1pt" to="269.2pt,153.85pt" o:preferrelative="t" strokeweight="1.5pt">
            <v:stroke miterlimit="2"/>
          </v:line>
        </w:pict>
      </w:r>
      <w:r>
        <w:pict>
          <v:shape id="直接箭头连接符 14" o:spid="_x0000_s1059" type="#_x0000_t32" style="position:absolute;left:0;text-align:left;margin-left:268.45pt;margin-top:78.8pt;width:.35pt;height:23.3pt;z-index:14" o:preferrelative="t" filled="t" strokeweight="1.5pt">
            <v:stroke endarrow="open" miterlimit="2"/>
          </v:shape>
        </w:pict>
      </w:r>
      <w:r>
        <w:pict>
          <v:roundrect id="圆角矩形 11" o:spid="_x0000_s1060" style="position:absolute;left:0;text-align:left;margin-left:349.1pt;margin-top:45.85pt;width:107.2pt;height:32.25pt;z-index:1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材料不符合法定要求</w:t>
                  </w:r>
                </w:p>
              </w:txbxContent>
            </v:textbox>
          </v:roundrect>
        </w:pict>
      </w:r>
      <w:r>
        <w:pict>
          <v:shape id="直接箭头连接符 10" o:spid="_x0000_s1061" type="#_x0000_t32" style="position:absolute;left:0;text-align:left;margin-left:404.2pt;margin-top:21.8pt;width:.35pt;height:23.3pt;z-index:10" o:preferrelative="t" filled="t" strokeweight="1.5pt">
            <v:stroke endarrow="open" miterlimit="2"/>
          </v:shape>
        </w:pict>
      </w:r>
      <w:r>
        <w:pict>
          <v:roundrect id="圆角矩形 9" o:spid="_x0000_s1062" style="position:absolute;left:0;text-align:left;margin-left:208.75pt;margin-top:47.35pt;width:113.25pt;height:32.2pt;z-index: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符合法定许可要求</w:t>
                  </w:r>
                </w:p>
              </w:txbxContent>
            </v:textbox>
          </v:roundrect>
        </w:pict>
      </w:r>
      <w:r>
        <w:pict>
          <v:shape id="直接箭头连接符 8" o:spid="_x0000_s1063" type="#_x0000_t32" style="position:absolute;left:0;text-align:left;margin-left:266.95pt;margin-top:23.3pt;width:.35pt;height:23.3pt;z-index:8" o:preferrelative="t" filled="t" strokeweight="1.5pt">
            <v:stroke endarrow="open" miterlimit="2"/>
          </v:shape>
        </w:pict>
      </w:r>
      <w:r>
        <w:pict>
          <v:roundrect id="圆角矩形 7" o:spid="_x0000_s1064" style="position:absolute;left:0;text-align:left;margin-left:56.65pt;margin-top:46.6pt;width:145.35pt;height:32.25pt;z-index: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依法不属于本行政机关许可范围</w:t>
                  </w:r>
                </w:p>
              </w:txbxContent>
            </v:textbox>
          </v:roundrect>
        </w:pict>
      </w:r>
      <w:r>
        <w:pict>
          <v:roundrect id="圆角矩形 19" o:spid="_x0000_s1065" style="position:absolute;left:0;text-align:left;margin-left:214.8pt;margin-top:102.1pt;width:111.75pt;height:33.8pt;z-index:1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予以受理</w:t>
                  </w:r>
                </w:p>
              </w:txbxContent>
            </v:textbox>
          </v:roundrect>
        </w:pict>
      </w:r>
      <w:r>
        <w:pict>
          <v:line id="直接连接符 38" o:spid="_x0000_s1066" style="position:absolute;left:0;text-align:left;flip:x y;z-index:35" from="344.15pt,191.35pt" to="368.55pt,191.75pt" o:preferrelative="t" strokeweight="2.25pt">
            <v:stroke dashstyle="1 1" miterlimit="2"/>
          </v:line>
        </w:pict>
      </w:r>
      <w:r>
        <w:pict>
          <v:roundrect id="圆角矩形 36" o:spid="_x0000_s1067" style="position:absolute;left:0;text-align:left;margin-left:368.55pt;margin-top:169.6pt;width:87pt;height:44.25pt;z-index:34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申请人按要求提交全部补正材料</w:t>
                  </w:r>
                </w:p>
              </w:txbxContent>
            </v:textbox>
          </v:roundrect>
        </w:pict>
      </w:r>
      <w:r>
        <w:pict>
          <v:roundrect id="圆角矩形 18" o:spid="_x0000_s1068" style="position:absolute;left:0;text-align:left;margin-left:358.05pt;margin-top:101.35pt;width:105.65pt;height:43.45pt;z-index:1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widowControl/>
                    <w:jc w:val="left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5"/>
                      <w:szCs w:val="15"/>
                    </w:rPr>
                    <w:t>当场或者在五日内一次告知申请人需要补正的材料</w:t>
                  </w:r>
                </w:p>
                <w:p w:rsidR="00002D52" w:rsidRDefault="00002D52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>
        <w:pict>
          <v:line id="直接连接符 26" o:spid="_x0000_s1069" style="position:absolute;left:0;text-align:left;z-index:24" from="152.2pt,213.85pt" to="152.55pt,238.6pt" o:preferrelative="t" strokeweight="1.5pt">
            <v:stroke miterlimit="2"/>
          </v:line>
        </w:pict>
      </w:r>
      <w:r>
        <w:pict>
          <v:roundrect id="圆角矩形 17" o:spid="_x0000_s1070" style="position:absolute;left:0;text-align:left;margin-left:79.8pt;margin-top:102.1pt;width:104.4pt;height:42.7pt;z-index:1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不予受理并告知申请人向有关行政机关申请</w:t>
                  </w:r>
                </w:p>
              </w:txbxContent>
            </v:textbox>
          </v:roundrect>
        </w:pict>
      </w:r>
      <w:r>
        <w:pict>
          <v:roundrect id="圆角矩形 16" o:spid="_x0000_s1071" style="position:absolute;left:0;text-align:left;margin-left:-50.7pt;margin-top:102.1pt;width:104.65pt;height:33pt;z-index:16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即时告知申请人不予受理</w:t>
                  </w:r>
                </w:p>
              </w:txbxContent>
            </v:textbox>
          </v:roundrect>
        </w:pict>
      </w:r>
      <w:r>
        <w:pict>
          <v:shape id="直接箭头连接符 15" o:spid="_x0000_s1072" type="#_x0000_t32" style="position:absolute;left:0;text-align:left;margin-left:405.7pt;margin-top:78.8pt;width:.35pt;height:23.3pt;z-index:15" o:preferrelative="t" filled="t" strokeweight="1.5pt">
            <v:stroke endarrow="open" miterlimit="2"/>
          </v:shape>
        </w:pict>
      </w:r>
      <w:r>
        <w:pict>
          <v:shape id="直接箭头连接符 13" o:spid="_x0000_s1073" type="#_x0000_t32" style="position:absolute;left:0;text-align:left;margin-left:132.7pt;margin-top:78.8pt;width:.35pt;height:23.3pt;z-index:13" o:preferrelative="t" filled="t" strokeweight="1.5pt">
            <v:stroke endarrow="open" miterlimit="2"/>
          </v:shape>
        </w:pict>
      </w:r>
      <w:r>
        <w:pict>
          <v:shape id="直接箭头连接符 12" o:spid="_x0000_s1074" type="#_x0000_t32" style="position:absolute;left:0;text-align:left;margin-left:-.8pt;margin-top:78.8pt;width:.35pt;height:23.3pt;z-index:12" o:preferrelative="t" filled="t" strokeweight="1.5pt">
            <v:stroke endarrow="open" miterlimit="2"/>
          </v:shape>
        </w:pict>
      </w:r>
      <w:r>
        <w:pict>
          <v:shape id="直接箭头连接符 6" o:spid="_x0000_s1075" type="#_x0000_t32" style="position:absolute;left:0;text-align:left;margin-left:132.7pt;margin-top:23.3pt;width:.35pt;height:23.3pt;z-index:6" o:preferrelative="t" filled="t" strokeweight="1.5pt">
            <v:stroke endarrow="open" miterlimit="2"/>
          </v:shape>
        </w:pict>
      </w:r>
      <w:r>
        <w:pict>
          <v:roundrect id="圆角矩形 5" o:spid="_x0000_s1076" style="position:absolute;left:0;text-align:left;margin-left:-52.2pt;margin-top:46.6pt;width:100.5pt;height:32.25pt;z-index:5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依法不需要行政许可</w:t>
                  </w:r>
                </w:p>
              </w:txbxContent>
            </v:textbox>
          </v:roundrect>
        </w:pict>
      </w:r>
      <w:r>
        <w:pict>
          <v:shape id="直接箭头连接符 2" o:spid="_x0000_s1077" type="#_x0000_t32" style="position:absolute;left:0;text-align:left;margin-left:-1.55pt;margin-top:22.55pt;width:.35pt;height:23.3pt;z-index:4" o:preferrelative="t" filled="t" strokeweight="1.5pt">
            <v:stroke endarrow="open" miterlimit="2"/>
          </v:shape>
        </w:pict>
      </w:r>
      <w:r>
        <w:pict>
          <v:line id="直接连接符 4" o:spid="_x0000_s1078" style="position:absolute;left:0;text-align:left;z-index:3" from="-1.95pt,22.6pt" to="404.55pt,22.65pt" o:preferrelative="t" strokeweight="1.5pt">
            <v:stroke miterlimit="2"/>
          </v:line>
        </w:pict>
      </w:r>
      <w:r>
        <w:pict>
          <v:line id="直接连接符 3" o:spid="_x0000_s1079" style="position:absolute;left:0;text-align:left;z-index:2" from="189.7pt,6.05pt" to="190.05pt,23.35pt" o:preferrelative="t" strokeweight="1.5pt">
            <v:stroke miterlimit="2"/>
          </v:line>
        </w:pict>
      </w:r>
      <w:r>
        <w:pict>
          <v:roundrect id="圆角矩形 1" o:spid="_x0000_s1080" style="position:absolute;left:0;text-align:left;margin-left:121.75pt;margin-top:-23.9pt;width:135.85pt;height:29.95pt;z-index: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002D52" w:rsidRDefault="00F24D8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申请人提出申请</w:t>
                  </w:r>
                </w:p>
              </w:txbxContent>
            </v:textbox>
          </v:roundrect>
        </w:pict>
      </w:r>
    </w:p>
    <w:sectPr w:rsidR="00002D52">
      <w:headerReference w:type="default" r:id="rId8"/>
      <w:pgSz w:w="11906" w:h="16838"/>
      <w:pgMar w:top="85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89" w:rsidRDefault="00F24D89">
      <w:r>
        <w:separator/>
      </w:r>
    </w:p>
  </w:endnote>
  <w:endnote w:type="continuationSeparator" w:id="0">
    <w:p w:rsidR="00F24D89" w:rsidRDefault="00F2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89" w:rsidRDefault="00F24D89">
      <w:r>
        <w:separator/>
      </w:r>
    </w:p>
  </w:footnote>
  <w:footnote w:type="continuationSeparator" w:id="0">
    <w:p w:rsidR="00F24D89" w:rsidRDefault="00F2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D52" w:rsidRDefault="00002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52"/>
    <w:rsid w:val="00002D52"/>
    <w:rsid w:val="00871C18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57"/>
        <o:r id="V:Rule2" type="connector" idref="#直接箭头连接符 55"/>
        <o:r id="V:Rule3" type="connector" idref="#直接箭头连接符 52"/>
        <o:r id="V:Rule4" type="connector" idref="#直接箭头连接符 51"/>
        <o:r id="V:Rule5" type="connector" idref="#直接箭头连接符 48"/>
        <o:r id="V:Rule6" type="connector" idref="#直接箭头连接符 47"/>
        <o:r id="V:Rule7" type="connector" idref="#直接箭头连接符 32"/>
        <o:r id="V:Rule8" type="connector" idref="#肘形连接符 40"/>
        <o:r id="V:Rule9" type="connector" idref="#直接箭头连接符 43"/>
        <o:r id="V:Rule10" type="connector" idref="#直接箭头连接符 29"/>
        <o:r id="V:Rule11" type="connector" idref="#直接箭头连接符 28"/>
        <o:r id="V:Rule12" type="connector" idref="#直接箭头连接符 23"/>
        <o:r id="V:Rule13" type="connector" idref="#直接箭头连接符 46"/>
        <o:r id="V:Rule14" type="connector" idref="#直接箭头连接符 14"/>
        <o:r id="V:Rule15" type="connector" idref="#直接箭头连接符 10"/>
        <o:r id="V:Rule16" type="connector" idref="#直接箭头连接符 8"/>
        <o:r id="V:Rule17" type="connector" idref="#直接箭头连接符 15"/>
        <o:r id="V:Rule18" type="connector" idref="#直接箭头连接符 13"/>
        <o:r id="V:Rule19" type="connector" idref="#直接箭头连接符 12"/>
        <o:r id="V:Rule20" type="connector" idref="#直接箭头连接符 6"/>
        <o:r id="V:Rule21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  <customShpInfo spid="_x0000_s1070" textRotate="1"/>
    <customShpInfo spid="_x0000_s1071" textRotate="1"/>
    <customShpInfo spid="_x0000_s1072" textRotate="1"/>
    <customShpInfo spid="_x0000_s1073" textRotate="1"/>
    <customShpInfo spid="_x0000_s1074" textRotate="1"/>
    <customShpInfo spid="_x0000_s1075" textRotate="1"/>
    <customShpInfo spid="_x0000_s1076" textRotate="1"/>
    <customShpInfo spid="_x0000_s1077" textRotate="1"/>
    <customShpInfo spid="_x0000_s1078" textRotate="1"/>
    <customShpInfo spid="_x0000_s1079" textRotate="1"/>
    <customShpInfo spid="_x0000_s108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行政许可流程图（样图）</dc:title>
  <dc:creator>user</dc:creator>
  <cp:lastModifiedBy>xb21cn</cp:lastModifiedBy>
  <cp:revision>1</cp:revision>
  <dcterms:created xsi:type="dcterms:W3CDTF">2021-06-16T00:53:00Z</dcterms:created>
  <dcterms:modified xsi:type="dcterms:W3CDTF">2021-08-04T01:14:00Z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