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宋体" w:cs="Times New Roman"/>
          <w:b/>
          <w:sz w:val="28"/>
          <w:lang w:val="en-US" w:eastAsia="zh-CN"/>
        </w:rPr>
      </w:pPr>
      <w:r>
        <w:rPr>
          <w:rFonts w:ascii="Times New Roman" w:hAnsi="Times New Roman" w:cs="Times New Roman"/>
          <w:b/>
          <w:sz w:val="28"/>
        </w:rPr>
        <w:t>附件</w:t>
      </w:r>
      <w:r>
        <w:rPr>
          <w:rFonts w:hint="eastAsia" w:cs="Times New Roman"/>
          <w:b/>
          <w:sz w:val="28"/>
          <w:lang w:val="en-US" w:eastAsia="zh-CN"/>
        </w:rPr>
        <w:t>1</w:t>
      </w:r>
    </w:p>
    <w:p>
      <w:pPr>
        <w:jc w:val="center"/>
        <w:rPr>
          <w:rFonts w:ascii="Times New Roman" w:hAnsi="Times New Roman" w:cs="Times New Roman"/>
          <w:b/>
          <w:sz w:val="28"/>
          <w:szCs w:val="24"/>
        </w:rPr>
      </w:pPr>
      <w:bookmarkStart w:id="0" w:name="_GoBack"/>
      <w:r>
        <w:rPr>
          <w:rFonts w:ascii="Times New Roman" w:hAnsi="宋体" w:cs="Times New Roman"/>
          <w:b/>
          <w:sz w:val="28"/>
          <w:szCs w:val="24"/>
        </w:rPr>
        <w:t>不予行政处罚事项清单</w:t>
      </w:r>
      <w:bookmarkEnd w:id="0"/>
    </w:p>
    <w:tbl>
      <w:tblPr>
        <w:tblStyle w:val="9"/>
        <w:tblW w:w="14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7"/>
        <w:gridCol w:w="766"/>
        <w:gridCol w:w="1305"/>
        <w:gridCol w:w="2730"/>
        <w:gridCol w:w="4725"/>
        <w:gridCol w:w="3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7" w:type="dxa"/>
            <w:tcBorders>
              <w:top w:val="single" w:color="000000" w:sz="8" w:space="0"/>
              <w:left w:val="single" w:color="000000" w:sz="8" w:space="0"/>
              <w:bottom w:val="nil"/>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0" w:hRule="atLeast"/>
          <w:jc w:val="center"/>
        </w:trPr>
        <w:tc>
          <w:tcPr>
            <w:tcW w:w="707" w:type="dxa"/>
            <w:tcBorders>
              <w:top w:val="single" w:color="000000" w:sz="8" w:space="0"/>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环境影响评价</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1</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对未依法备案建设项目环境影响登记表的行政处罚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400" w:lineRule="exact"/>
              <w:ind w:left="-105" w:leftChars="-50" w:right="-105" w:rightChars="-50"/>
              <w:jc w:val="both"/>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《中华人民共和国环境影响评价法》第三十一条第三款：</w:t>
            </w:r>
            <w:r>
              <w:rPr>
                <w:rFonts w:hint="eastAsia" w:ascii="仿宋_GB2312" w:hAnsi="仿宋_GB2312" w:eastAsia="仿宋_GB2312" w:cs="仿宋_GB2312"/>
                <w:color w:val="000000"/>
                <w:kern w:val="0"/>
                <w:sz w:val="20"/>
                <w:szCs w:val="20"/>
                <w:lang w:val="en-US" w:eastAsia="zh-CN" w:bidi="ar"/>
              </w:rPr>
              <w:t>建设单位未依法备案建设项目环境影响登记表的，由县级以上生态环境主管部门责令备案，处五万元以下的罚款。</w:t>
            </w:r>
          </w:p>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sz w:val="20"/>
                <w:szCs w:val="20"/>
              </w:rPr>
            </w:pP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color w:val="000000"/>
                <w:kern w:val="0"/>
                <w:sz w:val="20"/>
                <w:szCs w:val="20"/>
                <w:lang w:val="en-US" w:eastAsia="zh-CN" w:bidi="ar"/>
              </w:rPr>
              <w:t> 违法行为轻微，依法可以不予行政处罚的，不予行政处罚；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color w:val="000000"/>
                <w:kern w:val="0"/>
                <w:sz w:val="20"/>
                <w:szCs w:val="20"/>
                <w:lang w:val="en-US" w:eastAsia="zh-CN" w:bidi="ar"/>
              </w:rPr>
              <w:t>市场主体违法行为轻微并采取说服教育、劝导示范、行政指导等手段及时纠正，没有造成危害后果的，不予行政处罚。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color w:val="000000"/>
                <w:kern w:val="0"/>
                <w:sz w:val="20"/>
                <w:szCs w:val="20"/>
                <w:lang w:val="en-US" w:eastAsia="zh-CN" w:bidi="ar"/>
              </w:rPr>
              <w:t>4.《关于进一步规范适用环境行政处罚自由裁量权的指导意见》第（十三）条</w:t>
            </w:r>
            <w:r>
              <w:rPr>
                <w:rFonts w:hint="eastAsia" w:ascii="仿宋_GB2312" w:hAnsi="仿宋_GB2312" w:eastAsia="仿宋_GB2312" w:cs="仿宋_GB2312"/>
                <w:color w:val="000000"/>
                <w:kern w:val="0"/>
                <w:sz w:val="20"/>
                <w:szCs w:val="20"/>
                <w:lang w:val="en-US" w:eastAsia="zh-CN" w:bidi="ar"/>
              </w:rPr>
              <w:t>裁量的特殊情形：3.有下列情形之一的，可以免予处罚。（1）违法行为（如“未批先建”）未造成环境污染后果，且企业自行实施关停或者实施停止建设、停止生产等措施的。</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2.企业自行实施关停或者实施停止建设、停止生产等措施，且未造成环境污染后果的；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val="en-US" w:eastAsia="zh-CN" w:bidi="ar"/>
              </w:rPr>
              <w:t>3.非主观故意，无弄虚作假行为。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排污许可管理</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2</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both"/>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对需要填报排污登记表的企业事业单位和其他生产经营者，未依照规定填报排污信息的行政处罚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《排污许可管理条例》第四十三条：</w:t>
            </w:r>
            <w:r>
              <w:rPr>
                <w:rFonts w:hint="eastAsia" w:ascii="仿宋_GB2312" w:hAnsi="仿宋_GB2312" w:eastAsia="仿宋_GB2312" w:cs="仿宋_GB2312"/>
                <w:color w:val="000000"/>
                <w:kern w:val="0"/>
                <w:sz w:val="20"/>
                <w:szCs w:val="20"/>
                <w:lang w:val="en-US" w:eastAsia="zh-CN" w:bidi="ar"/>
              </w:rPr>
              <w:t>需要填报排污登记表的企业事业单位和其他生产经营者，未依照本条例规定填报排污信息的，由生态环境主管部门责令改正，可以处5万元以下的罚款。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 2.《生态环境行政处罚办法》第五十三条第二款：</w:t>
            </w:r>
            <w:r>
              <w:rPr>
                <w:rFonts w:hint="eastAsia" w:ascii="仿宋_GB2312" w:hAnsi="仿宋_GB2312" w:eastAsia="仿宋_GB2312" w:cs="仿宋_GB2312"/>
                <w:color w:val="000000"/>
                <w:kern w:val="0"/>
                <w:sz w:val="20"/>
                <w:szCs w:val="20"/>
                <w:lang w:val="en-US" w:eastAsia="zh-CN" w:bidi="ar"/>
              </w:rPr>
              <w:t> 违法行为轻微，依法可以不予行政处罚的，不予行政处罚；</w:t>
            </w:r>
            <w:r>
              <w:rPr>
                <w:rFonts w:hint="eastAsia" w:ascii="仿宋_GB2312" w:hAnsi="仿宋_GB2312" w:eastAsia="仿宋_GB2312" w:cs="仿宋_GB2312"/>
                <w:color w:val="000000"/>
                <w:kern w:val="0"/>
                <w:sz w:val="20"/>
                <w:szCs w:val="20"/>
                <w:lang w:val="en-US" w:eastAsia="zh-CN" w:bidi="ar"/>
              </w:rPr>
              <w:br w:type="textWrapping"/>
            </w: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color w:val="000000"/>
                <w:kern w:val="0"/>
                <w:sz w:val="20"/>
                <w:szCs w:val="20"/>
                <w:lang w:val="en-US" w:eastAsia="zh-CN" w:bidi="ar"/>
              </w:rPr>
              <w:t>市场主体违法行为轻微并采取说服教育、劝导示范、行政指导等手段及时纠正，没有造成危害后果的，不予行政处罚。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jc w:val="left"/>
              <w:textAlignment w:val="auto"/>
              <w:rPr>
                <w:rFonts w:hint="eastAsia" w:ascii="仿宋_GB2312" w:hAnsi="仿宋_GB2312" w:eastAsia="仿宋_GB2312" w:cs="仿宋_GB2312"/>
                <w:color w:val="000000"/>
                <w:kern w:val="0"/>
                <w:sz w:val="20"/>
                <w:szCs w:val="20"/>
                <w:lang w:val="en-US" w:eastAsia="zh-CN" w:bidi="ar"/>
              </w:rPr>
            </w:pP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2.自检查发现之日起5个工作日内完成整改的，且未造成环境污染后果的；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pPr>
            <w:r>
              <w:rPr>
                <w:rFonts w:hint="eastAsia" w:ascii="仿宋_GB2312" w:hAnsi="仿宋_GB2312" w:eastAsia="仿宋_GB2312" w:cs="仿宋_GB2312"/>
                <w:b w:val="0"/>
                <w:bCs w:val="0"/>
                <w:color w:val="000000"/>
                <w:kern w:val="0"/>
                <w:sz w:val="20"/>
                <w:szCs w:val="20"/>
                <w:lang w:val="en-US" w:eastAsia="zh-CN" w:bidi="ar"/>
              </w:rPr>
              <w:t>3.非主观故意，无弄虚作假行为。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1"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建设项目环境保护</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3</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对建设单位未依法向社会公开环境保护设施验收报告的行政处罚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《建设项目环境保护管理条例》第二十三条第二款：</w:t>
            </w:r>
            <w:r>
              <w:rPr>
                <w:rFonts w:hint="eastAsia" w:ascii="仿宋_GB2312" w:hAnsi="仿宋_GB2312" w:eastAsia="仿宋_GB2312" w:cs="仿宋_GB2312"/>
                <w:color w:val="000000"/>
                <w:kern w:val="0"/>
                <w:sz w:val="20"/>
                <w:szCs w:val="20"/>
                <w:lang w:val="en-US" w:eastAsia="zh-CN" w:bidi="ar"/>
              </w:rPr>
              <w:t>违反本条例规定，建设单位未依法向社会公开环境保护设施验收报告的，由县级以上环境保护行政主管部门责令公开，处5万元以上20万元以下的罚款，并予以公告。</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left"/>
              <w:textAlignment w:val="center"/>
              <w:rPr>
                <w:rFonts w:ascii="Calibri" w:hAnsi="Calibri" w:eastAsia="宋体" w:cs="Times New Roman"/>
                <w:color w:val="000000"/>
                <w:kern w:val="0"/>
                <w:sz w:val="22"/>
                <w:szCs w:val="22"/>
                <w:lang w:val="en-US" w:eastAsia="zh-CN" w:bidi="ar"/>
              </w:rPr>
            </w:pPr>
            <w:r>
              <w:rPr>
                <w:rFonts w:ascii="Calibri" w:hAnsi="Calibri" w:eastAsia="宋体" w:cs="Times New Roman"/>
                <w:color w:val="000000"/>
                <w:kern w:val="0"/>
                <w:sz w:val="22"/>
                <w:szCs w:val="22"/>
                <w:lang w:val="en-US" w:eastAsia="zh-CN" w:bidi="ar"/>
              </w:rPr>
              <w:t> </w:t>
            </w:r>
          </w:p>
          <w:p>
            <w:pPr>
              <w:keepNext w:val="0"/>
              <w:keepLines w:val="0"/>
              <w:widowControl/>
              <w:suppressLineNumbers w:val="0"/>
              <w:spacing w:before="100" w:beforeAutospacing="1" w:after="100" w:afterAutospacing="1" w:line="360" w:lineRule="atLeast"/>
              <w:ind w:left="0" w:right="0"/>
              <w:jc w:val="left"/>
              <w:textAlignment w:val="center"/>
              <w:rPr>
                <w:rFonts w:ascii="Calibri" w:hAnsi="Calibri" w:eastAsia="宋体" w:cs="Times New Roman"/>
                <w:color w:val="000000"/>
                <w:kern w:val="0"/>
                <w:sz w:val="22"/>
                <w:szCs w:val="22"/>
                <w:lang w:val="en-US" w:eastAsia="zh-CN" w:bidi="ar"/>
              </w:rPr>
            </w:pP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2.环境保护设施验收工作已全部完成；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3.自检查发现之日起3个工作日内完成整改的，且未造成环境污染后果的：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pPr>
            <w:r>
              <w:rPr>
                <w:rFonts w:hint="eastAsia" w:ascii="仿宋_GB2312" w:hAnsi="仿宋_GB2312" w:eastAsia="仿宋_GB2312" w:cs="仿宋_GB2312"/>
                <w:b w:val="0"/>
                <w:bCs w:val="0"/>
                <w:color w:val="000000"/>
                <w:kern w:val="0"/>
                <w:sz w:val="20"/>
                <w:szCs w:val="20"/>
                <w:lang w:val="en-US" w:eastAsia="zh-CN" w:bidi="ar"/>
              </w:rPr>
              <w:t>4.非主观故意，无弄虚作假行为。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jc w:val="center"/>
        </w:trPr>
        <w:tc>
          <w:tcPr>
            <w:tcW w:w="707" w:type="dxa"/>
            <w:tcBorders>
              <w:top w:val="nil"/>
              <w:left w:val="single" w:color="000000" w:sz="8" w:space="0"/>
              <w:bottom w:val="single" w:color="auto"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auto"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jc w:val="center"/>
        </w:trPr>
        <w:tc>
          <w:tcPr>
            <w:tcW w:w="7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水污染防治</w:t>
            </w:r>
          </w:p>
        </w:tc>
        <w:tc>
          <w:tcPr>
            <w:tcW w:w="76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4</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对超过水污染物排放标准或者超过重点水污染物排放总量控制指标排放水污染物的行政处罚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《中华人民共和国水污染防治法》第八十三条第（二）项：</w:t>
            </w:r>
            <w:r>
              <w:rPr>
                <w:rFonts w:hint="eastAsia" w:ascii="仿宋_GB2312" w:hAnsi="仿宋_GB2312" w:eastAsia="仿宋_GB2312" w:cs="仿宋_GB2312"/>
                <w:color w:val="000000"/>
                <w:kern w:val="0"/>
                <w:sz w:val="20"/>
                <w:szCs w:val="20"/>
                <w:lang w:val="en-US" w:eastAsia="zh-CN" w:bidi="ar"/>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ascii="Calibri" w:hAnsi="Calibri" w:eastAsia="宋体" w:cs="Times New Roman"/>
                <w:color w:val="000000"/>
                <w:kern w:val="0"/>
                <w:sz w:val="22"/>
                <w:szCs w:val="22"/>
                <w:lang w:val="en-US" w:eastAsia="zh-CN" w:bidi="ar"/>
              </w:rPr>
            </w:pPr>
            <w:r>
              <w:rPr>
                <w:rFonts w:ascii="Calibri" w:hAnsi="Calibri" w:eastAsia="宋体" w:cs="Times New Roman"/>
                <w:color w:val="000000"/>
                <w:kern w:val="0"/>
                <w:sz w:val="22"/>
                <w:szCs w:val="2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4.《关于进一步规范适用环境行政处罚自由裁量权的指导意见》第（十三）裁量的特殊情形：</w:t>
            </w:r>
            <w:r>
              <w:rPr>
                <w:rFonts w:hint="eastAsia" w:ascii="仿宋_GB2312" w:hAnsi="仿宋_GB2312" w:eastAsia="仿宋_GB2312" w:cs="仿宋_GB2312"/>
                <w:b w:val="0"/>
                <w:bCs w:val="0"/>
                <w:color w:val="000000"/>
                <w:kern w:val="0"/>
                <w:sz w:val="20"/>
                <w:szCs w:val="20"/>
                <w:lang w:val="en-US" w:eastAsia="zh-CN" w:bidi="ar"/>
              </w:rPr>
              <w:t>3.有下列情形之一的，可以免予处罚。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违法行为持续时间短、污染小（如“超标排放水污染物不超过2小时，且超标倍数小于0.1倍、日污水排放量小于0.1吨的”；又如“不规范贮存危险废物时间不超过24小时、数量小于0.01吨，且未污染外环境的”）且当日完成整改的。</w:t>
            </w:r>
          </w:p>
          <w:p>
            <w:pPr>
              <w:pStyle w:val="8"/>
              <w:keepNext w:val="0"/>
              <w:keepLines w:val="0"/>
              <w:widowControl/>
              <w:suppressLineNumbers w:val="0"/>
              <w:spacing w:before="0" w:beforeAutospacing="0" w:after="0" w:afterAutospacing="0" w:line="300" w:lineRule="atLeast"/>
              <w:ind w:left="0" w:right="0"/>
              <w:jc w:val="both"/>
            </w:pPr>
            <w:r>
              <w:rPr>
                <w:color w:val="000000"/>
                <w:sz w:val="22"/>
                <w:szCs w:val="22"/>
                <w:lang w:val="en-US"/>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2.超标排放水污染物不超过2小时；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3.超标污染物为单个因子且超标倍数在0.1倍以内或仅pH值超过比例，且5≤pH&lt;6或9&lt;pH</w:t>
            </w:r>
            <w:r>
              <w:rPr>
                <w:rFonts w:hint="default" w:ascii="仿宋_GB2312" w:hAnsi="仿宋_GB2312" w:eastAsia="仿宋_GB2312" w:cs="仿宋_GB2312"/>
                <w:b w:val="0"/>
                <w:bCs w:val="0"/>
                <w:color w:val="000000"/>
                <w:kern w:val="0"/>
                <w:sz w:val="20"/>
                <w:szCs w:val="20"/>
                <w:lang w:val="en-US" w:eastAsia="zh-CN" w:bidi="ar"/>
              </w:rPr>
              <w:t>≤</w:t>
            </w:r>
            <w:r>
              <w:rPr>
                <w:rFonts w:hint="eastAsia" w:ascii="仿宋_GB2312" w:hAnsi="仿宋_GB2312" w:eastAsia="仿宋_GB2312" w:cs="仿宋_GB2312"/>
                <w:b w:val="0"/>
                <w:bCs w:val="0"/>
                <w:color w:val="000000"/>
                <w:kern w:val="0"/>
                <w:sz w:val="20"/>
                <w:szCs w:val="20"/>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4.日污水排放量不超过0.1吨；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5.超标排放的污染物种类限于《城镇污水处理厂污染物排放标准》(GB18918-2002)规定的基本控制项目(不含一类污染物)；</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6.污染物排放去向为地表水</w:t>
            </w:r>
            <w:r>
              <w:rPr>
                <w:rFonts w:hint="default" w:ascii="仿宋_GB2312" w:hAnsi="仿宋_GB2312" w:eastAsia="仿宋_GB2312" w:cs="仿宋_GB2312"/>
                <w:b w:val="0"/>
                <w:bCs w:val="0"/>
                <w:color w:val="000000"/>
                <w:kern w:val="0"/>
                <w:sz w:val="20"/>
                <w:szCs w:val="20"/>
                <w:lang w:val="en-US" w:eastAsia="zh-CN" w:bidi="ar"/>
              </w:rPr>
              <w:t>Ⅲ</w:t>
            </w:r>
            <w:r>
              <w:rPr>
                <w:rFonts w:hint="eastAsia" w:ascii="仿宋_GB2312" w:hAnsi="仿宋_GB2312" w:eastAsia="仿宋_GB2312" w:cs="仿宋_GB2312"/>
                <w:b w:val="0"/>
                <w:bCs w:val="0"/>
                <w:color w:val="000000"/>
                <w:kern w:val="0"/>
                <w:sz w:val="20"/>
                <w:szCs w:val="20"/>
                <w:lang w:val="en-US" w:eastAsia="zh-CN" w:bidi="ar"/>
              </w:rPr>
              <w:t>类以下(不含</w:t>
            </w:r>
            <w:r>
              <w:rPr>
                <w:rFonts w:hint="default" w:ascii="仿宋_GB2312" w:hAnsi="仿宋_GB2312" w:eastAsia="仿宋_GB2312" w:cs="仿宋_GB2312"/>
                <w:b w:val="0"/>
                <w:bCs w:val="0"/>
                <w:color w:val="000000"/>
                <w:kern w:val="0"/>
                <w:sz w:val="20"/>
                <w:szCs w:val="20"/>
                <w:lang w:val="en-US" w:eastAsia="zh-CN" w:bidi="ar"/>
              </w:rPr>
              <w:t>Ⅲ</w:t>
            </w:r>
            <w:r>
              <w:rPr>
                <w:rFonts w:hint="eastAsia" w:ascii="仿宋_GB2312" w:hAnsi="仿宋_GB2312" w:eastAsia="仿宋_GB2312" w:cs="仿宋_GB2312"/>
                <w:b w:val="0"/>
                <w:bCs w:val="0"/>
                <w:color w:val="000000"/>
                <w:kern w:val="0"/>
                <w:sz w:val="20"/>
                <w:szCs w:val="20"/>
                <w:lang w:val="en-US" w:eastAsia="zh-CN" w:bidi="ar"/>
              </w:rPr>
              <w:t>类)功能水域区域（划定的饮用水水源保护区准保护区和游泳区除外）;</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7.发现超标24小时内完成整改并达标排放，且未造成环境污染后果的；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8.非主观故意，无弄虚作假行为。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pPr>
            <w:r>
              <w:rPr>
                <w:rFonts w:hint="eastAsia" w:ascii="仿宋_GB2312" w:hAnsi="仿宋_GB2312" w:eastAsia="仿宋_GB2312" w:cs="仿宋_GB2312"/>
                <w:b w:val="0"/>
                <w:bCs w:val="0"/>
                <w:color w:val="000000"/>
                <w:kern w:val="0"/>
                <w:sz w:val="20"/>
                <w:szCs w:val="20"/>
                <w:lang w:val="en-US" w:eastAsia="zh-CN" w:bidi="ar"/>
              </w:rPr>
              <w:t>注:受纳水体现状不能达到环境质量改善目标的地区的案件不予适用。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大气污染防治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5</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对超标或超总量排放大气污染物的行政处罚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《中华人民共和国大气污染防治法》第九十九条：</w:t>
            </w:r>
            <w:r>
              <w:rPr>
                <w:rFonts w:hint="eastAsia" w:ascii="仿宋_GB2312" w:hAnsi="仿宋_GB2312" w:eastAsia="仿宋_GB2312" w:cs="仿宋_GB2312"/>
                <w:color w:val="000000"/>
                <w:kern w:val="0"/>
                <w:sz w:val="20"/>
                <w:szCs w:val="20"/>
                <w:lang w:val="en-US" w:eastAsia="zh-CN" w:bidi="ar"/>
              </w:rPr>
              <w:t>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w:t>
            </w:r>
            <w:r>
              <w:rPr>
                <w:rFonts w:hint="eastAsia" w:ascii="仿宋_GB2312" w:hAnsi="仿宋_GB2312" w:eastAsia="仿宋_GB2312" w:cs="仿宋_GB2312"/>
                <w:b w:val="0"/>
                <w:bCs w:val="0"/>
                <w:color w:val="000000"/>
                <w:kern w:val="0"/>
                <w:sz w:val="20"/>
                <w:szCs w:val="20"/>
                <w:lang w:val="en-US" w:eastAsia="zh-CN" w:bidi="ar"/>
              </w:rPr>
              <w:br w:type="textWrapping"/>
            </w:r>
            <w:r>
              <w:rPr>
                <w:rFonts w:hint="eastAsia" w:ascii="仿宋_GB2312" w:hAnsi="仿宋_GB2312" w:eastAsia="仿宋_GB2312" w:cs="仿宋_GB2312"/>
                <w:b w:val="0"/>
                <w:bCs w:val="0"/>
                <w:color w:val="000000"/>
                <w:kern w:val="0"/>
                <w:sz w:val="20"/>
                <w:szCs w:val="20"/>
                <w:lang w:val="en-US" w:eastAsia="zh-CN" w:bidi="ar"/>
              </w:rPr>
              <w:t>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left"/>
              <w:textAlignment w:val="center"/>
              <w:rPr>
                <w:rFonts w:ascii="Calibri" w:hAnsi="Calibri" w:eastAsia="宋体" w:cs="Times New Roman"/>
                <w:color w:val="000000"/>
                <w:kern w:val="0"/>
                <w:sz w:val="22"/>
                <w:szCs w:val="22"/>
                <w:lang w:val="en-US" w:eastAsia="zh-CN" w:bidi="ar"/>
              </w:rPr>
            </w:pPr>
            <w:r>
              <w:rPr>
                <w:rFonts w:ascii="Calibri" w:hAnsi="Calibri" w:eastAsia="宋体" w:cs="Times New Roman"/>
                <w:color w:val="000000"/>
                <w:kern w:val="0"/>
                <w:sz w:val="22"/>
                <w:szCs w:val="22"/>
                <w:lang w:val="en-US" w:eastAsia="zh-CN" w:bidi="ar"/>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2.超标排放的大气污染物限于常规污染物，不含有毒有害大气污染物；</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3.超标排放污染物持续时间不超过2小时，超标污染物为单个因子且超标倍数在0.1倍以内；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4.发现超标24小时内完成整改并达标排放，且未造成环境污染后果的；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5.非主观故意，无弄虚作假行为。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注:对明显不符合产业政策和当地产业布局规划、相关环保手续不全等的企业不予适用。特殊或重大活动期间，重污染天气预警期间发生的超标排放行为不予适用。超过重点污染物排放总量控制指标或未完成环境质量改善目标的地区的案件不予适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大气污染防治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6</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对未密闭煤炭、煤矸石、煤渣等易产生扬尘的物料等行为的行政处罚</w:t>
            </w:r>
          </w:p>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 </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《中华人民共和国大气污染防治法》第一百一十七条：</w:t>
            </w:r>
            <w:r>
              <w:rPr>
                <w:rFonts w:hint="eastAsia" w:ascii="仿宋_GB2312" w:hAnsi="仿宋_GB2312" w:eastAsia="仿宋_GB2312" w:cs="仿宋_GB2312"/>
                <w:color w:val="000000"/>
                <w:kern w:val="0"/>
                <w:sz w:val="20"/>
                <w:szCs w:val="20"/>
                <w:lang w:val="en-US" w:eastAsia="zh-CN" w:bidi="ar"/>
              </w:rPr>
              <w:t>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w:t>
            </w:r>
          </w:p>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right="0" w:rightChars="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right="0" w:rightChars="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right="0" w:rightChars="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right="0" w:rightChars="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left"/>
              <w:textAlignment w:val="center"/>
            </w:pP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2.煤炭、煤矸石、煤渣、煤灰、水泥、石灰、石膏、砂土等物料未密闭或围挡面积30㎡以下；不能密闭的易产生扬尘的物料占地10㎡以下；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3.在24小时内完成整改的，且未造成环境污染后果的；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4.重污染天气期间不适用；</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5.非主观故意，无弄虚作假行为。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p>
            <w:pPr>
              <w:keepNext w:val="0"/>
              <w:keepLines w:val="0"/>
              <w:widowControl/>
              <w:suppressLineNumbers w:val="0"/>
              <w:spacing w:before="100" w:beforeAutospacing="1" w:after="100" w:afterAutospacing="1" w:line="360" w:lineRule="atLeast"/>
              <w:ind w:left="0" w:right="0"/>
              <w:jc w:val="left"/>
              <w:textAlignment w:val="center"/>
            </w:pPr>
            <w:r>
              <w:rPr>
                <w:rFonts w:hint="eastAsia" w:ascii="仿宋_GB2312" w:hAnsi="Calibri" w:eastAsia="仿宋_GB2312" w:cs="仿宋_GB2312"/>
                <w:b/>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固体废物污染环境防治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7</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对产生、收集、贮存、运输、利用、处置固体废物的单位未依法及时公开固体废物污染环境防治信息的行政处罚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pPr>
            <w:r>
              <w:rPr>
                <w:rFonts w:hint="eastAsia" w:ascii="仿宋_GB2312" w:hAnsi="仿宋_GB2312" w:eastAsia="仿宋_GB2312" w:cs="仿宋_GB2312"/>
                <w:b/>
                <w:bCs/>
                <w:color w:val="000000"/>
                <w:kern w:val="0"/>
                <w:sz w:val="20"/>
                <w:szCs w:val="20"/>
                <w:lang w:val="en-US" w:eastAsia="zh-CN" w:bidi="ar"/>
              </w:rPr>
              <w:t>《中华人民共和国固体废物污染环境防治法》第一百零二条第（一）项：</w:t>
            </w:r>
            <w:r>
              <w:rPr>
                <w:rFonts w:hint="eastAsia" w:ascii="仿宋_GB2312" w:hAnsi="仿宋_GB2312" w:eastAsia="仿宋_GB2312" w:cs="仿宋_GB2312"/>
                <w:color w:val="000000"/>
                <w:kern w:val="0"/>
                <w:sz w:val="20"/>
                <w:szCs w:val="20"/>
                <w:lang w:val="en-US" w:eastAsia="zh-CN" w:bidi="ar"/>
              </w:rPr>
              <w:t>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有前款第一项、第八项行为之一，处五万元以上二十万元以下的罚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rPr>
                <w:lang w:val="en-US" w:eastAsia="zh-CN"/>
              </w:rPr>
            </w:pPr>
            <w:r>
              <w:rPr>
                <w:lang w:val="en-US" w:eastAsia="zh-CN"/>
              </w:rPr>
              <w:t> </w:t>
            </w:r>
          </w:p>
          <w:p>
            <w:pPr>
              <w:pStyle w:val="2"/>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lang w:val="en-US" w:eastAsia="zh-CN"/>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w:t>
            </w:r>
            <w:r>
              <w:rPr>
                <w:rFonts w:hint="eastAsia"/>
                <w:lang w:val="en-US" w:eastAsia="zh-CN"/>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lang w:val="en-US" w:eastAsia="zh-CN"/>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 </w:t>
            </w:r>
            <w:r>
              <w:rPr>
                <w:rFonts w:hint="eastAsia" w:ascii="仿宋_GB2312" w:hAnsi="仿宋_GB2312" w:eastAsia="仿宋_GB2312" w:cs="仿宋_GB2312"/>
                <w:b w:val="0"/>
                <w:bCs w:val="0"/>
                <w:color w:val="000000"/>
                <w:kern w:val="0"/>
                <w:sz w:val="20"/>
                <w:szCs w:val="20"/>
                <w:lang w:val="en-US" w:eastAsia="zh-CN" w:bidi="ar"/>
              </w:rPr>
              <w:t>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lang w:val="en-US" w:eastAsia="zh-CN"/>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pStyle w:val="2"/>
            </w:pP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1.两年内初次违法；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2.固体废物不含危险废物；</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3.自检查发现之日起3个工作日完成整改的，且未造成环境污染后果的;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4"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核辐射污染防治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8</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对未建立放射性同位素产品台账等行为的行政处罚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widowControl/>
              <w:suppressLineNumbers w:val="0"/>
              <w:spacing w:before="0" w:beforeAutospacing="0" w:after="0" w:afterAutospacing="0" w:line="320" w:lineRule="atLeast"/>
              <w:ind w:left="0" w:right="0"/>
              <w:jc w:val="both"/>
              <w:textAlignment w:val="center"/>
            </w:pPr>
            <w:r>
              <w:rPr>
                <w:rFonts w:hint="eastAsia" w:ascii="仿宋_GB2312" w:hAnsi="仿宋_GB2312" w:eastAsia="仿宋_GB2312" w:cs="仿宋_GB2312"/>
                <w:b/>
                <w:bCs/>
                <w:color w:val="000000"/>
                <w:kern w:val="0"/>
                <w:sz w:val="20"/>
                <w:szCs w:val="20"/>
                <w:lang w:val="en-US" w:eastAsia="zh-CN" w:bidi="ar"/>
              </w:rPr>
              <w:t>《放射性同位素与射线装置安全和防护条例》第五十八条：</w:t>
            </w:r>
            <w:r>
              <w:rPr>
                <w:rFonts w:hint="eastAsia" w:ascii="仿宋_GB2312" w:hAnsi="仿宋_GB2312" w:eastAsia="仿宋_GB2312" w:cs="仿宋_GB2312"/>
                <w:color w:val="000000"/>
                <w:kern w:val="0"/>
                <w:sz w:val="20"/>
                <w:szCs w:val="20"/>
                <w:lang w:val="en-US" w:eastAsia="zh-CN" w:bidi="ar"/>
              </w:rPr>
              <w:t> 违反本条例规定，生产放射性同位素的单位有下列行为之一的，由县级以上人民政府生态环境主管部门责令限期改正，给予警告；逾期不改正的，依法收缴其未备案的放射性同位素和未编码的放射源，处 5 万元以上 10 万元以下的罚款，并可以由原发证机关暂扣或者吊销许可证：（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2.自检查发现之日起5个工作日完成整改的，且未造成环境污染后果的；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3.非主观故意，无弄虚作假行为。</w:t>
            </w:r>
          </w:p>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6"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核辐射污染防治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9</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left"/>
              <w:textAlignment w:val="center"/>
            </w:pPr>
            <w:r>
              <w:rPr>
                <w:rFonts w:hint="eastAsia" w:ascii="仿宋_GB2312" w:hAnsi="仿宋_GB2312" w:eastAsia="仿宋_GB2312" w:cs="仿宋_GB2312"/>
                <w:color w:val="000000"/>
                <w:kern w:val="0"/>
                <w:sz w:val="20"/>
                <w:szCs w:val="20"/>
                <w:lang w:val="en-US" w:eastAsia="zh-CN" w:bidi="ar"/>
              </w:rPr>
              <w:t>对生产、销售、使用放射性同位素和射线装置的单位变更单位名称、地址、法定代表人，未依法办理许可证变更手续的行政处罚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widowControl/>
              <w:suppressLineNumbers w:val="0"/>
              <w:spacing w:before="0" w:beforeAutospacing="0" w:after="0" w:afterAutospacing="0" w:line="360" w:lineRule="atLeast"/>
              <w:ind w:left="0" w:right="0"/>
              <w:textAlignment w:val="center"/>
            </w:pPr>
            <w:r>
              <w:rPr>
                <w:rFonts w:hint="eastAsia" w:ascii="仿宋_GB2312" w:hAnsi="仿宋_GB2312" w:eastAsia="仿宋_GB2312" w:cs="仿宋_GB2312"/>
                <w:b/>
                <w:bCs/>
                <w:color w:val="000000"/>
                <w:kern w:val="0"/>
                <w:sz w:val="20"/>
                <w:szCs w:val="20"/>
                <w:lang w:val="en-US" w:eastAsia="zh-CN" w:bidi="ar"/>
              </w:rPr>
              <w:t>《放射性同位素与射线装置安全和防护条例》第五十三条： </w:t>
            </w:r>
            <w:r>
              <w:rPr>
                <w:rFonts w:hint="eastAsia" w:ascii="仿宋_GB2312" w:hAnsi="仿宋_GB2312" w:eastAsia="仿宋_GB2312" w:cs="仿宋_GB2312"/>
                <w:color w:val="000000"/>
                <w:kern w:val="0"/>
                <w:sz w:val="20"/>
                <w:szCs w:val="20"/>
                <w:lang w:val="en-US" w:eastAsia="zh-CN" w:bidi="ar"/>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center"/>
              <w:textAlignment w:val="center"/>
            </w:pPr>
            <w:r>
              <w:rPr>
                <w:rFonts w:hint="eastAsia" w:ascii="宋体" w:hAnsi="宋体" w:eastAsia="宋体" w:cs="宋体"/>
                <w:b/>
                <w:color w:val="000000"/>
                <w:kern w:val="0"/>
                <w:sz w:val="22"/>
                <w:szCs w:val="22"/>
                <w:lang w:val="en-US" w:eastAsia="zh-CN" w:bidi="ar"/>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2.自检查发现之日起限期改正的，且未造成环境污染后果的；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r>
              <w:rPr>
                <w:rFonts w:hint="eastAsia" w:ascii="宋体" w:hAnsi="宋体" w:eastAsia="宋体" w:cs="宋体"/>
                <w:b/>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9"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核辐射污染防治</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10</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对不按照规定设置放射性标识、标志、中文警示说明等行为的行政处罚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widowControl/>
              <w:suppressLineNumbers w:val="0"/>
              <w:spacing w:before="0" w:beforeAutospacing="0" w:after="0" w:afterAutospacing="0"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《中华人民共和国放射性污染防治法》第五十五条：</w:t>
            </w:r>
            <w:r>
              <w:rPr>
                <w:rFonts w:hint="eastAsia" w:ascii="仿宋_GB2312" w:hAnsi="仿宋_GB2312" w:eastAsia="仿宋_GB2312" w:cs="仿宋_GB2312"/>
                <w:color w:val="000000"/>
                <w:kern w:val="0"/>
                <w:sz w:val="20"/>
                <w:szCs w:val="20"/>
                <w:lang w:val="en-US" w:eastAsia="zh-CN" w:bidi="ar"/>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pStyle w:val="8"/>
              <w:keepNext w:val="0"/>
              <w:keepLines w:val="0"/>
              <w:widowControl/>
              <w:suppressLineNumbers w:val="0"/>
              <w:spacing w:before="0" w:beforeAutospacing="0" w:after="0" w:afterAutospacing="0"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（一）不按照规定设置放射性标识、标志、中文警示说明的；</w:t>
            </w:r>
          </w:p>
          <w:p>
            <w:pPr>
              <w:pStyle w:val="8"/>
              <w:keepNext w:val="0"/>
              <w:keepLines w:val="0"/>
              <w:widowControl/>
              <w:suppressLineNumbers w:val="0"/>
              <w:spacing w:before="0" w:beforeAutospacing="0" w:after="0" w:afterAutospacing="0" w:line="360" w:lineRule="atLeast"/>
              <w:ind w:left="0" w:right="0"/>
              <w:jc w:val="left"/>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（二）不按照规定建立健全安全保卫制度和制定事故应急计划或者应急措施的；</w:t>
            </w:r>
          </w:p>
          <w:p>
            <w:pPr>
              <w:pStyle w:val="8"/>
              <w:keepNext w:val="0"/>
              <w:keepLines w:val="0"/>
              <w:widowControl/>
              <w:suppressLineNumbers w:val="0"/>
              <w:spacing w:before="0" w:beforeAutospacing="0" w:after="0" w:afterAutospacing="0" w:line="360" w:lineRule="atLeast"/>
              <w:ind w:left="0" w:right="0"/>
              <w:jc w:val="left"/>
              <w:textAlignment w:val="center"/>
            </w:pPr>
            <w:r>
              <w:rPr>
                <w:rFonts w:hint="eastAsia" w:ascii="仿宋_GB2312" w:hAnsi="仿宋_GB2312" w:eastAsia="仿宋_GB2312" w:cs="仿宋_GB2312"/>
                <w:color w:val="000000"/>
                <w:kern w:val="0"/>
                <w:sz w:val="20"/>
                <w:szCs w:val="20"/>
                <w:lang w:val="en-US" w:eastAsia="zh-CN" w:bidi="ar"/>
              </w:rPr>
              <w:t>（三）不按照规定报告放射源丢失、被盗情况或者放射性污染事故的。</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left"/>
              <w:textAlignment w:val="center"/>
            </w:pPr>
            <w:r>
              <w:rPr>
                <w:rFonts w:hint="eastAsia" w:ascii="宋体" w:hAnsi="宋体" w:eastAsia="宋体" w:cs="宋体"/>
                <w:b/>
                <w:color w:val="000000"/>
                <w:kern w:val="0"/>
                <w:sz w:val="22"/>
                <w:szCs w:val="22"/>
                <w:lang w:val="en-US" w:eastAsia="zh-CN" w:bidi="ar"/>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2.自检查发现之日起5个工作日完成整改的，且未造成环境污染后果的；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r>
              <w:rPr>
                <w:rFonts w:hint="eastAsia" w:ascii="宋体" w:hAnsi="宋体" w:eastAsia="宋体" w:cs="宋体"/>
                <w:b/>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0"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突发环境事件应急管理</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11</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对未按规定开展突发环境事件应急培训，如实记录培训情况的行政处罚</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pPr>
            <w:r>
              <w:rPr>
                <w:rFonts w:hint="eastAsia" w:ascii="仿宋_GB2312" w:hAnsi="仿宋_GB2312" w:eastAsia="仿宋_GB2312" w:cs="仿宋_GB2312"/>
                <w:b/>
                <w:bCs/>
                <w:color w:val="000000"/>
                <w:kern w:val="0"/>
                <w:sz w:val="20"/>
                <w:szCs w:val="20"/>
                <w:lang w:val="en-US" w:eastAsia="zh-CN" w:bidi="ar"/>
              </w:rPr>
              <w:t>《突发环境事件应急管理办法》第十九条：</w:t>
            </w:r>
            <w:r>
              <w:rPr>
                <w:rFonts w:hint="eastAsia" w:ascii="仿宋_GB2312" w:hAnsi="仿宋_GB2312" w:eastAsia="仿宋_GB2312" w:cs="仿宋_GB2312"/>
                <w:color w:val="000000"/>
                <w:kern w:val="0"/>
                <w:sz w:val="20"/>
                <w:szCs w:val="20"/>
                <w:lang w:val="en-US" w:eastAsia="zh-CN" w:bidi="ar"/>
              </w:rPr>
              <w:t>企业事业单位应当将突发环境事件应急培训纳入单位工作计划，对从业人员定期进行突发环境事件应急知识和技能培训，并建立培训档案，如实记录培训的时间、内容、参加人员等信息。                                  </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ascii="Calibri" w:hAnsi="Calibri" w:eastAsia="宋体" w:cs="Times New Roman"/>
                <w:color w:val="000000"/>
                <w:kern w:val="0"/>
                <w:sz w:val="22"/>
                <w:szCs w:val="22"/>
                <w:lang w:val="en-US" w:eastAsia="zh-CN" w:bidi="ar"/>
              </w:rPr>
              <w:t> </w:t>
            </w: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2.已按规定制定突发环境事件应急预案并备案，且已将突发环境事件应急培训纳入单位工作计划的；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3.自检查发现之日7个工作日内完成整改的；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r>
              <w:rPr>
                <w:rFonts w:ascii="Calibri" w:hAnsi="Calibri" w:eastAsia="宋体" w:cs="Times New Roman"/>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nil"/>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序号</w:t>
            </w:r>
          </w:p>
        </w:tc>
        <w:tc>
          <w:tcPr>
            <w:tcW w:w="130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8" w:hRule="atLeast"/>
          <w:jc w:val="center"/>
        </w:trPr>
        <w:tc>
          <w:tcPr>
            <w:tcW w:w="707" w:type="dxa"/>
            <w:tcBorders>
              <w:top w:val="nil"/>
              <w:left w:val="single" w:color="000000" w:sz="8" w:space="0"/>
              <w:bottom w:val="nil"/>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突发环境事件应急管理</w:t>
            </w:r>
          </w:p>
        </w:tc>
        <w:tc>
          <w:tcPr>
            <w:tcW w:w="766" w:type="dxa"/>
            <w:tcBorders>
              <w:top w:val="nil"/>
              <w:left w:val="single" w:color="000000" w:sz="8" w:space="0"/>
              <w:bottom w:val="nil"/>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center"/>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12</w:t>
            </w:r>
          </w:p>
        </w:tc>
        <w:tc>
          <w:tcPr>
            <w:tcW w:w="1305" w:type="dxa"/>
            <w:tcBorders>
              <w:top w:val="nil"/>
              <w:left w:val="nil"/>
              <w:bottom w:val="nil"/>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both"/>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对未按规定公开突发环境事件相关信息的行政处罚</w:t>
            </w:r>
          </w:p>
        </w:tc>
        <w:tc>
          <w:tcPr>
            <w:tcW w:w="2730" w:type="dxa"/>
            <w:tcBorders>
              <w:top w:val="nil"/>
              <w:left w:val="nil"/>
              <w:bottom w:val="nil"/>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《突发环境事件应急管理办法》第三十四条：</w:t>
            </w:r>
            <w:r>
              <w:rPr>
                <w:rFonts w:hint="eastAsia" w:ascii="仿宋_GB2312" w:hAnsi="仿宋_GB2312" w:eastAsia="仿宋_GB2312" w:cs="仿宋_GB2312"/>
                <w:b w:val="0"/>
                <w:bCs w:val="0"/>
                <w:color w:val="000000"/>
                <w:kern w:val="0"/>
                <w:sz w:val="20"/>
                <w:szCs w:val="20"/>
                <w:lang w:val="en-US" w:eastAsia="zh-CN" w:bidi="ar"/>
              </w:rPr>
              <w:t>企业事业单位应当按照有关规定，采取便于公众知晓和查询的方式公开本单位环境风险防范工作开展情况、突发环境事件应急预案及演练情况、突发环境事件发生及处置情况，以及落实整改要求情况等环境信息。</w:t>
            </w:r>
          </w:p>
        </w:tc>
        <w:tc>
          <w:tcPr>
            <w:tcW w:w="4725" w:type="dxa"/>
            <w:tcBorders>
              <w:top w:val="nil"/>
              <w:left w:val="nil"/>
              <w:bottom w:val="nil"/>
              <w:right w:val="single" w:color="000000" w:sz="8" w:space="0"/>
            </w:tcBorders>
            <w:noWrap w:val="0"/>
            <w:tcMar>
              <w:left w:w="108" w:type="dxa"/>
              <w:right w:w="108" w:type="dxa"/>
            </w:tcMar>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p>
        </w:tc>
        <w:tc>
          <w:tcPr>
            <w:tcW w:w="3887" w:type="dxa"/>
            <w:tcBorders>
              <w:top w:val="nil"/>
              <w:left w:val="nil"/>
              <w:bottom w:val="nil"/>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2.已完成突发环境事件的应急处置和相关环境风险隐患的整治工作；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3.自检查发现之日起3个工作日内完成突发环境事件相关信息公开，且未造成环境污染后果的；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4.非主观故意，无弄虚作假行为。</w:t>
            </w:r>
          </w:p>
          <w:p>
            <w:pPr>
              <w:keepNext w:val="0"/>
              <w:keepLines w:val="0"/>
              <w:widowControl/>
              <w:suppressLineNumbers w:val="0"/>
              <w:spacing w:before="100" w:beforeAutospacing="1" w:after="100" w:afterAutospacing="1" w:line="360" w:lineRule="atLeast"/>
              <w:ind w:left="0" w:right="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0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类别</w:t>
            </w:r>
          </w:p>
        </w:tc>
        <w:tc>
          <w:tcPr>
            <w:tcW w:w="766"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序号</w:t>
            </w:r>
          </w:p>
        </w:tc>
        <w:tc>
          <w:tcPr>
            <w:tcW w:w="1305"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事项名称</w:t>
            </w:r>
          </w:p>
        </w:tc>
        <w:tc>
          <w:tcPr>
            <w:tcW w:w="2730"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对应条款</w:t>
            </w:r>
          </w:p>
        </w:tc>
        <w:tc>
          <w:tcPr>
            <w:tcW w:w="4725"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不予行政处罚的依据</w:t>
            </w:r>
          </w:p>
        </w:tc>
        <w:tc>
          <w:tcPr>
            <w:tcW w:w="388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leftChars="0" w:right="0" w:rightChars="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b/>
                <w:color w:val="000000"/>
                <w:kern w:val="0"/>
                <w:sz w:val="22"/>
                <w:szCs w:val="22"/>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8" w:hRule="atLeast"/>
          <w:jc w:val="center"/>
        </w:trPr>
        <w:tc>
          <w:tcPr>
            <w:tcW w:w="707" w:type="dxa"/>
            <w:tcBorders>
              <w:top w:val="single" w:color="000000" w:sz="8" w:space="0"/>
              <w:left w:val="single" w:color="000000" w:sz="8" w:space="0"/>
              <w:bottom w:val="single" w:color="000000"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leftChars="0" w:right="0" w:rightChars="0"/>
              <w:jc w:val="center"/>
              <w:textAlignment w:val="center"/>
              <w:rPr>
                <w:rFonts w:hint="default" w:ascii="仿宋_GB2312" w:hAnsi="仿宋_GB2312" w:eastAsia="仿宋_GB2312" w:cs="仿宋_GB2312"/>
                <w:b w:val="0"/>
                <w:bCs w:val="0"/>
                <w:color w:val="000000"/>
                <w:kern w:val="0"/>
                <w:sz w:val="20"/>
                <w:szCs w:val="20"/>
                <w:lang w:val="en" w:eastAsia="zh-CN" w:bidi="ar"/>
              </w:rPr>
            </w:pPr>
            <w:r>
              <w:rPr>
                <w:rFonts w:hint="default" w:ascii="仿宋_GB2312" w:hAnsi="仿宋_GB2312" w:eastAsia="仿宋_GB2312" w:cs="仿宋_GB2312"/>
                <w:b w:val="0"/>
                <w:bCs w:val="0"/>
                <w:color w:val="000000"/>
                <w:kern w:val="0"/>
                <w:sz w:val="20"/>
                <w:szCs w:val="20"/>
                <w:lang w:val="en" w:eastAsia="zh-CN" w:bidi="ar"/>
              </w:rPr>
              <w:t>其他</w:t>
            </w:r>
          </w:p>
        </w:tc>
        <w:tc>
          <w:tcPr>
            <w:tcW w:w="766"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leftChars="0" w:right="0" w:rightChars="0"/>
              <w:jc w:val="center"/>
              <w:textAlignment w:val="center"/>
              <w:rPr>
                <w:rFonts w:hint="default" w:ascii="仿宋_GB2312" w:hAnsi="仿宋_GB2312" w:eastAsia="仿宋_GB2312" w:cs="仿宋_GB2312"/>
                <w:b w:val="0"/>
                <w:bCs w:val="0"/>
                <w:color w:val="000000"/>
                <w:kern w:val="0"/>
                <w:sz w:val="20"/>
                <w:szCs w:val="20"/>
                <w:lang w:val="en" w:eastAsia="zh-CN" w:bidi="ar"/>
              </w:rPr>
            </w:pPr>
            <w:r>
              <w:rPr>
                <w:rFonts w:hint="default" w:ascii="仿宋_GB2312" w:hAnsi="仿宋_GB2312" w:eastAsia="仿宋_GB2312" w:cs="仿宋_GB2312"/>
                <w:b w:val="0"/>
                <w:bCs w:val="0"/>
                <w:color w:val="000000"/>
                <w:kern w:val="0"/>
                <w:sz w:val="20"/>
                <w:szCs w:val="20"/>
                <w:lang w:val="en" w:eastAsia="zh-CN" w:bidi="ar"/>
              </w:rPr>
              <w:t>13</w:t>
            </w:r>
          </w:p>
        </w:tc>
        <w:tc>
          <w:tcPr>
            <w:tcW w:w="130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leftChars="0" w:right="0" w:rightChars="0"/>
              <w:jc w:val="both"/>
              <w:textAlignment w:val="center"/>
              <w:rPr>
                <w:rFonts w:hint="default" w:ascii="仿宋_GB2312" w:hAnsi="仿宋_GB2312" w:eastAsia="仿宋_GB2312" w:cs="仿宋_GB2312"/>
                <w:b w:val="0"/>
                <w:bCs w:val="0"/>
                <w:color w:val="000000"/>
                <w:kern w:val="0"/>
                <w:sz w:val="20"/>
                <w:szCs w:val="20"/>
                <w:lang w:val="en" w:eastAsia="zh-CN" w:bidi="ar"/>
              </w:rPr>
            </w:pPr>
            <w:r>
              <w:rPr>
                <w:rFonts w:hint="default" w:ascii="仿宋_GB2312" w:hAnsi="仿宋_GB2312" w:eastAsia="仿宋_GB2312" w:cs="仿宋_GB2312"/>
                <w:color w:val="000000"/>
                <w:kern w:val="0"/>
                <w:sz w:val="20"/>
                <w:szCs w:val="20"/>
                <w:lang w:val="en" w:eastAsia="zh-CN" w:bidi="ar"/>
              </w:rPr>
              <w:t>其他可以不予处罚的</w:t>
            </w:r>
            <w:r>
              <w:rPr>
                <w:rFonts w:hint="eastAsia" w:ascii="仿宋_GB2312" w:hAnsi="仿宋_GB2312" w:eastAsia="仿宋_GB2312" w:cs="仿宋_GB2312"/>
                <w:color w:val="000000"/>
                <w:kern w:val="0"/>
                <w:sz w:val="20"/>
                <w:szCs w:val="20"/>
                <w:lang w:val="en" w:eastAsia="zh-CN" w:bidi="ar"/>
              </w:rPr>
              <w:t>案件</w:t>
            </w:r>
          </w:p>
        </w:tc>
        <w:tc>
          <w:tcPr>
            <w:tcW w:w="2730"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widowControl/>
              <w:suppressLineNumbers w:val="0"/>
              <w:spacing w:before="100" w:beforeAutospacing="1" w:after="100" w:afterAutospacing="1" w:line="360" w:lineRule="atLeast"/>
              <w:ind w:left="0" w:leftChars="0" w:right="0" w:rightChars="0"/>
              <w:jc w:val="center"/>
              <w:textAlignment w:val="center"/>
              <w:rPr>
                <w:rFonts w:hint="default" w:ascii="仿宋_GB2312" w:hAnsi="仿宋_GB2312" w:eastAsia="仿宋_GB2312" w:cs="仿宋_GB2312"/>
                <w:b w:val="0"/>
                <w:bCs w:val="0"/>
                <w:color w:val="000000"/>
                <w:kern w:val="0"/>
                <w:sz w:val="20"/>
                <w:szCs w:val="20"/>
                <w:lang w:val="en" w:eastAsia="zh-CN" w:bidi="ar"/>
              </w:rPr>
            </w:pPr>
            <w:r>
              <w:rPr>
                <w:rFonts w:hint="eastAsia" w:ascii="仿宋_GB2312" w:hAnsi="仿宋_GB2312" w:eastAsia="仿宋_GB2312" w:cs="仿宋_GB2312"/>
                <w:b w:val="0"/>
                <w:bCs w:val="0"/>
                <w:color w:val="000000"/>
                <w:kern w:val="0"/>
                <w:sz w:val="20"/>
                <w:szCs w:val="20"/>
                <w:lang w:val="en" w:eastAsia="zh-CN" w:bidi="ar"/>
              </w:rPr>
              <w:t>——</w:t>
            </w:r>
          </w:p>
        </w:tc>
        <w:tc>
          <w:tcPr>
            <w:tcW w:w="4725"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1.《中华人民共和国行政处罚法》第三十三条：</w:t>
            </w:r>
            <w:r>
              <w:rPr>
                <w:rFonts w:hint="eastAsia" w:ascii="仿宋_GB2312" w:hAnsi="仿宋_GB2312" w:eastAsia="仿宋_GB2312" w:cs="仿宋_GB2312"/>
                <w:b w:val="0"/>
                <w:bCs w:val="0"/>
                <w:color w:val="000000"/>
                <w:kern w:val="0"/>
                <w:sz w:val="20"/>
                <w:szCs w:val="20"/>
                <w:lang w:val="en-US" w:eastAsia="zh-CN" w:bidi="ar"/>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b/>
                <w:bCs/>
                <w:color w:val="000000"/>
                <w:kern w:val="0"/>
                <w:sz w:val="20"/>
                <w:szCs w:val="20"/>
                <w:lang w:val="en-US" w:eastAsia="zh-CN" w:bidi="ar"/>
              </w:rPr>
              <w:t>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2.《生态环境行政处罚办法》第五十三条第二款：</w:t>
            </w:r>
            <w:r>
              <w:rPr>
                <w:rFonts w:hint="eastAsia" w:ascii="仿宋_GB2312" w:hAnsi="仿宋_GB2312" w:eastAsia="仿宋_GB2312" w:cs="仿宋_GB2312"/>
                <w:b w:val="0"/>
                <w:bCs w:val="0"/>
                <w:color w:val="000000"/>
                <w:kern w:val="0"/>
                <w:sz w:val="20"/>
                <w:szCs w:val="20"/>
                <w:lang w:val="en-US" w:eastAsia="zh-CN" w:bidi="ar"/>
              </w:rPr>
              <w:t> 违法行为轻微，依法可以不予行政处罚的，不予行政处罚；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left"/>
              <w:textAlignment w:val="auto"/>
              <w:rPr>
                <w:rFonts w:hint="eastAsia" w:ascii="Calibri" w:hAnsi="Calibri" w:eastAsia="宋体" w:cs="Times New Roman"/>
                <w:kern w:val="0"/>
                <w:sz w:val="24"/>
                <w:szCs w:val="24"/>
                <w:lang w:val="en-US" w:eastAsia="zh-CN" w:bidi="ar"/>
              </w:rPr>
            </w:pPr>
            <w:r>
              <w:rPr>
                <w:rFonts w:hint="eastAsia" w:ascii="仿宋_GB2312" w:hAnsi="仿宋_GB2312" w:eastAsia="仿宋_GB2312" w:cs="仿宋_GB2312"/>
                <w:b/>
                <w:bCs/>
                <w:color w:val="000000"/>
                <w:kern w:val="0"/>
                <w:sz w:val="20"/>
                <w:szCs w:val="20"/>
                <w:lang w:val="en-US" w:eastAsia="zh-CN" w:bidi="ar"/>
              </w:rPr>
              <w:t>3.《吉林省优化营商环境条例》第四十九条第二款：</w:t>
            </w:r>
            <w:r>
              <w:rPr>
                <w:rFonts w:hint="eastAsia" w:ascii="仿宋_GB2312" w:hAnsi="仿宋_GB2312" w:eastAsia="仿宋_GB2312" w:cs="仿宋_GB2312"/>
                <w:b w:val="0"/>
                <w:bCs w:val="0"/>
                <w:color w:val="000000"/>
                <w:kern w:val="0"/>
                <w:sz w:val="20"/>
                <w:szCs w:val="20"/>
                <w:lang w:val="en-US" w:eastAsia="zh-CN" w:bidi="ar"/>
              </w:rPr>
              <w:t>市场主体违法行为轻微并采取说服教育、劝导示范、行政指导等手段及时纠正，没有造成危害后果的，不予行政处罚。</w:t>
            </w:r>
          </w:p>
        </w:tc>
        <w:tc>
          <w:tcPr>
            <w:tcW w:w="3887" w:type="dxa"/>
            <w:tcBorders>
              <w:top w:val="single" w:color="000000" w:sz="8" w:space="0"/>
              <w:left w:val="nil"/>
              <w:bottom w:val="single" w:color="000000" w:sz="8" w:space="0"/>
              <w:right w:val="single" w:color="000000"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bCs/>
                <w:color w:val="000000"/>
                <w:kern w:val="0"/>
                <w:sz w:val="20"/>
                <w:szCs w:val="20"/>
                <w:lang w:val="en-US" w:eastAsia="zh-CN" w:bidi="ar"/>
              </w:rPr>
            </w:pPr>
            <w:r>
              <w:rPr>
                <w:rFonts w:hint="eastAsia" w:ascii="仿宋_GB2312" w:hAnsi="仿宋_GB2312" w:eastAsia="仿宋_GB2312" w:cs="仿宋_GB2312"/>
                <w:b/>
                <w:bCs/>
                <w:color w:val="000000"/>
                <w:kern w:val="0"/>
                <w:sz w:val="20"/>
                <w:szCs w:val="20"/>
                <w:lang w:val="en-US" w:eastAsia="zh-CN" w:bidi="ar"/>
              </w:rPr>
              <w:t>同时满足下列情形的，依法可以不予行政处罚：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2.违法行为轻微且</w:t>
            </w:r>
            <w:r>
              <w:rPr>
                <w:rFonts w:hint="default" w:ascii="仿宋_GB2312" w:hAnsi="仿宋_GB2312" w:eastAsia="仿宋_GB2312" w:cs="仿宋_GB2312"/>
                <w:b w:val="0"/>
                <w:bCs w:val="0"/>
                <w:color w:val="000000"/>
                <w:kern w:val="0"/>
                <w:sz w:val="20"/>
                <w:szCs w:val="20"/>
                <w:lang w:val="en" w:eastAsia="zh-CN" w:bidi="ar"/>
              </w:rPr>
              <w:t>及时</w:t>
            </w:r>
            <w:r>
              <w:rPr>
                <w:rFonts w:hint="eastAsia" w:ascii="仿宋_GB2312" w:hAnsi="仿宋_GB2312" w:eastAsia="仿宋_GB2312" w:cs="仿宋_GB2312"/>
                <w:b w:val="0"/>
                <w:bCs w:val="0"/>
                <w:color w:val="000000"/>
                <w:kern w:val="0"/>
                <w:sz w:val="20"/>
                <w:szCs w:val="20"/>
                <w:lang w:val="en" w:eastAsia="zh-CN" w:bidi="ar"/>
              </w:rPr>
              <w:t>改正</w:t>
            </w:r>
            <w:r>
              <w:rPr>
                <w:rFonts w:hint="eastAsia" w:ascii="仿宋_GB2312" w:hAnsi="仿宋_GB2312" w:eastAsia="仿宋_GB2312" w:cs="仿宋_GB2312"/>
                <w:b w:val="0"/>
                <w:bCs w:val="0"/>
                <w:color w:val="000000"/>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3.</w:t>
            </w:r>
            <w:r>
              <w:rPr>
                <w:rFonts w:hint="default" w:ascii="仿宋_GB2312" w:hAnsi="仿宋_GB2312" w:eastAsia="仿宋_GB2312" w:cs="仿宋_GB2312"/>
                <w:b w:val="0"/>
                <w:bCs w:val="0"/>
                <w:color w:val="000000"/>
                <w:kern w:val="0"/>
                <w:sz w:val="20"/>
                <w:szCs w:val="20"/>
                <w:lang w:val="en" w:eastAsia="zh-CN" w:bidi="ar"/>
              </w:rPr>
              <w:t>未造成环境危害</w:t>
            </w:r>
            <w:r>
              <w:rPr>
                <w:rFonts w:hint="eastAsia" w:ascii="仿宋_GB2312" w:hAnsi="仿宋_GB2312" w:eastAsia="仿宋_GB2312" w:cs="仿宋_GB2312"/>
                <w:b w:val="0"/>
                <w:bCs w:val="0"/>
                <w:color w:val="000000"/>
                <w:kern w:val="0"/>
                <w:sz w:val="20"/>
                <w:szCs w:val="20"/>
                <w:lang w:val="en" w:eastAsia="zh-CN" w:bidi="ar"/>
              </w:rPr>
              <w:t>后果</w:t>
            </w:r>
            <w:r>
              <w:rPr>
                <w:rFonts w:hint="eastAsia" w:ascii="仿宋_GB2312" w:hAnsi="仿宋_GB2312" w:eastAsia="仿宋_GB2312" w:cs="仿宋_GB2312"/>
                <w:b w:val="0"/>
                <w:bCs w:val="0"/>
                <w:color w:val="000000"/>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4.非主观故意，无弄虚作假行为。</w:t>
            </w:r>
          </w:p>
          <w:p>
            <w:pPr>
              <w:keepNext w:val="0"/>
              <w:keepLines w:val="0"/>
              <w:widowControl/>
              <w:suppressLineNumbers w:val="0"/>
              <w:spacing w:before="100" w:beforeAutospacing="1" w:after="100" w:afterAutospacing="1" w:line="360" w:lineRule="atLeast"/>
              <w:ind w:left="0" w:leftChars="0" w:right="0" w:rightChars="0"/>
              <w:jc w:val="left"/>
              <w:textAlignment w:val="center"/>
              <w:rPr>
                <w:rFonts w:ascii="Calibri" w:hAnsi="Calibri" w:eastAsia="宋体" w:cs="Times New Roman"/>
                <w:kern w:val="2"/>
                <w:sz w:val="21"/>
                <w:szCs w:val="24"/>
                <w:lang w:val="en-US" w:eastAsia="zh-CN" w:bidi="ar-SA"/>
              </w:rPr>
            </w:pPr>
          </w:p>
        </w:tc>
      </w:tr>
    </w:tbl>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_GB2312" w:hAnsi="仿宋_GB2312" w:eastAsia="仿宋_GB2312" w:cs="仿宋_GB2312"/>
          <w:i w:val="0"/>
          <w:caps w:val="0"/>
          <w:color w:val="000000"/>
          <w:spacing w:val="0"/>
          <w:sz w:val="27"/>
          <w:szCs w:val="27"/>
        </w:rPr>
      </w:pPr>
      <w:r>
        <w:rPr>
          <w:rFonts w:hint="eastAsia" w:ascii="仿宋_GB2312" w:hAnsi="仿宋_GB2312" w:eastAsia="仿宋_GB2312" w:cs="仿宋_GB2312"/>
          <w:i w:val="0"/>
          <w:caps w:val="0"/>
          <w:color w:val="000000"/>
          <w:spacing w:val="0"/>
          <w:kern w:val="0"/>
          <w:sz w:val="22"/>
          <w:szCs w:val="22"/>
          <w:shd w:val="clear" w:color="auto" w:fill="FFFFFF"/>
          <w:lang w:val="en-US" w:eastAsia="zh-CN" w:bidi="ar"/>
        </w:rPr>
        <w:t>备注：</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仿宋_GB2312" w:hAnsi="仿宋_GB2312" w:eastAsia="仿宋_GB2312" w:cs="仿宋_GB2312"/>
          <w:i w:val="0"/>
          <w:caps w:val="0"/>
          <w:color w:val="000000"/>
          <w:spacing w:val="0"/>
          <w:kern w:val="0"/>
          <w:sz w:val="22"/>
          <w:szCs w:val="22"/>
          <w:shd w:val="clear" w:color="auto" w:fill="FFFFFF"/>
          <w:lang w:val="en-US" w:eastAsia="zh-CN" w:bidi="ar"/>
        </w:rPr>
      </w:pPr>
      <w:r>
        <w:rPr>
          <w:rFonts w:hint="eastAsia" w:ascii="仿宋_GB2312" w:hAnsi="仿宋_GB2312" w:eastAsia="仿宋_GB2312" w:cs="仿宋_GB2312"/>
          <w:i w:val="0"/>
          <w:caps w:val="0"/>
          <w:color w:val="000000"/>
          <w:spacing w:val="0"/>
          <w:kern w:val="0"/>
          <w:sz w:val="22"/>
          <w:szCs w:val="22"/>
          <w:shd w:val="clear" w:color="auto" w:fill="FFFFFF"/>
          <w:lang w:val="en-US" w:eastAsia="zh-CN" w:bidi="ar"/>
        </w:rPr>
        <w:t>1.本清单列明的情形不适用于生态保护红线内、自然保护区、饮用水源保护区、风景名胜区等环境敏感及特殊保护区域发生的生态环境违法行为。                                                                        </w:t>
      </w:r>
    </w:p>
    <w:p>
      <w:pPr>
        <w:jc w:val="left"/>
        <w:rPr>
          <w:rFonts w:ascii="Times New Roman" w:hAnsi="Times New Roman" w:cs="Times New Roman"/>
          <w:b/>
          <w:sz w:val="28"/>
        </w:rPr>
      </w:pPr>
      <w:r>
        <w:rPr>
          <w:rFonts w:hint="eastAsia" w:ascii="仿宋_GB2312" w:hAnsi="仿宋_GB2312" w:eastAsia="仿宋_GB2312" w:cs="仿宋_GB2312"/>
          <w:i w:val="0"/>
          <w:caps w:val="0"/>
          <w:color w:val="000000"/>
          <w:spacing w:val="0"/>
          <w:kern w:val="0"/>
          <w:sz w:val="22"/>
          <w:szCs w:val="22"/>
          <w:shd w:val="clear" w:color="auto" w:fill="FFFFFF"/>
          <w:lang w:val="en-US" w:eastAsia="zh-CN" w:bidi="ar"/>
        </w:rPr>
        <w:t>2.用语含义：初次违法：当事人在生态环境领域第一次实施该类型的违法行为。各级生态环境部门可以通过询问当事人，查询国家相关信用信息公示系统、环境行政处罚案件办理信息系统等执法记录判断当事人是否属于初次违法，如未发现当事人存在同一类型违法行为的相关记录，可以认定为初次违法。</w:t>
      </w:r>
      <w:r>
        <w:rPr>
          <w:rFonts w:ascii="宋体" w:hAnsi="宋体" w:eastAsia="宋体" w:cs="宋体"/>
          <w:i w:val="0"/>
          <w:caps w:val="0"/>
          <w:color w:val="000000"/>
          <w:spacing w:val="0"/>
          <w:kern w:val="0"/>
          <w:sz w:val="22"/>
          <w:szCs w:val="22"/>
          <w:shd w:val="clear" w:color="auto" w:fill="FFFFFF"/>
          <w:lang w:val="en-US" w:eastAsia="zh-CN" w:bidi="ar"/>
        </w:rPr>
        <w:t>  </w:t>
      </w:r>
    </w:p>
    <w:p>
      <w:pPr>
        <w:rPr>
          <w:rFonts w:ascii="Times New Roman" w:hAnsi="Times New Roman" w:cs="Times New Roman"/>
        </w:rPr>
      </w:pPr>
    </w:p>
    <w:p>
      <w:pPr>
        <w:widowControl/>
        <w:jc w:val="both"/>
        <w:rPr>
          <w:rFonts w:ascii="仿宋_GB2312" w:eastAsia="仿宋_GB2312"/>
          <w:sz w:val="32"/>
          <w:szCs w:val="32"/>
        </w:rPr>
      </w:pPr>
    </w:p>
    <w:sectPr>
      <w:footerReference r:id="rId3" w:type="default"/>
      <w:pgSz w:w="16838" w:h="11906" w:orient="landscape"/>
      <w:pgMar w:top="1701" w:right="1440" w:bottom="1274"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FB81B"/>
    <w:rsid w:val="3E931E18"/>
    <w:rsid w:val="5B9C93DE"/>
    <w:rsid w:val="7C6D9468"/>
    <w:rsid w:val="AFFFB11C"/>
    <w:rsid w:val="EFFF626D"/>
    <w:rsid w:val="FF5F1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16"/>
      <w:szCs w:val="16"/>
      <w:lang w:val="en-US" w:eastAsia="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仿宋_GB2312" w:hAnsi="仿宋_GB2312" w:eastAsia="仿宋_GB2312"/>
      <w:sz w:val="36"/>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style>
  <w:style w:type="character" w:styleId="14">
    <w:name w:val="Hyperlink"/>
    <w:basedOn w:val="10"/>
    <w:unhideWhenUsed/>
    <w:qFormat/>
    <w:uiPriority w:val="99"/>
    <w:rPr>
      <w:color w:val="0000FF"/>
      <w:u w:val="single"/>
    </w:rPr>
  </w:style>
  <w:style w:type="paragraph" w:customStyle="1" w:styleId="15">
    <w:name w:val="List Paragraph"/>
    <w:basedOn w:val="1"/>
    <w:qFormat/>
    <w:uiPriority w:val="34"/>
    <w:pPr>
      <w:ind w:firstLine="420" w:firstLineChars="200"/>
    </w:pPr>
  </w:style>
  <w:style w:type="character" w:customStyle="1" w:styleId="16">
    <w:name w:val="页眉 Char Char"/>
    <w:basedOn w:val="10"/>
    <w:link w:val="7"/>
    <w:qFormat/>
    <w:uiPriority w:val="99"/>
    <w:rPr>
      <w:rFonts w:ascii="Times New Roman" w:hAnsi="Times New Roman" w:eastAsia="宋体" w:cs="Times New Roman"/>
      <w:sz w:val="18"/>
      <w:szCs w:val="18"/>
    </w:rPr>
  </w:style>
  <w:style w:type="character" w:customStyle="1" w:styleId="17">
    <w:name w:val="页脚 Char Char"/>
    <w:basedOn w:val="10"/>
    <w:link w:val="6"/>
    <w:qFormat/>
    <w:uiPriority w:val="99"/>
    <w:rPr>
      <w:rFonts w:ascii="Times New Roman" w:hAnsi="Times New Roman" w:eastAsia="宋体" w:cs="Times New Roman"/>
      <w:sz w:val="18"/>
      <w:szCs w:val="18"/>
    </w:rPr>
  </w:style>
  <w:style w:type="character" w:customStyle="1" w:styleId="18">
    <w:name w:val="批注框文本 Char Char"/>
    <w:basedOn w:val="10"/>
    <w:link w:val="5"/>
    <w:qFormat/>
    <w:uiPriority w:val="99"/>
    <w:rPr>
      <w:rFonts w:ascii="Times New Roman" w:hAnsi="Times New Roman" w:eastAsia="宋体" w:cs="Times New Roman"/>
      <w:sz w:val="18"/>
      <w:szCs w:val="18"/>
    </w:rPr>
  </w:style>
  <w:style w:type="character" w:customStyle="1" w:styleId="19">
    <w:name w:val="日期 Char Char"/>
    <w:basedOn w:val="10"/>
    <w:link w:val="4"/>
    <w:qFormat/>
    <w:uiPriority w:val="99"/>
    <w:rPr>
      <w:kern w:val="2"/>
      <w:sz w:val="21"/>
      <w:szCs w:val="24"/>
    </w:rPr>
  </w:style>
  <w:style w:type="character" w:customStyle="1" w:styleId="20">
    <w:name w:val="cur1"/>
    <w:basedOn w:val="10"/>
    <w:qFormat/>
    <w:uiPriority w:val="0"/>
    <w:rPr>
      <w:color w:val="FFFFFF"/>
      <w:shd w:val="clear" w:color="010000" w:fill="2F6B98"/>
    </w:rPr>
  </w:style>
  <w:style w:type="character" w:customStyle="1" w:styleId="21">
    <w:name w:val="znspantitle"/>
    <w:basedOn w:val="10"/>
    <w:qFormat/>
    <w:uiPriority w:val="0"/>
    <w:rPr>
      <w:b/>
      <w:bCs/>
      <w:color w:val="333333"/>
    </w:rPr>
  </w:style>
  <w:style w:type="character" w:customStyle="1" w:styleId="22">
    <w:name w:val="lishishuju"/>
    <w:basedOn w:val="10"/>
    <w:qFormat/>
    <w:uiPriority w:val="0"/>
    <w:rPr>
      <w:b/>
      <w:bCs/>
      <w:color w:val="000052"/>
      <w:sz w:val="19"/>
      <w:szCs w:val="19"/>
      <w:bdr w:val="single" w:color="E3E3E3" w:sz="4" w:space="0"/>
    </w:rPr>
  </w:style>
  <w:style w:type="character" w:customStyle="1" w:styleId="23">
    <w:name w:val="lable"/>
    <w:basedOn w:val="10"/>
    <w:qFormat/>
    <w:uiPriority w:val="0"/>
    <w:rPr>
      <w:sz w:val="19"/>
      <w:szCs w:val="19"/>
    </w:rPr>
  </w:style>
  <w:style w:type="character" w:customStyle="1" w:styleId="24">
    <w:name w:val="radio-btn"/>
    <w:basedOn w:val="10"/>
    <w:qFormat/>
    <w:uiPriority w:val="0"/>
    <w:rPr>
      <w:sz w:val="16"/>
      <w:szCs w:val="16"/>
    </w:rPr>
  </w:style>
  <w:style w:type="character" w:customStyle="1" w:styleId="25">
    <w:name w:val="radio-btn1"/>
    <w:basedOn w:val="10"/>
    <w:qFormat/>
    <w:uiPriority w:val="0"/>
    <w:rPr>
      <w:sz w:val="19"/>
      <w:szCs w:val="19"/>
    </w:rPr>
  </w:style>
  <w:style w:type="character" w:customStyle="1" w:styleId="26">
    <w:name w:val="radio-btn2"/>
    <w:basedOn w:val="10"/>
    <w:qFormat/>
    <w:uiPriority w:val="0"/>
    <w:rPr>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244</Words>
  <Characters>1396</Characters>
  <Lines>11</Lines>
  <Paragraphs>3</Paragraphs>
  <TotalTime>19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2019-05-09T01:53:00Z</dcterms:created>
  <dc:creator>dreamsummit</dc:creator>
  <cp:lastModifiedBy>user</cp:lastModifiedBy>
  <cp:lastPrinted>2023-10-07T16:42:00Z</cp:lastPrinted>
  <dcterms:modified xsi:type="dcterms:W3CDTF">2023-10-07T09:15:41Z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57D746570C1149F29DBBFF4DDB961C25</vt:lpwstr>
  </property>
</Properties>
</file>