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0" w:lineRule="atLeast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  <w:lang w:val="en"/>
        </w:rPr>
        <w:t>附件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4：</w:t>
      </w:r>
    </w:p>
    <w:p>
      <w:pPr>
        <w:widowControl/>
        <w:shd w:val="clear" w:color="auto" w:fill="FFFFFF"/>
        <w:spacing w:line="450" w:lineRule="atLeas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"/>
        </w:rPr>
        <w:t>监督执法正面清单</w:t>
      </w:r>
    </w:p>
    <w:tbl>
      <w:tblPr>
        <w:tblStyle w:val="2"/>
        <w:tblW w:w="939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7"/>
        <w:gridCol w:w="1485"/>
        <w:gridCol w:w="3000"/>
        <w:gridCol w:w="2700"/>
        <w:gridCol w:w="166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行业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纳入条件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监管要求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7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疫情防控急需的医疗卫生、物资生产企业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口罩、防护服、消毒液、医药、医疗设备等医疗卫生、物资生产企业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由国家和地方党委政府、疫情防控指挥部认定、认可的，可纳入清单</w:t>
            </w:r>
          </w:p>
        </w:tc>
        <w:tc>
          <w:tcPr>
            <w:tcW w:w="16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尽可能通过非现场执法的方式开展执法监管，除信访举报核实等情形外，一般不进行现场执法检查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民生保障重点行业企业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畜禽养殖、屠宰及肉类加工、农副食品加工、食品制造、电力、燃气与民生保障直接相关的企业</w:t>
            </w:r>
          </w:p>
        </w:tc>
        <w:tc>
          <w:tcPr>
            <w:tcW w:w="2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视其环境守法、环境管理、污染物排放、污染防治设施运行等情况，可纳入清单 </w:t>
            </w:r>
          </w:p>
        </w:tc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6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污染小、吸纳就业能力强的行业企业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计算机、通信电子、机械加工等污染小的技术密集型和劳动密集型行业企业，以及餐饮、娱乐、洗浴、汽车销售和维修等服务业企业</w:t>
            </w:r>
          </w:p>
        </w:tc>
        <w:tc>
          <w:tcPr>
            <w:tcW w:w="2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重大工程项目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交通基建、水利工程等国家或地方重大项目</w:t>
            </w:r>
          </w:p>
        </w:tc>
        <w:tc>
          <w:tcPr>
            <w:tcW w:w="2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近一年内已经进行过现场执法检查且无严重环境违法记录，或按要求安装在线监控设备并与生态环境部门联网的企业，可纳入清单</w:t>
            </w:r>
          </w:p>
        </w:tc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重点领域企业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汽车制造，铁路、船舶、航空航天、电力装备制造等领域企业</w:t>
            </w:r>
          </w:p>
        </w:tc>
        <w:tc>
          <w:tcPr>
            <w:tcW w:w="2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91" w:hRule="atLeast"/>
          <w:jc w:val="center"/>
        </w:trPr>
        <w:tc>
          <w:tcPr>
            <w:tcW w:w="5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其他已经安装在线监控的企业</w:t>
            </w:r>
          </w:p>
        </w:tc>
        <w:tc>
          <w:tcPr>
            <w:tcW w:w="30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在线监控设备与生态环境部门联网，且稳定运行的企业</w:t>
            </w:r>
          </w:p>
        </w:tc>
        <w:tc>
          <w:tcPr>
            <w:tcW w:w="27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企业环境信用良好，一年内无环境违法记录，且在线监控数据稳定达标的企业，可不将其作为“双随机、一公开”重点监管对象</w:t>
            </w:r>
          </w:p>
        </w:tc>
        <w:tc>
          <w:tcPr>
            <w:tcW w:w="16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5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将在线监控数据作为监管的重要依据，以非现场执法的方式开展执法监管为主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6C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2020-03-10T10:13:20Z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