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left"/>
        <w:rPr>
          <w:rFonts w:ascii="楷体" w:hAnsi="楷体" w:eastAsia="楷体" w:cs="楷体"/>
          <w:b/>
          <w:bCs/>
          <w:sz w:val="32"/>
          <w:szCs w:val="32"/>
        </w:rPr>
      </w:pPr>
      <w:r>
        <w:rPr>
          <w:rFonts w:hint="eastAsia" w:ascii="楷体" w:hAnsi="楷体" w:eastAsia="楷体" w:cs="楷体"/>
          <w:b/>
          <w:bCs/>
          <w:sz w:val="32"/>
          <w:szCs w:val="32"/>
        </w:rPr>
        <w:t>附件5：</w:t>
      </w:r>
    </w:p>
    <w:p>
      <w:pPr>
        <w:jc w:val="center"/>
        <w:rPr>
          <w:rFonts w:ascii="宋体" w:hAnsi="宋体" w:eastAsia="宋体" w:cs="宋体"/>
          <w:b/>
          <w:sz w:val="44"/>
          <w:szCs w:val="44"/>
        </w:rPr>
      </w:pPr>
      <w:r>
        <w:rPr>
          <w:rFonts w:hint="eastAsia" w:ascii="方正小标宋简体" w:hAnsi="方正小标宋简体" w:eastAsia="方正小标宋简体" w:cs="方正小标宋简体"/>
          <w:bCs/>
          <w:sz w:val="44"/>
          <w:szCs w:val="44"/>
        </w:rPr>
        <w:t>轻微违法认定情形</w:t>
      </w:r>
    </w:p>
    <w:p>
      <w:pPr>
        <w:ind w:firstLine="640" w:firstLineChars="200"/>
        <w:rPr>
          <w:rFonts w:ascii="仿宋_GB2312" w:hAnsi="仿宋" w:eastAsia="仿宋_GB2312" w:cs="仿宋"/>
          <w:sz w:val="32"/>
          <w:szCs w:val="32"/>
        </w:rPr>
      </w:pPr>
      <w:r>
        <w:rPr>
          <w:rFonts w:hint="eastAsia" w:ascii="仿宋_GB2312" w:hAnsi="仿宋" w:eastAsia="仿宋_GB2312" w:cs="仿宋"/>
          <w:sz w:val="32"/>
          <w:szCs w:val="32"/>
        </w:rPr>
        <w:t>（一）改建扩建项目或者租赁厂房（场地）项目违反建设项目环境影响评价制度，“未批先建”处于设备安装阶段，无污染物产生，企业主动停止建设或者恢复原状的。</w:t>
      </w:r>
    </w:p>
    <w:p>
      <w:pPr>
        <w:ind w:firstLine="640"/>
        <w:rPr>
          <w:rFonts w:ascii="仿宋_GB2312" w:hAnsi="仿宋" w:eastAsia="仿宋_GB2312" w:cs="仿宋"/>
          <w:sz w:val="32"/>
          <w:szCs w:val="32"/>
        </w:rPr>
      </w:pPr>
      <w:r>
        <w:rPr>
          <w:rFonts w:hint="eastAsia" w:ascii="仿宋_GB2312" w:hAnsi="仿宋" w:eastAsia="仿宋_GB2312" w:cs="仿宋"/>
          <w:sz w:val="32"/>
          <w:szCs w:val="32"/>
        </w:rPr>
        <w:t>（二）违反建设项目环境保护“三同时”制度，污染防治设施已按环评要求建设或能证明达标排放的，项目未造成污染后果，企业主动关闭项目或者恢复原状的。</w:t>
      </w:r>
    </w:p>
    <w:p>
      <w:pPr>
        <w:ind w:firstLine="640"/>
        <w:rPr>
          <w:rFonts w:ascii="仿宋_GB2312" w:hAnsi="仿宋" w:eastAsia="仿宋_GB2312" w:cs="仿宋"/>
          <w:sz w:val="32"/>
          <w:szCs w:val="32"/>
        </w:rPr>
      </w:pPr>
      <w:r>
        <w:rPr>
          <w:rFonts w:hint="eastAsia" w:ascii="仿宋_GB2312" w:hAnsi="仿宋" w:eastAsia="仿宋_GB2312" w:cs="仿宋"/>
          <w:sz w:val="32"/>
          <w:szCs w:val="32"/>
        </w:rPr>
        <w:t>（三）属于环境影响评价登记表项目，在生态环境主管部门立案查处前已主动备案的。</w:t>
      </w:r>
    </w:p>
    <w:p>
      <w:pPr>
        <w:ind w:firstLine="640"/>
        <w:rPr>
          <w:rFonts w:ascii="仿宋_GB2312" w:hAnsi="仿宋" w:eastAsia="仿宋_GB2312" w:cs="仿宋"/>
          <w:sz w:val="32"/>
          <w:szCs w:val="32"/>
        </w:rPr>
      </w:pPr>
      <w:r>
        <w:rPr>
          <w:rFonts w:hint="eastAsia" w:ascii="仿宋_GB2312" w:hAnsi="仿宋" w:eastAsia="仿宋_GB2312" w:cs="仿宋"/>
          <w:sz w:val="32"/>
          <w:szCs w:val="32"/>
        </w:rPr>
        <w:t>（四）除第一类污染物或者《最高人民法院最高人民检察院关于办理环境污染刑事案件适用法律若干问题的解释》所涉及重金属、持久性有机污染物之外，超标排放水污染物、大气污染物倍数在10%以内的，pH值大于等于5或者小于等于9.5的；噪声超标在1分贝以内的。</w:t>
      </w:r>
    </w:p>
    <w:p>
      <w:pPr>
        <w:ind w:firstLine="640"/>
        <w:rPr>
          <w:rFonts w:ascii="仿宋_GB2312" w:hAnsi="仿宋" w:eastAsia="仿宋_GB2312" w:cs="仿宋"/>
          <w:sz w:val="32"/>
          <w:szCs w:val="32"/>
        </w:rPr>
      </w:pPr>
      <w:r>
        <w:rPr>
          <w:rFonts w:hint="eastAsia" w:ascii="仿宋_GB2312" w:hAnsi="仿宋" w:eastAsia="仿宋_GB2312" w:cs="仿宋"/>
          <w:sz w:val="32"/>
          <w:szCs w:val="32"/>
        </w:rPr>
        <w:t>（五）现场检查发现未张贴危险废物贮存场所标签、标志未按规定张贴，系首次出现此行为且经指出后立即改正的。</w:t>
      </w:r>
    </w:p>
    <w:p>
      <w:pPr>
        <w:ind w:firstLine="640"/>
        <w:rPr>
          <w:rFonts w:ascii="仿宋_GB2312" w:hAnsi="仿宋" w:eastAsia="仿宋_GB2312" w:cs="仿宋"/>
          <w:sz w:val="32"/>
          <w:szCs w:val="32"/>
        </w:rPr>
      </w:pPr>
      <w:r>
        <w:rPr>
          <w:rFonts w:hint="eastAsia" w:ascii="仿宋_GB2312" w:hAnsi="仿宋" w:eastAsia="仿宋_GB2312" w:cs="仿宋"/>
          <w:sz w:val="32"/>
          <w:szCs w:val="32"/>
        </w:rPr>
        <w:t>（六）重点排污单位未按照规定开展自行监测及信息公开、未按照规定安装在线监控设施及比对监测, 经发现后能及时主动纠正的。</w:t>
      </w:r>
    </w:p>
    <w:p>
      <w:pPr>
        <w:ind w:firstLine="640"/>
        <w:rPr>
          <w:rFonts w:ascii="仿宋_GB2312" w:hAnsi="仿宋" w:eastAsia="仿宋_GB2312" w:cs="仿宋"/>
          <w:sz w:val="32"/>
          <w:szCs w:val="32"/>
        </w:rPr>
      </w:pPr>
      <w:r>
        <w:rPr>
          <w:rFonts w:hint="eastAsia" w:ascii="仿宋_GB2312" w:hAnsi="仿宋" w:eastAsia="仿宋_GB2312" w:cs="仿宋"/>
          <w:sz w:val="32"/>
          <w:szCs w:val="32"/>
        </w:rPr>
        <w:t>（七）污染防治设施因突发故障或维修保养导致不正常运行但及时报告并采取停限产措施减少污染物排放，未造成大气、水体、土壤污染后果的。</w:t>
      </w:r>
    </w:p>
    <w:p>
      <w:pPr>
        <w:ind w:firstLine="640"/>
        <w:rPr>
          <w:rFonts w:ascii="仿宋_GB2312" w:hAnsi="仿宋" w:eastAsia="仿宋_GB2312" w:cs="仿宋"/>
          <w:sz w:val="32"/>
          <w:szCs w:val="32"/>
        </w:rPr>
      </w:pPr>
      <w:r>
        <w:rPr>
          <w:rFonts w:hint="eastAsia" w:ascii="仿宋_GB2312" w:hAnsi="仿宋" w:eastAsia="仿宋_GB2312" w:cs="仿宋"/>
          <w:sz w:val="32"/>
          <w:szCs w:val="32"/>
        </w:rPr>
        <w:t>（八）环境违法行为持续时间短、污染小、当日完成整改的（如“超标排放不超过2小时、且超标倍数小于的0.1倍、日污水排放量小于0.1吨的”；又如“偶发的大肠杆菌等其他污染物超标的”；再如“不规范储存危险废物时间不超过24小时、数量小于0.01吨，且未污染外环境的”）。</w:t>
      </w:r>
    </w:p>
    <w:p>
      <w:pPr>
        <w:ind w:firstLine="640"/>
        <w:rPr>
          <w:rFonts w:ascii="仿宋_GB2312" w:hAnsi="仿宋" w:eastAsia="仿宋_GB2312" w:cs="仿宋"/>
          <w:sz w:val="32"/>
          <w:szCs w:val="32"/>
        </w:rPr>
      </w:pPr>
      <w:r>
        <w:rPr>
          <w:rFonts w:hint="eastAsia" w:ascii="仿宋_GB2312" w:hAnsi="仿宋" w:eastAsia="仿宋_GB2312" w:cs="仿宋"/>
          <w:sz w:val="32"/>
          <w:szCs w:val="32"/>
        </w:rPr>
        <w:t>（九）小微企业(注册资本100万元&lt;含&gt;以下的)、个体工商户、畜禽养殖户等违法情节轻微，经教育后自觉履行法定义务，且未造成实际危害后果的。</w:t>
      </w:r>
    </w:p>
    <w:p>
      <w:pPr>
        <w:ind w:firstLine="640"/>
        <w:rPr>
          <w:rFonts w:ascii="仿宋_GB2312" w:hAnsi="仿宋" w:eastAsia="仿宋_GB2312" w:cs="仿宋"/>
          <w:sz w:val="32"/>
          <w:szCs w:val="32"/>
        </w:rPr>
      </w:pPr>
      <w:r>
        <w:rPr>
          <w:rFonts w:hint="eastAsia" w:ascii="仿宋_GB2312" w:hAnsi="仿宋" w:eastAsia="仿宋_GB2312" w:cs="仿宋"/>
          <w:sz w:val="32"/>
          <w:szCs w:val="32"/>
        </w:rPr>
        <w:t>（十）受疫情防控直接影响，因生产负荷未达到设计要求导致在线数据超标现象，企业提前书面报告说明并事后及时整改到位的。</w:t>
      </w:r>
    </w:p>
    <w:p>
      <w:pPr>
        <w:ind w:firstLine="640"/>
        <w:rPr>
          <w:rFonts w:ascii="仿宋_GB2312" w:hAnsi="Microsoft YaHei UI" w:eastAsia="仿宋_GB2312" w:cs="宋体"/>
          <w:color w:val="333333"/>
          <w:spacing w:val="8"/>
          <w:kern w:val="0"/>
          <w:sz w:val="26"/>
          <w:szCs w:val="26"/>
        </w:rPr>
      </w:pPr>
      <w:r>
        <w:rPr>
          <w:rFonts w:hint="eastAsia" w:ascii="仿宋_GB2312" w:hAnsi="仿宋" w:eastAsia="仿宋_GB2312" w:cs="仿宋"/>
          <w:sz w:val="32"/>
          <w:szCs w:val="32"/>
        </w:rPr>
        <w:t>（十一）当事人首次（首次是指企业成立后，环境执法检查中第一次发现）发生其他轻微环境违法行为的。</w:t>
      </w:r>
    </w:p>
    <w:p>
      <w:bookmarkStart w:id="0" w:name="_GoBack"/>
      <w:bookmarkEnd w:id="0"/>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楷体">
    <w:panose1 w:val="02010609060101010101"/>
    <w:charset w:val="86"/>
    <w:family w:val="modern"/>
    <w:pitch w:val="default"/>
    <w:sig w:usb0="800002BF" w:usb1="38CF7CFA" w:usb2="00000016" w:usb3="00000000" w:csb0="00040001" w:csb1="00000000"/>
  </w:font>
  <w:font w:name="方正小标宋简体">
    <w:altName w:val="黑体"/>
    <w:panose1 w:val="03000509000000000000"/>
    <w:charset w:val="86"/>
    <w:family w:val="script"/>
    <w:pitch w:val="default"/>
    <w:sig w:usb0="00000000" w:usb1="00000000" w:usb2="00000010" w:usb3="00000000" w:csb0="00040000" w:csb1="00000000"/>
  </w:font>
  <w:font w:name="仿宋_GB2312">
    <w:altName w:val="仿宋"/>
    <w:panose1 w:val="02010609030101010101"/>
    <w:charset w:val="86"/>
    <w:family w:val="modern"/>
    <w:pitch w:val="default"/>
    <w:sig w:usb0="00000000" w:usb1="00000000" w:usb2="00000010" w:usb3="00000000" w:csb0="00040000" w:csb1="00000000"/>
  </w:font>
  <w:font w:name="仿宋">
    <w:panose1 w:val="02010609060101010101"/>
    <w:charset w:val="86"/>
    <w:family w:val="modern"/>
    <w:pitch w:val="default"/>
    <w:sig w:usb0="800002BF" w:usb1="38CF7CFA" w:usb2="00000016" w:usb3="00000000" w:csb0="00040001" w:csb1="00000000"/>
  </w:font>
  <w:font w:name="Microsoft YaHei UI">
    <w:altName w:val="宋体"/>
    <w:panose1 w:val="020B0503020204020204"/>
    <w:charset w:val="86"/>
    <w:family w:val="swiss"/>
    <w:pitch w:val="default"/>
    <w:sig w:usb0="00000000" w:usb1="00000000"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19BB35C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3">
    <w:name w:val="Default Paragraph Font"/>
    <w:semiHidden/>
    <w:uiPriority w:val="0"/>
  </w:style>
  <w:style w:type="table" w:default="1" w:styleId="2">
    <w:name w:val="Normal Table"/>
    <w:semiHidden/>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Office_11.1.0.9141_F1E327BC-269C-435d-A152-05C5408002CA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Administrator</dc:creator>
  <cp:lastModifiedBy>Administrator</cp:lastModifiedBy>
  <dcterms:modified xsi:type="dcterms:W3CDTF">2020-03-10T10:13:31Z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2052-11.1.0.9141</vt:lpwstr>
  </property>
</Properties>
</file>