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742"/>
        <w:gridCol w:w="1877"/>
        <w:gridCol w:w="4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水环境重点排污单位（33家）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行政区划(县)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四平宏宝莱饮品股份有限公司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中核四平环保科技有限公司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四平市宏平肉业有限公司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吉林省神经精神病医院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四平市传染病医院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四平中科能源环保有限公司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四平市妇婴医院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四平金士百纯生啤酒有限公司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铁西区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吉林省新鼎华金属加工有限公司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四平君乐宝乳业有限公司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四平市精细化学品有限公司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四平立白日化有限公司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四平市结核病医院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铁东区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吉林吉春制药股份有限公司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吉林省新天龙实业股份有限公司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四平绿健生物技术有限公司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梨树核瑞环保科技有限公司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梨树县郭家店镇净源污水处理有限公司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梨树县环发环保有限公司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四平耘垦牧业有限公司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梨树县华统食品有限公司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梨树县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四平瑞祥投资建设有限公司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伊通满族自治县三达水务有限公司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伊通满族自治县民族医院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双辽核润环保科技有限公司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双辽昊华化工有限公司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四平市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双辽市星月化工有限公司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OGFiMDVlMGNmZWQ3OWNkM2MyOWY4NTkzNGIyOTcifQ=="/>
  </w:docVars>
  <w:rsids>
    <w:rsidRoot w:val="00000000"/>
    <w:rsid w:val="4142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2024-03-28T07:17:31Z</dcterms:created>
  <dc:creator>Administrator</dc:creator>
  <cp:lastModifiedBy>李松原</cp:lastModifiedBy>
  <dcterms:modified xsi:type="dcterms:W3CDTF">2024-03-28T07:17:53Z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7476FB18646C4FC786FCB787092FD5BD_12</vt:lpwstr>
  </property>
</Properties>
</file>