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A6132">
      <w:pPr>
        <w:adjustRightInd w:val="0"/>
        <w:snapToGrid w:val="0"/>
        <w:jc w:val="center"/>
        <w:outlineLvl w:val="0"/>
        <w:rPr>
          <w:rFonts w:hint="eastAsia" w:ascii="宋体" w:hAnsi="宋体" w:eastAsia="宋体" w:cs="宋体"/>
          <w:bCs/>
          <w:color w:val="000000" w:themeColor="text1"/>
          <w:sz w:val="72"/>
          <w:szCs w:val="72"/>
          <w:lang w:eastAsia="zh-CN"/>
          <w14:textFill>
            <w14:solidFill>
              <w14:schemeClr w14:val="tx1"/>
            </w14:solidFill>
          </w14:textFill>
        </w:rPr>
        <w:sectPr>
          <w:footerReference r:id="rId5" w:type="default"/>
          <w:pgSz w:w="11905" w:h="16838"/>
          <w:pgMar w:top="1440" w:right="1800" w:bottom="1440" w:left="1800" w:header="851" w:footer="850"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eastAsia="宋体" w:cs="宋体"/>
          <w:bCs/>
          <w:color w:val="000000" w:themeColor="text1"/>
          <w:sz w:val="72"/>
          <w:szCs w:val="72"/>
          <w:lang w:eastAsia="zh-CN"/>
          <w14:textFill>
            <w14:solidFill>
              <w14:schemeClr w14:val="tx1"/>
            </w14:solidFill>
          </w14:textFill>
        </w:rPr>
        <w:drawing>
          <wp:inline distT="0" distB="0" distL="114300" distR="114300">
            <wp:extent cx="5271135" cy="6836410"/>
            <wp:effectExtent l="0" t="0" r="12065" b="8890"/>
            <wp:docPr id="184" name="图片 184" descr="696c7ee4ce93f64032714fa0ef200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696c7ee4ce93f64032714fa0ef200c22"/>
                    <pic:cNvPicPr>
                      <a:picLocks noChangeAspect="1"/>
                    </pic:cNvPicPr>
                  </pic:nvPicPr>
                  <pic:blipFill>
                    <a:blip r:embed="rId14"/>
                    <a:stretch>
                      <a:fillRect/>
                    </a:stretch>
                  </pic:blipFill>
                  <pic:spPr>
                    <a:xfrm>
                      <a:off x="0" y="0"/>
                      <a:ext cx="5271135" cy="6836410"/>
                    </a:xfrm>
                    <a:prstGeom prst="rect">
                      <a:avLst/>
                    </a:prstGeom>
                  </pic:spPr>
                </pic:pic>
              </a:graphicData>
            </a:graphic>
          </wp:inline>
        </w:drawing>
      </w:r>
    </w:p>
    <w:p w14:paraId="6D28B2DE">
      <w:pPr>
        <w:adjustRightInd w:val="0"/>
        <w:snapToGrid w:val="0"/>
        <w:jc w:val="center"/>
        <w:outlineLvl w:val="0"/>
        <w:rPr>
          <w:rFonts w:hint="eastAsia" w:ascii="宋体" w:hAnsi="宋体" w:eastAsia="宋体" w:cs="宋体"/>
          <w:bCs/>
          <w:color w:val="000000" w:themeColor="text1"/>
          <w:sz w:val="72"/>
          <w:szCs w:val="72"/>
          <w:lang w:eastAsia="zh-CN"/>
          <w14:textFill>
            <w14:solidFill>
              <w14:schemeClr w14:val="tx1"/>
            </w14:solidFill>
          </w14:textFill>
        </w:rPr>
        <w:sectPr>
          <w:pgSz w:w="11905" w:h="16838"/>
          <w:pgMar w:top="1440" w:right="1800" w:bottom="1440" w:left="1800" w:header="851" w:footer="850"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eastAsia="宋体" w:cs="宋体"/>
          <w:bCs/>
          <w:color w:val="000000" w:themeColor="text1"/>
          <w:sz w:val="72"/>
          <w:szCs w:val="72"/>
          <w:lang w:eastAsia="zh-CN"/>
          <w14:textFill>
            <w14:solidFill>
              <w14:schemeClr w14:val="tx1"/>
            </w14:solidFill>
          </w14:textFill>
        </w:rPr>
        <w:drawing>
          <wp:inline distT="0" distB="0" distL="114300" distR="114300">
            <wp:extent cx="5270500" cy="7091045"/>
            <wp:effectExtent l="0" t="0" r="0" b="8255"/>
            <wp:docPr id="185" name="图片 185" descr="d2daf024e8b6429215e254b325997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d2daf024e8b6429215e254b32599732b"/>
                    <pic:cNvPicPr>
                      <a:picLocks noChangeAspect="1"/>
                    </pic:cNvPicPr>
                  </pic:nvPicPr>
                  <pic:blipFill>
                    <a:blip r:embed="rId15"/>
                    <a:stretch>
                      <a:fillRect/>
                    </a:stretch>
                  </pic:blipFill>
                  <pic:spPr>
                    <a:xfrm>
                      <a:off x="0" y="0"/>
                      <a:ext cx="5270500" cy="7091045"/>
                    </a:xfrm>
                    <a:prstGeom prst="rect">
                      <a:avLst/>
                    </a:prstGeom>
                  </pic:spPr>
                </pic:pic>
              </a:graphicData>
            </a:graphic>
          </wp:inline>
        </w:drawing>
      </w:r>
      <w:bookmarkStart w:id="26" w:name="_GoBack"/>
      <w:bookmarkEnd w:id="26"/>
    </w:p>
    <w:p w14:paraId="135B933F">
      <w:pPr>
        <w:pStyle w:val="2"/>
        <w:spacing w:before="120" w:after="1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一、建设项目基本情况</w:t>
      </w:r>
    </w:p>
    <w:tbl>
      <w:tblPr>
        <w:tblStyle w:val="25"/>
        <w:tblW w:w="51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98"/>
        <w:gridCol w:w="1099"/>
        <w:gridCol w:w="1746"/>
        <w:gridCol w:w="1308"/>
        <w:gridCol w:w="3908"/>
      </w:tblGrid>
      <w:tr w14:paraId="7D6E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705FAA69">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建设项目名称</w:t>
            </w:r>
          </w:p>
        </w:tc>
        <w:tc>
          <w:tcPr>
            <w:tcW w:w="4066" w:type="pct"/>
            <w:gridSpan w:val="3"/>
            <w:tcBorders>
              <w:tl2br w:val="nil"/>
              <w:tr2bl w:val="nil"/>
            </w:tcBorders>
            <w:vAlign w:val="center"/>
          </w:tcPr>
          <w:p w14:paraId="140DC4BF">
            <w:pPr>
              <w:pStyle w:val="38"/>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四平鑫龙报废汽车回收拆解</w:t>
            </w:r>
            <w:r>
              <w:rPr>
                <w:rFonts w:hint="eastAsia" w:ascii="宋体" w:hAnsi="宋体" w:eastAsia="宋体" w:cs="宋体"/>
                <w:color w:val="000000" w:themeColor="text1"/>
                <w:highlight w:val="none"/>
                <w:lang w:eastAsia="zh-CN"/>
                <w14:textFill>
                  <w14:solidFill>
                    <w14:schemeClr w14:val="tx1"/>
                  </w14:solidFill>
                </w14:textFill>
              </w:rPr>
              <w:t>有限公司</w:t>
            </w:r>
            <w:r>
              <w:rPr>
                <w:rFonts w:hint="eastAsia" w:ascii="宋体" w:hAnsi="宋体" w:eastAsia="宋体" w:cs="宋体"/>
                <w:color w:val="000000" w:themeColor="text1"/>
                <w:highlight w:val="none"/>
                <w:lang w:val="en-US" w:eastAsia="zh-CN"/>
                <w14:textFill>
                  <w14:solidFill>
                    <w14:schemeClr w14:val="tx1"/>
                  </w14:solidFill>
                </w14:textFill>
              </w:rPr>
              <w:t xml:space="preserve">报废汽车回收拆解扩建项目 </w:t>
            </w:r>
          </w:p>
        </w:tc>
      </w:tr>
      <w:tr w14:paraId="0728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4F2D5DED">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项目代码</w:t>
            </w:r>
          </w:p>
        </w:tc>
        <w:tc>
          <w:tcPr>
            <w:tcW w:w="4066" w:type="pct"/>
            <w:gridSpan w:val="3"/>
            <w:tcBorders>
              <w:tl2br w:val="nil"/>
              <w:tr2bl w:val="nil"/>
            </w:tcBorders>
            <w:vAlign w:val="center"/>
          </w:tcPr>
          <w:p w14:paraId="4AFB4001">
            <w:pPr>
              <w:pStyle w:val="38"/>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w:t>
            </w:r>
          </w:p>
        </w:tc>
      </w:tr>
      <w:tr w14:paraId="4036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1244D84F">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建设单位联系人</w:t>
            </w:r>
          </w:p>
        </w:tc>
        <w:tc>
          <w:tcPr>
            <w:tcW w:w="1020" w:type="pct"/>
            <w:tcBorders>
              <w:tl2br w:val="nil"/>
              <w:tr2bl w:val="nil"/>
            </w:tcBorders>
            <w:vAlign w:val="center"/>
          </w:tcPr>
          <w:p w14:paraId="7A20FC42">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韩璐</w:t>
            </w:r>
          </w:p>
        </w:tc>
        <w:tc>
          <w:tcPr>
            <w:tcW w:w="764" w:type="pct"/>
            <w:tcBorders>
              <w:tl2br w:val="nil"/>
              <w:tr2bl w:val="nil"/>
            </w:tcBorders>
            <w:vAlign w:val="center"/>
          </w:tcPr>
          <w:p w14:paraId="071EAB69">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联系方式</w:t>
            </w:r>
          </w:p>
        </w:tc>
        <w:tc>
          <w:tcPr>
            <w:tcW w:w="2281" w:type="pct"/>
            <w:tcBorders>
              <w:tl2br w:val="nil"/>
              <w:tr2bl w:val="nil"/>
            </w:tcBorders>
            <w:vAlign w:val="center"/>
          </w:tcPr>
          <w:p w14:paraId="38BE5948">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15904347299</w:t>
            </w:r>
          </w:p>
        </w:tc>
      </w:tr>
      <w:tr w14:paraId="2688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0FC14D87">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建设地点</w:t>
            </w:r>
          </w:p>
        </w:tc>
        <w:tc>
          <w:tcPr>
            <w:tcW w:w="4066" w:type="pct"/>
            <w:gridSpan w:val="3"/>
            <w:tcBorders>
              <w:tl2br w:val="nil"/>
              <w:tr2bl w:val="nil"/>
            </w:tcBorders>
            <w:vAlign w:val="center"/>
          </w:tcPr>
          <w:p w14:paraId="06321787">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 xml:space="preserve"> </w:t>
            </w:r>
            <w:r>
              <w:rPr>
                <w:rFonts w:hint="eastAsia" w:ascii="宋体" w:hAnsi="宋体" w:eastAsia="宋体" w:cs="宋体"/>
                <w:color w:val="000000" w:themeColor="text1"/>
                <w:szCs w:val="21"/>
                <w:u w:val="none"/>
                <w:lang w:eastAsia="zh-CN"/>
                <w14:textFill>
                  <w14:solidFill>
                    <w14:schemeClr w14:val="tx1"/>
                  </w14:solidFill>
                </w14:textFill>
              </w:rPr>
              <w:t>吉林</w:t>
            </w:r>
            <w:r>
              <w:rPr>
                <w:rFonts w:hint="eastAsia" w:ascii="宋体" w:hAnsi="宋体" w:eastAsia="宋体" w:cs="宋体"/>
                <w:color w:val="000000" w:themeColor="text1"/>
                <w:szCs w:val="21"/>
                <w14:textFill>
                  <w14:solidFill>
                    <w14:schemeClr w14:val="tx1"/>
                  </w14:solidFill>
                </w14:textFill>
              </w:rPr>
              <w:t>省</w:t>
            </w:r>
            <w:r>
              <w:rPr>
                <w:rFonts w:hint="eastAsia" w:ascii="宋体" w:hAnsi="宋体" w:eastAsia="宋体" w:cs="宋体"/>
                <w:color w:val="000000" w:themeColor="text1"/>
                <w:szCs w:val="21"/>
                <w:u w:val="none"/>
                <w:lang w:eastAsia="zh-CN"/>
                <w14:textFill>
                  <w14:solidFill>
                    <w14:schemeClr w14:val="tx1"/>
                  </w14:solidFill>
                </w14:textFill>
              </w:rPr>
              <w:t>四平</w:t>
            </w:r>
            <w:r>
              <w:rPr>
                <w:rFonts w:hint="eastAsia" w:ascii="宋体" w:hAnsi="宋体" w:eastAsia="宋体" w:cs="宋体"/>
                <w:color w:val="000000" w:themeColor="text1"/>
                <w:szCs w:val="21"/>
                <w14:textFill>
                  <w14:solidFill>
                    <w14:schemeClr w14:val="tx1"/>
                  </w14:solidFill>
                </w14:textFill>
              </w:rPr>
              <w:t>市</w:t>
            </w:r>
            <w:r>
              <w:rPr>
                <w:rFonts w:hint="eastAsia" w:ascii="宋体" w:hAnsi="宋体" w:eastAsia="宋体" w:cs="宋体"/>
                <w:color w:val="000000" w:themeColor="text1"/>
                <w:szCs w:val="21"/>
                <w:u w:val="none"/>
                <w:lang w:eastAsia="zh-CN"/>
                <w14:textFill>
                  <w14:solidFill>
                    <w14:schemeClr w14:val="tx1"/>
                  </w14:solidFill>
                </w14:textFill>
              </w:rPr>
              <w:t>铁西</w:t>
            </w:r>
            <w:r>
              <w:rPr>
                <w:rFonts w:hint="eastAsia" w:ascii="宋体" w:hAnsi="宋体" w:eastAsia="宋体" w:cs="宋体"/>
                <w:color w:val="000000" w:themeColor="text1"/>
                <w:szCs w:val="21"/>
                <w14:textFill>
                  <w14:solidFill>
                    <w14:schemeClr w14:val="tx1"/>
                  </w14:solidFill>
                </w14:textFill>
              </w:rPr>
              <w:t>区</w:t>
            </w:r>
            <w:r>
              <w:rPr>
                <w:rFonts w:hint="eastAsia" w:ascii="宋体" w:hAnsi="宋体" w:eastAsia="宋体" w:cs="宋体"/>
                <w:color w:val="000000" w:themeColor="text1"/>
                <w:szCs w:val="21"/>
                <w:u w:val="none"/>
                <w:lang w:val="en-US" w:eastAsia="zh-CN"/>
                <w14:textFill>
                  <w14:solidFill>
                    <w14:schemeClr w14:val="tx1"/>
                  </w14:solidFill>
                </w14:textFill>
              </w:rPr>
              <w:t>四平红嘴经济技术开发区恒丰街</w:t>
            </w:r>
          </w:p>
        </w:tc>
      </w:tr>
      <w:tr w14:paraId="50B4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933" w:type="pct"/>
            <w:gridSpan w:val="2"/>
            <w:tcBorders>
              <w:tl2br w:val="nil"/>
              <w:tr2bl w:val="nil"/>
            </w:tcBorders>
            <w:tcMar>
              <w:top w:w="16" w:type="dxa"/>
              <w:left w:w="16" w:type="dxa"/>
              <w:right w:w="16" w:type="dxa"/>
            </w:tcMar>
            <w:vAlign w:val="center"/>
          </w:tcPr>
          <w:p w14:paraId="097EAF73">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地理坐标</w:t>
            </w:r>
          </w:p>
        </w:tc>
        <w:tc>
          <w:tcPr>
            <w:tcW w:w="4066" w:type="pct"/>
            <w:gridSpan w:val="3"/>
            <w:tcBorders>
              <w:tl2br w:val="nil"/>
              <w:tr2bl w:val="nil"/>
            </w:tcBorders>
            <w:vAlign w:val="center"/>
          </w:tcPr>
          <w:p w14:paraId="2C7CF02C">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124</w:t>
            </w:r>
            <w:r>
              <w:rPr>
                <w:rFonts w:hint="eastAsia" w:ascii="宋体" w:hAnsi="宋体" w:eastAsia="宋体" w:cs="宋体"/>
                <w:color w:val="000000" w:themeColor="text1"/>
                <w:szCs w:val="21"/>
                <w:u w:val="none"/>
                <w14:textFill>
                  <w14:solidFill>
                    <w14:schemeClr w14:val="tx1"/>
                  </w14:solidFill>
                </w14:textFill>
              </w:rPr>
              <w:t>度</w:t>
            </w:r>
            <w:r>
              <w:rPr>
                <w:rFonts w:hint="eastAsia" w:ascii="宋体" w:hAnsi="宋体" w:eastAsia="宋体" w:cs="宋体"/>
                <w:color w:val="000000" w:themeColor="text1"/>
                <w:u w:val="none"/>
                <w:lang w:val="en-US" w:eastAsia="zh-CN"/>
                <w14:textFill>
                  <w14:solidFill>
                    <w14:schemeClr w14:val="tx1"/>
                  </w14:solidFill>
                </w14:textFill>
              </w:rPr>
              <w:t>20</w:t>
            </w:r>
            <w:r>
              <w:rPr>
                <w:rFonts w:hint="eastAsia" w:ascii="宋体" w:hAnsi="宋体" w:eastAsia="宋体" w:cs="宋体"/>
                <w:color w:val="000000" w:themeColor="text1"/>
                <w:szCs w:val="21"/>
                <w:u w:val="none"/>
                <w14:textFill>
                  <w14:solidFill>
                    <w14:schemeClr w14:val="tx1"/>
                  </w14:solidFill>
                </w14:textFill>
              </w:rPr>
              <w:t>分</w:t>
            </w:r>
            <w:r>
              <w:rPr>
                <w:rFonts w:hint="eastAsia" w:ascii="宋体" w:hAnsi="宋体" w:eastAsia="宋体" w:cs="宋体"/>
                <w:color w:val="000000" w:themeColor="text1"/>
                <w:u w:val="none"/>
                <w:lang w:val="en-US" w:eastAsia="zh-CN"/>
                <w14:textFill>
                  <w14:solidFill>
                    <w14:schemeClr w14:val="tx1"/>
                  </w14:solidFill>
                </w14:textFill>
              </w:rPr>
              <w:t>56.633</w:t>
            </w:r>
            <w:r>
              <w:rPr>
                <w:rFonts w:hint="eastAsia" w:ascii="宋体" w:hAnsi="宋体" w:eastAsia="宋体" w:cs="宋体"/>
                <w:color w:val="000000" w:themeColor="text1"/>
                <w:szCs w:val="21"/>
                <w:u w:val="none"/>
                <w14:textFill>
                  <w14:solidFill>
                    <w14:schemeClr w14:val="tx1"/>
                  </w14:solidFill>
                </w14:textFill>
              </w:rPr>
              <w:t>秒，</w:t>
            </w:r>
            <w:r>
              <w:rPr>
                <w:rFonts w:hint="eastAsia" w:ascii="宋体" w:hAnsi="宋体" w:eastAsia="宋体" w:cs="宋体"/>
                <w:color w:val="000000" w:themeColor="text1"/>
                <w:u w:val="none"/>
                <w:lang w:val="en-US" w:eastAsia="zh-CN"/>
                <w14:textFill>
                  <w14:solidFill>
                    <w14:schemeClr w14:val="tx1"/>
                  </w14:solidFill>
                </w14:textFill>
              </w:rPr>
              <w:t>43</w:t>
            </w:r>
            <w:r>
              <w:rPr>
                <w:rFonts w:hint="eastAsia" w:ascii="宋体" w:hAnsi="宋体" w:eastAsia="宋体" w:cs="宋体"/>
                <w:color w:val="000000" w:themeColor="text1"/>
                <w:szCs w:val="21"/>
                <w:u w:val="none"/>
                <w14:textFill>
                  <w14:solidFill>
                    <w14:schemeClr w14:val="tx1"/>
                  </w14:solidFill>
                </w14:textFill>
              </w:rPr>
              <w:t>度</w:t>
            </w:r>
            <w:r>
              <w:rPr>
                <w:rFonts w:hint="eastAsia" w:ascii="宋体" w:hAnsi="宋体" w:eastAsia="宋体" w:cs="宋体"/>
                <w:color w:val="000000" w:themeColor="text1"/>
                <w:u w:val="none"/>
                <w:lang w:val="en-US" w:eastAsia="zh-CN"/>
                <w14:textFill>
                  <w14:solidFill>
                    <w14:schemeClr w14:val="tx1"/>
                  </w14:solidFill>
                </w14:textFill>
              </w:rPr>
              <w:t>13</w:t>
            </w:r>
            <w:r>
              <w:rPr>
                <w:rFonts w:hint="eastAsia" w:ascii="宋体" w:hAnsi="宋体" w:eastAsia="宋体" w:cs="宋体"/>
                <w:color w:val="000000" w:themeColor="text1"/>
                <w:szCs w:val="21"/>
                <w:u w:val="none"/>
                <w14:textFill>
                  <w14:solidFill>
                    <w14:schemeClr w14:val="tx1"/>
                  </w14:solidFill>
                </w14:textFill>
              </w:rPr>
              <w:t>分</w:t>
            </w:r>
            <w:r>
              <w:rPr>
                <w:rFonts w:hint="eastAsia" w:ascii="宋体" w:hAnsi="宋体" w:eastAsia="宋体" w:cs="宋体"/>
                <w:color w:val="000000" w:themeColor="text1"/>
                <w:u w:val="none"/>
                <w:lang w:val="en-US" w:eastAsia="zh-CN"/>
                <w14:textFill>
                  <w14:solidFill>
                    <w14:schemeClr w14:val="tx1"/>
                  </w14:solidFill>
                </w14:textFill>
              </w:rPr>
              <w:t>26.102秒</w:t>
            </w:r>
          </w:p>
        </w:tc>
      </w:tr>
      <w:tr w14:paraId="6E3C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19E52F11">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国民经济</w:t>
            </w:r>
          </w:p>
          <w:p w14:paraId="081CC56F">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行业类别</w:t>
            </w:r>
          </w:p>
        </w:tc>
        <w:tc>
          <w:tcPr>
            <w:tcW w:w="1020" w:type="pct"/>
            <w:tcBorders>
              <w:tl2br w:val="nil"/>
              <w:tr2bl w:val="nil"/>
            </w:tcBorders>
            <w:vAlign w:val="center"/>
          </w:tcPr>
          <w:p w14:paraId="59D681ED">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C4210金属废料和碎屑加工处理</w:t>
            </w:r>
          </w:p>
        </w:tc>
        <w:tc>
          <w:tcPr>
            <w:tcW w:w="764" w:type="pct"/>
            <w:tcBorders>
              <w:tl2br w:val="nil"/>
              <w:tr2bl w:val="nil"/>
            </w:tcBorders>
            <w:vAlign w:val="center"/>
          </w:tcPr>
          <w:p w14:paraId="1D102410">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bookmarkStart w:id="0" w:name="_Hlk49843745"/>
            <w:r>
              <w:rPr>
                <w:rFonts w:hint="eastAsia" w:ascii="宋体" w:hAnsi="宋体" w:eastAsia="宋体" w:cs="宋体"/>
                <w:color w:val="000000" w:themeColor="text1"/>
                <w14:textFill>
                  <w14:solidFill>
                    <w14:schemeClr w14:val="tx1"/>
                  </w14:solidFill>
                </w14:textFill>
              </w:rPr>
              <w:t>建设项目行业类别</w:t>
            </w:r>
            <w:bookmarkEnd w:id="0"/>
          </w:p>
        </w:tc>
        <w:tc>
          <w:tcPr>
            <w:tcW w:w="2281" w:type="pct"/>
            <w:tcBorders>
              <w:tl2br w:val="nil"/>
              <w:tr2bl w:val="nil"/>
            </w:tcBorders>
            <w:vAlign w:val="center"/>
          </w:tcPr>
          <w:p w14:paraId="4D932D1F">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“三十九、废弃资源综合利用业42”中的“</w:t>
            </w:r>
            <w:r>
              <w:rPr>
                <w:rFonts w:hint="eastAsia" w:ascii="宋体" w:hAnsi="宋体" w:eastAsia="宋体" w:cs="宋体"/>
                <w:b/>
                <w:bCs/>
                <w:color w:val="000000" w:themeColor="text1"/>
                <w14:textFill>
                  <w14:solidFill>
                    <w14:schemeClr w14:val="tx1"/>
                  </w14:solidFill>
                </w14:textFill>
              </w:rPr>
              <w:t>85 金属废料和碎屑加工处理421</w:t>
            </w:r>
            <w:r>
              <w:rPr>
                <w:rFonts w:hint="eastAsia" w:ascii="宋体" w:hAnsi="宋体" w:eastAsia="宋体" w:cs="宋体"/>
                <w:color w:val="000000" w:themeColor="text1"/>
                <w14:textFill>
                  <w14:solidFill>
                    <w14:schemeClr w14:val="tx1"/>
                  </w14:solidFill>
                </w14:textFill>
              </w:rPr>
              <w:t>——废弃电器电子产品、</w:t>
            </w:r>
            <w:r>
              <w:rPr>
                <w:rFonts w:hint="eastAsia" w:ascii="宋体" w:hAnsi="宋体" w:eastAsia="宋体" w:cs="宋体"/>
                <w:b/>
                <w:bCs/>
                <w:color w:val="000000" w:themeColor="text1"/>
                <w14:textFill>
                  <w14:solidFill>
                    <w14:schemeClr w14:val="tx1"/>
                  </w14:solidFill>
                </w14:textFill>
              </w:rPr>
              <w:t>废机动车</w:t>
            </w:r>
            <w:r>
              <w:rPr>
                <w:rFonts w:hint="eastAsia" w:ascii="宋体" w:hAnsi="宋体" w:eastAsia="宋体" w:cs="宋体"/>
                <w:color w:val="000000" w:themeColor="text1"/>
                <w14:textFill>
                  <w14:solidFill>
                    <w14:schemeClr w14:val="tx1"/>
                  </w14:solidFill>
                </w14:textFill>
              </w:rPr>
              <w:t>、废电机、废电线电缆、废钢、废铁、金属和金属化合物矿灰及残渣、有色金属废料与碎屑、废塑料、废轮胎、废船、含水洗工艺</w:t>
            </w:r>
            <w:r>
              <w:rPr>
                <w:rFonts w:hint="eastAsia" w:ascii="宋体" w:hAnsi="宋体" w:eastAsia="宋体" w:cs="宋体"/>
                <w:b/>
                <w:bCs/>
                <w:color w:val="000000" w:themeColor="text1"/>
                <w14:textFill>
                  <w14:solidFill>
                    <w14:schemeClr w14:val="tx1"/>
                  </w14:solidFill>
                </w14:textFill>
              </w:rPr>
              <w:t>的其他废料和碎屑加工处理</w:t>
            </w:r>
            <w:r>
              <w:rPr>
                <w:rFonts w:hint="eastAsia" w:ascii="宋体" w:hAnsi="宋体" w:eastAsia="宋体" w:cs="宋体"/>
                <w:color w:val="000000" w:themeColor="text1"/>
                <w14:textFill>
                  <w14:solidFill>
                    <w14:schemeClr w14:val="tx1"/>
                  </w14:solidFill>
                </w14:textFill>
              </w:rPr>
              <w:t>”</w:t>
            </w:r>
          </w:p>
        </w:tc>
      </w:tr>
      <w:tr w14:paraId="3D14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76BC62D6">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建设性质</w:t>
            </w:r>
          </w:p>
        </w:tc>
        <w:tc>
          <w:tcPr>
            <w:tcW w:w="1020" w:type="pct"/>
            <w:tcBorders>
              <w:tl2br w:val="nil"/>
              <w:tr2bl w:val="nil"/>
            </w:tcBorders>
            <w:vAlign w:val="center"/>
          </w:tcPr>
          <w:p w14:paraId="5166087C">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A3"/>
            </w:r>
            <w:r>
              <w:rPr>
                <w:rFonts w:hint="eastAsia" w:ascii="宋体" w:hAnsi="宋体" w:eastAsia="宋体" w:cs="宋体"/>
                <w:color w:val="000000" w:themeColor="text1"/>
                <w14:textFill>
                  <w14:solidFill>
                    <w14:schemeClr w14:val="tx1"/>
                  </w14:solidFill>
                </w14:textFill>
              </w:rPr>
              <w:t>新建（迁建）</w:t>
            </w:r>
          </w:p>
          <w:p w14:paraId="27D5C514">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A3"/>
            </w:r>
            <w:r>
              <w:rPr>
                <w:rFonts w:hint="eastAsia" w:ascii="宋体" w:hAnsi="宋体" w:eastAsia="宋体" w:cs="宋体"/>
                <w:color w:val="000000" w:themeColor="text1"/>
                <w14:textFill>
                  <w14:solidFill>
                    <w14:schemeClr w14:val="tx1"/>
                  </w14:solidFill>
                </w14:textFill>
              </w:rPr>
              <w:t>改建</w:t>
            </w:r>
          </w:p>
          <w:p w14:paraId="2BE86F5E">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52"/>
            </w:r>
            <w:r>
              <w:rPr>
                <w:rFonts w:hint="eastAsia" w:ascii="宋体" w:hAnsi="宋体" w:eastAsia="宋体" w:cs="宋体"/>
                <w:color w:val="000000" w:themeColor="text1"/>
                <w14:textFill>
                  <w14:solidFill>
                    <w14:schemeClr w14:val="tx1"/>
                  </w14:solidFill>
                </w14:textFill>
              </w:rPr>
              <w:t>扩建</w:t>
            </w:r>
          </w:p>
          <w:p w14:paraId="1CB5E7A5">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A3"/>
            </w:r>
            <w:r>
              <w:rPr>
                <w:rFonts w:hint="eastAsia" w:ascii="宋体" w:hAnsi="宋体" w:eastAsia="宋体" w:cs="宋体"/>
                <w:color w:val="000000" w:themeColor="text1"/>
                <w14:textFill>
                  <w14:solidFill>
                    <w14:schemeClr w14:val="tx1"/>
                  </w14:solidFill>
                </w14:textFill>
              </w:rPr>
              <w:t>技术改造</w:t>
            </w:r>
          </w:p>
        </w:tc>
        <w:tc>
          <w:tcPr>
            <w:tcW w:w="764" w:type="pct"/>
            <w:tcBorders>
              <w:tl2br w:val="nil"/>
              <w:tr2bl w:val="nil"/>
            </w:tcBorders>
            <w:vAlign w:val="center"/>
          </w:tcPr>
          <w:p w14:paraId="346F8314">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建设项目</w:t>
            </w:r>
          </w:p>
          <w:p w14:paraId="7FAB7CE0">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申报情形</w:t>
            </w:r>
          </w:p>
        </w:tc>
        <w:tc>
          <w:tcPr>
            <w:tcW w:w="2281" w:type="pct"/>
            <w:tcBorders>
              <w:tl2br w:val="nil"/>
              <w:tr2bl w:val="nil"/>
            </w:tcBorders>
            <w:vAlign w:val="center"/>
          </w:tcPr>
          <w:p w14:paraId="084E755A">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52"/>
            </w:r>
            <w:r>
              <w:rPr>
                <w:rFonts w:hint="eastAsia" w:ascii="宋体" w:hAnsi="宋体" w:eastAsia="宋体" w:cs="宋体"/>
                <w:color w:val="000000" w:themeColor="text1"/>
                <w14:textFill>
                  <w14:solidFill>
                    <w14:schemeClr w14:val="tx1"/>
                  </w14:solidFill>
                </w14:textFill>
              </w:rPr>
              <w:t xml:space="preserve">首次申报项目             </w:t>
            </w:r>
          </w:p>
          <w:p w14:paraId="6E748239">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A3"/>
            </w:r>
            <w:r>
              <w:rPr>
                <w:rFonts w:hint="eastAsia" w:ascii="宋体" w:hAnsi="宋体" w:eastAsia="宋体" w:cs="宋体"/>
                <w:color w:val="000000" w:themeColor="text1"/>
                <w14:textFill>
                  <w14:solidFill>
                    <w14:schemeClr w14:val="tx1"/>
                  </w14:solidFill>
                </w14:textFill>
              </w:rPr>
              <w:t>不予批准后再次申报项目</w:t>
            </w:r>
          </w:p>
          <w:p w14:paraId="6EB9A9EE">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A3"/>
            </w:r>
            <w:r>
              <w:rPr>
                <w:rFonts w:hint="eastAsia" w:ascii="宋体" w:hAnsi="宋体" w:eastAsia="宋体" w:cs="宋体"/>
                <w:color w:val="000000" w:themeColor="text1"/>
                <w14:textFill>
                  <w14:solidFill>
                    <w14:schemeClr w14:val="tx1"/>
                  </w14:solidFill>
                </w14:textFill>
              </w:rPr>
              <w:t xml:space="preserve">超五年重新审核项目     </w:t>
            </w:r>
          </w:p>
          <w:p w14:paraId="69FA7A5A">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A3"/>
            </w:r>
            <w:r>
              <w:rPr>
                <w:rFonts w:hint="eastAsia" w:ascii="宋体" w:hAnsi="宋体" w:eastAsia="宋体" w:cs="宋体"/>
                <w:color w:val="000000" w:themeColor="text1"/>
                <w14:textFill>
                  <w14:solidFill>
                    <w14:schemeClr w14:val="tx1"/>
                  </w14:solidFill>
                </w14:textFill>
              </w:rPr>
              <w:t>重大变动重新报批项目</w:t>
            </w:r>
          </w:p>
        </w:tc>
      </w:tr>
      <w:tr w14:paraId="1A47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59631D8D">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项目审批</w:t>
            </w:r>
          </w:p>
          <w:p w14:paraId="26DEF474">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备案部门</w:t>
            </w:r>
          </w:p>
        </w:tc>
        <w:tc>
          <w:tcPr>
            <w:tcW w:w="1020" w:type="pct"/>
            <w:tcBorders>
              <w:tl2br w:val="nil"/>
              <w:tr2bl w:val="nil"/>
            </w:tcBorders>
            <w:vAlign w:val="center"/>
          </w:tcPr>
          <w:p w14:paraId="024966B1">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无</w:t>
            </w:r>
          </w:p>
        </w:tc>
        <w:tc>
          <w:tcPr>
            <w:tcW w:w="764" w:type="pct"/>
            <w:tcBorders>
              <w:tl2br w:val="nil"/>
              <w:tr2bl w:val="nil"/>
            </w:tcBorders>
            <w:vAlign w:val="center"/>
          </w:tcPr>
          <w:p w14:paraId="2C20C913">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项目审批备案文号</w:t>
            </w:r>
          </w:p>
        </w:tc>
        <w:tc>
          <w:tcPr>
            <w:tcW w:w="2281" w:type="pct"/>
            <w:tcBorders>
              <w:tl2br w:val="nil"/>
              <w:tr2bl w:val="nil"/>
            </w:tcBorders>
            <w:vAlign w:val="center"/>
          </w:tcPr>
          <w:p w14:paraId="341E6013">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无</w:t>
            </w:r>
          </w:p>
        </w:tc>
      </w:tr>
      <w:tr w14:paraId="72D2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75BB2469">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总投资（万元）</w:t>
            </w:r>
          </w:p>
        </w:tc>
        <w:tc>
          <w:tcPr>
            <w:tcW w:w="1020" w:type="pct"/>
            <w:tcBorders>
              <w:tl2br w:val="nil"/>
              <w:tr2bl w:val="nil"/>
            </w:tcBorders>
            <w:vAlign w:val="center"/>
          </w:tcPr>
          <w:p w14:paraId="39C233C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w:t>
            </w:r>
          </w:p>
        </w:tc>
        <w:tc>
          <w:tcPr>
            <w:tcW w:w="764" w:type="pct"/>
            <w:tcBorders>
              <w:tl2br w:val="nil"/>
              <w:tr2bl w:val="nil"/>
            </w:tcBorders>
            <w:tcMar>
              <w:top w:w="16" w:type="dxa"/>
              <w:left w:w="16" w:type="dxa"/>
              <w:right w:w="16" w:type="dxa"/>
            </w:tcMar>
            <w:vAlign w:val="center"/>
          </w:tcPr>
          <w:p w14:paraId="6570A829">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环保投资</w:t>
            </w:r>
          </w:p>
          <w:p w14:paraId="4FA7031E">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（万元）</w:t>
            </w:r>
          </w:p>
        </w:tc>
        <w:tc>
          <w:tcPr>
            <w:tcW w:w="2281" w:type="pct"/>
            <w:tcBorders>
              <w:tl2br w:val="nil"/>
              <w:tr2bl w:val="nil"/>
            </w:tcBorders>
            <w:vAlign w:val="center"/>
          </w:tcPr>
          <w:p w14:paraId="5ED23B53">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5</w:t>
            </w:r>
          </w:p>
        </w:tc>
      </w:tr>
      <w:tr w14:paraId="7167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1CD1F0F4">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环保投资</w:t>
            </w:r>
          </w:p>
          <w:p w14:paraId="1ACCDCCC">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占比（%）</w:t>
            </w:r>
          </w:p>
        </w:tc>
        <w:tc>
          <w:tcPr>
            <w:tcW w:w="1020" w:type="pct"/>
            <w:tcBorders>
              <w:tl2br w:val="nil"/>
              <w:tr2bl w:val="nil"/>
            </w:tcBorders>
            <w:vAlign w:val="center"/>
          </w:tcPr>
          <w:p w14:paraId="5178D2BB">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100%</w:t>
            </w:r>
          </w:p>
        </w:tc>
        <w:tc>
          <w:tcPr>
            <w:tcW w:w="764" w:type="pct"/>
            <w:tcBorders>
              <w:tl2br w:val="nil"/>
              <w:tr2bl w:val="nil"/>
            </w:tcBorders>
            <w:tcMar>
              <w:top w:w="16" w:type="dxa"/>
              <w:left w:w="16" w:type="dxa"/>
              <w:right w:w="16" w:type="dxa"/>
            </w:tcMar>
            <w:vAlign w:val="center"/>
          </w:tcPr>
          <w:p w14:paraId="4B0D48EF">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施工工期</w:t>
            </w:r>
          </w:p>
        </w:tc>
        <w:tc>
          <w:tcPr>
            <w:tcW w:w="2281" w:type="pct"/>
            <w:tcBorders>
              <w:tl2br w:val="nil"/>
              <w:tr2bl w:val="nil"/>
            </w:tcBorders>
            <w:vAlign w:val="center"/>
          </w:tcPr>
          <w:p w14:paraId="55FB55DB">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0</w:t>
            </w:r>
          </w:p>
        </w:tc>
      </w:tr>
      <w:tr w14:paraId="3D66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33" w:type="pct"/>
            <w:gridSpan w:val="2"/>
            <w:tcBorders>
              <w:tl2br w:val="nil"/>
              <w:tr2bl w:val="nil"/>
            </w:tcBorders>
            <w:tcMar>
              <w:top w:w="16" w:type="dxa"/>
              <w:left w:w="16" w:type="dxa"/>
              <w:right w:w="16" w:type="dxa"/>
            </w:tcMar>
            <w:vAlign w:val="center"/>
          </w:tcPr>
          <w:p w14:paraId="653E4023">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是否开工建设</w:t>
            </w:r>
          </w:p>
        </w:tc>
        <w:tc>
          <w:tcPr>
            <w:tcW w:w="1020" w:type="pct"/>
            <w:tcBorders>
              <w:tl2br w:val="nil"/>
              <w:tr2bl w:val="nil"/>
            </w:tcBorders>
            <w:vAlign w:val="center"/>
          </w:tcPr>
          <w:p w14:paraId="465AF367">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52"/>
            </w:r>
            <w:r>
              <w:rPr>
                <w:rFonts w:hint="eastAsia" w:ascii="宋体" w:hAnsi="宋体" w:eastAsia="宋体" w:cs="宋体"/>
                <w:color w:val="000000" w:themeColor="text1"/>
                <w14:textFill>
                  <w14:solidFill>
                    <w14:schemeClr w14:val="tx1"/>
                  </w14:solidFill>
                </w14:textFill>
              </w:rPr>
              <w:t>否</w:t>
            </w:r>
          </w:p>
          <w:p w14:paraId="3FAB92F5">
            <w:pPr>
              <w:pStyle w:val="38"/>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sym w:font="Wingdings 2" w:char="00A3"/>
            </w:r>
            <w:r>
              <w:rPr>
                <w:rFonts w:hint="eastAsia" w:ascii="宋体" w:hAnsi="宋体" w:eastAsia="宋体" w:cs="宋体"/>
                <w:color w:val="000000" w:themeColor="text1"/>
                <w14:textFill>
                  <w14:solidFill>
                    <w14:schemeClr w14:val="tx1"/>
                  </w14:solidFill>
                </w14:textFill>
              </w:rPr>
              <w:t>是：</w:t>
            </w:r>
            <w:r>
              <w:rPr>
                <w:rFonts w:hint="eastAsia" w:ascii="宋体" w:hAnsi="宋体" w:eastAsia="宋体" w:cs="宋体"/>
                <w:color w:val="000000" w:themeColor="text1"/>
                <w:u w:val="single"/>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 xml:space="preserve">    </w:t>
            </w:r>
          </w:p>
        </w:tc>
        <w:tc>
          <w:tcPr>
            <w:tcW w:w="764" w:type="pct"/>
            <w:tcBorders>
              <w:tl2br w:val="nil"/>
              <w:tr2bl w:val="nil"/>
            </w:tcBorders>
            <w:tcMar>
              <w:top w:w="16" w:type="dxa"/>
              <w:left w:w="16" w:type="dxa"/>
              <w:right w:w="16" w:type="dxa"/>
            </w:tcMar>
            <w:vAlign w:val="center"/>
          </w:tcPr>
          <w:p w14:paraId="14C6FBB5">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用地面积</w:t>
            </w:r>
          </w:p>
          <w:p w14:paraId="4B49DEBB">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（m</w:t>
            </w:r>
            <w:r>
              <w:rPr>
                <w:rFonts w:hint="eastAsia" w:ascii="宋体" w:hAnsi="宋体" w:eastAsia="宋体" w:cs="宋体"/>
                <w:color w:val="000000" w:themeColor="text1"/>
                <w:vertAlign w:val="superscript"/>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w:t>
            </w:r>
          </w:p>
        </w:tc>
        <w:tc>
          <w:tcPr>
            <w:tcW w:w="2281" w:type="pct"/>
            <w:tcBorders>
              <w:tl2br w:val="nil"/>
              <w:tr2bl w:val="nil"/>
            </w:tcBorders>
            <w:vAlign w:val="center"/>
          </w:tcPr>
          <w:p w14:paraId="7314FFF2">
            <w:pPr>
              <w:pStyle w:val="3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0</w:t>
            </w:r>
          </w:p>
        </w:tc>
      </w:tr>
      <w:tr w14:paraId="0CF0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 w:type="pct"/>
            <w:gridSpan w:val="2"/>
            <w:tcBorders>
              <w:tl2br w:val="nil"/>
              <w:tr2bl w:val="nil"/>
            </w:tcBorders>
            <w:noWrap w:val="0"/>
            <w:vAlign w:val="center"/>
          </w:tcPr>
          <w:p w14:paraId="0861985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专项评价设置情况</w:t>
            </w:r>
          </w:p>
        </w:tc>
        <w:tc>
          <w:tcPr>
            <w:tcW w:w="4066" w:type="pct"/>
            <w:gridSpan w:val="3"/>
            <w:tcBorders>
              <w:tl2br w:val="nil"/>
              <w:tr2bl w:val="nil"/>
            </w:tcBorders>
            <w:noWrap w:val="0"/>
            <w:vAlign w:val="center"/>
          </w:tcPr>
          <w:p w14:paraId="42307B17">
            <w:pPr>
              <w:keepNext w:val="0"/>
              <w:keepLines w:val="0"/>
              <w:pageBreakBefore w:val="0"/>
              <w:widowControl w:val="0"/>
              <w:kinsoku/>
              <w:wordWrap/>
              <w:overflowPunct/>
              <w:topLinePunct w:val="0"/>
              <w:autoSpaceDE w:val="0"/>
              <w:autoSpaceDN w:val="0"/>
              <w:bidi w:val="0"/>
              <w:adjustRightInd w:val="0"/>
              <w:snapToGrid w:val="0"/>
              <w:spacing w:line="360" w:lineRule="exact"/>
              <w:ind w:firstLine="420" w:firstLineChars="200"/>
              <w:jc w:val="lef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u w:val="none"/>
                <w:lang w:val="en-US" w:eastAsia="zh-CN"/>
                <w14:textFill>
                  <w14:solidFill>
                    <w14:schemeClr w14:val="tx1"/>
                  </w14:solidFill>
                </w14:textFill>
              </w:rPr>
              <w:t>建设项目环境影响报告表编制技术指南（污染影响类）（试行）中的表1专项评价设置原则表，排放废气含有毒有害污染物、二噁英、苯并[a]芘、氰化物、氯气且厂界外500米范围内有环境空气保护目标”的建设项目应设置大气专项评价，本项目正常情况下无有毒有害气体产生，非正常情况拆解过程导致铅酸蓄电池损坏，虽产生极少量废气（硫酸雾，铅尘），但铅尘属于《有毒有害大气污染物名录》的污染物，且厂界外500米范围内有环境空气保护目标，需设置大气专项评价。</w:t>
            </w:r>
          </w:p>
        </w:tc>
      </w:tr>
      <w:tr w14:paraId="3D7E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33" w:type="pct"/>
            <w:gridSpan w:val="2"/>
            <w:tcBorders>
              <w:tl2br w:val="nil"/>
              <w:tr2bl w:val="nil"/>
            </w:tcBorders>
            <w:noWrap w:val="0"/>
            <w:vAlign w:val="center"/>
          </w:tcPr>
          <w:p w14:paraId="13331AB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规划情况</w:t>
            </w:r>
          </w:p>
        </w:tc>
        <w:tc>
          <w:tcPr>
            <w:tcW w:w="4066" w:type="pct"/>
            <w:gridSpan w:val="3"/>
            <w:tcBorders>
              <w:tl2br w:val="nil"/>
              <w:tr2bl w:val="nil"/>
            </w:tcBorders>
            <w:noWrap w:val="0"/>
            <w:vAlign w:val="center"/>
          </w:tcPr>
          <w:p w14:paraId="7366BC6D">
            <w:pPr>
              <w:keepNext w:val="0"/>
              <w:keepLines w:val="0"/>
              <w:pageBreakBefore w:val="0"/>
              <w:widowControl w:val="0"/>
              <w:kinsoku/>
              <w:wordWrap/>
              <w:overflowPunct/>
              <w:topLinePunct w:val="0"/>
              <w:autoSpaceDE w:val="0"/>
              <w:autoSpaceDN w:val="0"/>
              <w:bidi w:val="0"/>
              <w:adjustRightInd w:val="0"/>
              <w:snapToGrid w:val="0"/>
              <w:spacing w:line="360" w:lineRule="exact"/>
              <w:ind w:firstLine="420" w:firstLineChars="200"/>
              <w:jc w:val="left"/>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规划名称：《四平红嘴经济技术开发区产业布局规划（2020-2025）》（2022年调整）</w:t>
            </w:r>
          </w:p>
        </w:tc>
      </w:tr>
      <w:tr w14:paraId="7D53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33" w:type="pct"/>
            <w:gridSpan w:val="2"/>
            <w:tcBorders>
              <w:tl2br w:val="nil"/>
              <w:tr2bl w:val="nil"/>
            </w:tcBorders>
            <w:noWrap w:val="0"/>
            <w:vAlign w:val="center"/>
          </w:tcPr>
          <w:p w14:paraId="4C71CA30">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规划环境影响评价情况</w:t>
            </w:r>
          </w:p>
        </w:tc>
        <w:tc>
          <w:tcPr>
            <w:tcW w:w="4066" w:type="pct"/>
            <w:gridSpan w:val="3"/>
            <w:tcBorders>
              <w:tl2br w:val="nil"/>
              <w:tr2bl w:val="nil"/>
            </w:tcBorders>
            <w:noWrap w:val="0"/>
            <w:vAlign w:val="center"/>
          </w:tcPr>
          <w:p w14:paraId="52A9245E">
            <w:pPr>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420" w:firstLineChars="200"/>
              <w:jc w:val="both"/>
              <w:textAlignment w:val="auto"/>
              <w:outlineLvl w:val="9"/>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吉林省中实环保工程开发有限公司编制的《四平红嘴经济技术开发区产业布局规划（2020-2025）环境影响报告书》，已由吉林省生态环境厅于2021年8月6日出具《吉林省生态环境厅对四平红嘴经济技术开发区产业布局规划（2020-2025）环境影响报告书的审查意见》，审查文号为吉环环评字〔2021〕31号。</w:t>
            </w:r>
          </w:p>
          <w:p w14:paraId="709C5C57">
            <w:pPr>
              <w:keepNext w:val="0"/>
              <w:keepLines w:val="0"/>
              <w:pageBreakBefore w:val="0"/>
              <w:widowControl w:val="0"/>
              <w:kinsoku/>
              <w:wordWrap/>
              <w:overflowPunct/>
              <w:topLinePunct w:val="0"/>
              <w:autoSpaceDE w:val="0"/>
              <w:autoSpaceDN w:val="0"/>
              <w:bidi w:val="0"/>
              <w:adjustRightInd w:val="0"/>
              <w:snapToGrid w:val="0"/>
              <w:spacing w:line="360" w:lineRule="exact"/>
              <w:ind w:firstLine="420" w:firstLineChars="200"/>
              <w:jc w:val="both"/>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2022年开发区对规划内容进行调整，并委托编制了补充规划环评，吉林省生态环境厅对《四平红嘴经济技术开发区产业布局规划（2020-2025年）补充环境影响报告书》审批文号为吉环环评字［2022］32号。</w:t>
            </w:r>
          </w:p>
        </w:tc>
      </w:tr>
      <w:tr w14:paraId="200A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2" w:hRule="atLeast"/>
          <w:jc w:val="center"/>
        </w:trPr>
        <w:tc>
          <w:tcPr>
            <w:tcW w:w="291" w:type="pct"/>
            <w:tcBorders>
              <w:tl2br w:val="nil"/>
              <w:tr2bl w:val="nil"/>
            </w:tcBorders>
            <w:noWrap w:val="0"/>
            <w:vAlign w:val="center"/>
          </w:tcPr>
          <w:p w14:paraId="51F0C6D0">
            <w:pPr>
              <w:autoSpaceDE w:val="0"/>
              <w:autoSpaceDN w:val="0"/>
              <w:adjustRightInd w:val="0"/>
              <w:snapToGrid w:val="0"/>
              <w:jc w:val="center"/>
              <w:rPr>
                <w:rFonts w:hint="eastAsia"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规划及规划环境</w:t>
            </w:r>
          </w:p>
          <w:p w14:paraId="551A24A7">
            <w:pPr>
              <w:autoSpaceDE w:val="0"/>
              <w:autoSpaceDN w:val="0"/>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影响评价符合性分析</w:t>
            </w:r>
          </w:p>
        </w:tc>
        <w:tc>
          <w:tcPr>
            <w:tcW w:w="4708" w:type="pct"/>
            <w:gridSpan w:val="4"/>
            <w:tcBorders>
              <w:tl2br w:val="nil"/>
              <w:tr2bl w:val="nil"/>
            </w:tcBorders>
            <w:noWrap w:val="0"/>
            <w:vAlign w:val="center"/>
          </w:tcPr>
          <w:p w14:paraId="5B9D3844">
            <w:pPr>
              <w:pStyle w:val="1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b/>
                <w:bCs/>
                <w:color w:val="000000" w:themeColor="text1"/>
                <w:sz w:val="21"/>
                <w:szCs w:val="21"/>
                <w:lang w:eastAsia="zh-CN"/>
                <w14:textFill>
                  <w14:solidFill>
                    <w14:schemeClr w14:val="tx1"/>
                  </w14:solidFill>
                </w14:textFill>
              </w:rPr>
            </w:pPr>
            <w:r>
              <w:rPr>
                <w:rFonts w:hint="eastAsia" w:ascii="Times New Roman" w:hAnsi="Times New Roman" w:eastAsia="宋体"/>
                <w:b/>
                <w:bCs/>
                <w:color w:val="000000" w:themeColor="text1"/>
                <w:sz w:val="21"/>
                <w:szCs w:val="21"/>
                <w:lang w:eastAsia="zh-CN"/>
                <w14:textFill>
                  <w14:solidFill>
                    <w14:schemeClr w14:val="tx1"/>
                  </w14:solidFill>
                </w14:textFill>
              </w:rPr>
              <w:t>表</w:t>
            </w:r>
            <w:r>
              <w:rPr>
                <w:rFonts w:hint="eastAsia" w:ascii="Times New Roman" w:hAnsi="Times New Roman" w:eastAsia="宋体"/>
                <w:b/>
                <w:bCs/>
                <w:color w:val="000000" w:themeColor="text1"/>
                <w:sz w:val="21"/>
                <w:szCs w:val="21"/>
                <w:lang w:val="en-US" w:eastAsia="zh-CN"/>
                <w14:textFill>
                  <w14:solidFill>
                    <w14:schemeClr w14:val="tx1"/>
                  </w14:solidFill>
                </w14:textFill>
              </w:rPr>
              <w:t>1-1　　本项目与开发区规划及规划环评符合性分析</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70"/>
              <w:gridCol w:w="2344"/>
              <w:gridCol w:w="598"/>
            </w:tblGrid>
            <w:tr w14:paraId="47532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7" w:type="pct"/>
                  <w:tcBorders>
                    <w:tl2br w:val="nil"/>
                    <w:tr2bl w:val="nil"/>
                  </w:tcBorders>
                  <w:noWrap w:val="0"/>
                  <w:vAlign w:val="center"/>
                </w:tcPr>
                <w:p w14:paraId="1677FB23">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宋体"/>
                      <w:b w:val="0"/>
                      <w:bCs w:val="0"/>
                      <w:color w:val="000000" w:themeColor="text1"/>
                      <w:sz w:val="18"/>
                      <w:szCs w:val="18"/>
                      <w:u w:val="none"/>
                      <w14:textFill>
                        <w14:solidFill>
                          <w14:schemeClr w14:val="tx1"/>
                        </w14:solidFill>
                      </w14:textFill>
                    </w:rPr>
                  </w:pPr>
                  <w:r>
                    <w:rPr>
                      <w:rFonts w:hint="eastAsia" w:ascii="宋体" w:hAnsi="宋体" w:eastAsia="宋体" w:cs="宋体"/>
                      <w:b w:val="0"/>
                      <w:bCs w:val="0"/>
                      <w:color w:val="000000" w:themeColor="text1"/>
                      <w:sz w:val="18"/>
                      <w:szCs w:val="18"/>
                      <w:u w:val="none"/>
                      <w14:textFill>
                        <w14:solidFill>
                          <w14:schemeClr w14:val="tx1"/>
                        </w14:solidFill>
                      </w14:textFill>
                    </w:rPr>
                    <w:t>相关要求</w:t>
                  </w:r>
                </w:p>
              </w:tc>
              <w:tc>
                <w:tcPr>
                  <w:tcW w:w="1500" w:type="pct"/>
                  <w:tcBorders>
                    <w:tl2br w:val="nil"/>
                    <w:tr2bl w:val="nil"/>
                  </w:tcBorders>
                  <w:noWrap w:val="0"/>
                  <w:vAlign w:val="center"/>
                </w:tcPr>
                <w:p w14:paraId="7A963EDE">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宋体"/>
                      <w:b w:val="0"/>
                      <w:bCs w:val="0"/>
                      <w:color w:val="000000" w:themeColor="text1"/>
                      <w:sz w:val="18"/>
                      <w:szCs w:val="18"/>
                      <w:u w:val="none"/>
                      <w14:textFill>
                        <w14:solidFill>
                          <w14:schemeClr w14:val="tx1"/>
                        </w14:solidFill>
                      </w14:textFill>
                    </w:rPr>
                  </w:pPr>
                  <w:r>
                    <w:rPr>
                      <w:rFonts w:hint="eastAsia" w:ascii="宋体" w:hAnsi="宋体" w:eastAsia="宋体" w:cs="宋体"/>
                      <w:b w:val="0"/>
                      <w:bCs w:val="0"/>
                      <w:color w:val="000000" w:themeColor="text1"/>
                      <w:sz w:val="18"/>
                      <w:szCs w:val="18"/>
                      <w:u w:val="none"/>
                      <w14:textFill>
                        <w14:solidFill>
                          <w14:schemeClr w14:val="tx1"/>
                        </w14:solidFill>
                      </w14:textFill>
                    </w:rPr>
                    <w:t>项目概况</w:t>
                  </w:r>
                </w:p>
              </w:tc>
              <w:tc>
                <w:tcPr>
                  <w:tcW w:w="381" w:type="pct"/>
                  <w:tcBorders>
                    <w:tl2br w:val="nil"/>
                    <w:tr2bl w:val="nil"/>
                  </w:tcBorders>
                  <w:noWrap w:val="0"/>
                  <w:vAlign w:val="center"/>
                </w:tcPr>
                <w:p w14:paraId="68897848">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宋体"/>
                      <w:b w:val="0"/>
                      <w:bCs w:val="0"/>
                      <w:color w:val="000000" w:themeColor="text1"/>
                      <w:sz w:val="18"/>
                      <w:szCs w:val="18"/>
                      <w:u w:val="none"/>
                      <w14:textFill>
                        <w14:solidFill>
                          <w14:schemeClr w14:val="tx1"/>
                        </w14:solidFill>
                      </w14:textFill>
                    </w:rPr>
                  </w:pPr>
                  <w:r>
                    <w:rPr>
                      <w:rFonts w:hint="eastAsia" w:ascii="宋体" w:hAnsi="宋体" w:eastAsia="宋体" w:cs="宋体"/>
                      <w:b w:val="0"/>
                      <w:bCs w:val="0"/>
                      <w:color w:val="000000" w:themeColor="text1"/>
                      <w:sz w:val="18"/>
                      <w:szCs w:val="18"/>
                      <w:u w:val="none"/>
                      <w14:textFill>
                        <w14:solidFill>
                          <w14:schemeClr w14:val="tx1"/>
                        </w14:solidFill>
                      </w14:textFill>
                    </w:rPr>
                    <w:t>符合性</w:t>
                  </w:r>
                </w:p>
              </w:tc>
            </w:tr>
            <w:tr w14:paraId="4C76B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14:paraId="60882D31">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宋体"/>
                      <w:b w:val="0"/>
                      <w:bCs w:val="0"/>
                      <w:color w:val="000000" w:themeColor="text1"/>
                      <w:sz w:val="18"/>
                      <w:szCs w:val="18"/>
                      <w:u w:val="none"/>
                      <w:lang w:eastAsia="zh-CN"/>
                      <w14:textFill>
                        <w14:solidFill>
                          <w14:schemeClr w14:val="tx1"/>
                        </w14:solidFill>
                      </w14:textFill>
                    </w:rPr>
                  </w:pPr>
                  <w:r>
                    <w:rPr>
                      <w:rFonts w:hint="eastAsia" w:ascii="宋体" w:hAnsi="宋体" w:eastAsia="宋体" w:cs="宋体"/>
                      <w:b w:val="0"/>
                      <w:bCs w:val="0"/>
                      <w:color w:val="000000" w:themeColor="text1"/>
                      <w:sz w:val="18"/>
                      <w:szCs w:val="18"/>
                      <w:u w:val="none"/>
                      <w:lang w:eastAsia="zh-CN"/>
                      <w14:textFill>
                        <w14:solidFill>
                          <w14:schemeClr w14:val="tx1"/>
                        </w14:solidFill>
                      </w14:textFill>
                    </w:rPr>
                    <w:t>与规划相符性分析</w:t>
                  </w:r>
                </w:p>
              </w:tc>
            </w:tr>
            <w:tr w14:paraId="0AD1A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2" w:hRule="atLeast"/>
                <w:jc w:val="center"/>
              </w:trPr>
              <w:tc>
                <w:tcPr>
                  <w:tcW w:w="3117" w:type="pct"/>
                  <w:tcBorders>
                    <w:tl2br w:val="nil"/>
                    <w:tr2bl w:val="nil"/>
                  </w:tcBorders>
                  <w:noWrap w:val="0"/>
                  <w:vAlign w:val="center"/>
                </w:tcPr>
                <w:p w14:paraId="45D569E4">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eastAsia" w:ascii="宋体" w:hAnsi="宋体" w:eastAsia="宋体" w:cs="宋体"/>
                      <w:b w:val="0"/>
                      <w:bCs w:val="0"/>
                      <w:color w:val="000000" w:themeColor="text1"/>
                      <w:sz w:val="18"/>
                      <w:szCs w:val="18"/>
                      <w:u w:val="none"/>
                      <w:lang w:eastAsia="zh-CN"/>
                      <w14:textFill>
                        <w14:solidFill>
                          <w14:schemeClr w14:val="tx1"/>
                        </w14:solidFill>
                      </w14:textFill>
                    </w:rPr>
                  </w:pPr>
                  <w:r>
                    <w:rPr>
                      <w:rFonts w:hint="eastAsia" w:ascii="宋体" w:hAnsi="宋体" w:eastAsia="宋体" w:cs="宋体"/>
                      <w:b w:val="0"/>
                      <w:bCs w:val="0"/>
                      <w:color w:val="000000" w:themeColor="text1"/>
                      <w:sz w:val="18"/>
                      <w:szCs w:val="18"/>
                      <w:u w:val="none"/>
                      <w:lang w:eastAsia="zh-CN"/>
                      <w14:textFill>
                        <w14:solidFill>
                          <w14:schemeClr w14:val="tx1"/>
                        </w14:solidFill>
                      </w14:textFill>
                    </w:rPr>
                    <w:t>功能分区和产业定位：</w:t>
                  </w:r>
                </w:p>
                <w:p w14:paraId="47171E8E">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u w:val="none"/>
                      <w:lang w:eastAsia="zh-CN"/>
                      <w14:textFill>
                        <w14:solidFill>
                          <w14:schemeClr w14:val="tx1"/>
                        </w14:solidFill>
                      </w14:textFill>
                    </w:rPr>
                    <w:t>根据“三区三线”划定的城镇开发边界，将开发区内 城镇开发边界区域外的5.33平方公里作为远期拓展用地;将开发区原装备制造产业园区、新型材料产业园区整合为综合产业园区，同时保留开发区原现代物流仓储产业园区及综合服务区，并调整了产业布局规划，细化了产业发展方向，主导产业</w:t>
                  </w: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发展方向及用地性质不变。</w:t>
                  </w:r>
                </w:p>
                <w:p w14:paraId="11131A4B">
                  <w:pPr>
                    <w:keepNext w:val="0"/>
                    <w:keepLines w:val="0"/>
                    <w:pageBreakBefore w:val="0"/>
                    <w:kinsoku/>
                    <w:wordWrap w:val="0"/>
                    <w:overflowPunct/>
                    <w:topLinePunct/>
                    <w:autoSpaceDE/>
                    <w:autoSpaceDN/>
                    <w:bidi w:val="0"/>
                    <w:adjustRightInd/>
                    <w:snapToGrid w:val="0"/>
                    <w:spacing w:line="240" w:lineRule="atLeast"/>
                    <w:ind w:left="0" w:leftChars="0" w:firstLine="180" w:firstLineChars="100"/>
                    <w:textAlignment w:val="auto"/>
                    <w:outlineLvl w:val="9"/>
                    <w:rPr>
                      <w:rFonts w:hint="eastAsia" w:ascii="宋体" w:hAnsi="宋体" w:eastAsia="宋体" w:cs="宋体"/>
                      <w:b w:val="0"/>
                      <w:bCs w:val="0"/>
                      <w:color w:val="000000" w:themeColor="text1"/>
                      <w:sz w:val="18"/>
                      <w:szCs w:val="18"/>
                      <w:u w:val="none"/>
                      <w:lang w:eastAsia="zh-CN"/>
                      <w14:textFill>
                        <w14:solidFill>
                          <w14:schemeClr w14:val="tx1"/>
                        </w14:solidFill>
                      </w14:textFill>
                    </w:rPr>
                  </w:pP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综合产业园区的产业发展方向为：主要发展方向为通用设备制造、专用设备制造业、汽车零部件及配件制造、电气机械和器材制造业、仪器仪表制造业、非金属矿物制品业、水泥、石灰和石膏制造、石膏、水泥制品及类似制品制造、砖瓦、石材等建筑材料制造、石墨及其他非金属矿物制品制造、金属制品业、汽车制造业、汽车发动机制造、电车制造、汽车车身、挂车制造、</w:t>
                  </w:r>
                  <w:r>
                    <w:rPr>
                      <w:rFonts w:hint="eastAsia" w:ascii="宋体" w:hAnsi="宋体" w:eastAsia="宋体" w:cs="宋体"/>
                      <w:b/>
                      <w:bCs/>
                      <w:color w:val="000000" w:themeColor="text1"/>
                      <w:kern w:val="0"/>
                      <w:sz w:val="18"/>
                      <w:szCs w:val="18"/>
                      <w:u w:val="none"/>
                      <w:lang w:val="en-US" w:eastAsia="zh-CN"/>
                      <w14:textFill>
                        <w14:solidFill>
                          <w14:schemeClr w14:val="tx1"/>
                        </w14:solidFill>
                      </w14:textFill>
                    </w:rPr>
                    <w:t>废弃资源综合利用业</w:t>
                  </w: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、金属废料和碎屑加工处理、非金属废料和碎屑加工处理、农副食品加工业、食品制造业酒、饮料制造、医药制造等行业。</w:t>
                  </w:r>
                </w:p>
              </w:tc>
              <w:tc>
                <w:tcPr>
                  <w:tcW w:w="1500" w:type="pct"/>
                  <w:tcBorders>
                    <w:tl2br w:val="nil"/>
                    <w:tr2bl w:val="nil"/>
                  </w:tcBorders>
                  <w:noWrap w:val="0"/>
                  <w:vAlign w:val="center"/>
                </w:tcPr>
                <w:p w14:paraId="2E1E9331">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pP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本项目用地性质为开发区工业用地，为综合产业园区，开发区产业发展方向包括</w:t>
                  </w:r>
                  <w:r>
                    <w:rPr>
                      <w:rFonts w:hint="eastAsia" w:ascii="宋体" w:hAnsi="宋体" w:eastAsia="宋体" w:cs="宋体"/>
                      <w:b/>
                      <w:bCs/>
                      <w:color w:val="000000" w:themeColor="text1"/>
                      <w:kern w:val="0"/>
                      <w:sz w:val="18"/>
                      <w:szCs w:val="18"/>
                      <w:u w:val="none"/>
                      <w:lang w:val="en-US" w:eastAsia="zh-CN"/>
                      <w14:textFill>
                        <w14:solidFill>
                          <w14:schemeClr w14:val="tx1"/>
                        </w14:solidFill>
                      </w14:textFill>
                    </w:rPr>
                    <w:t>废弃资源综合利用业</w:t>
                  </w:r>
                  <w:r>
                    <w:rPr>
                      <w:rFonts w:hint="eastAsia" w:ascii="宋体" w:hAnsi="宋体" w:eastAsia="宋体" w:cs="宋体"/>
                      <w:color w:val="000000" w:themeColor="text1"/>
                      <w:sz w:val="18"/>
                      <w:szCs w:val="18"/>
                      <w:lang w:val="en-US" w:eastAsia="zh-CN"/>
                      <w14:textFill>
                        <w14:solidFill>
                          <w14:schemeClr w14:val="tx1"/>
                        </w14:solidFill>
                      </w14:textFill>
                    </w:rPr>
                    <w:t>，本项目符合开发区发展方向。</w:t>
                  </w:r>
                </w:p>
              </w:tc>
              <w:tc>
                <w:tcPr>
                  <w:tcW w:w="381" w:type="pct"/>
                  <w:tcBorders>
                    <w:tl2br w:val="nil"/>
                    <w:tr2bl w:val="nil"/>
                  </w:tcBorders>
                  <w:noWrap w:val="0"/>
                  <w:vAlign w:val="center"/>
                </w:tcPr>
                <w:p w14:paraId="65948BCA">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宋体"/>
                      <w:b w:val="0"/>
                      <w:bCs w:val="0"/>
                      <w:color w:val="000000" w:themeColor="text1"/>
                      <w:kern w:val="0"/>
                      <w:sz w:val="18"/>
                      <w:szCs w:val="18"/>
                      <w:u w:val="none"/>
                      <w14:textFill>
                        <w14:solidFill>
                          <w14:schemeClr w14:val="tx1"/>
                        </w14:solidFill>
                      </w14:textFill>
                    </w:rPr>
                  </w:pPr>
                  <w:r>
                    <w:rPr>
                      <w:rFonts w:hint="eastAsia" w:ascii="宋体" w:hAnsi="宋体" w:eastAsia="宋体" w:cs="宋体"/>
                      <w:b w:val="0"/>
                      <w:bCs w:val="0"/>
                      <w:color w:val="000000" w:themeColor="text1"/>
                      <w:kern w:val="0"/>
                      <w:sz w:val="18"/>
                      <w:szCs w:val="18"/>
                      <w:u w:val="none"/>
                      <w14:textFill>
                        <w14:solidFill>
                          <w14:schemeClr w14:val="tx1"/>
                        </w14:solidFill>
                      </w14:textFill>
                    </w:rPr>
                    <w:t>符合</w:t>
                  </w:r>
                </w:p>
              </w:tc>
            </w:tr>
            <w:tr w14:paraId="6B92B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14:paraId="09E8F9BE">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宋体"/>
                      <w:b w:val="0"/>
                      <w:bCs w:val="0"/>
                      <w:color w:val="000000" w:themeColor="text1"/>
                      <w:kern w:val="0"/>
                      <w:sz w:val="18"/>
                      <w:szCs w:val="18"/>
                      <w:u w:val="none"/>
                      <w:lang w:eastAsia="zh-CN"/>
                      <w14:textFill>
                        <w14:solidFill>
                          <w14:schemeClr w14:val="tx1"/>
                        </w14:solidFill>
                      </w14:textFill>
                    </w:rPr>
                  </w:pPr>
                  <w:r>
                    <w:rPr>
                      <w:rFonts w:hint="eastAsia" w:ascii="宋体" w:hAnsi="宋体" w:eastAsia="宋体" w:cs="宋体"/>
                      <w:b w:val="0"/>
                      <w:bCs w:val="0"/>
                      <w:color w:val="000000" w:themeColor="text1"/>
                      <w:kern w:val="0"/>
                      <w:sz w:val="18"/>
                      <w:szCs w:val="18"/>
                      <w:u w:val="none"/>
                      <w:lang w:eastAsia="zh-CN"/>
                      <w14:textFill>
                        <w14:solidFill>
                          <w14:schemeClr w14:val="tx1"/>
                        </w14:solidFill>
                      </w14:textFill>
                    </w:rPr>
                    <w:t>与规划环评相符性分析</w:t>
                  </w:r>
                </w:p>
              </w:tc>
            </w:tr>
            <w:tr w14:paraId="13288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7" w:type="pct"/>
                  <w:tcBorders>
                    <w:tl2br w:val="nil"/>
                    <w:tr2bl w:val="nil"/>
                  </w:tcBorders>
                  <w:noWrap w:val="0"/>
                  <w:vAlign w:val="center"/>
                </w:tcPr>
                <w:p w14:paraId="27B1C307">
                  <w:pPr>
                    <w:keepNext w:val="0"/>
                    <w:keepLines w:val="0"/>
                    <w:pageBreakBefore w:val="0"/>
                    <w:kinsoku/>
                    <w:wordWrap w:val="0"/>
                    <w:overflowPunct/>
                    <w:topLinePunct/>
                    <w:autoSpaceDE/>
                    <w:autoSpaceDN/>
                    <w:bidi w:val="0"/>
                    <w:adjustRightInd/>
                    <w:snapToGrid w:val="0"/>
                    <w:spacing w:line="240" w:lineRule="atLeast"/>
                    <w:textAlignment w:val="auto"/>
                    <w:outlineLvl w:val="9"/>
                    <w:rPr>
                      <w:rFonts w:hint="eastAsia" w:ascii="宋体" w:hAnsi="宋体" w:eastAsia="宋体" w:cs="宋体"/>
                      <w:b w:val="0"/>
                      <w:bCs w:val="0"/>
                      <w:color w:val="000000" w:themeColor="text1"/>
                      <w:sz w:val="18"/>
                      <w:szCs w:val="18"/>
                      <w:u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u w:val="none"/>
                      <w:lang w:val="en-US" w:eastAsia="zh-CN"/>
                      <w14:textFill>
                        <w14:solidFill>
                          <w14:schemeClr w14:val="tx1"/>
                        </w14:solidFill>
                      </w14:textFill>
                    </w:rPr>
                    <w:t>基础设施规划</w:t>
                  </w:r>
                </w:p>
                <w:p w14:paraId="77CE8605">
                  <w:pPr>
                    <w:keepNext w:val="0"/>
                    <w:keepLines w:val="0"/>
                    <w:pageBreakBefore w:val="0"/>
                    <w:kinsoku/>
                    <w:wordWrap w:val="0"/>
                    <w:overflowPunct/>
                    <w:topLinePunct/>
                    <w:autoSpaceDE/>
                    <w:autoSpaceDN/>
                    <w:bidi w:val="0"/>
                    <w:adjustRightInd/>
                    <w:snapToGrid w:val="0"/>
                    <w:spacing w:line="240" w:lineRule="atLeast"/>
                    <w:ind w:left="0" w:leftChars="0" w:firstLine="360" w:firstLineChars="200"/>
                    <w:textAlignment w:val="auto"/>
                    <w:outlineLvl w:val="9"/>
                    <w:rPr>
                      <w:rFonts w:hint="eastAsia" w:ascii="宋体" w:hAnsi="宋体" w:eastAsia="宋体" w:cs="宋体"/>
                      <w:b w:val="0"/>
                      <w:bCs w:val="0"/>
                      <w:color w:val="000000" w:themeColor="text1"/>
                      <w:sz w:val="18"/>
                      <w:szCs w:val="18"/>
                      <w:u w:val="none"/>
                      <w:lang w:eastAsia="zh-CN"/>
                      <w14:textFill>
                        <w14:solidFill>
                          <w14:schemeClr w14:val="tx1"/>
                        </w14:solidFill>
                      </w14:textFill>
                    </w:rPr>
                  </w:pPr>
                  <w:r>
                    <w:rPr>
                      <w:rFonts w:hint="eastAsia" w:ascii="宋体" w:hAnsi="宋体" w:eastAsia="宋体" w:cs="宋体"/>
                      <w:b w:val="0"/>
                      <w:bCs w:val="0"/>
                      <w:color w:val="000000" w:themeColor="text1"/>
                      <w:sz w:val="18"/>
                      <w:szCs w:val="18"/>
                      <w:u w:val="none"/>
                      <w:lang w:eastAsia="zh-CN"/>
                      <w14:textFill>
                        <w14:solidFill>
                          <w14:schemeClr w14:val="tx1"/>
                        </w14:solidFill>
                      </w14:textFill>
                    </w:rPr>
                    <w:t>供水：依托区外中核四平水务集团有限公司供水厂</w:t>
                  </w:r>
                  <w:r>
                    <w:rPr>
                      <w:rFonts w:hint="eastAsia" w:ascii="宋体" w:hAnsi="宋体" w:eastAsia="宋体" w:cs="宋体"/>
                      <w:b w:val="0"/>
                      <w:bCs w:val="0"/>
                      <w:color w:val="000000" w:themeColor="text1"/>
                      <w:sz w:val="18"/>
                      <w:szCs w:val="18"/>
                      <w:u w:val="none"/>
                      <w:lang w:val="en-US" w:eastAsia="zh-CN"/>
                      <w14:textFill>
                        <w14:solidFill>
                          <w14:schemeClr w14:val="tx1"/>
                        </w14:solidFill>
                      </w14:textFill>
                    </w:rPr>
                    <w:t>。</w:t>
                  </w:r>
                </w:p>
                <w:p w14:paraId="1807406D">
                  <w:pPr>
                    <w:keepNext w:val="0"/>
                    <w:keepLines w:val="0"/>
                    <w:pageBreakBefore w:val="0"/>
                    <w:kinsoku/>
                    <w:wordWrap w:val="0"/>
                    <w:overflowPunct/>
                    <w:topLinePunct/>
                    <w:autoSpaceDE/>
                    <w:autoSpaceDN/>
                    <w:bidi w:val="0"/>
                    <w:adjustRightInd/>
                    <w:snapToGrid w:val="0"/>
                    <w:spacing w:line="240" w:lineRule="atLeast"/>
                    <w:ind w:left="0" w:leftChars="0" w:firstLine="360" w:firstLineChars="200"/>
                    <w:textAlignment w:val="auto"/>
                    <w:outlineLvl w:val="9"/>
                    <w:rPr>
                      <w:rFonts w:hint="eastAsia" w:ascii="宋体" w:hAnsi="宋体" w:eastAsia="宋体" w:cs="宋体"/>
                      <w:b w:val="0"/>
                      <w:bCs w:val="0"/>
                      <w:color w:val="000000" w:themeColor="text1"/>
                      <w:sz w:val="18"/>
                      <w:szCs w:val="18"/>
                      <w:u w:val="none"/>
                      <w:lang w:eastAsia="zh-CN"/>
                      <w14:textFill>
                        <w14:solidFill>
                          <w14:schemeClr w14:val="tx1"/>
                        </w14:solidFill>
                      </w14:textFill>
                    </w:rPr>
                  </w:pPr>
                  <w:r>
                    <w:rPr>
                      <w:rFonts w:hint="eastAsia" w:ascii="宋体" w:hAnsi="宋体" w:eastAsia="宋体" w:cs="宋体"/>
                      <w:b w:val="0"/>
                      <w:bCs w:val="0"/>
                      <w:color w:val="000000" w:themeColor="text1"/>
                      <w:sz w:val="18"/>
                      <w:szCs w:val="18"/>
                      <w:u w:val="none"/>
                      <w:lang w:eastAsia="zh-CN"/>
                      <w14:textFill>
                        <w14:solidFill>
                          <w14:schemeClr w14:val="tx1"/>
                        </w14:solidFill>
                      </w14:textFill>
                    </w:rPr>
                    <w:t>排水：排水体制为雨污分流，区内生产废水和生活污水排入区外现有的中核四平环保科技有限公司污水处理厂</w:t>
                  </w:r>
                  <w:r>
                    <w:rPr>
                      <w:rFonts w:hint="eastAsia" w:ascii="宋体" w:hAnsi="宋体" w:eastAsia="宋体" w:cs="宋体"/>
                      <w:b w:val="0"/>
                      <w:bCs w:val="0"/>
                      <w:color w:val="000000" w:themeColor="text1"/>
                      <w:sz w:val="18"/>
                      <w:szCs w:val="18"/>
                      <w:u w:val="none"/>
                      <w:lang w:val="en-US" w:eastAsia="zh-CN"/>
                      <w14:textFill>
                        <w14:solidFill>
                          <w14:schemeClr w14:val="tx1"/>
                        </w14:solidFill>
                      </w14:textFill>
                    </w:rPr>
                    <w:t>。</w:t>
                  </w:r>
                </w:p>
                <w:p w14:paraId="584125F9">
                  <w:pPr>
                    <w:keepNext w:val="0"/>
                    <w:keepLines w:val="0"/>
                    <w:pageBreakBefore w:val="0"/>
                    <w:kinsoku/>
                    <w:wordWrap w:val="0"/>
                    <w:overflowPunct/>
                    <w:topLinePunct/>
                    <w:autoSpaceDE/>
                    <w:autoSpaceDN/>
                    <w:bidi w:val="0"/>
                    <w:adjustRightInd/>
                    <w:snapToGrid w:val="0"/>
                    <w:spacing w:line="240" w:lineRule="atLeast"/>
                    <w:ind w:left="0" w:leftChars="0" w:firstLine="360" w:firstLineChars="200"/>
                    <w:textAlignment w:val="auto"/>
                    <w:outlineLvl w:val="9"/>
                    <w:rPr>
                      <w:rFonts w:hint="eastAsia" w:ascii="宋体" w:hAnsi="宋体" w:eastAsia="宋体" w:cs="宋体"/>
                      <w:b w:val="0"/>
                      <w:bCs w:val="0"/>
                      <w:color w:val="000000" w:themeColor="text1"/>
                      <w:sz w:val="18"/>
                      <w:szCs w:val="18"/>
                      <w:u w:val="none"/>
                      <w:lang w:eastAsia="zh-CN"/>
                      <w14:textFill>
                        <w14:solidFill>
                          <w14:schemeClr w14:val="tx1"/>
                        </w14:solidFill>
                      </w14:textFill>
                    </w:rPr>
                  </w:pPr>
                  <w:r>
                    <w:rPr>
                      <w:rFonts w:hint="eastAsia" w:ascii="宋体" w:hAnsi="宋体" w:eastAsia="宋体" w:cs="宋体"/>
                      <w:b w:val="0"/>
                      <w:bCs w:val="0"/>
                      <w:color w:val="000000" w:themeColor="text1"/>
                      <w:sz w:val="18"/>
                      <w:szCs w:val="18"/>
                      <w:u w:val="none"/>
                      <w:lang w:eastAsia="zh-CN"/>
                      <w14:textFill>
                        <w14:solidFill>
                          <w14:schemeClr w14:val="tx1"/>
                        </w14:solidFill>
                      </w14:textFill>
                    </w:rPr>
                    <w:t>供热：生活用热依托四平热力热源三厂</w:t>
                  </w:r>
                  <w:r>
                    <w:rPr>
                      <w:rFonts w:hint="eastAsia" w:ascii="宋体" w:hAnsi="宋体" w:eastAsia="宋体" w:cs="宋体"/>
                      <w:b w:val="0"/>
                      <w:bCs w:val="0"/>
                      <w:color w:val="000000" w:themeColor="text1"/>
                      <w:sz w:val="18"/>
                      <w:szCs w:val="18"/>
                      <w:u w:val="none"/>
                      <w:lang w:val="en-US" w:eastAsia="zh-CN"/>
                      <w14:textFill>
                        <w14:solidFill>
                          <w14:schemeClr w14:val="tx1"/>
                        </w14:solidFill>
                      </w14:textFill>
                    </w:rPr>
                    <w:t>。</w:t>
                  </w:r>
                  <w:r>
                    <w:rPr>
                      <w:rFonts w:hint="eastAsia" w:ascii="宋体" w:hAnsi="宋体" w:eastAsia="宋体" w:cs="宋体"/>
                      <w:b w:val="0"/>
                      <w:bCs w:val="0"/>
                      <w:color w:val="000000" w:themeColor="text1"/>
                      <w:sz w:val="18"/>
                      <w:szCs w:val="18"/>
                      <w:u w:val="none"/>
                      <w:lang w:eastAsia="zh-CN"/>
                      <w14:textFill>
                        <w14:solidFill>
                          <w14:schemeClr w14:val="tx1"/>
                        </w14:solidFill>
                      </w14:textFill>
                    </w:rPr>
                    <w:t>生产用热和蒸汽依托四平热力热源三</w:t>
                  </w:r>
                  <w:r>
                    <w:rPr>
                      <w:rFonts w:hint="eastAsia" w:ascii="宋体" w:hAnsi="宋体" w:eastAsia="宋体" w:cs="宋体"/>
                      <w:b w:val="0"/>
                      <w:bCs w:val="0"/>
                      <w:color w:val="000000" w:themeColor="text1"/>
                      <w:sz w:val="18"/>
                      <w:szCs w:val="18"/>
                      <w:highlight w:val="none"/>
                      <w:u w:val="none"/>
                      <w:lang w:eastAsia="zh-CN"/>
                      <w14:textFill>
                        <w14:solidFill>
                          <w14:schemeClr w14:val="tx1"/>
                        </w14:solidFill>
                      </w14:textFill>
                    </w:rPr>
                    <w:t>厂(内设2 台 116MW和 2 台 168MW循环流化床燃煤热水锅炉，1台 75t/h</w:t>
                  </w:r>
                  <w:r>
                    <w:rPr>
                      <w:rFonts w:hint="eastAsia" w:ascii="宋体" w:hAnsi="宋体" w:eastAsia="宋体" w:cs="宋体"/>
                      <w:b w:val="0"/>
                      <w:bCs w:val="0"/>
                      <w:color w:val="000000" w:themeColor="text1"/>
                      <w:sz w:val="18"/>
                      <w:szCs w:val="18"/>
                      <w:u w:val="none"/>
                      <w:lang w:eastAsia="zh-CN"/>
                      <w14:textFill>
                        <w14:solidFill>
                          <w14:schemeClr w14:val="tx1"/>
                        </w14:solidFill>
                      </w14:textFill>
                    </w:rPr>
                    <w:t>循环流化床燃煤蒸汽 锅炉)供给。</w:t>
                  </w:r>
                </w:p>
              </w:tc>
              <w:tc>
                <w:tcPr>
                  <w:tcW w:w="1500" w:type="pct"/>
                  <w:tcBorders>
                    <w:tl2br w:val="nil"/>
                    <w:tr2bl w:val="nil"/>
                  </w:tcBorders>
                  <w:noWrap w:val="0"/>
                  <w:vAlign w:val="center"/>
                </w:tcPr>
                <w:p w14:paraId="2EF603DD">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default" w:ascii="宋体" w:hAnsi="宋体" w:eastAsia="宋体" w:cs="宋体"/>
                      <w:b w:val="0"/>
                      <w:bCs w:val="0"/>
                      <w:color w:val="000000" w:themeColor="text1"/>
                      <w:kern w:val="0"/>
                      <w:sz w:val="18"/>
                      <w:szCs w:val="18"/>
                      <w:highlight w:val="yellow"/>
                      <w:u w:val="none"/>
                      <w:lang w:val="en-US" w:eastAsia="zh-CN"/>
                      <w14:textFill>
                        <w14:solidFill>
                          <w14:schemeClr w14:val="tx1"/>
                        </w14:solidFill>
                      </w14:textFill>
                    </w:rPr>
                  </w:pP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本项目</w:t>
                  </w:r>
                  <w:r>
                    <w:rPr>
                      <w:rFonts w:hint="eastAsia" w:ascii="宋体" w:hAnsi="宋体" w:cs="宋体"/>
                      <w:b w:val="0"/>
                      <w:bCs w:val="0"/>
                      <w:color w:val="000000" w:themeColor="text1"/>
                      <w:kern w:val="0"/>
                      <w:sz w:val="18"/>
                      <w:szCs w:val="18"/>
                      <w:u w:val="none"/>
                      <w:lang w:val="en-US" w:eastAsia="zh-CN"/>
                      <w14:textFill>
                        <w14:solidFill>
                          <w14:schemeClr w14:val="tx1"/>
                        </w14:solidFill>
                      </w14:textFill>
                    </w:rPr>
                    <w:t>所在区域无市政给排水管线，少量生活用水利用厂区井水</w:t>
                  </w: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；排水雨污</w:t>
                  </w: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分</w:t>
                  </w: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流，</w:t>
                  </w:r>
                  <w:r>
                    <w:rPr>
                      <w:rFonts w:hint="eastAsia" w:ascii="宋体" w:hAnsi="宋体" w:cs="宋体"/>
                      <w:b w:val="0"/>
                      <w:bCs w:val="0"/>
                      <w:color w:val="000000" w:themeColor="text1"/>
                      <w:kern w:val="0"/>
                      <w:sz w:val="18"/>
                      <w:szCs w:val="18"/>
                      <w:u w:val="none"/>
                      <w:lang w:val="en-US" w:eastAsia="zh-CN"/>
                      <w14:textFill>
                        <w14:solidFill>
                          <w14:schemeClr w14:val="tx1"/>
                        </w14:solidFill>
                      </w14:textFill>
                    </w:rPr>
                    <w:t>生活</w:t>
                  </w: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污水</w:t>
                  </w:r>
                  <w:r>
                    <w:rPr>
                      <w:rFonts w:hint="eastAsia" w:ascii="宋体" w:hAnsi="宋体" w:cs="宋体"/>
                      <w:b w:val="0"/>
                      <w:bCs w:val="0"/>
                      <w:color w:val="000000" w:themeColor="text1"/>
                      <w:kern w:val="0"/>
                      <w:sz w:val="18"/>
                      <w:szCs w:val="18"/>
                      <w:u w:val="none"/>
                      <w:lang w:val="en-US" w:eastAsia="zh-CN"/>
                      <w14:textFill>
                        <w14:solidFill>
                          <w14:schemeClr w14:val="tx1"/>
                        </w14:solidFill>
                      </w14:textFill>
                    </w:rPr>
                    <w:t>送</w:t>
                  </w: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四平市通洁畜禽粪污处理有限公司</w:t>
                  </w:r>
                  <w:r>
                    <w:rPr>
                      <w:rFonts w:hint="eastAsia" w:ascii="宋体" w:hAnsi="宋体" w:cs="宋体"/>
                      <w:b w:val="0"/>
                      <w:bCs w:val="0"/>
                      <w:color w:val="000000" w:themeColor="text1"/>
                      <w:kern w:val="0"/>
                      <w:sz w:val="18"/>
                      <w:szCs w:val="18"/>
                      <w:u w:val="none"/>
                      <w:lang w:val="en-US" w:eastAsia="zh-CN"/>
                      <w14:textFill>
                        <w14:solidFill>
                          <w14:schemeClr w14:val="tx1"/>
                        </w14:solidFill>
                      </w14:textFill>
                    </w:rPr>
                    <w:t>；初期雨水</w:t>
                  </w: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经</w:t>
                  </w:r>
                  <w:r>
                    <w:rPr>
                      <w:rFonts w:hint="eastAsia" w:ascii="宋体" w:hAnsi="宋体" w:cs="宋体"/>
                      <w:b w:val="0"/>
                      <w:bCs w:val="0"/>
                      <w:color w:val="000000" w:themeColor="text1"/>
                      <w:kern w:val="0"/>
                      <w:sz w:val="18"/>
                      <w:szCs w:val="18"/>
                      <w:u w:val="none"/>
                      <w:lang w:val="en-US" w:eastAsia="zh-CN"/>
                      <w14:textFill>
                        <w14:solidFill>
                          <w14:schemeClr w14:val="tx1"/>
                        </w14:solidFill>
                      </w14:textFill>
                    </w:rPr>
                    <w:t>处理后运至指定点排入</w:t>
                  </w: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下水管网</w:t>
                  </w:r>
                  <w:r>
                    <w:rPr>
                      <w:rFonts w:hint="eastAsia" w:ascii="宋体" w:hAnsi="宋体" w:cs="宋体"/>
                      <w:b w:val="0"/>
                      <w:bCs w:val="0"/>
                      <w:color w:val="000000" w:themeColor="text1"/>
                      <w:kern w:val="0"/>
                      <w:sz w:val="18"/>
                      <w:szCs w:val="18"/>
                      <w:u w:val="none"/>
                      <w:lang w:val="en-US" w:eastAsia="zh-CN"/>
                      <w14:textFill>
                        <w14:solidFill>
                          <w14:schemeClr w14:val="tx1"/>
                        </w14:solidFill>
                      </w14:textFill>
                    </w:rPr>
                    <w:t>经</w:t>
                  </w:r>
                  <w:r>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t>中核四平环保科技有限公司污水处理厂；</w:t>
                  </w:r>
                  <w:r>
                    <w:rPr>
                      <w:rFonts w:hint="default" w:ascii="宋体" w:hAnsi="宋体" w:eastAsia="宋体" w:cs="宋体"/>
                      <w:b w:val="0"/>
                      <w:bCs w:val="0"/>
                      <w:color w:val="000000" w:themeColor="text1"/>
                      <w:kern w:val="0"/>
                      <w:sz w:val="18"/>
                      <w:szCs w:val="18"/>
                      <w:highlight w:val="none"/>
                      <w:u w:val="none"/>
                      <w:lang w:val="en-US" w:eastAsia="zh-CN"/>
                      <w14:textFill>
                        <w14:solidFill>
                          <w14:schemeClr w14:val="tx1"/>
                        </w14:solidFill>
                      </w14:textFill>
                    </w:rPr>
                    <w:t>供热采用</w:t>
                  </w:r>
                  <w:r>
                    <w:rPr>
                      <w:rFonts w:hint="eastAsia" w:ascii="宋体" w:hAnsi="宋体" w:cs="宋体"/>
                      <w:b w:val="0"/>
                      <w:bCs w:val="0"/>
                      <w:color w:val="000000" w:themeColor="text1"/>
                      <w:kern w:val="0"/>
                      <w:sz w:val="18"/>
                      <w:szCs w:val="18"/>
                      <w:highlight w:val="none"/>
                      <w:u w:val="none"/>
                      <w:lang w:val="en-US" w:eastAsia="zh-CN"/>
                      <w14:textFill>
                        <w14:solidFill>
                          <w14:schemeClr w14:val="tx1"/>
                        </w14:solidFill>
                      </w14:textFill>
                    </w:rPr>
                    <w:t>一台0.5吨天燃气锅炉。待区域铺设集中供热管线后，企业采用集中供热。</w:t>
                  </w:r>
                </w:p>
                <w:p w14:paraId="63F27460">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default" w:ascii="宋体" w:hAnsi="宋体" w:eastAsia="宋体" w:cs="宋体"/>
                      <w:b w:val="0"/>
                      <w:bCs w:val="0"/>
                      <w:color w:val="000000" w:themeColor="text1"/>
                      <w:kern w:val="0"/>
                      <w:sz w:val="18"/>
                      <w:szCs w:val="18"/>
                      <w:u w:val="none"/>
                      <w:lang w:val="en-US" w:eastAsia="zh-CN"/>
                      <w14:textFill>
                        <w14:solidFill>
                          <w14:schemeClr w14:val="tx1"/>
                        </w14:solidFill>
                      </w14:textFill>
                    </w:rPr>
                  </w:pPr>
                </w:p>
              </w:tc>
              <w:tc>
                <w:tcPr>
                  <w:tcW w:w="381" w:type="pct"/>
                  <w:tcBorders>
                    <w:tl2br w:val="nil"/>
                    <w:tr2bl w:val="nil"/>
                  </w:tcBorders>
                  <w:noWrap w:val="0"/>
                  <w:vAlign w:val="center"/>
                </w:tcPr>
                <w:p w14:paraId="3E21E487">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宋体"/>
                      <w:b w:val="0"/>
                      <w:bCs w:val="0"/>
                      <w:color w:val="000000" w:themeColor="text1"/>
                      <w:kern w:val="0"/>
                      <w:sz w:val="18"/>
                      <w:szCs w:val="18"/>
                      <w:u w:val="none"/>
                      <w14:textFill>
                        <w14:solidFill>
                          <w14:schemeClr w14:val="tx1"/>
                        </w14:solidFill>
                      </w14:textFill>
                    </w:rPr>
                  </w:pPr>
                  <w:r>
                    <w:rPr>
                      <w:rFonts w:hint="eastAsia" w:ascii="宋体" w:hAnsi="宋体" w:eastAsia="宋体" w:cs="宋体"/>
                      <w:b w:val="0"/>
                      <w:bCs w:val="0"/>
                      <w:color w:val="000000" w:themeColor="text1"/>
                      <w:kern w:val="0"/>
                      <w:sz w:val="18"/>
                      <w:szCs w:val="18"/>
                      <w:u w:val="none"/>
                      <w14:textFill>
                        <w14:solidFill>
                          <w14:schemeClr w14:val="tx1"/>
                        </w14:solidFill>
                      </w14:textFill>
                    </w:rPr>
                    <w:t>符合</w:t>
                  </w:r>
                </w:p>
              </w:tc>
            </w:tr>
            <w:tr w14:paraId="6D006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14:paraId="7BBE083C">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ascii="宋体" w:hAnsi="宋体" w:eastAsia="宋体" w:cs="Times New Roman"/>
                      <w:color w:val="000000" w:themeColor="text1"/>
                      <w:sz w:val="18"/>
                      <w:szCs w:val="18"/>
                      <w:lang w:val="en-US" w:eastAsia="zh-CN" w:bidi="ar-SA"/>
                      <w14:textFill>
                        <w14:solidFill>
                          <w14:schemeClr w14:val="tx1"/>
                        </w14:solidFill>
                      </w14:textFill>
                    </w:rPr>
                    <w:t>与规划环评批复的符合性分析</w:t>
                  </w:r>
                </w:p>
              </w:tc>
            </w:tr>
            <w:tr w14:paraId="56512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7" w:type="pct"/>
                  <w:tcBorders>
                    <w:tl2br w:val="nil"/>
                    <w:tr2bl w:val="nil"/>
                  </w:tcBorders>
                  <w:noWrap w:val="0"/>
                  <w:vAlign w:val="center"/>
                </w:tcPr>
                <w:p w14:paraId="6AA63E54">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ascii="宋体" w:hAnsi="宋体" w:eastAsia="宋体" w:cs="Times New Roman"/>
                      <w:color w:val="000000" w:themeColor="text1"/>
                      <w:sz w:val="18"/>
                      <w:szCs w:val="18"/>
                      <w:lang w:val="en-US" w:eastAsia="zh-CN" w:bidi="ar-SA"/>
                      <w14:textFill>
                        <w14:solidFill>
                          <w14:schemeClr w14:val="tx1"/>
                        </w14:solidFill>
                      </w14:textFill>
                    </w:rPr>
                    <w:t>规划环评批复相关要求：“禁止对所在功能区产业定位不一致的企业进行扩建，鼓励其逐步升级改造或搬迁、淘汰……”</w:t>
                  </w:r>
                </w:p>
              </w:tc>
              <w:tc>
                <w:tcPr>
                  <w:tcW w:w="1500" w:type="pct"/>
                  <w:tcBorders>
                    <w:tl2br w:val="nil"/>
                    <w:tr2bl w:val="nil"/>
                  </w:tcBorders>
                  <w:noWrap w:val="0"/>
                  <w:vAlign w:val="center"/>
                </w:tcPr>
                <w:p w14:paraId="157B9EFF">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ascii="宋体" w:hAnsi="宋体" w:eastAsia="宋体" w:cs="Times New Roman"/>
                      <w:color w:val="000000" w:themeColor="text1"/>
                      <w:sz w:val="18"/>
                      <w:szCs w:val="18"/>
                      <w:lang w:val="en-US" w:eastAsia="zh-CN" w:bidi="ar-SA"/>
                      <w14:textFill>
                        <w14:solidFill>
                          <w14:schemeClr w14:val="tx1"/>
                        </w14:solidFill>
                      </w14:textFill>
                    </w:rPr>
                    <w:t>本次企业建设内容与选址均与规划相符，其在现有厂区内进行改造，符合相关要求。</w:t>
                  </w:r>
                </w:p>
                <w:p w14:paraId="3CC8C0B0">
                  <w:pPr>
                    <w:keepNext w:val="0"/>
                    <w:keepLines w:val="0"/>
                    <w:pageBreakBefore w:val="0"/>
                    <w:kinsoku/>
                    <w:wordWrap w:val="0"/>
                    <w:overflowPunct/>
                    <w:topLinePunct/>
                    <w:autoSpaceDE/>
                    <w:autoSpaceDN/>
                    <w:bidi w:val="0"/>
                    <w:adjustRightInd/>
                    <w:snapToGrid w:val="0"/>
                    <w:spacing w:line="240" w:lineRule="atLeast"/>
                    <w:ind w:left="0" w:leftChars="0" w:firstLine="0" w:firstLineChars="0"/>
                    <w:textAlignment w:val="auto"/>
                    <w:outlineLvl w:val="9"/>
                    <w:rPr>
                      <w:rFonts w:hint="eastAsia" w:ascii="宋体" w:hAnsi="宋体" w:eastAsia="宋体" w:cs="Times New Roman"/>
                      <w:color w:val="000000" w:themeColor="text1"/>
                      <w:sz w:val="18"/>
                      <w:szCs w:val="18"/>
                      <w:lang w:val="en-US" w:eastAsia="zh-CN" w:bidi="ar-SA"/>
                      <w14:textFill>
                        <w14:solidFill>
                          <w14:schemeClr w14:val="tx1"/>
                        </w14:solidFill>
                      </w14:textFill>
                    </w:rPr>
                  </w:pPr>
                </w:p>
              </w:tc>
              <w:tc>
                <w:tcPr>
                  <w:tcW w:w="381" w:type="pct"/>
                  <w:tcBorders>
                    <w:tl2br w:val="nil"/>
                    <w:tr2bl w:val="nil"/>
                  </w:tcBorders>
                  <w:noWrap w:val="0"/>
                  <w:vAlign w:val="center"/>
                </w:tcPr>
                <w:p w14:paraId="74514C93">
                  <w:pPr>
                    <w:keepNext w:val="0"/>
                    <w:keepLines w:val="0"/>
                    <w:pageBreakBefore w:val="0"/>
                    <w:kinsoku/>
                    <w:wordWrap w:val="0"/>
                    <w:overflowPunct/>
                    <w:topLinePunct/>
                    <w:autoSpaceDE/>
                    <w:autoSpaceDN/>
                    <w:bidi w:val="0"/>
                    <w:adjustRightInd/>
                    <w:snapToGrid w:val="0"/>
                    <w:spacing w:line="240" w:lineRule="atLeast"/>
                    <w:ind w:left="0" w:leftChars="0" w:firstLine="0" w:firstLineChars="0"/>
                    <w:jc w:val="center"/>
                    <w:textAlignment w:val="auto"/>
                    <w:outlineLvl w:val="9"/>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ascii="宋体" w:hAnsi="宋体" w:eastAsia="宋体" w:cs="Times New Roman"/>
                      <w:color w:val="000000" w:themeColor="text1"/>
                      <w:sz w:val="18"/>
                      <w:szCs w:val="18"/>
                      <w:lang w:val="en-US" w:eastAsia="zh-CN" w:bidi="ar-SA"/>
                      <w14:textFill>
                        <w14:solidFill>
                          <w14:schemeClr w14:val="tx1"/>
                        </w14:solidFill>
                      </w14:textFill>
                    </w:rPr>
                    <w:t>符合</w:t>
                  </w:r>
                </w:p>
              </w:tc>
            </w:tr>
          </w:tbl>
          <w:p w14:paraId="0F2BC2A6">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p>
        </w:tc>
      </w:tr>
      <w:tr w14:paraId="27C5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1" w:type="pct"/>
            <w:tcBorders>
              <w:tl2br w:val="nil"/>
              <w:tr2bl w:val="nil"/>
            </w:tcBorders>
            <w:vAlign w:val="center"/>
          </w:tcPr>
          <w:p w14:paraId="4CF105C6">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其他符合性分析</w:t>
            </w:r>
          </w:p>
        </w:tc>
        <w:tc>
          <w:tcPr>
            <w:tcW w:w="4708" w:type="pct"/>
            <w:gridSpan w:val="4"/>
            <w:tcBorders>
              <w:tl2br w:val="nil"/>
              <w:tr2bl w:val="nil"/>
            </w:tcBorders>
            <w:vAlign w:val="center"/>
          </w:tcPr>
          <w:p w14:paraId="093D22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宋体" w:hAnsi="宋体" w:eastAsia="宋体" w:cs="宋体"/>
                <w:color w:val="000000" w:themeColor="text1"/>
                <w:sz w:val="21"/>
                <w:szCs w:val="21"/>
                <w:highlight w:val="none"/>
                <w:u w:val="none"/>
                <w:lang w:eastAsia="zh-CN"/>
                <w14:textFill>
                  <w14:solidFill>
                    <w14:schemeClr w14:val="tx1"/>
                  </w14:solidFill>
                </w14:textFill>
              </w:rPr>
            </w:pPr>
            <w:r>
              <w:rPr>
                <w:rFonts w:hint="eastAsia" w:ascii="宋体" w:hAnsi="宋体" w:eastAsia="宋体" w:cs="宋体"/>
                <w:b/>
                <w:bCs/>
                <w:caps w:val="0"/>
                <w:color w:val="000000" w:themeColor="text1"/>
                <w:spacing w:val="0"/>
                <w:sz w:val="21"/>
                <w:szCs w:val="21"/>
                <w:highlight w:val="none"/>
                <w:u w:val="none" w:color="auto"/>
                <w:lang w:val="en-US" w:eastAsia="zh-CN"/>
                <w14:textFill>
                  <w14:solidFill>
                    <w14:schemeClr w14:val="tx1"/>
                  </w14:solidFill>
                </w14:textFill>
              </w:rPr>
              <w:t>1、产业政策符合性</w:t>
            </w:r>
          </w:p>
          <w:p w14:paraId="66884B41">
            <w:pPr>
              <w:spacing w:line="360" w:lineRule="auto"/>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项目为报废机动车拆解回收利用项目，</w:t>
            </w:r>
            <w:r>
              <w:rPr>
                <w:rFonts w:hint="eastAsia" w:ascii="宋体" w:hAnsi="宋体" w:eastAsia="宋体" w:cs="宋体"/>
                <w:color w:val="000000" w:themeColor="text1"/>
                <w:spacing w:val="-3"/>
                <w:sz w:val="21"/>
                <w:szCs w:val="21"/>
                <w14:textFill>
                  <w14:solidFill>
                    <w14:schemeClr w14:val="tx1"/>
                  </w14:solidFill>
                </w14:textFill>
              </w:rPr>
              <w:t>根据《产业结构调整指导目录（2024 年本）》，本项目属于第</w:t>
            </w:r>
            <w:r>
              <w:rPr>
                <w:rFonts w:hint="eastAsia" w:ascii="宋体" w:hAnsi="宋体" w:eastAsia="宋体" w:cs="宋体"/>
                <w:color w:val="000000" w:themeColor="text1"/>
                <w:spacing w:val="-1"/>
                <w:sz w:val="21"/>
                <w:szCs w:val="21"/>
                <w14:textFill>
                  <w14:solidFill>
                    <w14:schemeClr w14:val="tx1"/>
                  </w14:solidFill>
                </w14:textFill>
              </w:rPr>
              <w:t>一类鼓励类中的“四十三、环境保护与资源节约综合利用”中的“5、区域性废旧汽车、废旧电器电子产品、废旧船舶、废钢铁</w:t>
            </w:r>
            <w:r>
              <w:rPr>
                <w:rFonts w:hint="eastAsia" w:ascii="宋体" w:hAnsi="宋体" w:eastAsia="宋体" w:cs="宋体"/>
                <w:color w:val="000000" w:themeColor="text1"/>
                <w:spacing w:val="-2"/>
                <w:sz w:val="21"/>
                <w:szCs w:val="21"/>
                <w14:textFill>
                  <w14:solidFill>
                    <w14:schemeClr w14:val="tx1"/>
                  </w14:solidFill>
                </w14:textFill>
              </w:rPr>
              <w:t>、废旧木材、废旧橡胶等资源循环利用基地建设”。项目符合国家产业政策。</w:t>
            </w:r>
            <w:r>
              <w:rPr>
                <w:rFonts w:hint="eastAsia" w:ascii="宋体" w:hAnsi="宋体" w:eastAsia="宋体" w:cs="宋体"/>
                <w:color w:val="000000" w:themeColor="text1"/>
                <w:sz w:val="21"/>
                <w:szCs w:val="21"/>
                <w14:textFill>
                  <w14:solidFill>
                    <w14:schemeClr w14:val="tx1"/>
                  </w14:solidFill>
                </w14:textFill>
              </w:rPr>
              <w:t>”本项目属国家鼓励类建设项目。</w:t>
            </w:r>
          </w:p>
          <w:p w14:paraId="03B472BD">
            <w:pPr>
              <w:keepNext w:val="0"/>
              <w:keepLines w:val="0"/>
              <w:pageBreakBefore w:val="0"/>
              <w:widowControl w:val="0"/>
              <w:kinsoku/>
              <w:wordWrap/>
              <w:overflowPunct/>
              <w:topLinePunct w:val="0"/>
              <w:autoSpaceDE/>
              <w:autoSpaceDN/>
              <w:bidi w:val="0"/>
              <w:adjustRightInd w:val="0"/>
              <w:snapToGrid w:val="0"/>
              <w:spacing w:line="380" w:lineRule="exact"/>
              <w:ind w:left="0" w:leftChars="0" w:right="0" w:rightChars="0"/>
              <w:jc w:val="both"/>
              <w:textAlignment w:val="auto"/>
              <w:outlineLvl w:val="9"/>
              <w:rPr>
                <w:rFonts w:hint="eastAsia" w:ascii="宋体" w:hAnsi="宋体" w:eastAsia="宋体" w:cs="宋体"/>
                <w:b/>
                <w:bCs/>
                <w:caps w:val="0"/>
                <w:color w:val="000000" w:themeColor="text1"/>
                <w:spacing w:val="0"/>
                <w:sz w:val="21"/>
                <w:szCs w:val="21"/>
                <w:highlight w:val="none"/>
                <w:u w:val="none" w:color="auto"/>
                <w:lang w:val="en-US" w:eastAsia="zh-CN"/>
                <w14:textFill>
                  <w14:solidFill>
                    <w14:schemeClr w14:val="tx1"/>
                  </w14:solidFill>
                </w14:textFill>
              </w:rPr>
            </w:pPr>
            <w:r>
              <w:rPr>
                <w:rFonts w:hint="eastAsia" w:ascii="宋体" w:hAnsi="宋体" w:eastAsia="宋体" w:cs="宋体"/>
                <w:b/>
                <w:bCs/>
                <w:caps w:val="0"/>
                <w:color w:val="000000" w:themeColor="text1"/>
                <w:spacing w:val="0"/>
                <w:sz w:val="21"/>
                <w:szCs w:val="21"/>
                <w:highlight w:val="none"/>
                <w:u w:val="none" w:color="auto"/>
                <w:lang w:val="en-US" w:eastAsia="zh-CN"/>
                <w14:textFill>
                  <w14:solidFill>
                    <w14:schemeClr w14:val="tx1"/>
                  </w14:solidFill>
                </w14:textFill>
              </w:rPr>
              <w:t>2、生态分区管控要求符合性分析</w:t>
            </w:r>
          </w:p>
          <w:p w14:paraId="27200D57">
            <w:pPr>
              <w:keepNext w:val="0"/>
              <w:keepLines w:val="0"/>
              <w:pageBreakBefore w:val="0"/>
              <w:widowControl/>
              <w:suppressLineNumbers w:val="0"/>
              <w:kinsoku/>
              <w:wordWrap/>
              <w:overflowPunct/>
              <w:topLinePunct w:val="0"/>
              <w:autoSpaceDE/>
              <w:autoSpaceDN/>
              <w:bidi w:val="0"/>
              <w:adjustRightInd w:val="0"/>
              <w:snapToGrid w:val="0"/>
              <w:spacing w:line="380" w:lineRule="exact"/>
              <w:ind w:left="0" w:leftChars="0" w:right="0" w:rightChars="0" w:firstLine="420" w:firstLineChars="200"/>
              <w:jc w:val="left"/>
              <w:textAlignment w:val="auto"/>
              <w:outlineLvl w:val="9"/>
              <w:rPr>
                <w:rFonts w:hint="eastAsia" w:ascii="宋体" w:hAnsi="宋体" w:eastAsia="宋体" w:cs="宋体"/>
                <w:b w:val="0"/>
                <w:bCs w:val="0"/>
                <w:caps w:val="0"/>
                <w:color w:val="000000" w:themeColor="text1"/>
                <w:spacing w:val="0"/>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aps w:val="0"/>
                <w:color w:val="000000" w:themeColor="text1"/>
                <w:spacing w:val="0"/>
                <w:sz w:val="21"/>
                <w:szCs w:val="21"/>
                <w:highlight w:val="none"/>
                <w:u w:val="none" w:color="auto"/>
                <w:lang w:val="en-US" w:eastAsia="zh-CN"/>
                <w14:textFill>
                  <w14:solidFill>
                    <w14:schemeClr w14:val="tx1"/>
                  </w14:solidFill>
                </w14:textFill>
              </w:rPr>
              <w:t>（1）生态红线</w:t>
            </w:r>
          </w:p>
          <w:p w14:paraId="668A4E94">
            <w:pPr>
              <w:keepNext w:val="0"/>
              <w:keepLines w:val="0"/>
              <w:pageBreakBefore w:val="0"/>
              <w:widowControl/>
              <w:suppressLineNumbers w:val="0"/>
              <w:kinsoku/>
              <w:wordWrap/>
              <w:overflowPunct/>
              <w:topLinePunct w:val="0"/>
              <w:autoSpaceDE/>
              <w:autoSpaceDN/>
              <w:bidi w:val="0"/>
              <w:adjustRightInd w:val="0"/>
              <w:snapToGrid w:val="0"/>
              <w:spacing w:line="380" w:lineRule="exact"/>
              <w:ind w:right="0" w:rightChars="0" w:firstLine="420" w:firstLineChars="200"/>
              <w:jc w:val="left"/>
              <w:textAlignment w:val="auto"/>
              <w:outlineLvl w:val="9"/>
              <w:rPr>
                <w:rFonts w:hint="eastAsia" w:ascii="宋体" w:hAnsi="宋体" w:eastAsia="宋体" w:cs="宋体"/>
                <w:b w:val="0"/>
                <w:bCs w:val="0"/>
                <w:caps w:val="0"/>
                <w:color w:val="000000" w:themeColor="text1"/>
                <w:spacing w:val="0"/>
                <w:sz w:val="21"/>
                <w:szCs w:val="21"/>
                <w:highlight w:val="none"/>
                <w:u w:val="none" w:color="auto"/>
                <w:lang w:val="en-US" w:eastAsia="zh-CN"/>
                <w14:textFill>
                  <w14:solidFill>
                    <w14:schemeClr w14:val="tx1"/>
                  </w14:solidFill>
                </w14:textFill>
              </w:rPr>
            </w:pPr>
            <w:r>
              <w:rPr>
                <w:rFonts w:hint="eastAsia" w:ascii="宋体" w:hAnsi="宋体" w:eastAsia="宋体" w:cs="宋体"/>
                <w:b w:val="0"/>
                <w:bCs w:val="0"/>
                <w:caps w:val="0"/>
                <w:color w:val="000000" w:themeColor="text1"/>
                <w:spacing w:val="0"/>
                <w:sz w:val="21"/>
                <w:szCs w:val="21"/>
                <w:highlight w:val="none"/>
                <w:u w:val="none" w:color="auto"/>
                <w:lang w:val="en-US" w:eastAsia="zh-CN"/>
                <w14:textFill>
                  <w14:solidFill>
                    <w14:schemeClr w14:val="tx1"/>
                  </w14:solidFill>
                </w14:textFill>
              </w:rPr>
              <w:t>项目位于四平红嘴经济技术开发区， 不在市生态保护红线区内， 也未涉及饮用水源、 风景区、 自然保护区等生态保护区。 经对照《四平市生态环境管控分区实施报告》《四平红嘴经济开发区生态环境准入清单》，项目符合区域布局管控、 能源资源利用、污染物排放管控和环境风险防控要求， 从选址上符合生态保护红线划定的相关要求。</w:t>
            </w:r>
          </w:p>
          <w:p w14:paraId="2302FBA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atLeast"/>
              <w:ind w:firstLine="420" w:firstLineChars="200"/>
              <w:jc w:val="both"/>
              <w:textAlignment w:val="auto"/>
              <w:rPr>
                <w:rFonts w:hint="eastAsia"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1）与《吉林省生态环境准入清单（总体准入要求）》的符合性分析</w:t>
            </w:r>
          </w:p>
          <w:p w14:paraId="2D0CC67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atLeast"/>
              <w:ind w:firstLine="420" w:firstLineChars="200"/>
              <w:jc w:val="both"/>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吉林省生态环境准入清单分为全省总体准入要求及重点流域总体准入要求两部分，现摘录与本项目有关的环境准入及管控要求进行符合性分析。</w:t>
            </w:r>
          </w:p>
          <w:p w14:paraId="2E725C4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atLeast"/>
              <w:ind w:left="0" w:leftChars="0" w:firstLine="0" w:firstLineChars="0"/>
              <w:jc w:val="center"/>
              <w:textAlignment w:val="auto"/>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b/>
                <w:bCs/>
                <w:color w:val="000000" w:themeColor="text1"/>
                <w:kern w:val="0"/>
                <w:sz w:val="18"/>
                <w:szCs w:val="18"/>
                <w:lang w:val="en-US" w:eastAsia="zh-CN"/>
                <w14:textFill>
                  <w14:solidFill>
                    <w14:schemeClr w14:val="tx1"/>
                  </w14:solidFill>
                </w14:textFill>
              </w:rPr>
              <w:t>表1-2  吉林省生态环境清单总体准入要求</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3823"/>
              <w:gridCol w:w="2482"/>
              <w:gridCol w:w="877"/>
            </w:tblGrid>
            <w:tr w14:paraId="26687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14:paraId="2907F45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管控领域</w:t>
                  </w:r>
                </w:p>
              </w:tc>
              <w:tc>
                <w:tcPr>
                  <w:tcW w:w="2397" w:type="pct"/>
                  <w:tcBorders>
                    <w:tl2br w:val="nil"/>
                    <w:tr2bl w:val="nil"/>
                  </w:tcBorders>
                  <w:noWrap w:val="0"/>
                  <w:vAlign w:val="center"/>
                </w:tcPr>
                <w:p w14:paraId="54EAB95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准入要求</w:t>
                  </w:r>
                </w:p>
              </w:tc>
              <w:tc>
                <w:tcPr>
                  <w:tcW w:w="1556" w:type="pct"/>
                  <w:tcBorders>
                    <w:tl2br w:val="nil"/>
                    <w:tr2bl w:val="nil"/>
                  </w:tcBorders>
                  <w:noWrap w:val="0"/>
                  <w:vAlign w:val="center"/>
                </w:tcPr>
                <w:p w14:paraId="261B722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本项目情况</w:t>
                  </w:r>
                </w:p>
              </w:tc>
              <w:tc>
                <w:tcPr>
                  <w:tcW w:w="547" w:type="pct"/>
                  <w:tcBorders>
                    <w:tl2br w:val="nil"/>
                    <w:tr2bl w:val="nil"/>
                  </w:tcBorders>
                  <w:noWrap w:val="0"/>
                  <w:vAlign w:val="center"/>
                </w:tcPr>
                <w:p w14:paraId="1E50F8C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符合性分析</w:t>
                  </w:r>
                </w:p>
              </w:tc>
            </w:tr>
            <w:tr w14:paraId="2F220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5C1C86C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全省总体准入要求</w:t>
                  </w:r>
                </w:p>
              </w:tc>
            </w:tr>
            <w:tr w14:paraId="4A825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noWrap w:val="0"/>
                  <w:vAlign w:val="center"/>
                </w:tcPr>
                <w:p w14:paraId="7D5D00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空间布局约束</w:t>
                  </w:r>
                </w:p>
              </w:tc>
              <w:tc>
                <w:tcPr>
                  <w:tcW w:w="2397" w:type="pct"/>
                  <w:tcBorders>
                    <w:tl2br w:val="nil"/>
                    <w:tr2bl w:val="nil"/>
                  </w:tcBorders>
                  <w:shd w:val="clear" w:color="auto" w:fill="auto"/>
                  <w:noWrap w:val="0"/>
                  <w:vAlign w:val="center"/>
                </w:tcPr>
                <w:p w14:paraId="0F091DC4">
                  <w:pPr>
                    <w:pStyle w:val="109"/>
                    <w:keepNext w:val="0"/>
                    <w:keepLines w:val="0"/>
                    <w:pageBreakBefore w:val="0"/>
                    <w:widowControl w:val="0"/>
                    <w:kinsoku/>
                    <w:wordWrap/>
                    <w:overflowPunct/>
                    <w:topLinePunct w:val="0"/>
                    <w:bidi w:val="0"/>
                    <w:adjustRightInd w:val="0"/>
                    <w:snapToGrid w:val="0"/>
                    <w:spacing w:beforeLines="0" w:afterLines="0" w:line="260" w:lineRule="exact"/>
                    <w:jc w:val="both"/>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禁止新建、扩建《产业结构行）明确的淘汰类项目和引入《市场准入负面清单》（现行）禁止准入类事项，引入项目应符合园区规划、规划环境影响评价和区域产业准入负面清单要求。列入《产业结构调整指导目录》淘汰类的现状企业，应制定调整计划。生态环境治理措施不符合现行生态环境保护要求、资源能源消耗高、涉及大量排放区域超标污染物的现有企业，应制定整治计划。在调整、整治过渡期内，应严格控制相关企业生产规模，禁止新增产生环境污染的产能和产品。</w:t>
                  </w:r>
                </w:p>
              </w:tc>
              <w:tc>
                <w:tcPr>
                  <w:tcW w:w="1556" w:type="pct"/>
                  <w:tcBorders>
                    <w:tl2br w:val="nil"/>
                    <w:tr2bl w:val="nil"/>
                  </w:tcBorders>
                  <w:noWrap w:val="0"/>
                  <w:vAlign w:val="top"/>
                </w:tcPr>
                <w:p w14:paraId="42F2C9E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both"/>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本项目不属于《产业结构调整指导目录》淘汰类和限制类，不在《市场准入负面清单》禁止类，符合四平红嘴经济技术开发区产业布局规划、规划环境影响评价和区域产业准入要求。</w:t>
                  </w:r>
                </w:p>
              </w:tc>
              <w:tc>
                <w:tcPr>
                  <w:tcW w:w="547" w:type="pct"/>
                  <w:tcBorders>
                    <w:tl2br w:val="nil"/>
                    <w:tr2bl w:val="nil"/>
                  </w:tcBorders>
                  <w:noWrap w:val="0"/>
                  <w:vAlign w:val="center"/>
                </w:tcPr>
                <w:p w14:paraId="093B527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72A3B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68AC989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4F732795">
                  <w:pPr>
                    <w:pStyle w:val="109"/>
                    <w:keepNext w:val="0"/>
                    <w:keepLines w:val="0"/>
                    <w:pageBreakBefore w:val="0"/>
                    <w:widowControl w:val="0"/>
                    <w:kinsoku/>
                    <w:wordWrap/>
                    <w:overflowPunct/>
                    <w:topLinePunct w:val="0"/>
                    <w:bidi w:val="0"/>
                    <w:adjustRightInd w:val="0"/>
                    <w:snapToGrid w:val="0"/>
                    <w:spacing w:beforeLines="0" w:afterLines="0" w:line="260" w:lineRule="exact"/>
                    <w:jc w:val="left"/>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审批和备案。……</w:t>
                  </w:r>
                </w:p>
              </w:tc>
              <w:tc>
                <w:tcPr>
                  <w:tcW w:w="1556" w:type="pct"/>
                  <w:tcBorders>
                    <w:tl2br w:val="nil"/>
                    <w:tr2bl w:val="nil"/>
                  </w:tcBorders>
                  <w:noWrap w:val="0"/>
                  <w:vAlign w:val="top"/>
                </w:tcPr>
                <w:p w14:paraId="1958974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both"/>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本项目不属于两高项目，</w:t>
                  </w:r>
                  <w:r>
                    <w:rPr>
                      <w:rFonts w:hint="eastAsia" w:ascii="宋体" w:hAnsi="宋体" w:cs="宋体"/>
                      <w:color w:val="000000" w:themeColor="text1"/>
                      <w:kern w:val="0"/>
                      <w:sz w:val="18"/>
                      <w:szCs w:val="18"/>
                      <w:vertAlign w:val="baseline"/>
                      <w:lang w:val="en-US" w:eastAsia="zh-CN"/>
                      <w14:textFill>
                        <w14:solidFill>
                          <w14:schemeClr w14:val="tx1"/>
                        </w14:solidFill>
                      </w14:textFill>
                    </w:rPr>
                    <w:t>正常情况下</w:t>
                  </w: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不涉及危险化学品、重金属和其他具有重大环境风险建设项目。</w:t>
                  </w:r>
                </w:p>
              </w:tc>
              <w:tc>
                <w:tcPr>
                  <w:tcW w:w="547" w:type="pct"/>
                  <w:tcBorders>
                    <w:tl2br w:val="nil"/>
                    <w:tr2bl w:val="nil"/>
                  </w:tcBorders>
                  <w:noWrap w:val="0"/>
                  <w:vAlign w:val="center"/>
                </w:tcPr>
                <w:p w14:paraId="565FF7B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606D7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noWrap w:val="0"/>
                  <w:vAlign w:val="center"/>
                </w:tcPr>
                <w:p w14:paraId="739C3D2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污染物排放管控</w:t>
                  </w:r>
                </w:p>
              </w:tc>
              <w:tc>
                <w:tcPr>
                  <w:tcW w:w="2397" w:type="pct"/>
                  <w:tcBorders>
                    <w:tl2br w:val="nil"/>
                    <w:tr2bl w:val="nil"/>
                  </w:tcBorders>
                  <w:shd w:val="clear" w:color="auto" w:fill="auto"/>
                  <w:noWrap w:val="0"/>
                  <w:vAlign w:val="center"/>
                </w:tcPr>
                <w:p w14:paraId="1C5F447D">
                  <w:pPr>
                    <w:pStyle w:val="109"/>
                    <w:keepNext w:val="0"/>
                    <w:keepLines w:val="0"/>
                    <w:pageBreakBefore w:val="0"/>
                    <w:widowControl w:val="0"/>
                    <w:kinsoku/>
                    <w:wordWrap/>
                    <w:overflowPunct/>
                    <w:topLinePunct w:val="0"/>
                    <w:bidi w:val="0"/>
                    <w:adjustRightInd w:val="0"/>
                    <w:snapToGrid w:val="0"/>
                    <w:spacing w:beforeLines="0" w:afterLines="0" w:line="260" w:lineRule="exact"/>
                    <w:jc w:val="left"/>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重大项目原则上应布局在优化开发区和重点开发区，并符合国土空间总体规划。……</w:t>
                  </w:r>
                </w:p>
              </w:tc>
              <w:tc>
                <w:tcPr>
                  <w:tcW w:w="1556" w:type="pct"/>
                  <w:tcBorders>
                    <w:tl2br w:val="nil"/>
                    <w:tr2bl w:val="nil"/>
                  </w:tcBorders>
                  <w:shd w:val="clear" w:color="auto" w:fill="auto"/>
                  <w:noWrap w:val="0"/>
                  <w:vAlign w:val="center"/>
                </w:tcPr>
                <w:p w14:paraId="51EEF60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default"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w:t>
                  </w: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属于重大项目</w:t>
                  </w:r>
                </w:p>
              </w:tc>
              <w:tc>
                <w:tcPr>
                  <w:tcW w:w="547" w:type="pct"/>
                  <w:tcBorders>
                    <w:tl2br w:val="nil"/>
                    <w:tr2bl w:val="nil"/>
                  </w:tcBorders>
                  <w:noWrap w:val="0"/>
                  <w:vAlign w:val="center"/>
                </w:tcPr>
                <w:p w14:paraId="330E47F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6E521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498ED0B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2BB7BED9">
                  <w:pPr>
                    <w:pStyle w:val="109"/>
                    <w:keepNext w:val="0"/>
                    <w:keepLines w:val="0"/>
                    <w:pageBreakBefore w:val="0"/>
                    <w:widowControl w:val="0"/>
                    <w:kinsoku/>
                    <w:wordWrap/>
                    <w:overflowPunct/>
                    <w:topLinePunct w:val="0"/>
                    <w:bidi w:val="0"/>
                    <w:adjustRightInd w:val="0"/>
                    <w:snapToGrid w:val="0"/>
                    <w:spacing w:beforeLines="0" w:afterLines="0" w:line="260" w:lineRule="exact"/>
                    <w:contextualSpacing/>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进一步优化全省化工产业布局，提高化工行业本质安全和绿色发展水平，引领化工园区从规范化发展到高质量发展、促进化工产业转型升级。</w:t>
                  </w:r>
                </w:p>
              </w:tc>
              <w:tc>
                <w:tcPr>
                  <w:tcW w:w="1556" w:type="pct"/>
                  <w:tcBorders>
                    <w:tl2br w:val="nil"/>
                    <w:tr2bl w:val="nil"/>
                  </w:tcBorders>
                  <w:shd w:val="clear" w:color="auto" w:fill="auto"/>
                  <w:noWrap w:val="0"/>
                  <w:vAlign w:val="center"/>
                </w:tcPr>
                <w:p w14:paraId="571F684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w:t>
                  </w: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属于化工项目</w:t>
                  </w:r>
                </w:p>
              </w:tc>
              <w:tc>
                <w:tcPr>
                  <w:tcW w:w="547" w:type="pct"/>
                  <w:tcBorders>
                    <w:tl2br w:val="nil"/>
                    <w:tr2bl w:val="nil"/>
                  </w:tcBorders>
                  <w:noWrap w:val="0"/>
                  <w:vAlign w:val="center"/>
                </w:tcPr>
                <w:p w14:paraId="77D3E5F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7ACF4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08F5060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7195C186">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落实主要污染物总量控制和排污许可制度。新建、改建、扩建重点行业建设项目实行主要污染物排放等量或倍量削减替代。严格涉VOCs建设项目环境影响评价，逐步推进区域内VOCs排放等量或倍量削减替代。</w:t>
                  </w:r>
                </w:p>
              </w:tc>
              <w:tc>
                <w:tcPr>
                  <w:tcW w:w="1556" w:type="pct"/>
                  <w:tcBorders>
                    <w:tl2br w:val="nil"/>
                    <w:tr2bl w:val="nil"/>
                  </w:tcBorders>
                  <w:shd w:val="clear" w:color="auto" w:fill="auto"/>
                  <w:noWrap w:val="0"/>
                  <w:vAlign w:val="center"/>
                </w:tcPr>
                <w:p w14:paraId="2F30784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u w:val="none"/>
                      <w:vertAlign w:val="baseline"/>
                      <w:lang w:val="en-US" w:eastAsia="zh-CN" w:bidi="ar-SA"/>
                      <w14:textFill>
                        <w14:solidFill>
                          <w14:schemeClr w14:val="tx1"/>
                        </w14:solidFill>
                      </w14:textFill>
                    </w:rPr>
                    <w:t>落实</w:t>
                  </w:r>
                  <w:r>
                    <w:rPr>
                      <w:rFonts w:hint="default" w:ascii="Times New Roman" w:hAnsi="Times New Roman" w:eastAsia="宋体" w:cs="Times New Roman"/>
                      <w:color w:val="000000" w:themeColor="text1"/>
                      <w:sz w:val="18"/>
                      <w:szCs w:val="18"/>
                      <w:highlight w:val="none"/>
                      <w14:textFill>
                        <w14:solidFill>
                          <w14:schemeClr w14:val="tx1"/>
                        </w14:solidFill>
                      </w14:textFill>
                    </w:rPr>
                    <w:t>主要污染物总量控制和排污许可制度。</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不属于重点项目</w:t>
                  </w:r>
                  <w:r>
                    <w:rPr>
                      <w:rFonts w:hint="eastAsia" w:cs="Times New Roman"/>
                      <w:color w:val="000000" w:themeColor="text1"/>
                      <w:sz w:val="18"/>
                      <w:szCs w:val="18"/>
                      <w:highlight w:val="none"/>
                      <w:lang w:val="en-US" w:eastAsia="zh-CN"/>
                      <w14:textFill>
                        <w14:solidFill>
                          <w14:schemeClr w14:val="tx1"/>
                        </w14:solidFill>
                      </w14:textFill>
                    </w:rPr>
                    <w:t>。</w:t>
                  </w:r>
                </w:p>
              </w:tc>
              <w:tc>
                <w:tcPr>
                  <w:tcW w:w="547" w:type="pct"/>
                  <w:tcBorders>
                    <w:tl2br w:val="nil"/>
                    <w:tr2bl w:val="nil"/>
                  </w:tcBorders>
                  <w:noWrap w:val="0"/>
                  <w:vAlign w:val="center"/>
                </w:tcPr>
                <w:p w14:paraId="174E772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79709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37B8977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3CA431B4">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空气质量未达标地区新建项目涉及的二氧化硫、氮氧化物、颗粒物、挥发性有机物（VOCs）排放全面执行大气污染物特别排放限值。</w:t>
                  </w:r>
                </w:p>
              </w:tc>
              <w:tc>
                <w:tcPr>
                  <w:tcW w:w="1556" w:type="pct"/>
                  <w:tcBorders>
                    <w:tl2br w:val="nil"/>
                    <w:tr2bl w:val="nil"/>
                  </w:tcBorders>
                  <w:shd w:val="clear" w:color="auto" w:fill="auto"/>
                  <w:noWrap w:val="0"/>
                  <w:vAlign w:val="top"/>
                </w:tcPr>
                <w:p w14:paraId="7010865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both"/>
                    <w:textAlignment w:val="auto"/>
                    <w:rPr>
                      <w:rFonts w:hint="default" w:ascii="Times New Roman" w:hAnsi="Times New Roman" w:eastAsia="宋体" w:cs="Times New Roman"/>
                      <w:color w:val="000000" w:themeColor="text1"/>
                      <w:kern w:val="0"/>
                      <w:sz w:val="18"/>
                      <w:szCs w:val="18"/>
                      <w:highlight w:val="none"/>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u w:val="none"/>
                      <w:vertAlign w:val="baseline"/>
                      <w:lang w:val="en-US" w:eastAsia="zh-CN"/>
                      <w14:textFill>
                        <w14:solidFill>
                          <w14:schemeClr w14:val="tx1"/>
                        </w14:solidFill>
                      </w14:textFill>
                    </w:rPr>
                    <w:t>本项目为扩建，不属于新建项目，无需</w:t>
                  </w:r>
                  <w:r>
                    <w:rPr>
                      <w:rFonts w:hint="default" w:ascii="Times New Roman" w:hAnsi="Times New Roman" w:eastAsia="宋体" w:cs="Times New Roman"/>
                      <w:color w:val="000000" w:themeColor="text1"/>
                      <w:sz w:val="18"/>
                      <w:szCs w:val="18"/>
                      <w:highlight w:val="none"/>
                      <w14:textFill>
                        <w14:solidFill>
                          <w14:schemeClr w14:val="tx1"/>
                        </w14:solidFill>
                      </w14:textFill>
                    </w:rPr>
                    <w:t>执行大气污染物特别排放限值。</w:t>
                  </w:r>
                </w:p>
              </w:tc>
              <w:tc>
                <w:tcPr>
                  <w:tcW w:w="547" w:type="pct"/>
                  <w:tcBorders>
                    <w:tl2br w:val="nil"/>
                    <w:tr2bl w:val="nil"/>
                  </w:tcBorders>
                  <w:noWrap w:val="0"/>
                  <w:vAlign w:val="center"/>
                </w:tcPr>
                <w:p w14:paraId="484E7C9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39D3D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noWrap w:val="0"/>
                  <w:vAlign w:val="center"/>
                </w:tcPr>
                <w:p w14:paraId="047675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cs="宋体"/>
                      <w:color w:val="000000" w:themeColor="text1"/>
                      <w:kern w:val="0"/>
                      <w:sz w:val="18"/>
                      <w:szCs w:val="18"/>
                      <w:vertAlign w:val="baseline"/>
                      <w:lang w:val="en-US" w:eastAsia="zh-CN"/>
                      <w14:textFill>
                        <w14:solidFill>
                          <w14:schemeClr w14:val="tx1"/>
                        </w14:solidFill>
                      </w14:textFill>
                    </w:rPr>
                    <w:t>环境风险</w:t>
                  </w:r>
                </w:p>
              </w:tc>
              <w:tc>
                <w:tcPr>
                  <w:tcW w:w="2397" w:type="pct"/>
                  <w:tcBorders>
                    <w:tl2br w:val="nil"/>
                    <w:tr2bl w:val="nil"/>
                  </w:tcBorders>
                  <w:shd w:val="clear" w:color="auto" w:fill="auto"/>
                  <w:noWrap w:val="0"/>
                  <w:vAlign w:val="center"/>
                </w:tcPr>
                <w:p w14:paraId="3D559844">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到2025年，城镇人口密集区现有不符合防护距离要求的危险化学品生产企业应就地改造达标、搬迁进入规范化工园区或关闭退出，企业安全和环境风险大幅降低。</w:t>
                  </w:r>
                </w:p>
              </w:tc>
              <w:tc>
                <w:tcPr>
                  <w:tcW w:w="1556" w:type="pct"/>
                  <w:tcBorders>
                    <w:tl2br w:val="nil"/>
                    <w:tr2bl w:val="nil"/>
                  </w:tcBorders>
                  <w:shd w:val="clear" w:color="auto" w:fill="auto"/>
                  <w:noWrap w:val="0"/>
                  <w:vAlign w:val="center"/>
                </w:tcPr>
                <w:p w14:paraId="10FD83E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w:t>
                  </w:r>
                </w:p>
              </w:tc>
              <w:tc>
                <w:tcPr>
                  <w:tcW w:w="547" w:type="pct"/>
                  <w:tcBorders>
                    <w:tl2br w:val="nil"/>
                    <w:tr2bl w:val="nil"/>
                  </w:tcBorders>
                  <w:noWrap w:val="0"/>
                  <w:vAlign w:val="center"/>
                </w:tcPr>
                <w:p w14:paraId="521EDF8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090EA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5325354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5952B817">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bCs w:val="0"/>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val="0"/>
                      <w:color w:val="000000" w:themeColor="text1"/>
                      <w:sz w:val="18"/>
                      <w:szCs w:val="18"/>
                      <w:highlight w:val="none"/>
                      <w14:textFill>
                        <w14:solidFill>
                          <w14:schemeClr w14:val="tx1"/>
                        </w14:solidFill>
                      </w14:textFill>
                    </w:rPr>
                    <w:t>巩固城市饮用水水源保护与治理成果，加强饮用水水源地规范化建设，</w:t>
                  </w:r>
                  <w:r>
                    <w:rPr>
                      <w:rFonts w:hint="default" w:ascii="Times New Roman" w:hAnsi="Times New Roman" w:eastAsia="宋体" w:cs="Times New Roman"/>
                      <w:color w:val="000000" w:themeColor="text1"/>
                      <w:sz w:val="18"/>
                      <w:szCs w:val="18"/>
                      <w:highlight w:val="none"/>
                      <w14:textFill>
                        <w14:solidFill>
                          <w14:schemeClr w14:val="tx1"/>
                        </w14:solidFill>
                      </w14:textFill>
                    </w:rPr>
                    <w:t>完善风险防控与应急能力建设和相关管理措施，</w:t>
                  </w:r>
                  <w:r>
                    <w:rPr>
                      <w:rFonts w:hint="default" w:ascii="Times New Roman" w:hAnsi="Times New Roman" w:eastAsia="宋体" w:cs="Times New Roman"/>
                      <w:bCs w:val="0"/>
                      <w:color w:val="000000" w:themeColor="text1"/>
                      <w:sz w:val="18"/>
                      <w:szCs w:val="18"/>
                      <w:highlight w:val="none"/>
                      <w14:textFill>
                        <w14:solidFill>
                          <w14:schemeClr w14:val="tx1"/>
                        </w14:solidFill>
                      </w14:textFill>
                    </w:rPr>
                    <w:t>保证饮用水水源水质达标和水源安全。</w:t>
                  </w:r>
                </w:p>
              </w:tc>
              <w:tc>
                <w:tcPr>
                  <w:tcW w:w="1556" w:type="pct"/>
                  <w:tcBorders>
                    <w:tl2br w:val="nil"/>
                    <w:tr2bl w:val="nil"/>
                  </w:tcBorders>
                  <w:shd w:val="clear" w:color="auto" w:fill="auto"/>
                  <w:noWrap w:val="0"/>
                  <w:vAlign w:val="center"/>
                </w:tcPr>
                <w:p w14:paraId="718C997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w:t>
                  </w:r>
                </w:p>
              </w:tc>
              <w:tc>
                <w:tcPr>
                  <w:tcW w:w="547" w:type="pct"/>
                  <w:tcBorders>
                    <w:tl2br w:val="nil"/>
                    <w:tr2bl w:val="nil"/>
                  </w:tcBorders>
                  <w:noWrap w:val="0"/>
                  <w:vAlign w:val="center"/>
                </w:tcPr>
                <w:p w14:paraId="1753AED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706B2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shd w:val="clear" w:color="auto" w:fill="auto"/>
                  <w:noWrap w:val="0"/>
                  <w:vAlign w:val="center"/>
                </w:tcPr>
                <w:p w14:paraId="4DA747D4">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val="0"/>
                      <w:bCs w:val="0"/>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资源利用要求</w:t>
                  </w:r>
                </w:p>
                <w:p w14:paraId="56054C7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4B7FB062">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1556" w:type="pct"/>
                  <w:tcBorders>
                    <w:tl2br w:val="nil"/>
                    <w:tr2bl w:val="nil"/>
                  </w:tcBorders>
                  <w:shd w:val="clear" w:color="auto" w:fill="auto"/>
                  <w:noWrap w:val="0"/>
                  <w:vAlign w:val="center"/>
                </w:tcPr>
                <w:p w14:paraId="0B0DF0C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default"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w:t>
                  </w: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以上重点行业。</w:t>
                  </w:r>
                </w:p>
              </w:tc>
              <w:tc>
                <w:tcPr>
                  <w:tcW w:w="547" w:type="pct"/>
                  <w:tcBorders>
                    <w:tl2br w:val="nil"/>
                    <w:tr2bl w:val="nil"/>
                  </w:tcBorders>
                  <w:noWrap w:val="0"/>
                  <w:vAlign w:val="center"/>
                </w:tcPr>
                <w:p w14:paraId="739B4C4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737AB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756FDD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42034985">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按照《中华人民共和国黑土地保护法》《吉林省黑土地保护条例》实施黑土地保护，加大黑土区水土流失治理力度，发展保护性耕作，促进黑土地可持续发展。</w:t>
                  </w:r>
                </w:p>
              </w:tc>
              <w:tc>
                <w:tcPr>
                  <w:tcW w:w="1556" w:type="pct"/>
                  <w:tcBorders>
                    <w:tl2br w:val="nil"/>
                    <w:tr2bl w:val="nil"/>
                  </w:tcBorders>
                  <w:shd w:val="clear" w:color="auto" w:fill="auto"/>
                  <w:noWrap w:val="0"/>
                  <w:vAlign w:val="center"/>
                </w:tcPr>
                <w:p w14:paraId="44DD4FB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w:t>
                  </w: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黑土地</w:t>
                  </w:r>
                </w:p>
              </w:tc>
              <w:tc>
                <w:tcPr>
                  <w:tcW w:w="547" w:type="pct"/>
                  <w:tcBorders>
                    <w:tl2br w:val="nil"/>
                    <w:tr2bl w:val="nil"/>
                  </w:tcBorders>
                  <w:noWrap w:val="0"/>
                  <w:vAlign w:val="center"/>
                </w:tcPr>
                <w:p w14:paraId="36598F3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符合要求</w:t>
                  </w:r>
                </w:p>
              </w:tc>
            </w:tr>
            <w:tr w14:paraId="5F81D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42D4EBD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0974551D">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严格控制煤炭消费。制定煤炭消费总量控制目标，规范实行煤炭消费控制目标管理和减量（等量）替代管理。</w:t>
                  </w:r>
                </w:p>
              </w:tc>
              <w:tc>
                <w:tcPr>
                  <w:tcW w:w="1556" w:type="pct"/>
                  <w:tcBorders>
                    <w:tl2br w:val="nil"/>
                    <w:tr2bl w:val="nil"/>
                  </w:tcBorders>
                  <w:shd w:val="clear" w:color="auto" w:fill="auto"/>
                  <w:noWrap w:val="0"/>
                  <w:vAlign w:val="center"/>
                </w:tcPr>
                <w:p w14:paraId="42C9BB1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w:t>
                  </w: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使用煤炭</w:t>
                  </w:r>
                </w:p>
              </w:tc>
              <w:tc>
                <w:tcPr>
                  <w:tcW w:w="547" w:type="pct"/>
                  <w:tcBorders>
                    <w:tl2br w:val="nil"/>
                    <w:tr2bl w:val="nil"/>
                  </w:tcBorders>
                  <w:noWrap w:val="0"/>
                  <w:vAlign w:val="center"/>
                </w:tcPr>
                <w:p w14:paraId="11096F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10CE027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33C50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037821C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0070A4FC">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高污染燃料禁燃区内，禁止销售、燃用高污染燃料；禁止新建、扩建燃用高污染燃料的设施。</w:t>
                  </w:r>
                </w:p>
              </w:tc>
              <w:tc>
                <w:tcPr>
                  <w:tcW w:w="1556" w:type="pct"/>
                  <w:tcBorders>
                    <w:tl2br w:val="nil"/>
                    <w:tr2bl w:val="nil"/>
                  </w:tcBorders>
                  <w:noWrap w:val="0"/>
                  <w:vAlign w:val="top"/>
                </w:tcPr>
                <w:p w14:paraId="33B87A2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both"/>
                    <w:textAlignment w:val="auto"/>
                    <w:rPr>
                      <w:rFonts w:hint="eastAsia" w:ascii="宋体" w:hAnsi="宋体" w:eastAsia="宋体" w:cs="宋体"/>
                      <w:color w:val="000000" w:themeColor="text1"/>
                      <w:kern w:val="0"/>
                      <w:sz w:val="18"/>
                      <w:szCs w:val="18"/>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vertAlign w:val="baseline"/>
                      <w:lang w:val="en-US" w:eastAsia="zh-CN"/>
                      <w14:textFill>
                        <w14:solidFill>
                          <w14:schemeClr w14:val="tx1"/>
                        </w14:solidFill>
                      </w14:textFill>
                    </w:rPr>
                    <w:t>使用天然气，属于清洁能源，</w:t>
                  </w:r>
                  <w:r>
                    <w:rPr>
                      <w:rFonts w:hint="default" w:ascii="Times New Roman" w:hAnsi="Times New Roman" w:eastAsia="宋体" w:cs="Times New Roman"/>
                      <w:color w:val="000000" w:themeColor="text1"/>
                      <w:kern w:val="0"/>
                      <w:sz w:val="18"/>
                      <w:szCs w:val="18"/>
                      <w:highlight w:val="none"/>
                      <w:vertAlign w:val="baseline"/>
                      <w:lang w:val="en-US" w:eastAsia="zh-CN"/>
                      <w14:textFill>
                        <w14:solidFill>
                          <w14:schemeClr w14:val="tx1"/>
                        </w14:solidFill>
                      </w14:textFill>
                    </w:rPr>
                    <w:t>不</w:t>
                  </w:r>
                  <w:r>
                    <w:rPr>
                      <w:rFonts w:hint="eastAsia" w:ascii="Times New Roman" w:hAnsi="Times New Roman" w:eastAsia="宋体" w:cs="Times New Roman"/>
                      <w:color w:val="000000" w:themeColor="text1"/>
                      <w:kern w:val="0"/>
                      <w:sz w:val="18"/>
                      <w:szCs w:val="18"/>
                      <w:highlight w:val="none"/>
                      <w:vertAlign w:val="baseline"/>
                      <w:lang w:val="en-US" w:eastAsia="zh-CN"/>
                      <w14:textFill>
                        <w14:solidFill>
                          <w14:schemeClr w14:val="tx1"/>
                        </w14:solidFill>
                      </w14:textFill>
                    </w:rPr>
                    <w:t>使用高污染燃料</w:t>
                  </w:r>
                </w:p>
              </w:tc>
              <w:tc>
                <w:tcPr>
                  <w:tcW w:w="547" w:type="pct"/>
                  <w:tcBorders>
                    <w:tl2br w:val="nil"/>
                    <w:tr2bl w:val="nil"/>
                  </w:tcBorders>
                  <w:noWrap w:val="0"/>
                  <w:vAlign w:val="center"/>
                </w:tcPr>
                <w:p w14:paraId="338903D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0D28626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72834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49DCE6A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重点流域总体准入要求（辽河流域）</w:t>
                  </w:r>
                </w:p>
              </w:tc>
            </w:tr>
            <w:tr w14:paraId="65D45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shd w:val="clear" w:color="auto" w:fill="auto"/>
                  <w:noWrap w:val="0"/>
                  <w:vAlign w:val="center"/>
                </w:tcPr>
                <w:p w14:paraId="7F1D8F7E">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val="0"/>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空间布局</w:t>
                  </w:r>
                </w:p>
                <w:p w14:paraId="37DA6914">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约束</w:t>
                  </w:r>
                </w:p>
                <w:p w14:paraId="197F1D4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default"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7FAFB330">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限制或禁止发展高耗水产业</w:t>
                  </w:r>
                  <w:r>
                    <w:rPr>
                      <w:rFonts w:hint="eastAsia" w:ascii="Times New Roman" w:hAnsi="Times New Roman" w:eastAsia="宋体" w:cs="Times New Roman"/>
                      <w:color w:val="000000" w:themeColor="text1"/>
                      <w:sz w:val="18"/>
                      <w:szCs w:val="18"/>
                      <w:highlight w:val="none"/>
                      <w14:textFill>
                        <w14:solidFill>
                          <w14:schemeClr w14:val="tx1"/>
                        </w14:solidFill>
                      </w14:textFill>
                    </w:rPr>
                    <w:t>。严格环境准入，对水质不达标的区域</w:t>
                  </w:r>
                  <w:r>
                    <w:rPr>
                      <w:rFonts w:hint="default" w:ascii="Times New Roman" w:hAnsi="Times New Roman" w:eastAsia="宋体" w:cs="Times New Roman"/>
                      <w:color w:val="000000" w:themeColor="text1"/>
                      <w:sz w:val="18"/>
                      <w:szCs w:val="18"/>
                      <w:highlight w:val="none"/>
                      <w14:textFill>
                        <w14:solidFill>
                          <w14:schemeClr w14:val="tx1"/>
                        </w14:solidFill>
                      </w14:textFill>
                    </w:rPr>
                    <w:t>禁止高耗水和污水排放量大、排放强度高的项目建设，对玉米深加工、化工、纺织印染、屠宰、钢铁、啤酒制造等污染负荷大的行业，加大清洁化改造力度，强化中水回用，提高水资源利用率，促进产业结构调整。</w:t>
                  </w:r>
                </w:p>
              </w:tc>
              <w:tc>
                <w:tcPr>
                  <w:tcW w:w="1556" w:type="pct"/>
                  <w:tcBorders>
                    <w:tl2br w:val="nil"/>
                    <w:tr2bl w:val="nil"/>
                  </w:tcBorders>
                  <w:shd w:val="clear" w:color="auto" w:fill="auto"/>
                  <w:noWrap w:val="0"/>
                  <w:vAlign w:val="center"/>
                </w:tcPr>
                <w:p w14:paraId="059B4E1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default"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cs="Times New Roman"/>
                      <w:color w:val="000000" w:themeColor="text1"/>
                      <w:kern w:val="0"/>
                      <w:sz w:val="18"/>
                      <w:szCs w:val="18"/>
                      <w:vertAlign w:val="baseline"/>
                      <w:lang w:val="en-US" w:eastAsia="zh-CN" w:bidi="ar-SA"/>
                      <w14:textFill>
                        <w14:solidFill>
                          <w14:schemeClr w14:val="tx1"/>
                        </w14:solidFill>
                      </w14:textFill>
                    </w:rPr>
                    <w:t>本项目不涉及</w:t>
                  </w:r>
                </w:p>
              </w:tc>
              <w:tc>
                <w:tcPr>
                  <w:tcW w:w="547" w:type="pct"/>
                  <w:tcBorders>
                    <w:tl2br w:val="nil"/>
                    <w:tr2bl w:val="nil"/>
                  </w:tcBorders>
                  <w:noWrap w:val="0"/>
                  <w:vAlign w:val="center"/>
                </w:tcPr>
                <w:p w14:paraId="3429309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13CE4B4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3B7C3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671FDFF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1A503883">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河流沿岸严格控制石油加工、化学原料和化学制品制造、医药制造、化学纤维制造、有色金属冶炼、制浆造纸、纺织印染等项目建设。</w:t>
                  </w:r>
                </w:p>
              </w:tc>
              <w:tc>
                <w:tcPr>
                  <w:tcW w:w="1556" w:type="pct"/>
                  <w:tcBorders>
                    <w:tl2br w:val="nil"/>
                    <w:tr2bl w:val="nil"/>
                  </w:tcBorders>
                  <w:shd w:val="clear" w:color="auto" w:fill="auto"/>
                  <w:noWrap w:val="0"/>
                  <w:vAlign w:val="center"/>
                </w:tcPr>
                <w:p w14:paraId="53EB785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default"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本项目不在河流沿岸建设</w:t>
                  </w:r>
                </w:p>
              </w:tc>
              <w:tc>
                <w:tcPr>
                  <w:tcW w:w="547" w:type="pct"/>
                  <w:tcBorders>
                    <w:tl2br w:val="nil"/>
                    <w:tr2bl w:val="nil"/>
                  </w:tcBorders>
                  <w:noWrap w:val="0"/>
                  <w:vAlign w:val="center"/>
                </w:tcPr>
                <w:p w14:paraId="31BB469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2341805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2624C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shd w:val="clear" w:color="auto" w:fill="auto"/>
                  <w:noWrap w:val="0"/>
                  <w:vAlign w:val="center"/>
                </w:tcPr>
                <w:p w14:paraId="72E0F271">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val="0"/>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污染物</w:t>
                  </w:r>
                </w:p>
                <w:p w14:paraId="31DB302F">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排放管控</w:t>
                  </w:r>
                </w:p>
                <w:p w14:paraId="3B3492A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36BD5E03">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严格执行《吉林省辽河流域水环境保护条例》。</w:t>
                  </w:r>
                </w:p>
              </w:tc>
              <w:tc>
                <w:tcPr>
                  <w:tcW w:w="1556" w:type="pct"/>
                  <w:tcBorders>
                    <w:tl2br w:val="nil"/>
                    <w:tr2bl w:val="nil"/>
                  </w:tcBorders>
                  <w:shd w:val="clear" w:color="auto" w:fill="auto"/>
                  <w:noWrap w:val="0"/>
                  <w:vAlign w:val="center"/>
                </w:tcPr>
                <w:p w14:paraId="4CB38D8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严格执行</w:t>
                  </w:r>
                  <w:r>
                    <w:rPr>
                      <w:rFonts w:hint="default" w:ascii="Times New Roman" w:hAnsi="Times New Roman" w:eastAsia="宋体" w:cs="Times New Roman"/>
                      <w:color w:val="000000" w:themeColor="text1"/>
                      <w:sz w:val="18"/>
                      <w:szCs w:val="18"/>
                      <w:highlight w:val="none"/>
                      <w14:textFill>
                        <w14:solidFill>
                          <w14:schemeClr w14:val="tx1"/>
                        </w14:solidFill>
                      </w14:textFill>
                    </w:rPr>
                    <w:t>《吉林省辽河流域水环境保护条例》</w:t>
                  </w:r>
                </w:p>
              </w:tc>
              <w:tc>
                <w:tcPr>
                  <w:tcW w:w="547" w:type="pct"/>
                  <w:tcBorders>
                    <w:tl2br w:val="nil"/>
                    <w:tr2bl w:val="nil"/>
                  </w:tcBorders>
                  <w:noWrap w:val="0"/>
                  <w:vAlign w:val="center"/>
                </w:tcPr>
                <w:p w14:paraId="2869CAF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3E6B696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1DD23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0CBF0DB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680806BE">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推进城镇污水处理设施及配套管网建设与改造，加快雨污分流。满足辽河流域断面水质改善的需求，现有污水处理厂要适时进行提标改造，因地制宜建设人工湿地尾水净化工程。</w:t>
                  </w:r>
                </w:p>
              </w:tc>
              <w:tc>
                <w:tcPr>
                  <w:tcW w:w="1556" w:type="pct"/>
                  <w:tcBorders>
                    <w:tl2br w:val="nil"/>
                    <w:tr2bl w:val="nil"/>
                  </w:tcBorders>
                  <w:shd w:val="clear" w:color="auto" w:fill="auto"/>
                  <w:noWrap w:val="0"/>
                  <w:vAlign w:val="center"/>
                </w:tcPr>
                <w:p w14:paraId="2C49C21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w:t>
                  </w:r>
                </w:p>
              </w:tc>
              <w:tc>
                <w:tcPr>
                  <w:tcW w:w="547" w:type="pct"/>
                  <w:tcBorders>
                    <w:tl2br w:val="nil"/>
                    <w:tr2bl w:val="nil"/>
                  </w:tcBorders>
                  <w:noWrap w:val="0"/>
                  <w:vAlign w:val="center"/>
                </w:tcPr>
                <w:p w14:paraId="4CADB97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7E1AE28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32AE8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13DA152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3E9491D5">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加快入河（湖、库）排污口规范化建设，严控入河湖污染源。</w:t>
                  </w:r>
                </w:p>
              </w:tc>
              <w:tc>
                <w:tcPr>
                  <w:tcW w:w="1556" w:type="pct"/>
                  <w:tcBorders>
                    <w:tl2br w:val="nil"/>
                    <w:tr2bl w:val="nil"/>
                  </w:tcBorders>
                  <w:shd w:val="clear" w:color="auto" w:fill="auto"/>
                  <w:noWrap w:val="0"/>
                  <w:vAlign w:val="center"/>
                </w:tcPr>
                <w:p w14:paraId="1E455AF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t>本项目无污染物直接进入水体</w:t>
                  </w:r>
                </w:p>
              </w:tc>
              <w:tc>
                <w:tcPr>
                  <w:tcW w:w="547" w:type="pct"/>
                  <w:tcBorders>
                    <w:tl2br w:val="nil"/>
                    <w:tr2bl w:val="nil"/>
                  </w:tcBorders>
                  <w:noWrap w:val="0"/>
                  <w:vAlign w:val="center"/>
                </w:tcPr>
                <w:p w14:paraId="04F6B06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77C0C40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72562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shd w:val="clear" w:color="auto" w:fill="auto"/>
                  <w:noWrap w:val="0"/>
                  <w:vAlign w:val="center"/>
                </w:tcPr>
                <w:p w14:paraId="10B51094">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环境风险防控</w:t>
                  </w:r>
                </w:p>
                <w:p w14:paraId="6E3067D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67DAC0E0">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防范沿河环境风险，规范沿河化工园区布局，强化现有重点行业环境隐患排查，合理布局生产装置及危险化学品仓储等设施。</w:t>
                  </w:r>
                </w:p>
              </w:tc>
              <w:tc>
                <w:tcPr>
                  <w:tcW w:w="1556" w:type="pct"/>
                  <w:tcBorders>
                    <w:tl2br w:val="nil"/>
                    <w:tr2bl w:val="nil"/>
                  </w:tcBorders>
                  <w:shd w:val="clear" w:color="auto" w:fill="auto"/>
                  <w:noWrap w:val="0"/>
                  <w:vAlign w:val="center"/>
                </w:tcPr>
                <w:p w14:paraId="3EBC63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w:t>
                  </w:r>
                </w:p>
              </w:tc>
              <w:tc>
                <w:tcPr>
                  <w:tcW w:w="547" w:type="pct"/>
                  <w:tcBorders>
                    <w:tl2br w:val="nil"/>
                    <w:tr2bl w:val="nil"/>
                  </w:tcBorders>
                  <w:noWrap w:val="0"/>
                  <w:vAlign w:val="center"/>
                </w:tcPr>
                <w:p w14:paraId="5CC6394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4F4FA34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21535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45E558D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48856C11">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加强饮用水水源地环境风险管控，完善风险防控与应急能力建设和相关管理措施，保证饮用水水源水质达标和安全。</w:t>
                  </w:r>
                </w:p>
              </w:tc>
              <w:tc>
                <w:tcPr>
                  <w:tcW w:w="1556" w:type="pct"/>
                  <w:tcBorders>
                    <w:tl2br w:val="nil"/>
                    <w:tr2bl w:val="nil"/>
                  </w:tcBorders>
                  <w:shd w:val="clear" w:color="auto" w:fill="auto"/>
                  <w:noWrap w:val="0"/>
                  <w:vAlign w:val="center"/>
                </w:tcPr>
                <w:p w14:paraId="3FA8EC9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不涉及饮用水源地</w:t>
                  </w:r>
                </w:p>
              </w:tc>
              <w:tc>
                <w:tcPr>
                  <w:tcW w:w="547" w:type="pct"/>
                  <w:tcBorders>
                    <w:tl2br w:val="nil"/>
                    <w:tr2bl w:val="nil"/>
                  </w:tcBorders>
                  <w:noWrap w:val="0"/>
                  <w:vAlign w:val="center"/>
                </w:tcPr>
                <w:p w14:paraId="209CC7B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62B390A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038A2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restart"/>
                  <w:tcBorders>
                    <w:tl2br w:val="nil"/>
                    <w:tr2bl w:val="nil"/>
                  </w:tcBorders>
                  <w:shd w:val="clear" w:color="auto" w:fill="auto"/>
                  <w:noWrap w:val="0"/>
                  <w:vAlign w:val="center"/>
                </w:tcPr>
                <w:p w14:paraId="75212DF8">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val="0"/>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18"/>
                      <w:szCs w:val="18"/>
                      <w:highlight w:val="none"/>
                      <w14:textFill>
                        <w14:solidFill>
                          <w14:schemeClr w14:val="tx1"/>
                        </w14:solidFill>
                      </w14:textFill>
                    </w:rPr>
                    <w:t>资源利用要求</w:t>
                  </w:r>
                </w:p>
                <w:p w14:paraId="02F202C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246CDB52">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按照流域生态水量保障实施方案，统筹流域来水和中部城市引松供水工程等水利工程供水能力和任务，科学调控杨木水库、二龙山水库、下三台水库水量，保障东辽河流域生态基流。</w:t>
                  </w:r>
                </w:p>
              </w:tc>
              <w:tc>
                <w:tcPr>
                  <w:tcW w:w="1556" w:type="pct"/>
                  <w:tcBorders>
                    <w:tl2br w:val="nil"/>
                    <w:tr2bl w:val="nil"/>
                  </w:tcBorders>
                  <w:shd w:val="clear" w:color="auto" w:fill="auto"/>
                  <w:noWrap w:val="0"/>
                  <w:vAlign w:val="center"/>
                </w:tcPr>
                <w:p w14:paraId="16C606A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t>不涉及</w:t>
                  </w:r>
                </w:p>
              </w:tc>
              <w:tc>
                <w:tcPr>
                  <w:tcW w:w="547" w:type="pct"/>
                  <w:tcBorders>
                    <w:tl2br w:val="nil"/>
                    <w:tr2bl w:val="nil"/>
                  </w:tcBorders>
                  <w:noWrap w:val="0"/>
                  <w:vAlign w:val="center"/>
                </w:tcPr>
                <w:p w14:paraId="5CDDC36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70FD5B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7F7B0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21F6483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512D9399">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引导推动造纸、石油化工、玉米深加工等高耗水行业企业实施节水改造和污水深度处理回用，建设节水型企业。</w:t>
                  </w:r>
                </w:p>
              </w:tc>
              <w:tc>
                <w:tcPr>
                  <w:tcW w:w="1556" w:type="pct"/>
                  <w:tcBorders>
                    <w:tl2br w:val="nil"/>
                    <w:tr2bl w:val="nil"/>
                  </w:tcBorders>
                  <w:shd w:val="clear" w:color="auto" w:fill="auto"/>
                  <w:noWrap w:val="0"/>
                  <w:vAlign w:val="center"/>
                </w:tcPr>
                <w:p w14:paraId="0F1705E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不属于高耗水行业，废水循环使用不外排</w:t>
                  </w:r>
                </w:p>
              </w:tc>
              <w:tc>
                <w:tcPr>
                  <w:tcW w:w="547" w:type="pct"/>
                  <w:tcBorders>
                    <w:tl2br w:val="nil"/>
                    <w:tr2bl w:val="nil"/>
                  </w:tcBorders>
                  <w:noWrap w:val="0"/>
                  <w:vAlign w:val="center"/>
                </w:tcPr>
                <w:p w14:paraId="025DFFA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符合</w:t>
                  </w:r>
                </w:p>
                <w:p w14:paraId="18BBA0F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r>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t>要求</w:t>
                  </w:r>
                </w:p>
              </w:tc>
            </w:tr>
            <w:tr w14:paraId="14C7A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vMerge w:val="continue"/>
                  <w:tcBorders>
                    <w:tl2br w:val="nil"/>
                    <w:tr2bl w:val="nil"/>
                  </w:tcBorders>
                  <w:noWrap w:val="0"/>
                  <w:vAlign w:val="center"/>
                </w:tcPr>
                <w:p w14:paraId="061B21D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c>
                <w:tcPr>
                  <w:tcW w:w="2397" w:type="pct"/>
                  <w:tcBorders>
                    <w:tl2br w:val="nil"/>
                    <w:tr2bl w:val="nil"/>
                  </w:tcBorders>
                  <w:shd w:val="clear" w:color="auto" w:fill="auto"/>
                  <w:noWrap w:val="0"/>
                  <w:vAlign w:val="center"/>
                </w:tcPr>
                <w:p w14:paraId="65C560F5">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地下水超采区，禁止农业、工业建设项目和服务业新增取用地下水，并逐步削减超采量，实现地下水采补平衡。深层承压地下水原则上只能作为应急和战略储备水源。</w:t>
                  </w:r>
                </w:p>
              </w:tc>
              <w:tc>
                <w:tcPr>
                  <w:tcW w:w="1556" w:type="pct"/>
                  <w:tcBorders>
                    <w:tl2br w:val="nil"/>
                    <w:tr2bl w:val="nil"/>
                  </w:tcBorders>
                  <w:shd w:val="clear" w:color="auto" w:fill="auto"/>
                  <w:noWrap w:val="0"/>
                  <w:vAlign w:val="top"/>
                </w:tcPr>
                <w:p w14:paraId="4260744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eastAsia"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不在地下水超采区，不属于高耗水项目</w:t>
                  </w:r>
                </w:p>
              </w:tc>
              <w:tc>
                <w:tcPr>
                  <w:tcW w:w="547" w:type="pct"/>
                  <w:tcBorders>
                    <w:tl2br w:val="nil"/>
                    <w:tr2bl w:val="nil"/>
                  </w:tcBorders>
                  <w:noWrap w:val="0"/>
                  <w:vAlign w:val="center"/>
                </w:tcPr>
                <w:p w14:paraId="31B695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jc w:val="center"/>
                    <w:textAlignment w:val="auto"/>
                    <w:rPr>
                      <w:rFonts w:hint="eastAsia" w:ascii="宋体" w:hAnsi="宋体" w:eastAsia="宋体" w:cs="宋体"/>
                      <w:color w:val="000000" w:themeColor="text1"/>
                      <w:kern w:val="0"/>
                      <w:sz w:val="18"/>
                      <w:szCs w:val="18"/>
                      <w:vertAlign w:val="baseline"/>
                      <w:lang w:val="en-US" w:eastAsia="zh-CN"/>
                      <w14:textFill>
                        <w14:solidFill>
                          <w14:schemeClr w14:val="tx1"/>
                        </w14:solidFill>
                      </w14:textFill>
                    </w:rPr>
                  </w:pPr>
                </w:p>
              </w:tc>
            </w:tr>
          </w:tbl>
          <w:p w14:paraId="2F2A539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atLeast"/>
              <w:ind w:firstLine="420" w:firstLineChars="200"/>
              <w:jc w:val="both"/>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2）与《四平市生态环境准入清单》符合性分析</w:t>
            </w:r>
          </w:p>
          <w:p w14:paraId="61C90FC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atLeast"/>
              <w:ind w:firstLine="420" w:firstLineChars="200"/>
              <w:jc w:val="both"/>
              <w:textAlignment w:val="auto"/>
              <w:rPr>
                <w:rFonts w:hint="eastAsia" w:ascii="宋体" w:hAnsi="宋体" w:eastAsia="宋体" w:cs="宋体"/>
                <w:b/>
                <w:bCs/>
                <w:color w:val="000000" w:themeColor="text1"/>
                <w:kern w:val="0"/>
                <w:sz w:val="18"/>
                <w:szCs w:val="18"/>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四平市生态环境准入清单分为四平市总体管控要求和重点流域总体准入要求两部分，现摘录与本项目有关的环境准入及管控要求进行符合性分析。</w:t>
            </w:r>
          </w:p>
          <w:p w14:paraId="2748B56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atLeast"/>
              <w:ind w:left="0" w:leftChars="0" w:firstLine="0" w:firstLineChars="0"/>
              <w:jc w:val="center"/>
              <w:textAlignment w:val="auto"/>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eastAsia="宋体" w:cs="宋体"/>
                <w:b/>
                <w:bCs/>
                <w:color w:val="000000" w:themeColor="text1"/>
                <w:kern w:val="0"/>
                <w:sz w:val="18"/>
                <w:szCs w:val="18"/>
                <w:lang w:val="en-US" w:eastAsia="zh-CN"/>
                <w14:textFill>
                  <w14:solidFill>
                    <w14:schemeClr w14:val="tx1"/>
                  </w14:solidFill>
                </w14:textFill>
              </w:rPr>
              <w:t>表1-3  四平市生态环境清单总体准入要求</w:t>
            </w:r>
          </w:p>
          <w:tbl>
            <w:tblPr>
              <w:tblStyle w:val="26"/>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564"/>
              <w:gridCol w:w="5108"/>
              <w:gridCol w:w="1336"/>
              <w:gridCol w:w="505"/>
            </w:tblGrid>
            <w:tr w14:paraId="1E1FA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82" w:type="pct"/>
                  <w:tcBorders>
                    <w:tl2br w:val="nil"/>
                    <w:tr2bl w:val="nil"/>
                  </w:tcBorders>
                  <w:noWrap w:val="0"/>
                  <w:vAlign w:val="center"/>
                </w:tcPr>
                <w:p w14:paraId="52EF60C5">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18"/>
                      <w:szCs w:val="18"/>
                      <w:highlight w:val="none"/>
                      <w14:textFill>
                        <w14:solidFill>
                          <w14:schemeClr w14:val="tx1"/>
                        </w14:solidFill>
                      </w14:textFill>
                    </w:rPr>
                    <w:t>管控类别</w:t>
                  </w:r>
                </w:p>
              </w:tc>
              <w:tc>
                <w:tcPr>
                  <w:tcW w:w="3562" w:type="pct"/>
                  <w:gridSpan w:val="2"/>
                  <w:tcBorders>
                    <w:tl2br w:val="nil"/>
                    <w:tr2bl w:val="nil"/>
                  </w:tcBorders>
                  <w:noWrap w:val="0"/>
                  <w:vAlign w:val="center"/>
                </w:tcPr>
                <w:p w14:paraId="2AF44E55">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18"/>
                      <w:szCs w:val="18"/>
                      <w:highlight w:val="none"/>
                      <w14:textFill>
                        <w14:solidFill>
                          <w14:schemeClr w14:val="tx1"/>
                        </w14:solidFill>
                      </w14:textFill>
                    </w:rPr>
                    <w:t>管控要求</w:t>
                  </w:r>
                </w:p>
              </w:tc>
              <w:tc>
                <w:tcPr>
                  <w:tcW w:w="837" w:type="pct"/>
                  <w:tcBorders>
                    <w:tl2br w:val="nil"/>
                    <w:tr2bl w:val="nil"/>
                  </w:tcBorders>
                  <w:noWrap w:val="0"/>
                  <w:vAlign w:val="center"/>
                </w:tcPr>
                <w:p w14:paraId="2FE5EC80">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t>本项目</w:t>
                  </w:r>
                </w:p>
              </w:tc>
              <w:tc>
                <w:tcPr>
                  <w:tcW w:w="316" w:type="pct"/>
                  <w:tcBorders>
                    <w:tl2br w:val="nil"/>
                    <w:tr2bl w:val="nil"/>
                  </w:tcBorders>
                  <w:noWrap w:val="0"/>
                  <w:vAlign w:val="center"/>
                </w:tcPr>
                <w:p w14:paraId="7954B254">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18"/>
                      <w:szCs w:val="18"/>
                      <w:highlight w:val="none"/>
                      <w:lang w:val="en-US" w:eastAsia="zh-CN"/>
                      <w14:textFill>
                        <w14:solidFill>
                          <w14:schemeClr w14:val="tx1"/>
                        </w14:solidFill>
                      </w14:textFill>
                    </w:rPr>
                    <w:t>符合性分析</w:t>
                  </w:r>
                </w:p>
              </w:tc>
            </w:tr>
            <w:tr w14:paraId="28598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noWrap w:val="0"/>
                  <w:vAlign w:val="center"/>
                </w:tcPr>
                <w:p w14:paraId="2411E971">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空间布局约束</w:t>
                  </w:r>
                </w:p>
              </w:tc>
              <w:tc>
                <w:tcPr>
                  <w:tcW w:w="3562" w:type="pct"/>
                  <w:gridSpan w:val="2"/>
                  <w:tcBorders>
                    <w:tl2br w:val="nil"/>
                    <w:tr2bl w:val="nil"/>
                  </w:tcBorders>
                  <w:noWrap w:val="0"/>
                  <w:vAlign w:val="center"/>
                </w:tcPr>
                <w:p w14:paraId="4D4DF752">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14:textFill>
                        <w14:solidFill>
                          <w14:schemeClr w14:val="tx1"/>
                        </w14:solidFill>
                      </w14:textFill>
                    </w:rPr>
                    <w:t>禁止新建、扩建《产业结构调整指导</w:t>
                  </w:r>
                  <w:r>
                    <w:rPr>
                      <w:rFonts w:hint="eastAsia" w:ascii="Times New Roman" w:eastAsia="宋体" w:cs="Times New Roman"/>
                      <w:color w:val="000000" w:themeColor="text1"/>
                      <w:sz w:val="18"/>
                      <w:szCs w:val="18"/>
                      <w:highlight w:val="none"/>
                      <w:lang w:eastAsia="zh-CN"/>
                      <w14:textFill>
                        <w14:solidFill>
                          <w14:schemeClr w14:val="tx1"/>
                        </w14:solidFill>
                      </w14:textFill>
                    </w:rPr>
                    <w:t>目录</w:t>
                  </w:r>
                  <w:r>
                    <w:rPr>
                      <w:rFonts w:hint="eastAsia" w:ascii="Times New Roman" w:hAnsi="Times New Roman" w:eastAsia="宋体" w:cs="Times New Roman"/>
                      <w:color w:val="000000" w:themeColor="text1"/>
                      <w:sz w:val="18"/>
                      <w:szCs w:val="18"/>
                      <w:highlight w:val="none"/>
                      <w14:textFill>
                        <w14:solidFill>
                          <w14:schemeClr w14:val="tx1"/>
                        </w14:solidFill>
                      </w14:textFill>
                    </w:rPr>
                    <w:t>》（现行）明确的淘汰类项目和引入《市场准入负面清单》（现行）禁止准入类事项，引入项目应符合园区规划、规划环境影响评价和区域产业准入负面清单要求。</w:t>
                  </w:r>
                </w:p>
                <w:p w14:paraId="324F2FC7">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14:textFill>
                        <w14:solidFill>
                          <w14:schemeClr w14:val="tx1"/>
                        </w14:solidFill>
                      </w14:textFill>
                    </w:rPr>
                    <w:t>列入《产业结构调整指导目录》淘汰类的现状企业，应制定调整计划。生态环境治理措施不符合现行生态环境保护要求、资源能源消耗高、涉及大量排放区域超标污染物的现有企业，应制定整治计划。在调整、整治过渡期内，应严格控制相关企业生产规模，禁止新增产生环境污染的产能和产品。</w:t>
                  </w:r>
                </w:p>
                <w:p w14:paraId="66AF3269">
                  <w:pPr>
                    <w:pStyle w:val="109"/>
                    <w:keepNext w:val="0"/>
                    <w:keepLines w:val="0"/>
                    <w:pageBreakBefore w:val="0"/>
                    <w:widowControl w:val="0"/>
                    <w:kinsoku/>
                    <w:wordWrap/>
                    <w:overflowPunct/>
                    <w:topLinePunct w:val="0"/>
                    <w:bidi w:val="0"/>
                    <w:spacing w:beforeLines="0" w:afterLines="0" w:line="260" w:lineRule="exact"/>
                    <w:jc w:val="left"/>
                    <w:textAlignment w:val="auto"/>
                    <w:rPr>
                      <w:rFonts w:hint="eastAsia"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14:textFill>
                        <w14:solidFill>
                          <w14:schemeClr w14:val="tx1"/>
                        </w14:solidFill>
                      </w14:textFill>
                    </w:rPr>
                    <w:t>结合产业结构调整和城市转型升级，研究解决结构性污染问题，有计划地推进重污染企业退城入园。</w:t>
                  </w:r>
                </w:p>
                <w:p w14:paraId="4577945A">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严格高能耗、高物耗、高水耗和产能过剩、低水平重复建设项目，以及涉及危险化学品、重金属和其他具有重大环境风险建设项目的审批和备案。老工业城市中采用嫁接、兼并、重组、拍卖、转让等方式进行盘活的企业，在防止污染转移的基础上，应积极承接有利于延伸产业链、提高技术水平、促进资源综合利用、充分吸纳就业的产业，因地制宜发展优势特色产业。</w:t>
                  </w:r>
                </w:p>
              </w:tc>
              <w:tc>
                <w:tcPr>
                  <w:tcW w:w="837" w:type="pct"/>
                  <w:tcBorders>
                    <w:tl2br w:val="nil"/>
                    <w:tr2bl w:val="nil"/>
                  </w:tcBorders>
                  <w:noWrap w:val="0"/>
                  <w:vAlign w:val="center"/>
                </w:tcPr>
                <w:p w14:paraId="34AC9D0F">
                  <w:pPr>
                    <w:pStyle w:val="109"/>
                    <w:keepNext w:val="0"/>
                    <w:keepLines w:val="0"/>
                    <w:pageBreakBefore w:val="0"/>
                    <w:widowControl w:val="0"/>
                    <w:kinsoku/>
                    <w:wordWrap/>
                    <w:overflowPunct/>
                    <w:topLinePunct w:val="0"/>
                    <w:bidi w:val="0"/>
                    <w:spacing w:beforeLines="0" w:afterLines="0" w:line="260" w:lineRule="exact"/>
                    <w:jc w:val="both"/>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eastAsia="宋体" w:cs="Times New Roman"/>
                      <w:color w:val="000000" w:themeColor="text1"/>
                      <w:sz w:val="18"/>
                      <w:szCs w:val="18"/>
                      <w:highlight w:val="none"/>
                      <w:lang w:val="en-US" w:eastAsia="zh-CN"/>
                      <w14:textFill>
                        <w14:solidFill>
                          <w14:schemeClr w14:val="tx1"/>
                        </w14:solidFill>
                      </w14:textFill>
                    </w:rPr>
                    <w:t>本项目不属于上述禁止类项目，位于规划的产业园区内</w:t>
                  </w:r>
                </w:p>
              </w:tc>
              <w:tc>
                <w:tcPr>
                  <w:tcW w:w="316" w:type="pct"/>
                  <w:tcBorders>
                    <w:tl2br w:val="nil"/>
                    <w:tr2bl w:val="nil"/>
                  </w:tcBorders>
                  <w:noWrap w:val="0"/>
                  <w:vAlign w:val="center"/>
                </w:tcPr>
                <w:p w14:paraId="4E90D7BC">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符合</w:t>
                  </w:r>
                </w:p>
              </w:tc>
            </w:tr>
            <w:tr w14:paraId="6C1EF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 w:type="pct"/>
                  <w:vMerge w:val="restart"/>
                  <w:tcBorders>
                    <w:tl2br w:val="nil"/>
                    <w:tr2bl w:val="nil"/>
                  </w:tcBorders>
                  <w:noWrap w:val="0"/>
                  <w:vAlign w:val="center"/>
                </w:tcPr>
                <w:p w14:paraId="641CF9A1">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污染物排放管控</w:t>
                  </w:r>
                </w:p>
              </w:tc>
              <w:tc>
                <w:tcPr>
                  <w:tcW w:w="354" w:type="pct"/>
                  <w:vMerge w:val="restart"/>
                  <w:tcBorders>
                    <w:tl2br w:val="nil"/>
                    <w:tr2bl w:val="nil"/>
                  </w:tcBorders>
                  <w:noWrap w:val="0"/>
                  <w:vAlign w:val="center"/>
                </w:tcPr>
                <w:p w14:paraId="1AF170D3">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000000" w:themeColor="text1"/>
                      <w:kern w:val="0"/>
                      <w:sz w:val="18"/>
                      <w:szCs w:val="18"/>
                      <w14:textFill>
                        <w14:solidFill>
                          <w14:schemeClr w14:val="tx1"/>
                        </w14:solidFill>
                      </w14:textFill>
                    </w:rPr>
                  </w:pPr>
                  <w:r>
                    <w:rPr>
                      <w:rFonts w:hint="default" w:ascii="Times New Roman" w:hAnsi="Times New Roman" w:eastAsia="宋体" w:cs="Times New Roman"/>
                      <w:b w:val="0"/>
                      <w:bCs/>
                      <w:color w:val="000000" w:themeColor="text1"/>
                      <w:kern w:val="0"/>
                      <w:sz w:val="18"/>
                      <w:szCs w:val="18"/>
                      <w14:textFill>
                        <w14:solidFill>
                          <w14:schemeClr w14:val="tx1"/>
                        </w14:solidFill>
                      </w14:textFill>
                    </w:rPr>
                    <w:t>环境</w:t>
                  </w:r>
                </w:p>
                <w:p w14:paraId="6A6B096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18"/>
                      <w:szCs w:val="18"/>
                      <w14:textFill>
                        <w14:solidFill>
                          <w14:schemeClr w14:val="tx1"/>
                        </w14:solidFill>
                      </w14:textFill>
                    </w:rPr>
                    <w:t>质量目标</w:t>
                  </w:r>
                </w:p>
              </w:tc>
              <w:tc>
                <w:tcPr>
                  <w:tcW w:w="3208" w:type="pct"/>
                  <w:tcBorders>
                    <w:tl2br w:val="nil"/>
                    <w:tr2bl w:val="nil"/>
                  </w:tcBorders>
                  <w:noWrap w:val="0"/>
                  <w:vAlign w:val="center"/>
                </w:tcPr>
                <w:p w14:paraId="6AF7ABF1">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2025年PM2.5年均浓度达到29微克/立方米，优良天数比例达到90%，重度及以上污染天数不超过2天；2035年继续改善（沙尘影响不计入）。</w:t>
                  </w:r>
                </w:p>
              </w:tc>
              <w:tc>
                <w:tcPr>
                  <w:tcW w:w="837" w:type="pct"/>
                  <w:tcBorders>
                    <w:tl2br w:val="nil"/>
                    <w:tr2bl w:val="nil"/>
                  </w:tcBorders>
                  <w:noWrap w:val="0"/>
                  <w:vAlign w:val="center"/>
                </w:tcPr>
                <w:p w14:paraId="15EDF7FE">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eastAsia="宋体" w:cs="Times New Roman"/>
                      <w:color w:val="000000" w:themeColor="text1"/>
                      <w:sz w:val="18"/>
                      <w:szCs w:val="18"/>
                      <w:highlight w:val="none"/>
                      <w:lang w:val="en-US" w:eastAsia="zh-CN"/>
                      <w14:textFill>
                        <w14:solidFill>
                          <w14:schemeClr w14:val="tx1"/>
                        </w14:solidFill>
                      </w14:textFill>
                    </w:rPr>
                    <w:t>严格废气治理措施，确保污染物达标排放，不影响大气环境改善计划</w:t>
                  </w:r>
                </w:p>
              </w:tc>
              <w:tc>
                <w:tcPr>
                  <w:tcW w:w="316" w:type="pct"/>
                  <w:tcBorders>
                    <w:tl2br w:val="nil"/>
                    <w:tr2bl w:val="nil"/>
                  </w:tcBorders>
                  <w:noWrap w:val="0"/>
                  <w:vAlign w:val="center"/>
                </w:tcPr>
                <w:p w14:paraId="62B498D1">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符合</w:t>
                  </w:r>
                </w:p>
              </w:tc>
            </w:tr>
            <w:tr w14:paraId="2383F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tl2br w:val="nil"/>
                    <w:tr2bl w:val="nil"/>
                  </w:tcBorders>
                  <w:noWrap w:val="0"/>
                  <w:vAlign w:val="center"/>
                </w:tcPr>
                <w:p w14:paraId="1C402575">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354" w:type="pct"/>
                  <w:vMerge w:val="continue"/>
                  <w:tcBorders>
                    <w:tl2br w:val="nil"/>
                    <w:tr2bl w:val="nil"/>
                  </w:tcBorders>
                  <w:noWrap w:val="0"/>
                  <w:vAlign w:val="center"/>
                </w:tcPr>
                <w:p w14:paraId="11F74BB8">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000000" w:themeColor="text1"/>
                      <w:kern w:val="0"/>
                      <w:sz w:val="18"/>
                      <w:szCs w:val="18"/>
                      <w:lang w:val="en-US" w:eastAsia="zh-CN"/>
                      <w14:textFill>
                        <w14:solidFill>
                          <w14:schemeClr w14:val="tx1"/>
                        </w14:solidFill>
                      </w14:textFill>
                    </w:rPr>
                  </w:pPr>
                </w:p>
              </w:tc>
              <w:tc>
                <w:tcPr>
                  <w:tcW w:w="3208" w:type="pct"/>
                  <w:tcBorders>
                    <w:tl2br w:val="nil"/>
                    <w:tr2bl w:val="nil"/>
                  </w:tcBorders>
                  <w:noWrap w:val="0"/>
                  <w:vAlign w:val="center"/>
                </w:tcPr>
                <w:p w14:paraId="100DC180">
                  <w:pPr>
                    <w:spacing w:line="300" w:lineRule="exact"/>
                    <w:jc w:val="left"/>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t>2025年劣Ⅴ类水体全面消除，地表水质量达到或好于国家或省考核标准，河流生态水量得到基本保障，生态环境质量实现根本好转，水生态系统功能初步恢复。2035年水生态环境质量在满足水生态功能区要求外，河流生态水量得到根本保障，水生态系统功能全面改善。</w:t>
                  </w:r>
                </w:p>
                <w:p w14:paraId="5B8B4055">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t>大力推进污水处理设施和配套管网建设，力争在能形成地表径流的沿河乡镇村屯建成生活污水处理设施，鼓励以县为单位整县推进乡镇污水处理设施运维。</w:t>
                  </w:r>
                </w:p>
              </w:tc>
              <w:tc>
                <w:tcPr>
                  <w:tcW w:w="837" w:type="pct"/>
                  <w:tcBorders>
                    <w:tl2br w:val="nil"/>
                    <w:tr2bl w:val="nil"/>
                  </w:tcBorders>
                  <w:noWrap w:val="0"/>
                  <w:vAlign w:val="center"/>
                </w:tcPr>
                <w:p w14:paraId="52C39BE9">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废水间接排放，不设置入河排污口</w:t>
                  </w:r>
                </w:p>
              </w:tc>
              <w:tc>
                <w:tcPr>
                  <w:tcW w:w="316" w:type="pct"/>
                  <w:tcBorders>
                    <w:tl2br w:val="nil"/>
                    <w:tr2bl w:val="nil"/>
                  </w:tcBorders>
                  <w:noWrap w:val="0"/>
                  <w:vAlign w:val="center"/>
                </w:tcPr>
                <w:p w14:paraId="4A2F6AC5">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符合</w:t>
                  </w:r>
                </w:p>
              </w:tc>
            </w:tr>
            <w:tr w14:paraId="26FF3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 w:type="pct"/>
                  <w:tcBorders>
                    <w:tl2br w:val="nil"/>
                    <w:tr2bl w:val="nil"/>
                  </w:tcBorders>
                  <w:noWrap w:val="0"/>
                  <w:vAlign w:val="center"/>
                </w:tcPr>
                <w:p w14:paraId="7CA574D6">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环境风险防控</w:t>
                  </w:r>
                </w:p>
              </w:tc>
              <w:tc>
                <w:tcPr>
                  <w:tcW w:w="3562" w:type="pct"/>
                  <w:gridSpan w:val="2"/>
                  <w:tcBorders>
                    <w:tl2br w:val="nil"/>
                    <w:tr2bl w:val="nil"/>
                  </w:tcBorders>
                  <w:noWrap w:val="0"/>
                  <w:vAlign w:val="center"/>
                </w:tcPr>
                <w:p w14:paraId="14A78171">
                  <w:pPr>
                    <w:spacing w:line="300" w:lineRule="exact"/>
                    <w:jc w:val="left"/>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t>突出水环境风险防控。组织推广“南阳实践”，坚持“以空间换时间”，制定实施河流环境应急“一河一策一图”。加强突发水污染事件风险管控，推动重点化工园区健全完善三级应急防控体系。</w:t>
                  </w:r>
                </w:p>
                <w:p w14:paraId="45771EA9">
                  <w:pPr>
                    <w:spacing w:line="300" w:lineRule="exact"/>
                    <w:jc w:val="left"/>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t>加强对饮用水水源地、源头水保护区等敏感水体上游的移动源管控。实施跨省界河流的风险协作与联动机制。</w:t>
                  </w:r>
                </w:p>
              </w:tc>
              <w:tc>
                <w:tcPr>
                  <w:tcW w:w="837" w:type="pct"/>
                  <w:tcBorders>
                    <w:tl2br w:val="nil"/>
                    <w:tr2bl w:val="nil"/>
                  </w:tcBorders>
                  <w:noWrap w:val="0"/>
                  <w:vAlign w:val="center"/>
                </w:tcPr>
                <w:p w14:paraId="1F8A96D0">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不涉及饮用水源地</w:t>
                  </w:r>
                </w:p>
              </w:tc>
              <w:tc>
                <w:tcPr>
                  <w:tcW w:w="316" w:type="pct"/>
                  <w:tcBorders>
                    <w:tl2br w:val="nil"/>
                    <w:tr2bl w:val="nil"/>
                  </w:tcBorders>
                  <w:noWrap w:val="0"/>
                  <w:vAlign w:val="center"/>
                </w:tcPr>
                <w:p w14:paraId="24E0555A">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r>
            <w:tr w14:paraId="6B262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 w:type="pct"/>
                  <w:vMerge w:val="restart"/>
                  <w:tcBorders>
                    <w:tl2br w:val="nil"/>
                    <w:tr2bl w:val="nil"/>
                  </w:tcBorders>
                  <w:noWrap w:val="0"/>
                  <w:vAlign w:val="center"/>
                </w:tcPr>
                <w:p w14:paraId="18658EE3">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资源利用要求</w:t>
                  </w:r>
                </w:p>
              </w:tc>
              <w:tc>
                <w:tcPr>
                  <w:tcW w:w="354" w:type="pct"/>
                  <w:tcBorders>
                    <w:tl2br w:val="nil"/>
                    <w:tr2bl w:val="nil"/>
                  </w:tcBorders>
                  <w:noWrap w:val="0"/>
                  <w:vAlign w:val="center"/>
                </w:tcPr>
                <w:p w14:paraId="14AC45C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18"/>
                      <w:szCs w:val="18"/>
                      <w14:textFill>
                        <w14:solidFill>
                          <w14:schemeClr w14:val="tx1"/>
                        </w14:solidFill>
                      </w14:textFill>
                    </w:rPr>
                    <w:t>水资源</w:t>
                  </w:r>
                </w:p>
              </w:tc>
              <w:tc>
                <w:tcPr>
                  <w:tcW w:w="3208" w:type="pct"/>
                  <w:tcBorders>
                    <w:tl2br w:val="nil"/>
                    <w:tr2bl w:val="nil"/>
                  </w:tcBorders>
                  <w:noWrap w:val="0"/>
                  <w:vAlign w:val="center"/>
                </w:tcPr>
                <w:p w14:paraId="61AC51C5">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2025年用水量控制在8.11亿立方米，2035年用水量控制在8.8亿立方米。</w:t>
                  </w:r>
                </w:p>
              </w:tc>
              <w:tc>
                <w:tcPr>
                  <w:tcW w:w="837" w:type="pct"/>
                  <w:tcBorders>
                    <w:tl2br w:val="nil"/>
                    <w:tr2bl w:val="nil"/>
                  </w:tcBorders>
                  <w:noWrap w:val="0"/>
                  <w:vAlign w:val="center"/>
                </w:tcPr>
                <w:p w14:paraId="57F32185">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eastAsia="宋体" w:cs="Times New Roman"/>
                      <w:color w:val="000000" w:themeColor="text1"/>
                      <w:sz w:val="18"/>
                      <w:szCs w:val="18"/>
                      <w:highlight w:val="none"/>
                      <w:lang w:val="en-US" w:eastAsia="zh-CN"/>
                      <w14:textFill>
                        <w14:solidFill>
                          <w14:schemeClr w14:val="tx1"/>
                        </w14:solidFill>
                      </w14:textFill>
                    </w:rPr>
                    <w:t>不属于高耗水项目</w:t>
                  </w:r>
                </w:p>
              </w:tc>
              <w:tc>
                <w:tcPr>
                  <w:tcW w:w="316" w:type="pct"/>
                  <w:tcBorders>
                    <w:tl2br w:val="nil"/>
                    <w:tr2bl w:val="nil"/>
                  </w:tcBorders>
                  <w:noWrap w:val="0"/>
                  <w:vAlign w:val="center"/>
                </w:tcPr>
                <w:p w14:paraId="0E830FFA">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符合</w:t>
                  </w:r>
                </w:p>
              </w:tc>
            </w:tr>
            <w:tr w14:paraId="76FD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 w:type="pct"/>
                  <w:vMerge w:val="continue"/>
                  <w:tcBorders>
                    <w:tl2br w:val="nil"/>
                    <w:tr2bl w:val="nil"/>
                  </w:tcBorders>
                  <w:noWrap w:val="0"/>
                  <w:vAlign w:val="center"/>
                </w:tcPr>
                <w:p w14:paraId="1851305B">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354" w:type="pct"/>
                  <w:tcBorders>
                    <w:tl2br w:val="nil"/>
                    <w:tr2bl w:val="nil"/>
                  </w:tcBorders>
                  <w:noWrap w:val="0"/>
                  <w:vAlign w:val="center"/>
                </w:tcPr>
                <w:p w14:paraId="146A0889">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18"/>
                      <w:szCs w:val="18"/>
                      <w14:textFill>
                        <w14:solidFill>
                          <w14:schemeClr w14:val="tx1"/>
                        </w14:solidFill>
                      </w14:textFill>
                    </w:rPr>
                    <w:t>土地资源</w:t>
                  </w:r>
                </w:p>
              </w:tc>
              <w:tc>
                <w:tcPr>
                  <w:tcW w:w="3208" w:type="pct"/>
                  <w:tcBorders>
                    <w:tl2br w:val="nil"/>
                    <w:tr2bl w:val="nil"/>
                  </w:tcBorders>
                  <w:noWrap w:val="0"/>
                  <w:vAlign w:val="center"/>
                </w:tcPr>
                <w:p w14:paraId="7A0DB46D">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2025年耕地保有量不低于6720.71平方千米；永久基本农田保护面积不低于5166.67平方千米；城镇开发边界控制在212.66平方千米以内。</w:t>
                  </w:r>
                </w:p>
              </w:tc>
              <w:tc>
                <w:tcPr>
                  <w:tcW w:w="837" w:type="pct"/>
                  <w:tcBorders>
                    <w:tl2br w:val="nil"/>
                    <w:tr2bl w:val="nil"/>
                  </w:tcBorders>
                  <w:noWrap w:val="0"/>
                  <w:vAlign w:val="center"/>
                </w:tcPr>
                <w:p w14:paraId="3EE472E3">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eastAsia" w:ascii="Times New Roman" w:eastAsia="宋体" w:cs="Times New Roman"/>
                      <w:color w:val="000000" w:themeColor="text1"/>
                      <w:sz w:val="18"/>
                      <w:szCs w:val="18"/>
                      <w:highlight w:val="none"/>
                      <w:lang w:val="en-US" w:eastAsia="zh-CN"/>
                      <w14:textFill>
                        <w14:solidFill>
                          <w14:schemeClr w14:val="tx1"/>
                        </w14:solidFill>
                      </w14:textFill>
                    </w:rPr>
                    <w:t>位于城镇开发边界内，不新增占地</w:t>
                  </w:r>
                </w:p>
              </w:tc>
              <w:tc>
                <w:tcPr>
                  <w:tcW w:w="316" w:type="pct"/>
                  <w:tcBorders>
                    <w:tl2br w:val="nil"/>
                    <w:tr2bl w:val="nil"/>
                  </w:tcBorders>
                  <w:noWrap w:val="0"/>
                  <w:vAlign w:val="center"/>
                </w:tcPr>
                <w:p w14:paraId="239F7475">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符合</w:t>
                  </w:r>
                </w:p>
              </w:tc>
            </w:tr>
            <w:tr w14:paraId="500EF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2" w:type="pct"/>
                  <w:vMerge w:val="continue"/>
                  <w:noWrap w:val="0"/>
                  <w:vAlign w:val="center"/>
                </w:tcPr>
                <w:p w14:paraId="1732678D">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354" w:type="pct"/>
                  <w:noWrap w:val="0"/>
                  <w:vAlign w:val="center"/>
                </w:tcPr>
                <w:p w14:paraId="74189DCB">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val="0"/>
                      <w:bCs/>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18"/>
                      <w:szCs w:val="18"/>
                      <w14:textFill>
                        <w14:solidFill>
                          <w14:schemeClr w14:val="tx1"/>
                        </w14:solidFill>
                      </w14:textFill>
                    </w:rPr>
                    <w:t>能源</w:t>
                  </w:r>
                </w:p>
              </w:tc>
              <w:tc>
                <w:tcPr>
                  <w:tcW w:w="3208" w:type="pct"/>
                  <w:noWrap w:val="0"/>
                  <w:vAlign w:val="center"/>
                </w:tcPr>
                <w:p w14:paraId="6735DBF0">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2025年煤炭消费总量控制在924.67万吨以内。</w:t>
                  </w:r>
                </w:p>
              </w:tc>
              <w:tc>
                <w:tcPr>
                  <w:tcW w:w="837" w:type="pct"/>
                  <w:noWrap w:val="0"/>
                  <w:vAlign w:val="center"/>
                </w:tcPr>
                <w:p w14:paraId="00155785">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不使用煤炭</w:t>
                  </w:r>
                </w:p>
              </w:tc>
              <w:tc>
                <w:tcPr>
                  <w:tcW w:w="316" w:type="pct"/>
                  <w:noWrap w:val="0"/>
                  <w:vAlign w:val="center"/>
                </w:tcPr>
                <w:p w14:paraId="3F85876B">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符合</w:t>
                  </w:r>
                </w:p>
              </w:tc>
            </w:tr>
            <w:tr w14:paraId="4BCF9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3" w:type="pct"/>
                  <w:gridSpan w:val="4"/>
                  <w:noWrap w:val="0"/>
                  <w:vAlign w:val="center"/>
                </w:tcPr>
                <w:p w14:paraId="26E4E667">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重点流域总体准入要求（辽河流域）</w:t>
                  </w:r>
                </w:p>
              </w:tc>
              <w:tc>
                <w:tcPr>
                  <w:tcW w:w="316" w:type="pct"/>
                  <w:noWrap w:val="0"/>
                  <w:vAlign w:val="center"/>
                </w:tcPr>
                <w:p w14:paraId="19798588">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r>
            <w:tr w14:paraId="2E39A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6" w:type="pct"/>
                  <w:gridSpan w:val="2"/>
                  <w:noWrap w:val="0"/>
                  <w:vAlign w:val="center"/>
                </w:tcPr>
                <w:p w14:paraId="74D64991">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18"/>
                      <w:szCs w:val="18"/>
                      <w:highlight w:val="none"/>
                      <w14:textFill>
                        <w14:solidFill>
                          <w14:schemeClr w14:val="tx1"/>
                        </w14:solidFill>
                      </w14:textFill>
                    </w:rPr>
                    <w:t>污染物排放管控</w:t>
                  </w:r>
                </w:p>
              </w:tc>
              <w:tc>
                <w:tcPr>
                  <w:tcW w:w="3208" w:type="pct"/>
                  <w:noWrap w:val="0"/>
                  <w:vAlign w:val="center"/>
                </w:tcPr>
                <w:p w14:paraId="37B76B12">
                  <w:pPr>
                    <w:pStyle w:val="109"/>
                    <w:keepNext w:val="0"/>
                    <w:keepLines w:val="0"/>
                    <w:pageBreakBefore w:val="0"/>
                    <w:widowControl w:val="0"/>
                    <w:kinsoku/>
                    <w:wordWrap/>
                    <w:overflowPunct/>
                    <w:topLinePunct w:val="0"/>
                    <w:bidi w:val="0"/>
                    <w:spacing w:beforeLines="0" w:afterLines="0" w:line="260" w:lineRule="exact"/>
                    <w:jc w:val="left"/>
                    <w:textAlignment w:val="auto"/>
                    <w:rPr>
                      <w:rFonts w:hint="default" w:ascii="Times New Roman" w:hAnsi="Times New Roman" w:eastAsia="宋体" w:cs="Times New Roman"/>
                      <w:bCs/>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严格执行《吉林省辽河流域水环境保护条例》</w:t>
                  </w: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14:textFill>
                        <w14:solidFill>
                          <w14:schemeClr w14:val="tx1"/>
                        </w14:solidFill>
                      </w14:textFill>
                    </w:rPr>
                    <w:t>四平市辽河流域协同保护条例</w:t>
                  </w: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四平市河道管理条例</w:t>
                  </w: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837" w:type="pct"/>
                  <w:noWrap w:val="0"/>
                  <w:vAlign w:val="center"/>
                </w:tcPr>
                <w:p w14:paraId="06521EB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60" w:lineRule="exact"/>
                    <w:ind w:left="0" w:leftChars="0" w:firstLine="0" w:firstLineChars="0"/>
                    <w:jc w:val="center"/>
                    <w:textAlignment w:val="auto"/>
                    <w:rPr>
                      <w:rFonts w:hint="default" w:ascii="Times New Roman" w:hAnsi="Times New Roman" w:eastAsia="宋体" w:cs="Times New Roman"/>
                      <w:color w:val="000000" w:themeColor="text1"/>
                      <w:kern w:val="0"/>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14:textFill>
                        <w14:solidFill>
                          <w14:schemeClr w14:val="tx1"/>
                        </w14:solidFill>
                      </w14:textFill>
                    </w:rPr>
                    <w:t>严格执行</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相关文件要求</w:t>
                  </w:r>
                </w:p>
              </w:tc>
              <w:tc>
                <w:tcPr>
                  <w:tcW w:w="316" w:type="pct"/>
                  <w:noWrap w:val="0"/>
                  <w:vAlign w:val="center"/>
                </w:tcPr>
                <w:p w14:paraId="17741B7F">
                  <w:pPr>
                    <w:pStyle w:val="109"/>
                    <w:keepNext w:val="0"/>
                    <w:keepLines w:val="0"/>
                    <w:pageBreakBefore w:val="0"/>
                    <w:widowControl w:val="0"/>
                    <w:kinsoku/>
                    <w:wordWrap/>
                    <w:overflowPunct/>
                    <w:topLinePunct w:val="0"/>
                    <w:bidi w:val="0"/>
                    <w:spacing w:beforeLines="0" w:afterLines="0" w:line="260" w:lineRule="exact"/>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eastAsia="宋体" w:cs="Times New Roman"/>
                      <w:color w:val="000000" w:themeColor="text1"/>
                      <w:sz w:val="18"/>
                      <w:szCs w:val="18"/>
                      <w:highlight w:val="none"/>
                      <w:lang w:val="en-US" w:eastAsia="zh-CN"/>
                      <w14:textFill>
                        <w14:solidFill>
                          <w14:schemeClr w14:val="tx1"/>
                        </w14:solidFill>
                      </w14:textFill>
                    </w:rPr>
                    <w:t>符合</w:t>
                  </w:r>
                </w:p>
              </w:tc>
            </w:tr>
            <w:tr w14:paraId="4AD88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17C91BD6">
                  <w:pPr>
                    <w:pStyle w:val="109"/>
                    <w:keepNext w:val="0"/>
                    <w:keepLines w:val="0"/>
                    <w:pageBreakBefore w:val="0"/>
                    <w:widowControl w:val="0"/>
                    <w:kinsoku/>
                    <w:wordWrap/>
                    <w:overflowPunct/>
                    <w:topLinePunct w:val="0"/>
                    <w:bidi w:val="0"/>
                    <w:spacing w:beforeLines="0" w:afterLines="0" w:line="260" w:lineRule="exact"/>
                    <w:jc w:val="both"/>
                    <w:textAlignment w:val="auto"/>
                    <w:rPr>
                      <w:rFonts w:hint="default" w:asci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eastAsia="宋体" w:cs="Times New Roman"/>
                      <w:color w:val="000000" w:themeColor="text1"/>
                      <w:sz w:val="18"/>
                      <w:szCs w:val="18"/>
                      <w:highlight w:val="none"/>
                      <w:lang w:val="en-US" w:eastAsia="zh-CN"/>
                      <w14:textFill>
                        <w14:solidFill>
                          <w14:schemeClr w14:val="tx1"/>
                        </w14:solidFill>
                      </w14:textFill>
                    </w:rPr>
                    <w:t>注：其他重点流域总体准入要求与吉林省总体准入要求一致，不赘述。</w:t>
                  </w:r>
                </w:p>
              </w:tc>
            </w:tr>
          </w:tbl>
          <w:p w14:paraId="7B2D233F">
            <w:pPr>
              <w:pStyle w:val="24"/>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b/>
                <w:bCs/>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3）与《四平红嘴经济开发区生态环境准入清单》符合性分析</w:t>
            </w:r>
          </w:p>
          <w:p w14:paraId="2565BA51">
            <w:pPr>
              <w:pStyle w:val="24"/>
              <w:ind w:firstLine="1054" w:firstLineChars="500"/>
              <w:rPr>
                <w:rFonts w:hint="eastAsia" w:eastAsia="仿宋_GB2312"/>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表1－4  与</w:t>
            </w:r>
            <w:r>
              <w:rPr>
                <w:rFonts w:ascii="Times New Roman" w:hAnsi="Times New Roman" w:eastAsia="仿宋_GB2312" w:cs="Times New Roman"/>
                <w:b/>
                <w:bCs/>
                <w:color w:val="000000" w:themeColor="text1"/>
                <w:sz w:val="21"/>
                <w:szCs w:val="21"/>
                <w14:textFill>
                  <w14:solidFill>
                    <w14:schemeClr w14:val="tx1"/>
                  </w14:solidFill>
                </w14:textFill>
              </w:rPr>
              <w:t>四平</w:t>
            </w:r>
            <w:r>
              <w:rPr>
                <w:rFonts w:hint="eastAsia" w:ascii="Times New Roman" w:hAnsi="Times New Roman" w:eastAsia="仿宋_GB2312" w:cs="Times New Roman"/>
                <w:b/>
                <w:bCs/>
                <w:color w:val="000000" w:themeColor="text1"/>
                <w:sz w:val="21"/>
                <w:szCs w:val="21"/>
                <w:lang w:eastAsia="zh-CN"/>
                <w14:textFill>
                  <w14:solidFill>
                    <w14:schemeClr w14:val="tx1"/>
                  </w14:solidFill>
                </w14:textFill>
              </w:rPr>
              <w:t>红嘴经济开发区</w:t>
            </w:r>
            <w:r>
              <w:rPr>
                <w:rFonts w:ascii="Times New Roman" w:hAnsi="Times New Roman" w:eastAsia="仿宋_GB2312" w:cs="Times New Roman"/>
                <w:b/>
                <w:bCs/>
                <w:color w:val="000000" w:themeColor="text1"/>
                <w:sz w:val="21"/>
                <w:szCs w:val="21"/>
                <w14:textFill>
                  <w14:solidFill>
                    <w14:schemeClr w14:val="tx1"/>
                  </w14:solidFill>
                </w14:textFill>
              </w:rPr>
              <w:t>生态环境准入清单</w:t>
            </w:r>
            <w:r>
              <w:rPr>
                <w:rFonts w:hint="eastAsia" w:ascii="Times New Roman" w:hAnsi="Times New Roman" w:eastAsia="仿宋_GB2312" w:cs="Times New Roman"/>
                <w:b/>
                <w:bCs/>
                <w:color w:val="000000" w:themeColor="text1"/>
                <w:sz w:val="21"/>
                <w:szCs w:val="21"/>
                <w:lang w:eastAsia="zh-CN"/>
                <w14:textFill>
                  <w14:solidFill>
                    <w14:schemeClr w14:val="tx1"/>
                  </w14:solidFill>
                </w14:textFill>
              </w:rPr>
              <w:t>符合性</w:t>
            </w:r>
          </w:p>
          <w:tbl>
            <w:tblPr>
              <w:tblStyle w:val="25"/>
              <w:tblW w:w="498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6"/>
              <w:gridCol w:w="396"/>
              <w:gridCol w:w="621"/>
              <w:gridCol w:w="691"/>
              <w:gridCol w:w="3418"/>
              <w:gridCol w:w="973"/>
              <w:gridCol w:w="471"/>
            </w:tblGrid>
            <w:tr w14:paraId="38AB0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48" w:type="pct"/>
                  <w:tcBorders>
                    <w:tl2br w:val="nil"/>
                    <w:tr2bl w:val="nil"/>
                  </w:tcBorders>
                  <w:noWrap w:val="0"/>
                  <w:vAlign w:val="center"/>
                </w:tcPr>
                <w:p w14:paraId="01A6D2BB">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编码</w:t>
                  </w:r>
                </w:p>
              </w:tc>
              <w:tc>
                <w:tcPr>
                  <w:tcW w:w="229" w:type="pct"/>
                  <w:tcBorders>
                    <w:tl2br w:val="nil"/>
                    <w:tr2bl w:val="nil"/>
                  </w:tcBorders>
                  <w:noWrap w:val="0"/>
                  <w:vAlign w:val="center"/>
                </w:tcPr>
                <w:p w14:paraId="10163D5C">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名称</w:t>
                  </w:r>
                </w:p>
              </w:tc>
              <w:tc>
                <w:tcPr>
                  <w:tcW w:w="419" w:type="pct"/>
                  <w:tcBorders>
                    <w:tl2br w:val="nil"/>
                    <w:tr2bl w:val="nil"/>
                  </w:tcBorders>
                  <w:noWrap w:val="0"/>
                  <w:vAlign w:val="center"/>
                </w:tcPr>
                <w:p w14:paraId="1EDDEFB2">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管控单元分类</w:t>
                  </w:r>
                </w:p>
              </w:tc>
              <w:tc>
                <w:tcPr>
                  <w:tcW w:w="462" w:type="pct"/>
                  <w:tcBorders>
                    <w:tl2br w:val="nil"/>
                    <w:tr2bl w:val="nil"/>
                  </w:tcBorders>
                  <w:noWrap w:val="0"/>
                  <w:vAlign w:val="center"/>
                </w:tcPr>
                <w:p w14:paraId="6EDA7F09">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管控类型</w:t>
                  </w:r>
                </w:p>
              </w:tc>
              <w:tc>
                <w:tcPr>
                  <w:tcW w:w="2175" w:type="pct"/>
                  <w:tcBorders>
                    <w:tl2br w:val="nil"/>
                    <w:tr2bl w:val="nil"/>
                  </w:tcBorders>
                  <w:noWrap w:val="0"/>
                  <w:vAlign w:val="center"/>
                </w:tcPr>
                <w:p w14:paraId="0FC84DFD">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管控要求</w:t>
                  </w:r>
                </w:p>
              </w:tc>
              <w:tc>
                <w:tcPr>
                  <w:tcW w:w="639" w:type="pct"/>
                  <w:tcBorders>
                    <w:tl2br w:val="nil"/>
                    <w:tr2bl w:val="nil"/>
                  </w:tcBorders>
                  <w:noWrap w:val="0"/>
                  <w:vAlign w:val="center"/>
                </w:tcPr>
                <w:p w14:paraId="4757CE22">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本项目</w:t>
                  </w:r>
                </w:p>
              </w:tc>
              <w:tc>
                <w:tcPr>
                  <w:tcW w:w="324" w:type="pct"/>
                  <w:tcBorders>
                    <w:tl2br w:val="nil"/>
                    <w:tr2bl w:val="nil"/>
                  </w:tcBorders>
                  <w:noWrap w:val="0"/>
                  <w:vAlign w:val="center"/>
                </w:tcPr>
                <w:p w14:paraId="7ADF8F75">
                  <w:pPr>
                    <w:keepNext w:val="0"/>
                    <w:keepLines w:val="0"/>
                    <w:pageBreakBefore w:val="0"/>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符合性</w:t>
                  </w:r>
                </w:p>
              </w:tc>
            </w:tr>
            <w:tr w14:paraId="27AB0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48" w:type="pct"/>
                  <w:vMerge w:val="restart"/>
                  <w:tcBorders>
                    <w:tl2br w:val="nil"/>
                    <w:tr2bl w:val="nil"/>
                  </w:tcBorders>
                  <w:noWrap w:val="0"/>
                  <w:vAlign w:val="center"/>
                </w:tcPr>
                <w:p w14:paraId="55A83E19">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ZH22030220002</w:t>
                  </w:r>
                </w:p>
              </w:tc>
              <w:tc>
                <w:tcPr>
                  <w:tcW w:w="229" w:type="pct"/>
                  <w:vMerge w:val="restart"/>
                  <w:tcBorders>
                    <w:tl2br w:val="nil"/>
                    <w:tr2bl w:val="nil"/>
                  </w:tcBorders>
                  <w:noWrap w:val="0"/>
                  <w:vAlign w:val="center"/>
                </w:tcPr>
                <w:p w14:paraId="39AE2EC4">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四平红嘴经济技术开发区</w:t>
                  </w:r>
                </w:p>
              </w:tc>
              <w:tc>
                <w:tcPr>
                  <w:tcW w:w="419" w:type="pct"/>
                  <w:vMerge w:val="restart"/>
                  <w:tcBorders>
                    <w:tl2br w:val="nil"/>
                    <w:tr2bl w:val="nil"/>
                  </w:tcBorders>
                  <w:noWrap w:val="0"/>
                  <w:vAlign w:val="center"/>
                </w:tcPr>
                <w:p w14:paraId="1AC68BA0">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2-重点管控</w:t>
                  </w:r>
                </w:p>
                <w:p w14:paraId="13D3B8E9">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462" w:type="pct"/>
                  <w:tcBorders>
                    <w:tl2br w:val="nil"/>
                    <w:tr2bl w:val="nil"/>
                  </w:tcBorders>
                  <w:noWrap w:val="0"/>
                  <w:vAlign w:val="center"/>
                </w:tcPr>
                <w:p w14:paraId="109BF139">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空间布局约束</w:t>
                  </w:r>
                </w:p>
              </w:tc>
              <w:tc>
                <w:tcPr>
                  <w:tcW w:w="2175" w:type="pct"/>
                  <w:tcBorders>
                    <w:tl2br w:val="nil"/>
                    <w:tr2bl w:val="nil"/>
                  </w:tcBorders>
                  <w:noWrap w:val="0"/>
                  <w:vAlign w:val="center"/>
                </w:tcPr>
                <w:p w14:paraId="60115A49">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1严格落实规划环评及其批复文件环境准入条件。</w:t>
                  </w:r>
                </w:p>
                <w:p w14:paraId="63CE37B4">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2严格控制高耗水、高污染行业发展</w:t>
                  </w:r>
                </w:p>
              </w:tc>
              <w:tc>
                <w:tcPr>
                  <w:tcW w:w="639" w:type="pct"/>
                  <w:tcBorders>
                    <w:tl2br w:val="nil"/>
                    <w:tr2bl w:val="nil"/>
                  </w:tcBorders>
                  <w:noWrap w:val="0"/>
                  <w:vAlign w:val="top"/>
                </w:tcPr>
                <w:p w14:paraId="57C60F09">
                  <w:pPr>
                    <w:keepNext w:val="0"/>
                    <w:keepLines w:val="0"/>
                    <w:pageBreakBefore w:val="0"/>
                    <w:numPr>
                      <w:ilvl w:val="0"/>
                      <w:numId w:val="1"/>
                    </w:numPr>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本项目符合规划环评及其批复文件环境准入条件。</w:t>
                  </w:r>
                </w:p>
                <w:p w14:paraId="01238CA5">
                  <w:pPr>
                    <w:keepNext w:val="0"/>
                    <w:keepLines w:val="0"/>
                    <w:pageBreakBefore w:val="0"/>
                    <w:numPr>
                      <w:ilvl w:val="0"/>
                      <w:numId w:val="1"/>
                    </w:numPr>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本项目不属于高耗水、高污染行业</w:t>
                  </w:r>
                </w:p>
              </w:tc>
              <w:tc>
                <w:tcPr>
                  <w:tcW w:w="324" w:type="pct"/>
                  <w:tcBorders>
                    <w:tl2br w:val="nil"/>
                    <w:tr2bl w:val="nil"/>
                  </w:tcBorders>
                  <w:noWrap w:val="0"/>
                  <w:vAlign w:val="center"/>
                </w:tcPr>
                <w:p w14:paraId="64D78647">
                  <w:pPr>
                    <w:keepNext w:val="0"/>
                    <w:keepLines w:val="0"/>
                    <w:pageBreakBefore w:val="0"/>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符合</w:t>
                  </w:r>
                </w:p>
              </w:tc>
            </w:tr>
            <w:tr w14:paraId="24E78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7" w:hRule="atLeast"/>
              </w:trPr>
              <w:tc>
                <w:tcPr>
                  <w:tcW w:w="748" w:type="pct"/>
                  <w:vMerge w:val="continue"/>
                  <w:tcBorders>
                    <w:tl2br w:val="nil"/>
                    <w:tr2bl w:val="nil"/>
                  </w:tcBorders>
                  <w:noWrap w:val="0"/>
                  <w:vAlign w:val="center"/>
                </w:tcPr>
                <w:p w14:paraId="21B03BB5">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229" w:type="pct"/>
                  <w:vMerge w:val="continue"/>
                  <w:tcBorders>
                    <w:tl2br w:val="nil"/>
                    <w:tr2bl w:val="nil"/>
                  </w:tcBorders>
                  <w:noWrap w:val="0"/>
                  <w:vAlign w:val="center"/>
                </w:tcPr>
                <w:p w14:paraId="45E0A971">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419" w:type="pct"/>
                  <w:vMerge w:val="continue"/>
                  <w:tcBorders>
                    <w:tl2br w:val="nil"/>
                    <w:tr2bl w:val="nil"/>
                  </w:tcBorders>
                  <w:noWrap w:val="0"/>
                  <w:vAlign w:val="center"/>
                </w:tcPr>
                <w:p w14:paraId="2C829410">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462" w:type="pct"/>
                  <w:tcBorders>
                    <w:tl2br w:val="nil"/>
                    <w:tr2bl w:val="nil"/>
                  </w:tcBorders>
                  <w:noWrap w:val="0"/>
                  <w:vAlign w:val="center"/>
                </w:tcPr>
                <w:p w14:paraId="55DE16BA">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污染物排放管控</w:t>
                  </w:r>
                </w:p>
              </w:tc>
              <w:tc>
                <w:tcPr>
                  <w:tcW w:w="2175" w:type="pct"/>
                  <w:tcBorders>
                    <w:tl2br w:val="nil"/>
                    <w:tr2bl w:val="nil"/>
                  </w:tcBorders>
                  <w:noWrap w:val="0"/>
                  <w:vAlign w:val="center"/>
                </w:tcPr>
                <w:p w14:paraId="03A448CD">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1工业涂装等涉及挥发性有机物排放的行业企业属于控制重点，应推广使用低（无）挥发性有机物含量的原辅材料，安装高效集气装置等措施，提升工艺废气、尾气收集处置率。</w:t>
                  </w:r>
                </w:p>
                <w:p w14:paraId="361689F2">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2重点行业污染治理升级改造，推进各类园区循环化改造；强化堆场扬尘控制。</w:t>
                  </w:r>
                </w:p>
                <w:p w14:paraId="2180462D">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3一体推进重点行业大气污染深度治理与节能降碳，探索开展大气污染物与温室气体排放协同控制改造提升工程试点。</w:t>
                  </w:r>
                </w:p>
                <w:p w14:paraId="0527A8F6">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4执行《吉林省新污染物治理实施方案》相关要求，加强新污染物多环境介质协同治理，全面强化清洁生产和绿色制造。</w:t>
                  </w:r>
                </w:p>
              </w:tc>
              <w:tc>
                <w:tcPr>
                  <w:tcW w:w="639" w:type="pct"/>
                  <w:tcBorders>
                    <w:tl2br w:val="nil"/>
                    <w:tr2bl w:val="nil"/>
                  </w:tcBorders>
                  <w:noWrap w:val="0"/>
                  <w:vAlign w:val="top"/>
                </w:tcPr>
                <w:p w14:paraId="0801E317">
                  <w:pPr>
                    <w:keepNext w:val="0"/>
                    <w:keepLines w:val="0"/>
                    <w:pageBreakBefore w:val="0"/>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本项目不涉及</w:t>
                  </w:r>
                </w:p>
              </w:tc>
              <w:tc>
                <w:tcPr>
                  <w:tcW w:w="324" w:type="pct"/>
                  <w:tcBorders>
                    <w:tl2br w:val="nil"/>
                    <w:tr2bl w:val="nil"/>
                  </w:tcBorders>
                  <w:noWrap w:val="0"/>
                  <w:vAlign w:val="center"/>
                </w:tcPr>
                <w:p w14:paraId="161843D2">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符合</w:t>
                  </w:r>
                </w:p>
              </w:tc>
            </w:tr>
            <w:tr w14:paraId="08D30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748" w:type="pct"/>
                  <w:vMerge w:val="continue"/>
                  <w:tcBorders>
                    <w:tl2br w:val="nil"/>
                    <w:tr2bl w:val="nil"/>
                  </w:tcBorders>
                  <w:noWrap w:val="0"/>
                  <w:vAlign w:val="center"/>
                </w:tcPr>
                <w:p w14:paraId="0AE2F13F">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229" w:type="pct"/>
                  <w:vMerge w:val="continue"/>
                  <w:tcBorders>
                    <w:tl2br w:val="nil"/>
                    <w:tr2bl w:val="nil"/>
                  </w:tcBorders>
                  <w:noWrap w:val="0"/>
                  <w:vAlign w:val="center"/>
                </w:tcPr>
                <w:p w14:paraId="3A58CE60">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419" w:type="pct"/>
                  <w:vMerge w:val="continue"/>
                  <w:tcBorders>
                    <w:tl2br w:val="nil"/>
                    <w:tr2bl w:val="nil"/>
                  </w:tcBorders>
                  <w:noWrap w:val="0"/>
                  <w:vAlign w:val="center"/>
                </w:tcPr>
                <w:p w14:paraId="2FC52FBD">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462" w:type="pct"/>
                  <w:tcBorders>
                    <w:tl2br w:val="nil"/>
                    <w:tr2bl w:val="nil"/>
                  </w:tcBorders>
                  <w:noWrap w:val="0"/>
                  <w:vAlign w:val="center"/>
                </w:tcPr>
                <w:p w14:paraId="5726031C">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环境风险防控</w:t>
                  </w:r>
                </w:p>
              </w:tc>
              <w:tc>
                <w:tcPr>
                  <w:tcW w:w="2175" w:type="pct"/>
                  <w:tcBorders>
                    <w:tl2br w:val="nil"/>
                    <w:tr2bl w:val="nil"/>
                  </w:tcBorders>
                  <w:noWrap w:val="0"/>
                  <w:vAlign w:val="center"/>
                </w:tcPr>
                <w:p w14:paraId="340F333A">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1开发区应制定环境风险应急预案，成立应急组织机构，定期开展应急演练，提高区域环境风险防范能力。</w:t>
                  </w:r>
                </w:p>
                <w:p w14:paraId="644C0BE4">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污染重点监管单位、危化品仓储企业落实《工矿用地土壤环境管理办法（试行）》要求，实施项目环评、设计建设、拆除设施、终止经营全生命周期土壤和地下水污染防治。</w:t>
                  </w:r>
                </w:p>
                <w:p w14:paraId="526FB59B">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3严格管理涉及易导致环境风险的有毒有害和易燃易爆物质的生产、使用、贮运等新建、改扩建项目。</w:t>
                  </w:r>
                </w:p>
                <w:p w14:paraId="4E6435E3">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4严格落实规划环评及其批复文件制定的环境风险防范措施。</w:t>
                  </w:r>
                </w:p>
              </w:tc>
              <w:tc>
                <w:tcPr>
                  <w:tcW w:w="639" w:type="pct"/>
                  <w:tcBorders>
                    <w:tl2br w:val="nil"/>
                    <w:tr2bl w:val="nil"/>
                  </w:tcBorders>
                  <w:noWrap w:val="0"/>
                  <w:vAlign w:val="center"/>
                </w:tcPr>
                <w:p w14:paraId="49C8E4AC">
                  <w:pPr>
                    <w:keepNext w:val="0"/>
                    <w:keepLines w:val="0"/>
                    <w:pageBreakBefore w:val="0"/>
                    <w:numPr>
                      <w:ilvl w:val="0"/>
                      <w:numId w:val="2"/>
                    </w:numPr>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本项目所在开发区已制定环境风险应急预案，定期开展应急演练</w:t>
                  </w:r>
                </w:p>
                <w:p w14:paraId="430C8DBB">
                  <w:pPr>
                    <w:keepNext w:val="0"/>
                    <w:keepLines w:val="0"/>
                    <w:pageBreakBefore w:val="0"/>
                    <w:numPr>
                      <w:ilvl w:val="0"/>
                      <w:numId w:val="2"/>
                    </w:numPr>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本项目不涉及</w:t>
                  </w:r>
                </w:p>
                <w:p w14:paraId="158C5063">
                  <w:pPr>
                    <w:keepNext w:val="0"/>
                    <w:keepLines w:val="0"/>
                    <w:pageBreakBefore w:val="0"/>
                    <w:numPr>
                      <w:ilvl w:val="0"/>
                      <w:numId w:val="2"/>
                    </w:numPr>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cs="宋体"/>
                      <w:b w:val="0"/>
                      <w:bCs w:val="0"/>
                      <w:color w:val="000000" w:themeColor="text1"/>
                      <w:sz w:val="18"/>
                      <w:szCs w:val="18"/>
                      <w:highlight w:val="none"/>
                      <w:lang w:val="en-US" w:eastAsia="zh-CN"/>
                      <w14:textFill>
                        <w14:solidFill>
                          <w14:schemeClr w14:val="tx1"/>
                        </w14:solidFill>
                      </w14:textFill>
                    </w:rPr>
                    <w:t>本项目不属于</w:t>
                  </w: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有毒有害和易燃易爆物质的生产、使用、贮运等新建、改扩建项目。</w:t>
                  </w:r>
                </w:p>
                <w:p w14:paraId="2088FBBB">
                  <w:pPr>
                    <w:keepNext w:val="0"/>
                    <w:keepLines w:val="0"/>
                    <w:pageBreakBefore w:val="0"/>
                    <w:numPr>
                      <w:ilvl w:val="0"/>
                      <w:numId w:val="2"/>
                    </w:numPr>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cs="宋体"/>
                      <w:b w:val="0"/>
                      <w:bCs w:val="0"/>
                      <w:color w:val="000000" w:themeColor="text1"/>
                      <w:sz w:val="18"/>
                      <w:szCs w:val="18"/>
                      <w:highlight w:val="none"/>
                      <w:lang w:val="en-US" w:eastAsia="zh-CN"/>
                      <w14:textFill>
                        <w14:solidFill>
                          <w14:schemeClr w14:val="tx1"/>
                        </w14:solidFill>
                      </w14:textFill>
                    </w:rPr>
                    <w:t>本项目将</w:t>
                  </w: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严格落实规划环评及其批复文件制定的环境风险防范措施。</w:t>
                  </w:r>
                </w:p>
              </w:tc>
              <w:tc>
                <w:tcPr>
                  <w:tcW w:w="324" w:type="pct"/>
                  <w:tcBorders>
                    <w:tl2br w:val="nil"/>
                    <w:tr2bl w:val="nil"/>
                  </w:tcBorders>
                  <w:noWrap w:val="0"/>
                  <w:vAlign w:val="center"/>
                </w:tcPr>
                <w:p w14:paraId="7A8D8117">
                  <w:pPr>
                    <w:keepNext w:val="0"/>
                    <w:keepLines w:val="0"/>
                    <w:pageBreakBefore w:val="0"/>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符合</w:t>
                  </w:r>
                </w:p>
              </w:tc>
            </w:tr>
            <w:tr w14:paraId="68BC7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7" w:hRule="atLeast"/>
              </w:trPr>
              <w:tc>
                <w:tcPr>
                  <w:tcW w:w="748" w:type="pct"/>
                  <w:vMerge w:val="continue"/>
                  <w:tcBorders>
                    <w:tl2br w:val="nil"/>
                    <w:tr2bl w:val="nil"/>
                  </w:tcBorders>
                  <w:noWrap w:val="0"/>
                  <w:vAlign w:val="center"/>
                </w:tcPr>
                <w:p w14:paraId="70665C89">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229" w:type="pct"/>
                  <w:vMerge w:val="continue"/>
                  <w:tcBorders>
                    <w:tl2br w:val="nil"/>
                    <w:tr2bl w:val="nil"/>
                  </w:tcBorders>
                  <w:noWrap w:val="0"/>
                  <w:vAlign w:val="center"/>
                </w:tcPr>
                <w:p w14:paraId="46822E37">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419" w:type="pct"/>
                  <w:vMerge w:val="continue"/>
                  <w:tcBorders>
                    <w:tl2br w:val="nil"/>
                    <w:tr2bl w:val="nil"/>
                  </w:tcBorders>
                  <w:noWrap w:val="0"/>
                  <w:vAlign w:val="center"/>
                </w:tcPr>
                <w:p w14:paraId="4BEC9ACD">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p>
              </w:tc>
              <w:tc>
                <w:tcPr>
                  <w:tcW w:w="462" w:type="pct"/>
                  <w:tcBorders>
                    <w:tl2br w:val="nil"/>
                    <w:tr2bl w:val="nil"/>
                  </w:tcBorders>
                  <w:noWrap w:val="0"/>
                  <w:vAlign w:val="center"/>
                </w:tcPr>
                <w:p w14:paraId="74330620">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资源开发效率</w:t>
                  </w:r>
                </w:p>
              </w:tc>
              <w:tc>
                <w:tcPr>
                  <w:tcW w:w="2175" w:type="pct"/>
                  <w:tcBorders>
                    <w:tl2br w:val="nil"/>
                    <w:tr2bl w:val="nil"/>
                  </w:tcBorders>
                  <w:noWrap w:val="0"/>
                  <w:vAlign w:val="center"/>
                </w:tcPr>
                <w:p w14:paraId="23389BE0">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1促进再生水的利用。加强工业节水及循环利用、促进城镇节水、加大农业节水力度；在优先保障生活取水和生态用水的前提下，严格按照用水总量控制红线，控制工业和农业生产取水量。</w:t>
                  </w:r>
                </w:p>
                <w:p w14:paraId="34DD727E">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2禁燃区内禁止燃用的高污染燃料按照《高污染燃料目录》中的第Ⅱ类执行；禁燃区内禁止燃用、销售高污染燃料；禁止新建、改建、扩建任何燃用高污染燃料的设施；对于现有的高污染燃料燃用设施，各类燃煤炉窑（灶）等燃用设施的单位，应当在辖区政府或相关部门规定的期限内改用天然气、液化石油气、电或者其他清洁能源。</w:t>
                  </w:r>
                </w:p>
                <w:p w14:paraId="4A867113">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3积极推进区内供热（汽）管网建设，尽快实现开发区集中供热。在实现开发区集中供热之前，应采用电加热或清洁能源作为过渡热源。园区新建供热设施按省、市相关文件要求执行排放浓度限值。</w:t>
                  </w:r>
                </w:p>
                <w:p w14:paraId="2CE09851">
                  <w:pPr>
                    <w:keepNext w:val="0"/>
                    <w:keepLines w:val="0"/>
                    <w:pageBreakBefore w:val="0"/>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4完成吉林省下达的产能置换要求。各产业执行对应的清洁生产标准。</w:t>
                  </w:r>
                </w:p>
              </w:tc>
              <w:tc>
                <w:tcPr>
                  <w:tcW w:w="639" w:type="pct"/>
                  <w:tcBorders>
                    <w:tl2br w:val="nil"/>
                    <w:tr2bl w:val="nil"/>
                  </w:tcBorders>
                  <w:noWrap w:val="0"/>
                  <w:vAlign w:val="top"/>
                </w:tcPr>
                <w:p w14:paraId="29E34FB7">
                  <w:pPr>
                    <w:keepNext w:val="0"/>
                    <w:keepLines w:val="0"/>
                    <w:pageBreakBefore w:val="0"/>
                    <w:numPr>
                      <w:ilvl w:val="0"/>
                      <w:numId w:val="3"/>
                    </w:numPr>
                    <w:kinsoku/>
                    <w:wordWrap/>
                    <w:overflowPunct/>
                    <w:topLinePunct w:val="0"/>
                    <w:bidi w:val="0"/>
                    <w:adjustRightInd w:val="0"/>
                    <w:snapToGrid w:val="0"/>
                    <w:spacing w:line="160" w:lineRule="atLeast"/>
                    <w:textAlignment w:val="auto"/>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企业采取相应的节水措施，加大节水力度。</w:t>
                  </w:r>
                </w:p>
                <w:p w14:paraId="382830AA">
                  <w:pPr>
                    <w:keepNext w:val="0"/>
                    <w:keepLines w:val="0"/>
                    <w:pageBreakBefore w:val="0"/>
                    <w:numPr>
                      <w:ilvl w:val="0"/>
                      <w:numId w:val="3"/>
                    </w:numPr>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企业位于非禁燃区</w:t>
                  </w:r>
                </w:p>
                <w:p w14:paraId="7A624DB8">
                  <w:pPr>
                    <w:keepNext w:val="0"/>
                    <w:keepLines w:val="0"/>
                    <w:pageBreakBefore w:val="0"/>
                    <w:numPr>
                      <w:ilvl w:val="0"/>
                      <w:numId w:val="3"/>
                    </w:numPr>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项目所在地未接通集中供热管线，本项目建设不新增燃煤量，新增燃料为天然气，属于清洁能源。</w:t>
                  </w:r>
                </w:p>
                <w:p w14:paraId="5A528417">
                  <w:pPr>
                    <w:keepNext w:val="0"/>
                    <w:keepLines w:val="0"/>
                    <w:pageBreakBefore w:val="0"/>
                    <w:widowControl w:val="0"/>
                    <w:numPr>
                      <w:ilvl w:val="0"/>
                      <w:numId w:val="0"/>
                    </w:numPr>
                    <w:kinsoku/>
                    <w:wordWrap/>
                    <w:overflowPunct/>
                    <w:topLinePunct w:val="0"/>
                    <w:bidi w:val="0"/>
                    <w:adjustRightInd w:val="0"/>
                    <w:snapToGrid w:val="0"/>
                    <w:spacing w:line="160" w:lineRule="atLeast"/>
                    <w:jc w:val="both"/>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4、企业满足相应清洁生产审核指标要求。</w:t>
                  </w:r>
                </w:p>
              </w:tc>
              <w:tc>
                <w:tcPr>
                  <w:tcW w:w="324" w:type="pct"/>
                  <w:tcBorders>
                    <w:tl2br w:val="nil"/>
                    <w:tr2bl w:val="nil"/>
                  </w:tcBorders>
                  <w:noWrap w:val="0"/>
                  <w:vAlign w:val="center"/>
                </w:tcPr>
                <w:p w14:paraId="31B48809">
                  <w:pPr>
                    <w:keepNext w:val="0"/>
                    <w:keepLines w:val="0"/>
                    <w:pageBreakBefore w:val="0"/>
                    <w:kinsoku/>
                    <w:wordWrap/>
                    <w:overflowPunct/>
                    <w:topLinePunct w:val="0"/>
                    <w:bidi w:val="0"/>
                    <w:adjustRightInd w:val="0"/>
                    <w:snapToGrid w:val="0"/>
                    <w:spacing w:line="160" w:lineRule="atLeast"/>
                    <w:textAlignment w:val="auto"/>
                    <w:rPr>
                      <w:rFonts w:hint="default"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符合</w:t>
                  </w:r>
                </w:p>
              </w:tc>
            </w:tr>
          </w:tbl>
          <w:p w14:paraId="4EEB4585">
            <w:pPr>
              <w:keepNext w:val="0"/>
              <w:keepLines w:val="0"/>
              <w:pageBreakBefore w:val="0"/>
              <w:widowControl w:val="0"/>
              <w:kinsoku/>
              <w:wordWrap/>
              <w:overflowPunct/>
              <w:topLinePunct w:val="0"/>
              <w:autoSpaceDE/>
              <w:autoSpaceDN/>
              <w:bidi w:val="0"/>
              <w:adjustRightInd/>
              <w:snapToGrid w:val="0"/>
              <w:spacing w:line="400" w:lineRule="exact"/>
              <w:ind w:right="0" w:rightChars="0" w:firstLine="416" w:firstLineChars="200"/>
              <w:jc w:val="left"/>
              <w:textAlignment w:val="auto"/>
              <w:outlineLvl w:val="9"/>
              <w:rPr>
                <w:rFonts w:hint="eastAsia" w:ascii="宋体" w:hAnsi="宋体" w:eastAsia="宋体" w:cs="宋体"/>
                <w:color w:val="000000" w:themeColor="text1"/>
                <w:spacing w:val="-1"/>
                <w:sz w:val="21"/>
                <w:szCs w:val="21"/>
                <w:lang w:val="en-US" w:eastAsia="zh-CN" w:bidi="ar-SA"/>
                <w14:textFill>
                  <w14:solidFill>
                    <w14:schemeClr w14:val="tx1"/>
                  </w14:solidFill>
                </w14:textFill>
              </w:rPr>
            </w:pPr>
            <w:r>
              <w:rPr>
                <w:rFonts w:hint="eastAsia" w:ascii="宋体" w:hAnsi="宋体" w:eastAsia="宋体" w:cs="宋体"/>
                <w:color w:val="000000" w:themeColor="text1"/>
                <w:spacing w:val="-1"/>
                <w:sz w:val="21"/>
                <w:szCs w:val="21"/>
                <w:lang w:val="en-US" w:eastAsia="zh-CN" w:bidi="ar-SA"/>
                <w14:textFill>
                  <w14:solidFill>
                    <w14:schemeClr w14:val="tx1"/>
                  </w14:solidFill>
                </w14:textFill>
              </w:rPr>
              <w:t>（2）环境质量底线相符性</w:t>
            </w:r>
          </w:p>
          <w:p w14:paraId="605933FF">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425" w:firstLineChars="0"/>
              <w:jc w:val="left"/>
              <w:textAlignment w:val="auto"/>
              <w:outlineLvl w:val="9"/>
              <w:rPr>
                <w:rFonts w:hint="eastAsia" w:ascii="宋体" w:hAnsi="宋体" w:eastAsia="宋体" w:cs="宋体"/>
                <w:color w:val="000000" w:themeColor="text1"/>
                <w:spacing w:val="-1"/>
                <w:sz w:val="21"/>
                <w:szCs w:val="21"/>
                <w:lang w:val="en-US" w:eastAsia="zh-CN" w:bidi="ar-SA"/>
                <w14:textFill>
                  <w14:solidFill>
                    <w14:schemeClr w14:val="tx1"/>
                  </w14:solidFill>
                </w14:textFill>
              </w:rPr>
            </w:pPr>
            <w:r>
              <w:rPr>
                <w:rFonts w:hint="eastAsia" w:ascii="宋体" w:hAnsi="宋体" w:eastAsia="宋体" w:cs="宋体"/>
                <w:color w:val="000000" w:themeColor="text1"/>
                <w:spacing w:val="-1"/>
                <w:sz w:val="21"/>
                <w:szCs w:val="21"/>
                <w:lang w:val="en-US" w:eastAsia="zh-CN" w:bidi="ar-SA"/>
                <w14:textFill>
                  <w14:solidFill>
                    <w14:schemeClr w14:val="tx1"/>
                  </w14:solidFill>
                </w14:textFill>
              </w:rPr>
              <w:t>本项目的建设不会改变城区主要河流的水质及水生生态环境。</w:t>
            </w:r>
          </w:p>
          <w:p w14:paraId="6FB9AFB8">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425" w:firstLineChars="0"/>
              <w:jc w:val="left"/>
              <w:textAlignment w:val="auto"/>
              <w:outlineLvl w:val="9"/>
              <w:rPr>
                <w:rFonts w:hint="eastAsia" w:ascii="宋体" w:hAnsi="宋体" w:eastAsia="宋体" w:cs="宋体"/>
                <w:caps w:val="0"/>
                <w:color w:val="000000" w:themeColor="text1"/>
                <w:spacing w:val="0"/>
                <w:w w:val="100"/>
                <w:kern w:val="21"/>
                <w:sz w:val="21"/>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kern w:val="21"/>
                <w:sz w:val="21"/>
                <w:szCs w:val="21"/>
                <w:lang w:val="en-US" w:eastAsia="zh-CN"/>
                <w14:textFill>
                  <w14:solidFill>
                    <w14:schemeClr w14:val="tx1"/>
                  </w14:solidFill>
                </w14:textFill>
              </w:rPr>
              <w:t>吉林省生态环境厅《2024吉林省生态环境状况公报》对2024年省内各城市空气质量监测数据及达标情况，</w:t>
            </w:r>
            <w:r>
              <w:rPr>
                <w:rFonts w:hint="eastAsia" w:ascii="宋体" w:hAnsi="宋体" w:eastAsia="宋体" w:cs="宋体"/>
                <w:caps w:val="0"/>
                <w:color w:val="000000" w:themeColor="text1"/>
                <w:spacing w:val="0"/>
                <w:w w:val="100"/>
                <w:kern w:val="21"/>
                <w:sz w:val="21"/>
                <w:szCs w:val="21"/>
                <w:highlight w:val="none"/>
                <w:lang w:val="en-US" w:eastAsia="zh-CN"/>
                <w14:textFill>
                  <w14:solidFill>
                    <w14:schemeClr w14:val="tx1"/>
                  </w14:solidFill>
                </w14:textFill>
              </w:rPr>
              <w:t>数据均满足</w:t>
            </w:r>
            <w:r>
              <w:rPr>
                <w:rFonts w:hint="eastAsia" w:ascii="宋体" w:hAnsi="宋体" w:cs="宋体"/>
                <w:caps w:val="0"/>
                <w:color w:val="000000" w:themeColor="text1"/>
                <w:spacing w:val="0"/>
                <w:w w:val="100"/>
                <w:kern w:val="21"/>
                <w:sz w:val="21"/>
                <w:szCs w:val="21"/>
                <w:highlight w:val="none"/>
                <w:lang w:val="en-US" w:eastAsia="zh-CN"/>
                <w14:textFill>
                  <w14:solidFill>
                    <w14:schemeClr w14:val="tx1"/>
                  </w14:solidFill>
                </w14:textFill>
              </w:rPr>
              <w:t>2024年执行的</w:t>
            </w:r>
            <w:r>
              <w:rPr>
                <w:rFonts w:hint="eastAsia" w:ascii="宋体" w:hAnsi="宋体" w:eastAsia="宋体" w:cs="宋体"/>
                <w:caps w:val="0"/>
                <w:color w:val="000000" w:themeColor="text1"/>
                <w:spacing w:val="0"/>
                <w:w w:val="100"/>
                <w:kern w:val="21"/>
                <w:sz w:val="21"/>
                <w:szCs w:val="21"/>
                <w:highlight w:val="none"/>
                <w:lang w:val="en-US" w:eastAsia="zh-CN"/>
                <w14:textFill>
                  <w14:solidFill>
                    <w14:schemeClr w14:val="tx1"/>
                  </w14:solidFill>
                </w14:textFill>
              </w:rPr>
              <w:t>《环境空气质量标准》（GB3095-2012）中二级标准要求</w:t>
            </w:r>
            <w:r>
              <w:rPr>
                <w:rFonts w:hint="eastAsia" w:ascii="宋体" w:hAnsi="宋体" w:cs="宋体"/>
                <w:caps w:val="0"/>
                <w:color w:val="000000" w:themeColor="text1"/>
                <w:spacing w:val="0"/>
                <w:w w:val="100"/>
                <w:kern w:val="21"/>
                <w:sz w:val="21"/>
                <w:szCs w:val="21"/>
                <w:highlight w:val="none"/>
                <w:lang w:val="en-US" w:eastAsia="zh-CN"/>
                <w14:textFill>
                  <w14:solidFill>
                    <w14:schemeClr w14:val="tx1"/>
                  </w14:solidFill>
                </w14:textFill>
              </w:rPr>
              <w:t>，四平市属于环境空气质量达标区</w:t>
            </w:r>
            <w:r>
              <w:rPr>
                <w:rFonts w:hint="eastAsia" w:ascii="宋体" w:hAnsi="宋体" w:eastAsia="宋体" w:cs="宋体"/>
                <w:caps w:val="0"/>
                <w:color w:val="000000" w:themeColor="text1"/>
                <w:spacing w:val="0"/>
                <w:w w:val="100"/>
                <w:kern w:val="21"/>
                <w:sz w:val="21"/>
                <w:szCs w:val="21"/>
                <w:highlight w:val="none"/>
                <w:lang w:val="en-US" w:eastAsia="zh-CN"/>
                <w14:textFill>
                  <w14:solidFill>
                    <w14:schemeClr w14:val="tx1"/>
                  </w14:solidFill>
                </w14:textFill>
              </w:rPr>
              <w:t>。《环境空气质量标准》（GB3095-2026）已于2026年3月1日正式执行，PM2.5执行更严标准，由于2025年吉林省生态环境状况公报未公布，本项目为改扩建项目，</w:t>
            </w:r>
            <w:r>
              <w:rPr>
                <w:rFonts w:hint="eastAsia" w:ascii="宋体" w:hAnsi="宋体" w:cs="宋体"/>
                <w:caps w:val="0"/>
                <w:color w:val="000000" w:themeColor="text1"/>
                <w:spacing w:val="0"/>
                <w:w w:val="100"/>
                <w:kern w:val="21"/>
                <w:sz w:val="21"/>
                <w:szCs w:val="21"/>
                <w:highlight w:val="none"/>
                <w:lang w:val="en-US" w:eastAsia="zh-CN"/>
                <w14:textFill>
                  <w14:solidFill>
                    <w14:schemeClr w14:val="tx1"/>
                  </w14:solidFill>
                </w14:textFill>
              </w:rPr>
              <w:t>且本项目不排放</w:t>
            </w:r>
            <w:r>
              <w:rPr>
                <w:rFonts w:hint="eastAsia" w:ascii="宋体" w:hAnsi="宋体" w:eastAsia="宋体" w:cs="宋体"/>
                <w:caps w:val="0"/>
                <w:color w:val="000000" w:themeColor="text1"/>
                <w:spacing w:val="0"/>
                <w:w w:val="100"/>
                <w:kern w:val="21"/>
                <w:sz w:val="21"/>
                <w:szCs w:val="21"/>
                <w:highlight w:val="none"/>
                <w:lang w:val="en-US" w:eastAsia="zh-CN"/>
                <w14:textFill>
                  <w14:solidFill>
                    <w14:schemeClr w14:val="tx1"/>
                  </w14:solidFill>
                </w14:textFill>
              </w:rPr>
              <w:t>PM2.5</w:t>
            </w:r>
            <w:r>
              <w:rPr>
                <w:rFonts w:hint="eastAsia" w:ascii="宋体" w:hAnsi="宋体" w:cs="宋体"/>
                <w:caps w:val="0"/>
                <w:color w:val="000000" w:themeColor="text1"/>
                <w:spacing w:val="0"/>
                <w:w w:val="100"/>
                <w:kern w:val="21"/>
                <w:sz w:val="21"/>
                <w:szCs w:val="21"/>
                <w:highlight w:val="none"/>
                <w:lang w:val="en-US" w:eastAsia="zh-CN"/>
                <w14:textFill>
                  <w14:solidFill>
                    <w14:schemeClr w14:val="tx1"/>
                  </w14:solidFill>
                </w14:textFill>
              </w:rPr>
              <w:t>，企业</w:t>
            </w:r>
            <w:r>
              <w:rPr>
                <w:rFonts w:hint="eastAsia" w:ascii="宋体" w:hAnsi="宋体" w:eastAsia="宋体" w:cs="宋体"/>
                <w:caps w:val="0"/>
                <w:color w:val="000000" w:themeColor="text1"/>
                <w:spacing w:val="0"/>
                <w:w w:val="100"/>
                <w:kern w:val="21"/>
                <w:sz w:val="21"/>
                <w:szCs w:val="21"/>
                <w:lang w:val="en-US" w:eastAsia="zh-CN"/>
                <w14:textFill>
                  <w14:solidFill>
                    <w14:schemeClr w14:val="tx1"/>
                  </w14:solidFill>
                </w14:textFill>
              </w:rPr>
              <w:t>在严格落实环保措施的前提下，不会对区域环境空气质量造成负面影响。</w:t>
            </w:r>
          </w:p>
          <w:p w14:paraId="59ECE128">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425" w:firstLineChars="0"/>
              <w:jc w:val="left"/>
              <w:textAlignment w:val="auto"/>
              <w:outlineLvl w:val="9"/>
              <w:rPr>
                <w:rFonts w:hint="eastAsia" w:ascii="宋体" w:hAnsi="宋体" w:eastAsia="宋体" w:cs="宋体"/>
                <w:color w:val="000000" w:themeColor="text1"/>
                <w:spacing w:val="-1"/>
                <w:sz w:val="21"/>
                <w:szCs w:val="21"/>
                <w:lang w:val="en-US" w:eastAsia="zh-CN" w:bidi="ar-SA"/>
                <w14:textFill>
                  <w14:solidFill>
                    <w14:schemeClr w14:val="tx1"/>
                  </w14:solidFill>
                </w14:textFill>
              </w:rPr>
            </w:pPr>
            <w:r>
              <w:rPr>
                <w:rFonts w:hint="eastAsia" w:ascii="宋体" w:hAnsi="宋体" w:eastAsia="宋体" w:cs="宋体"/>
                <w:color w:val="000000" w:themeColor="text1"/>
                <w:spacing w:val="-1"/>
                <w:sz w:val="21"/>
                <w:szCs w:val="21"/>
                <w:lang w:val="en-US" w:eastAsia="zh-CN" w:bidi="ar-SA"/>
                <w14:textFill>
                  <w14:solidFill>
                    <w14:schemeClr w14:val="tx1"/>
                  </w14:solidFill>
                </w14:textFill>
              </w:rPr>
              <w:t>本项目所在区域声环境质量较好，</w:t>
            </w:r>
            <w:r>
              <w:rPr>
                <w:rFonts w:hint="eastAsia" w:ascii="宋体" w:hAnsi="宋体" w:eastAsia="宋体" w:cs="宋体"/>
                <w:color w:val="000000" w:themeColor="text1"/>
                <w:spacing w:val="-1"/>
                <w:sz w:val="21"/>
                <w:szCs w:val="21"/>
                <w:highlight w:val="none"/>
                <w:lang w:val="en-US" w:eastAsia="zh-CN" w:bidi="ar-SA"/>
                <w14:textFill>
                  <w14:solidFill>
                    <w14:schemeClr w14:val="tx1"/>
                  </w14:solidFill>
                </w14:textFill>
              </w:rPr>
              <w:t>经预测，项目采取各项噪声控制措施后</w:t>
            </w:r>
            <w:r>
              <w:rPr>
                <w:rFonts w:hint="eastAsia" w:ascii="宋体" w:hAnsi="宋体" w:eastAsia="宋体" w:cs="宋体"/>
                <w:color w:val="000000" w:themeColor="text1"/>
                <w:spacing w:val="-1"/>
                <w:sz w:val="21"/>
                <w:szCs w:val="21"/>
                <w:lang w:val="en-US" w:eastAsia="zh-CN" w:bidi="ar-SA"/>
                <w14:textFill>
                  <w14:solidFill>
                    <w14:schemeClr w14:val="tx1"/>
                  </w14:solidFill>
                </w14:textFill>
              </w:rPr>
              <w:t>，不会改变区域声环境功能。</w:t>
            </w:r>
          </w:p>
          <w:p w14:paraId="3FDD220F">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416" w:firstLineChars="200"/>
              <w:jc w:val="left"/>
              <w:textAlignment w:val="auto"/>
              <w:outlineLvl w:val="9"/>
              <w:rPr>
                <w:rFonts w:hint="eastAsia" w:ascii="宋体" w:hAnsi="宋体" w:eastAsia="宋体" w:cs="宋体"/>
                <w:color w:val="000000" w:themeColor="text1"/>
                <w:spacing w:val="-1"/>
                <w:sz w:val="21"/>
                <w:szCs w:val="21"/>
                <w:lang w:val="en-US" w:eastAsia="zh-CN" w:bidi="ar-SA"/>
                <w14:textFill>
                  <w14:solidFill>
                    <w14:schemeClr w14:val="tx1"/>
                  </w14:solidFill>
                </w14:textFill>
              </w:rPr>
            </w:pPr>
            <w:r>
              <w:rPr>
                <w:rFonts w:hint="eastAsia" w:ascii="宋体" w:hAnsi="宋体" w:eastAsia="宋体" w:cs="宋体"/>
                <w:color w:val="000000" w:themeColor="text1"/>
                <w:spacing w:val="-1"/>
                <w:sz w:val="21"/>
                <w:szCs w:val="21"/>
                <w:lang w:val="en-US" w:eastAsia="zh-CN" w:bidi="ar-SA"/>
                <w14:textFill>
                  <w14:solidFill>
                    <w14:schemeClr w14:val="tx1"/>
                  </w14:solidFill>
                </w14:textFill>
              </w:rPr>
              <w:t>（3）资源利用上限相符性</w:t>
            </w:r>
          </w:p>
          <w:p w14:paraId="61D2D31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eastAsia="宋体" w:cs="宋体"/>
                <w:color w:val="000000" w:themeColor="text1"/>
                <w:spacing w:val="-2"/>
                <w:sz w:val="21"/>
                <w:szCs w:val="21"/>
                <w:lang w:val="en-US" w:eastAsia="zh-CN"/>
                <w14:textFill>
                  <w14:solidFill>
                    <w14:schemeClr w14:val="tx1"/>
                  </w14:solidFill>
                </w14:textFill>
              </w:rPr>
            </w:pPr>
            <w:r>
              <w:rPr>
                <w:rFonts w:hint="eastAsia" w:ascii="宋体" w:hAnsi="宋体" w:eastAsia="宋体" w:cs="宋体"/>
                <w:color w:val="000000" w:themeColor="text1"/>
                <w:spacing w:val="-2"/>
                <w:sz w:val="21"/>
                <w:szCs w:val="21"/>
                <w:lang w:val="en-US" w:eastAsia="zh-CN"/>
                <w14:textFill>
                  <w14:solidFill>
                    <w14:schemeClr w14:val="tx1"/>
                  </w14:solidFill>
                </w14:textFill>
              </w:rPr>
              <w:t>项目不占用耕地、林地等土地资源。用水主要是生活用水和生产用水等，不新增开采地下水。项目建成运行后通过内部管理、设备选择、原辅材料的选用和管理、污染治理等多方面采取合理可行的防治措施， 以“节能、降耗、减污”为目标，有效控制污染及资源利用水平； 最大程度发挥能源资源利用的</w:t>
            </w:r>
            <w:r>
              <w:rPr>
                <w:rFonts w:hint="eastAsia" w:ascii="宋体" w:hAnsi="宋体" w:cs="宋体"/>
                <w:color w:val="000000" w:themeColor="text1"/>
                <w:spacing w:val="-2"/>
                <w:sz w:val="21"/>
                <w:szCs w:val="21"/>
                <w:lang w:val="en-US" w:eastAsia="zh-CN"/>
                <w14:textFill>
                  <w14:solidFill>
                    <w14:schemeClr w14:val="tx1"/>
                  </w14:solidFill>
                </w14:textFill>
              </w:rPr>
              <w:t>作用</w:t>
            </w:r>
            <w:r>
              <w:rPr>
                <w:rFonts w:hint="eastAsia" w:ascii="宋体" w:hAnsi="宋体" w:eastAsia="宋体" w:cs="宋体"/>
                <w:color w:val="000000" w:themeColor="text1"/>
                <w:spacing w:val="-2"/>
                <w:sz w:val="21"/>
                <w:szCs w:val="21"/>
                <w:lang w:val="en-US" w:eastAsia="zh-CN"/>
                <w14:textFill>
                  <w14:solidFill>
                    <w14:schemeClr w14:val="tx1"/>
                  </w14:solidFill>
                </w14:textFill>
              </w:rPr>
              <w:t>。</w:t>
            </w:r>
          </w:p>
          <w:p w14:paraId="4D00B9C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eastAsia="宋体" w:cs="宋体"/>
                <w:color w:val="000000" w:themeColor="text1"/>
                <w:spacing w:val="-2"/>
                <w:sz w:val="21"/>
                <w:szCs w:val="21"/>
                <w:u w:val="none"/>
                <w:lang w:val="en-US" w:eastAsia="zh-CN"/>
                <w14:textFill>
                  <w14:solidFill>
                    <w14:schemeClr w14:val="tx1"/>
                  </w14:solidFill>
                </w14:textFill>
              </w:rPr>
            </w:pPr>
            <w:r>
              <w:rPr>
                <w:rFonts w:hint="eastAsia" w:ascii="宋体" w:hAnsi="宋体" w:eastAsia="宋体" w:cs="宋体"/>
                <w:color w:val="000000" w:themeColor="text1"/>
                <w:spacing w:val="-2"/>
                <w:sz w:val="21"/>
                <w:szCs w:val="21"/>
                <w:u w:val="none"/>
                <w:lang w:val="en-US" w:eastAsia="zh-CN"/>
                <w14:textFill>
                  <w14:solidFill>
                    <w14:schemeClr w14:val="tx1"/>
                  </w14:solidFill>
                </w14:textFill>
              </w:rPr>
              <w:t>（4）环境准入负面清单：</w:t>
            </w:r>
          </w:p>
          <w:p w14:paraId="0D4DF27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eastAsia="宋体" w:cs="宋体"/>
                <w:color w:val="000000" w:themeColor="text1"/>
                <w:spacing w:val="-2"/>
                <w:sz w:val="21"/>
                <w:szCs w:val="21"/>
                <w:u w:val="none"/>
                <w:lang w:val="en-US" w:eastAsia="zh-CN"/>
                <w14:textFill>
                  <w14:solidFill>
                    <w14:schemeClr w14:val="tx1"/>
                  </w14:solidFill>
                </w14:textFill>
              </w:rPr>
            </w:pPr>
            <w:r>
              <w:rPr>
                <w:rFonts w:hint="eastAsia" w:ascii="宋体" w:hAnsi="宋体" w:eastAsia="宋体" w:cs="宋体"/>
                <w:color w:val="000000" w:themeColor="text1"/>
                <w:spacing w:val="-2"/>
                <w:sz w:val="21"/>
                <w:szCs w:val="21"/>
                <w:u w:val="none"/>
                <w:lang w:val="en-US" w:eastAsia="zh-CN"/>
                <w14:textFill>
                  <w14:solidFill>
                    <w14:schemeClr w14:val="tx1"/>
                  </w14:solidFill>
                </w14:textFill>
              </w:rPr>
              <w:t>本项目不在开发区规划环评中环境准入负面清单内。</w:t>
            </w:r>
          </w:p>
          <w:p w14:paraId="1742B12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r>
              <w:rPr>
                <w:rFonts w:hint="eastAsia" w:ascii="宋体" w:hAnsi="宋体" w:eastAsia="宋体" w:cs="宋体"/>
                <w:color w:val="000000" w:themeColor="text1"/>
                <w:spacing w:val="-2"/>
                <w:sz w:val="21"/>
                <w:szCs w:val="21"/>
                <w:lang w:val="en-US" w:eastAsia="zh-CN"/>
                <w14:textFill>
                  <w14:solidFill>
                    <w14:schemeClr w14:val="tx1"/>
                  </w14:solidFill>
                </w14:textFill>
              </w:rPr>
              <w:t>综上所述，本项目符合四平市生态环境分区管控相关要求</w:t>
            </w:r>
            <w:r>
              <w:rPr>
                <w:rFonts w:hint="eastAsia" w:ascii="宋体" w:hAnsi="宋体" w:cs="宋体"/>
                <w:color w:val="000000" w:themeColor="text1"/>
                <w:spacing w:val="-2"/>
                <w:sz w:val="21"/>
                <w:szCs w:val="21"/>
                <w:lang w:val="en-US" w:eastAsia="zh-CN"/>
                <w14:textFill>
                  <w14:solidFill>
                    <w14:schemeClr w14:val="tx1"/>
                  </w14:solidFill>
                </w14:textFill>
              </w:rPr>
              <w:t>。</w:t>
            </w:r>
          </w:p>
          <w:p w14:paraId="4D78551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4AB1D2C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5D77701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375897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7534B9A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73D3546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6EE965E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62CA5C5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0F9D121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12" w:firstLineChars="200"/>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p w14:paraId="1F0C4A9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jc w:val="both"/>
              <w:textAlignment w:val="auto"/>
              <w:rPr>
                <w:rFonts w:hint="eastAsia" w:ascii="宋体" w:hAnsi="宋体" w:cs="宋体"/>
                <w:color w:val="000000" w:themeColor="text1"/>
                <w:spacing w:val="-2"/>
                <w:sz w:val="21"/>
                <w:szCs w:val="21"/>
                <w:lang w:val="en-US" w:eastAsia="zh-CN"/>
                <w14:textFill>
                  <w14:solidFill>
                    <w14:schemeClr w14:val="tx1"/>
                  </w14:solidFill>
                </w14:textFill>
              </w:rPr>
            </w:pPr>
          </w:p>
        </w:tc>
      </w:tr>
    </w:tbl>
    <w:p w14:paraId="152DC7ED">
      <w:pPr>
        <w:ind w:firstLine="600"/>
        <w:outlineLvl w:val="0"/>
        <w:rPr>
          <w:rFonts w:hint="eastAsia" w:ascii="宋体" w:hAnsi="宋体" w:eastAsia="宋体" w:cs="宋体"/>
          <w:color w:val="000000" w:themeColor="text1"/>
          <w:sz w:val="30"/>
          <w14:textFill>
            <w14:solidFill>
              <w14:schemeClr w14:val="tx1"/>
            </w14:solidFill>
          </w14:textFill>
        </w:rPr>
        <w:sectPr>
          <w:pgSz w:w="11905" w:h="16838"/>
          <w:pgMar w:top="1440" w:right="1800" w:bottom="1440" w:left="1800" w:header="851" w:footer="850" w:gutter="0"/>
          <w:pgBorders>
            <w:top w:val="none" w:sz="0" w:space="0"/>
            <w:left w:val="none" w:sz="0" w:space="0"/>
            <w:bottom w:val="none" w:sz="0" w:space="0"/>
            <w:right w:val="none" w:sz="0" w:space="0"/>
          </w:pgBorders>
          <w:pgNumType w:fmt="decimal" w:start="1"/>
          <w:cols w:space="720" w:num="1"/>
          <w:docGrid w:linePitch="312" w:charSpace="0"/>
        </w:sectPr>
      </w:pPr>
    </w:p>
    <w:tbl>
      <w:tblPr>
        <w:tblStyle w:val="25"/>
        <w:tblW w:w="14084" w:type="dxa"/>
        <w:jc w:val="center"/>
        <w:tblBorders>
          <w:top w:val="single" w:color="auto" w:sz="2" w:space="0"/>
          <w:left w:val="single" w:color="auto" w:sz="2" w:space="0"/>
          <w:bottom w:val="single" w:color="auto" w:sz="2" w:space="0"/>
          <w:right w:val="single" w:color="auto" w:sz="2" w:space="0"/>
          <w:insideH w:val="single" w:color="auto" w:sz="4" w:space="0"/>
          <w:insideV w:val="none" w:color="auto" w:sz="0" w:space="0"/>
        </w:tblBorders>
        <w:tblLayout w:type="fixed"/>
        <w:tblCellMar>
          <w:top w:w="0" w:type="dxa"/>
          <w:left w:w="108" w:type="dxa"/>
          <w:bottom w:w="0" w:type="dxa"/>
          <w:right w:w="108" w:type="dxa"/>
        </w:tblCellMar>
      </w:tblPr>
      <w:tblGrid>
        <w:gridCol w:w="14084"/>
      </w:tblGrid>
      <w:tr w14:paraId="183D6D01">
        <w:tblPrEx>
          <w:tblBorders>
            <w:top w:val="single" w:color="auto" w:sz="2" w:space="0"/>
            <w:left w:val="single" w:color="auto" w:sz="2" w:space="0"/>
            <w:bottom w:val="single" w:color="auto" w:sz="2" w:space="0"/>
            <w:right w:val="single" w:color="auto" w:sz="2" w:space="0"/>
            <w:insideH w:val="single" w:color="auto" w:sz="4" w:space="0"/>
            <w:insideV w:val="none" w:color="auto" w:sz="0" w:space="0"/>
          </w:tblBorders>
          <w:tblCellMar>
            <w:top w:w="0" w:type="dxa"/>
            <w:left w:w="108" w:type="dxa"/>
            <w:bottom w:w="0" w:type="dxa"/>
            <w:right w:w="108" w:type="dxa"/>
          </w:tblCellMar>
        </w:tblPrEx>
        <w:trPr>
          <w:trHeight w:val="9253" w:hRule="atLeast"/>
          <w:jc w:val="center"/>
        </w:trPr>
        <w:tc>
          <w:tcPr>
            <w:tcW w:w="14084" w:type="dxa"/>
            <w:tcBorders>
              <w:tl2br w:val="nil"/>
              <w:tr2bl w:val="nil"/>
            </w:tcBorders>
            <w:noWrap w:val="0"/>
            <w:vAlign w:val="center"/>
          </w:tcPr>
          <w:p w14:paraId="17BB773E">
            <w:pPr>
              <w:spacing w:line="360" w:lineRule="auto"/>
              <w:ind w:firstLine="422" w:firstLineChars="200"/>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4、</w:t>
            </w:r>
            <w:r>
              <w:rPr>
                <w:rFonts w:hint="eastAsia" w:ascii="宋体" w:hAnsi="宋体" w:cs="宋体"/>
                <w:b/>
                <w:bCs/>
                <w:color w:val="000000" w:themeColor="text1"/>
                <w:sz w:val="21"/>
                <w:szCs w:val="21"/>
                <w:lang w:val="en-US" w:eastAsia="zh-CN"/>
                <w14:textFill>
                  <w14:solidFill>
                    <w14:schemeClr w14:val="tx1"/>
                  </w14:solidFill>
                </w14:textFill>
              </w:rPr>
              <w:t>其它符合性分析</w:t>
            </w:r>
          </w:p>
          <w:p w14:paraId="33D4BA50">
            <w:pPr>
              <w:spacing w:line="360" w:lineRule="auto"/>
              <w:ind w:firstLine="420" w:firstLineChars="200"/>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与《报废机动车回收拆解企业技术规范》（GB22128-2019）相符性分析</w:t>
            </w:r>
          </w:p>
          <w:p w14:paraId="2F9676CA">
            <w:pPr>
              <w:spacing w:line="360" w:lineRule="auto"/>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报废机动车回收拆解企业技术规范》（GB22128-2019）由国家市场监督管理总局、国家标准化管理委员会联合发布。根据《报废机动车回收拆解企业技术规范》（GB22128-2019）对企业的要求，结合项目实际情况，相符性分析详见下表。</w:t>
            </w:r>
          </w:p>
          <w:p w14:paraId="36ABE936">
            <w:pPr>
              <w:keepNext w:val="0"/>
              <w:keepLines w:val="0"/>
              <w:pageBreakBefore w:val="0"/>
              <w:widowControl/>
              <w:numPr>
                <w:ilvl w:val="0"/>
                <w:numId w:val="0"/>
              </w:numPr>
              <w:kinsoku/>
              <w:wordWrap/>
              <w:overflowPunct/>
              <w:topLinePunct w:val="0"/>
              <w:autoSpaceDE/>
              <w:autoSpaceDN/>
              <w:bidi w:val="0"/>
              <w:adjustRightInd/>
              <w:snapToGrid/>
              <w:ind w:left="420" w:leftChars="0" w:hanging="420" w:firstLineChars="0"/>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SA"/>
                <w14:textFill>
                  <w14:solidFill>
                    <w14:schemeClr w14:val="tx1"/>
                  </w14:solidFill>
                </w14:textFill>
              </w:rPr>
              <w:t xml:space="preserve">表1-5  </w:t>
            </w:r>
            <w:r>
              <w:rPr>
                <w:rFonts w:hint="eastAsia" w:ascii="宋体" w:hAnsi="宋体" w:eastAsia="宋体" w:cs="宋体"/>
                <w:b/>
                <w:color w:val="000000" w:themeColor="text1"/>
                <w:kern w:val="0"/>
                <w:sz w:val="21"/>
                <w:szCs w:val="21"/>
                <w14:textFill>
                  <w14:solidFill>
                    <w14:schemeClr w14:val="tx1"/>
                  </w14:solidFill>
                </w14:textFill>
              </w:rPr>
              <w:t>本项目与《报废机动车回收拆解企业技术规范》符合性分析</w:t>
            </w:r>
          </w:p>
          <w:tbl>
            <w:tblPr>
              <w:tblStyle w:val="25"/>
              <w:tblW w:w="5000"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265"/>
              <w:gridCol w:w="5574"/>
              <w:gridCol w:w="878"/>
            </w:tblGrid>
            <w:tr w14:paraId="04C47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tcBorders>
                    <w:tl2br w:val="nil"/>
                    <w:tr2bl w:val="nil"/>
                  </w:tcBorders>
                  <w:noWrap w:val="0"/>
                  <w:vAlign w:val="center"/>
                </w:tcPr>
                <w:p w14:paraId="2C91301E">
                  <w:pPr>
                    <w:autoSpaceDE w:val="0"/>
                    <w:autoSpaceDN w:val="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内容</w:t>
                  </w:r>
                </w:p>
              </w:tc>
              <w:tc>
                <w:tcPr>
                  <w:tcW w:w="6265" w:type="dxa"/>
                  <w:tcBorders>
                    <w:tl2br w:val="nil"/>
                    <w:tr2bl w:val="nil"/>
                  </w:tcBorders>
                  <w:noWrap w:val="0"/>
                  <w:vAlign w:val="center"/>
                </w:tcPr>
                <w:p w14:paraId="455ABFE8">
                  <w:pPr>
                    <w:autoSpaceDE w:val="0"/>
                    <w:autoSpaceDN w:val="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行业规范要求</w:t>
                  </w:r>
                </w:p>
              </w:tc>
              <w:tc>
                <w:tcPr>
                  <w:tcW w:w="5574" w:type="dxa"/>
                  <w:tcBorders>
                    <w:tl2br w:val="nil"/>
                    <w:tr2bl w:val="nil"/>
                  </w:tcBorders>
                  <w:noWrap w:val="0"/>
                  <w:vAlign w:val="center"/>
                </w:tcPr>
                <w:p w14:paraId="33ADF7CE">
                  <w:pPr>
                    <w:autoSpaceDE w:val="0"/>
                    <w:autoSpaceDN w:val="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本项目情况</w:t>
                  </w:r>
                </w:p>
              </w:tc>
              <w:tc>
                <w:tcPr>
                  <w:tcW w:w="878" w:type="dxa"/>
                  <w:tcBorders>
                    <w:tl2br w:val="nil"/>
                    <w:tr2bl w:val="nil"/>
                  </w:tcBorders>
                  <w:noWrap w:val="0"/>
                  <w:vAlign w:val="center"/>
                </w:tcPr>
                <w:p w14:paraId="790DD931">
                  <w:pPr>
                    <w:autoSpaceDE w:val="0"/>
                    <w:autoSpaceDN w:val="0"/>
                    <w:ind w:left="-120" w:leftChars="-50" w:right="-120" w:rightChars="-5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相符性</w:t>
                  </w:r>
                </w:p>
              </w:tc>
            </w:tr>
            <w:tr w14:paraId="5C503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8" w:type="dxa"/>
                  <w:gridSpan w:val="4"/>
                  <w:tcBorders>
                    <w:tl2br w:val="nil"/>
                    <w:tr2bl w:val="nil"/>
                  </w:tcBorders>
                  <w:noWrap w:val="0"/>
                  <w:vAlign w:val="center"/>
                </w:tcPr>
                <w:p w14:paraId="7930087A">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一、报废汽车回收拆解企业的要求</w:t>
                  </w:r>
                </w:p>
              </w:tc>
            </w:tr>
            <w:tr w14:paraId="0A604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restart"/>
                  <w:tcBorders>
                    <w:tl2br w:val="nil"/>
                    <w:tr2bl w:val="nil"/>
                  </w:tcBorders>
                  <w:noWrap w:val="0"/>
                  <w:vAlign w:val="center"/>
                </w:tcPr>
                <w:p w14:paraId="6F9837BC">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1.场地</w:t>
                  </w:r>
                </w:p>
              </w:tc>
              <w:tc>
                <w:tcPr>
                  <w:tcW w:w="6265" w:type="dxa"/>
                  <w:tcBorders>
                    <w:tl2br w:val="nil"/>
                    <w:tr2bl w:val="nil"/>
                  </w:tcBorders>
                  <w:noWrap w:val="0"/>
                  <w:vAlign w:val="center"/>
                </w:tcPr>
                <w:p w14:paraId="1FE02287">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a) 符合所在地城市总体规划或国土空间规划；</w:t>
                  </w:r>
                </w:p>
                <w:p w14:paraId="0210EF42">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b) 符合GB 50187、HJ 348的选址要求，不得建在城市居民区、商业区、饮用水水源保护区及其他环境敏感区内，且避开受环境威胁的地带、地段和地区；</w:t>
                  </w:r>
                </w:p>
                <w:p w14:paraId="1BDD306B">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c) 项目所在地有工业园区或再生利用园区的应建设在园区内</w:t>
                  </w:r>
                </w:p>
              </w:tc>
              <w:tc>
                <w:tcPr>
                  <w:tcW w:w="5574" w:type="dxa"/>
                  <w:tcBorders>
                    <w:tl2br w:val="nil"/>
                    <w:tr2bl w:val="nil"/>
                  </w:tcBorders>
                  <w:noWrap w:val="0"/>
                  <w:vAlign w:val="center"/>
                </w:tcPr>
                <w:p w14:paraId="7F66C10B">
                  <w:pPr>
                    <w:autoSpaceDE w:val="0"/>
                    <w:autoSpaceDN w:val="0"/>
                    <w:jc w:val="both"/>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项目位于</w:t>
                  </w:r>
                  <w:r>
                    <w:rPr>
                      <w:rFonts w:hint="eastAsia" w:ascii="宋体" w:hAnsi="宋体" w:eastAsia="宋体" w:cs="宋体"/>
                      <w:color w:val="000000" w:themeColor="text1"/>
                      <w:sz w:val="21"/>
                      <w:szCs w:val="21"/>
                      <w:lang w:eastAsia="zh-CN"/>
                      <w14:textFill>
                        <w14:solidFill>
                          <w14:schemeClr w14:val="tx1"/>
                        </w14:solidFill>
                      </w14:textFill>
                    </w:rPr>
                    <w:t>开发区</w:t>
                  </w:r>
                  <w:r>
                    <w:rPr>
                      <w:rFonts w:hint="eastAsia" w:ascii="宋体" w:hAnsi="宋体" w:eastAsia="宋体" w:cs="宋体"/>
                      <w:color w:val="000000" w:themeColor="text1"/>
                      <w:kern w:val="0"/>
                      <w:sz w:val="21"/>
                      <w:szCs w:val="21"/>
                      <w14:textFill>
                        <w14:solidFill>
                          <w14:schemeClr w14:val="tx1"/>
                        </w14:solidFill>
                      </w14:textFill>
                    </w:rPr>
                    <w:t>，所在地属于工业用地。不在居民区、商业区、饮用水水源保护区及其他环节敏感区内本工程符合所在地国土空间规划</w:t>
                  </w:r>
                  <w:r>
                    <w:rPr>
                      <w:rFonts w:hint="eastAsia" w:ascii="宋体" w:hAnsi="宋体" w:eastAsia="宋体" w:cs="宋体"/>
                      <w:color w:val="000000" w:themeColor="text1"/>
                      <w:kern w:val="0"/>
                      <w:sz w:val="21"/>
                      <w:szCs w:val="21"/>
                      <w:lang w:eastAsia="zh-CN"/>
                      <w14:textFill>
                        <w14:solidFill>
                          <w14:schemeClr w14:val="tx1"/>
                        </w14:solidFill>
                      </w14:textFill>
                    </w:rPr>
                    <w:t>。</w:t>
                  </w:r>
                </w:p>
              </w:tc>
              <w:tc>
                <w:tcPr>
                  <w:tcW w:w="878" w:type="dxa"/>
                  <w:tcBorders>
                    <w:tl2br w:val="nil"/>
                    <w:tr2bl w:val="nil"/>
                  </w:tcBorders>
                  <w:noWrap w:val="0"/>
                  <w:vAlign w:val="center"/>
                </w:tcPr>
                <w:p w14:paraId="30E51701">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4E837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131" w:type="dxa"/>
                  <w:vMerge w:val="continue"/>
                  <w:tcBorders>
                    <w:tl2br w:val="nil"/>
                    <w:tr2bl w:val="nil"/>
                  </w:tcBorders>
                  <w:noWrap w:val="0"/>
                  <w:vAlign w:val="center"/>
                </w:tcPr>
                <w:p w14:paraId="63086BE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p>
              </w:tc>
              <w:tc>
                <w:tcPr>
                  <w:tcW w:w="6265" w:type="dxa"/>
                  <w:tcBorders>
                    <w:tl2br w:val="nil"/>
                    <w:tr2bl w:val="nil"/>
                  </w:tcBorders>
                  <w:noWrap w:val="0"/>
                  <w:vAlign w:val="center"/>
                </w:tcPr>
                <w:p w14:paraId="5215F3E9">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最低经营面积（占地面积）应满足如下要求：a )I档-II档地区为20000</w:t>
                  </w:r>
                  <w:r>
                    <w:rPr>
                      <w:rFonts w:hint="eastAsia" w:ascii="宋体" w:hAnsi="宋体" w:eastAsia="宋体" w:cs="宋体"/>
                      <w:color w:val="000000" w:themeColor="text1"/>
                      <w:kern w:val="0"/>
                      <w:sz w:val="21"/>
                      <w:szCs w:val="21"/>
                      <w:lang w:eastAsia="zh-CN"/>
                      <w14:textFill>
                        <w14:solidFill>
                          <w14:schemeClr w14:val="tx1"/>
                        </w14:solidFill>
                      </w14:textFill>
                    </w:rPr>
                    <w:t>m</w:t>
                  </w:r>
                  <w:r>
                    <w:rPr>
                      <w:rFonts w:hint="eastAsia" w:ascii="宋体" w:hAnsi="宋体" w:eastAsia="宋体" w:cs="宋体"/>
                      <w:color w:val="000000" w:themeColor="text1"/>
                      <w:kern w:val="0"/>
                      <w:sz w:val="21"/>
                      <w:szCs w:val="21"/>
                      <w:vertAlign w:val="superscript"/>
                      <w:lang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，III档-IV档地区为15000</w:t>
                  </w:r>
                  <w:r>
                    <w:rPr>
                      <w:rFonts w:hint="eastAsia" w:ascii="宋体" w:hAnsi="宋体" w:eastAsia="宋体" w:cs="宋体"/>
                      <w:color w:val="000000" w:themeColor="text1"/>
                      <w:kern w:val="0"/>
                      <w:sz w:val="21"/>
                      <w:szCs w:val="21"/>
                      <w:lang w:eastAsia="zh-CN"/>
                      <w14:textFill>
                        <w14:solidFill>
                          <w14:schemeClr w14:val="tx1"/>
                        </w14:solidFill>
                      </w14:textFill>
                    </w:rPr>
                    <w:t>m</w:t>
                  </w:r>
                  <w:r>
                    <w:rPr>
                      <w:rFonts w:hint="eastAsia" w:ascii="宋体" w:hAnsi="宋体" w:eastAsia="宋体" w:cs="宋体"/>
                      <w:color w:val="000000" w:themeColor="text1"/>
                      <w:kern w:val="0"/>
                      <w:sz w:val="21"/>
                      <w:szCs w:val="21"/>
                      <w:vertAlign w:val="superscript"/>
                      <w:lang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，V档-VI档地区为10000</w:t>
                  </w:r>
                  <w:r>
                    <w:rPr>
                      <w:rFonts w:hint="eastAsia" w:ascii="宋体" w:hAnsi="宋体" w:eastAsia="宋体" w:cs="宋体"/>
                      <w:color w:val="000000" w:themeColor="text1"/>
                      <w:kern w:val="0"/>
                      <w:sz w:val="21"/>
                      <w:szCs w:val="21"/>
                      <w:lang w:eastAsia="zh-CN"/>
                      <w14:textFill>
                        <w14:solidFill>
                          <w14:schemeClr w14:val="tx1"/>
                        </w14:solidFill>
                      </w14:textFill>
                    </w:rPr>
                    <w:t>m</w:t>
                  </w:r>
                  <w:r>
                    <w:rPr>
                      <w:rFonts w:hint="eastAsia" w:ascii="宋体" w:hAnsi="宋体" w:eastAsia="宋体" w:cs="宋体"/>
                      <w:color w:val="000000" w:themeColor="text1"/>
                      <w:kern w:val="0"/>
                      <w:sz w:val="21"/>
                      <w:szCs w:val="21"/>
                      <w:vertAlign w:val="superscript"/>
                      <w:lang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；b）其中作业场地（包括拆解和贮存场地）面积不低于经营面积的60%。</w:t>
                  </w:r>
                </w:p>
              </w:tc>
              <w:tc>
                <w:tcPr>
                  <w:tcW w:w="5574" w:type="dxa"/>
                  <w:tcBorders>
                    <w:tl2br w:val="nil"/>
                    <w:tr2bl w:val="nil"/>
                  </w:tcBorders>
                  <w:noWrap w:val="0"/>
                  <w:vAlign w:val="center"/>
                </w:tcPr>
                <w:p w14:paraId="06F0430E">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根据四平</w:t>
                  </w:r>
                  <w:r>
                    <w:rPr>
                      <w:rFonts w:hint="eastAsia" w:ascii="宋体" w:hAnsi="宋体" w:eastAsia="宋体" w:cs="宋体"/>
                      <w:color w:val="000000" w:themeColor="text1"/>
                      <w:kern w:val="0"/>
                      <w:sz w:val="21"/>
                      <w:szCs w:val="21"/>
                      <w14:textFill>
                        <w14:solidFill>
                          <w14:schemeClr w14:val="tx1"/>
                        </w14:solidFill>
                      </w14:textFill>
                    </w:rPr>
                    <w:t>市地区机动车保有量，属于IV档地区类型，本项目经营面积（占地面积）</w:t>
                  </w:r>
                  <w:r>
                    <w:rPr>
                      <w:rFonts w:hint="eastAsia" w:ascii="宋体" w:hAnsi="宋体" w:eastAsia="宋体" w:cs="宋体"/>
                      <w:color w:val="000000" w:themeColor="text1"/>
                      <w:kern w:val="0"/>
                      <w:sz w:val="21"/>
                      <w:szCs w:val="21"/>
                      <w:lang w:val="en-US" w:eastAsia="zh-CN"/>
                      <w14:textFill>
                        <w14:solidFill>
                          <w14:schemeClr w14:val="tx1"/>
                        </w14:solidFill>
                      </w14:textFill>
                    </w:rPr>
                    <w:t>大于15000</w:t>
                  </w:r>
                  <w:r>
                    <w:rPr>
                      <w:rFonts w:hint="eastAsia" w:ascii="宋体" w:hAnsi="宋体" w:eastAsia="宋体" w:cs="宋体"/>
                      <w:color w:val="000000" w:themeColor="text1"/>
                      <w:kern w:val="0"/>
                      <w:sz w:val="21"/>
                      <w:szCs w:val="21"/>
                      <w:lang w:eastAsia="zh-CN"/>
                      <w14:textFill>
                        <w14:solidFill>
                          <w14:schemeClr w14:val="tx1"/>
                        </w14:solidFill>
                      </w14:textFill>
                    </w:rPr>
                    <w:t>m</w:t>
                  </w:r>
                  <w:r>
                    <w:rPr>
                      <w:rFonts w:hint="eastAsia" w:ascii="宋体" w:hAnsi="宋体" w:eastAsia="宋体" w:cs="宋体"/>
                      <w:color w:val="000000" w:themeColor="text1"/>
                      <w:kern w:val="0"/>
                      <w:sz w:val="21"/>
                      <w:szCs w:val="21"/>
                      <w:vertAlign w:val="superscript"/>
                      <w:lang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；拆解和贮存场地</w:t>
                  </w:r>
                  <w:r>
                    <w:rPr>
                      <w:rFonts w:hint="eastAsia" w:ascii="宋体" w:hAnsi="宋体" w:eastAsia="宋体" w:cs="宋体"/>
                      <w:bCs/>
                      <w:color w:val="000000" w:themeColor="text1"/>
                      <w:sz w:val="21"/>
                      <w:szCs w:val="21"/>
                      <w14:textFill>
                        <w14:solidFill>
                          <w14:schemeClr w14:val="tx1"/>
                        </w14:solidFill>
                      </w14:textFill>
                    </w:rPr>
                    <w:t>占</w:t>
                  </w:r>
                  <w:r>
                    <w:rPr>
                      <w:rFonts w:hint="eastAsia" w:ascii="宋体" w:hAnsi="宋体" w:eastAsia="宋体" w:cs="宋体"/>
                      <w:bCs/>
                      <w:color w:val="000000" w:themeColor="text1"/>
                      <w:sz w:val="21"/>
                      <w:szCs w:val="21"/>
                      <w:lang w:val="en-US" w:eastAsia="zh-CN"/>
                      <w14:textFill>
                        <w14:solidFill>
                          <w14:schemeClr w14:val="tx1"/>
                        </w14:solidFill>
                      </w14:textFill>
                    </w:rPr>
                    <w:t>总</w:t>
                  </w:r>
                  <w:r>
                    <w:rPr>
                      <w:rFonts w:hint="eastAsia" w:ascii="宋体" w:hAnsi="宋体" w:eastAsia="宋体" w:cs="宋体"/>
                      <w:bCs/>
                      <w:color w:val="000000" w:themeColor="text1"/>
                      <w:sz w:val="21"/>
                      <w:szCs w:val="21"/>
                      <w14:textFill>
                        <w14:solidFill>
                          <w14:schemeClr w14:val="tx1"/>
                        </w14:solidFill>
                      </w14:textFill>
                    </w:rPr>
                    <w:t>营业面积的</w:t>
                  </w:r>
                  <w:r>
                    <w:rPr>
                      <w:rFonts w:hint="eastAsia" w:ascii="宋体" w:hAnsi="宋体" w:eastAsia="宋体" w:cs="宋体"/>
                      <w:bCs/>
                      <w:color w:val="000000" w:themeColor="text1"/>
                      <w:sz w:val="21"/>
                      <w:szCs w:val="21"/>
                      <w:lang w:val="en-US" w:eastAsia="zh-CN"/>
                      <w14:textFill>
                        <w14:solidFill>
                          <w14:schemeClr w14:val="tx1"/>
                        </w14:solidFill>
                      </w14:textFill>
                    </w:rPr>
                    <w:t>60</w:t>
                  </w:r>
                  <w:r>
                    <w:rPr>
                      <w:rFonts w:hint="eastAsia" w:ascii="宋体" w:hAnsi="宋体" w:eastAsia="宋体" w:cs="宋体"/>
                      <w:bCs/>
                      <w:color w:val="000000" w:themeColor="text1"/>
                      <w:sz w:val="21"/>
                      <w:szCs w:val="21"/>
                      <w14:textFill>
                        <w14:solidFill>
                          <w14:schemeClr w14:val="tx1"/>
                        </w14:solidFill>
                      </w14:textFill>
                    </w:rPr>
                    <w:t>%</w:t>
                  </w:r>
                  <w:r>
                    <w:rPr>
                      <w:rFonts w:hint="eastAsia" w:ascii="宋体" w:hAnsi="宋体" w:eastAsia="宋体" w:cs="宋体"/>
                      <w:bCs/>
                      <w:color w:val="000000" w:themeColor="text1"/>
                      <w:sz w:val="21"/>
                      <w:szCs w:val="21"/>
                      <w:lang w:val="en-US" w:eastAsia="zh-CN"/>
                      <w14:textFill>
                        <w14:solidFill>
                          <w14:schemeClr w14:val="tx1"/>
                        </w14:solidFill>
                      </w14:textFill>
                    </w:rPr>
                    <w:t>以上</w:t>
                  </w:r>
                  <w:r>
                    <w:rPr>
                      <w:rFonts w:hint="eastAsia" w:ascii="宋体" w:hAnsi="宋体" w:eastAsia="宋体" w:cs="宋体"/>
                      <w:bCs/>
                      <w:color w:val="000000" w:themeColor="text1"/>
                      <w:sz w:val="21"/>
                      <w:szCs w:val="21"/>
                      <w14:textFill>
                        <w14:solidFill>
                          <w14:schemeClr w14:val="tx1"/>
                        </w14:solidFill>
                      </w14:textFill>
                    </w:rPr>
                    <w:t>。</w:t>
                  </w:r>
                </w:p>
              </w:tc>
              <w:tc>
                <w:tcPr>
                  <w:tcW w:w="878" w:type="dxa"/>
                  <w:tcBorders>
                    <w:tl2br w:val="nil"/>
                    <w:tr2bl w:val="nil"/>
                  </w:tcBorders>
                  <w:noWrap w:val="0"/>
                  <w:vAlign w:val="center"/>
                </w:tcPr>
                <w:p w14:paraId="5F1C1ED0">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4489A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continue"/>
                  <w:tcBorders>
                    <w:tl2br w:val="nil"/>
                    <w:tr2bl w:val="nil"/>
                  </w:tcBorders>
                  <w:noWrap w:val="0"/>
                  <w:vAlign w:val="center"/>
                </w:tcPr>
                <w:p w14:paraId="5F38D570">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p>
              </w:tc>
              <w:tc>
                <w:tcPr>
                  <w:tcW w:w="6265" w:type="dxa"/>
                  <w:tcBorders>
                    <w:tl2br w:val="nil"/>
                    <w:tr2bl w:val="nil"/>
                  </w:tcBorders>
                  <w:noWrap w:val="0"/>
                  <w:vAlign w:val="center"/>
                </w:tcPr>
                <w:p w14:paraId="4699080B">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严格执行《工业项目建设用地控制指标》建设用地标准，且场地建设符合HJ 348的企业建设环境保护要求。场地应具备拆解场地、贮存场地和办公场地。其中，拆解场地和贮存场地（包括临时贮存）的地面应硬化并防渗漏，满足GB 50037的防油渗地面要求。</w:t>
                  </w:r>
                </w:p>
              </w:tc>
              <w:tc>
                <w:tcPr>
                  <w:tcW w:w="5574" w:type="dxa"/>
                  <w:tcBorders>
                    <w:tl2br w:val="nil"/>
                    <w:tr2bl w:val="nil"/>
                  </w:tcBorders>
                  <w:noWrap w:val="0"/>
                  <w:vAlign w:val="center"/>
                </w:tcPr>
                <w:p w14:paraId="57005C53">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本项目</w:t>
                  </w:r>
                  <w:r>
                    <w:rPr>
                      <w:rFonts w:hint="eastAsia" w:ascii="宋体" w:hAnsi="宋体" w:eastAsia="宋体" w:cs="宋体"/>
                      <w:color w:val="000000" w:themeColor="text1"/>
                      <w:kern w:val="0"/>
                      <w:sz w:val="21"/>
                      <w:szCs w:val="21"/>
                      <w:lang w:val="en-US" w:eastAsia="zh-CN"/>
                      <w14:textFill>
                        <w14:solidFill>
                          <w14:schemeClr w14:val="tx1"/>
                        </w14:solidFill>
                      </w14:textFill>
                    </w:rPr>
                    <w:t>位于</w:t>
                  </w:r>
                  <w:r>
                    <w:rPr>
                      <w:rFonts w:hint="eastAsia" w:ascii="宋体" w:hAnsi="宋体" w:eastAsia="宋体" w:cs="宋体"/>
                      <w:color w:val="000000" w:themeColor="text1"/>
                      <w:sz w:val="21"/>
                      <w:szCs w:val="21"/>
                      <w:lang w:eastAsia="zh-CN"/>
                      <w14:textFill>
                        <w14:solidFill>
                          <w14:schemeClr w14:val="tx1"/>
                        </w14:solidFill>
                      </w14:textFill>
                    </w:rPr>
                    <w:t>开发区</w:t>
                  </w:r>
                  <w:r>
                    <w:rPr>
                      <w:rFonts w:hint="eastAsia" w:ascii="宋体" w:hAnsi="宋体" w:eastAsia="宋体" w:cs="宋体"/>
                      <w:color w:val="000000" w:themeColor="text1"/>
                      <w:kern w:val="0"/>
                      <w:sz w:val="21"/>
                      <w:szCs w:val="21"/>
                      <w14:textFill>
                        <w14:solidFill>
                          <w14:schemeClr w14:val="tx1"/>
                        </w14:solidFill>
                      </w14:textFill>
                    </w:rPr>
                    <w:t>，所在地属于工业用地</w:t>
                  </w:r>
                  <w:r>
                    <w:rPr>
                      <w:rFonts w:hint="eastAsia" w:ascii="宋体" w:hAnsi="宋体" w:eastAsia="宋体" w:cs="宋体"/>
                      <w:color w:val="000000" w:themeColor="text1"/>
                      <w:kern w:val="0"/>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厂区内配置有拆解车间、废车停车场、综合办公楼等场地，拆解车间，拆解场地和贮存场地（包括临时贮存）的地面应硬化并防渗漏，满足GB 50037的防油渗地面要求。</w:t>
                  </w:r>
                </w:p>
              </w:tc>
              <w:tc>
                <w:tcPr>
                  <w:tcW w:w="878" w:type="dxa"/>
                  <w:tcBorders>
                    <w:tl2br w:val="nil"/>
                    <w:tr2bl w:val="nil"/>
                  </w:tcBorders>
                  <w:noWrap w:val="0"/>
                  <w:vAlign w:val="center"/>
                </w:tcPr>
                <w:p w14:paraId="4CE7E14A">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942F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continue"/>
                  <w:tcBorders>
                    <w:tl2br w:val="nil"/>
                    <w:tr2bl w:val="nil"/>
                  </w:tcBorders>
                  <w:noWrap w:val="0"/>
                  <w:vAlign w:val="center"/>
                </w:tcPr>
                <w:p w14:paraId="4CFFF1C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p>
              </w:tc>
              <w:tc>
                <w:tcPr>
                  <w:tcW w:w="6265" w:type="dxa"/>
                  <w:tcBorders>
                    <w:tl2br w:val="nil"/>
                    <w:tr2bl w:val="nil"/>
                  </w:tcBorders>
                  <w:noWrap w:val="0"/>
                  <w:vAlign w:val="center"/>
                </w:tcPr>
                <w:p w14:paraId="257CDE67">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拆解场地应为封闭或半封闭构建物，应通风、光线良好，安全环保设施设备齐全。</w:t>
                  </w:r>
                </w:p>
              </w:tc>
              <w:tc>
                <w:tcPr>
                  <w:tcW w:w="5574" w:type="dxa"/>
                  <w:tcBorders>
                    <w:tl2br w:val="nil"/>
                    <w:tr2bl w:val="nil"/>
                  </w:tcBorders>
                  <w:noWrap w:val="0"/>
                  <w:vAlign w:val="center"/>
                </w:tcPr>
                <w:p w14:paraId="4923BB79">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本项目拆解在封闭厂房内进行，地面做了防渗措施、光线良好，安全环保设施设备齐全。</w:t>
                  </w:r>
                </w:p>
              </w:tc>
              <w:tc>
                <w:tcPr>
                  <w:tcW w:w="878" w:type="dxa"/>
                  <w:tcBorders>
                    <w:tl2br w:val="nil"/>
                    <w:tr2bl w:val="nil"/>
                  </w:tcBorders>
                  <w:noWrap w:val="0"/>
                  <w:vAlign w:val="center"/>
                </w:tcPr>
                <w:p w14:paraId="0883AD4F">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2EBF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continue"/>
                  <w:tcBorders>
                    <w:tl2br w:val="nil"/>
                    <w:tr2bl w:val="nil"/>
                  </w:tcBorders>
                  <w:noWrap w:val="0"/>
                  <w:vAlign w:val="center"/>
                </w:tcPr>
                <w:p w14:paraId="0C1CABC4">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p>
              </w:tc>
              <w:tc>
                <w:tcPr>
                  <w:tcW w:w="6265" w:type="dxa"/>
                  <w:tcBorders>
                    <w:tl2br w:val="nil"/>
                    <w:tr2bl w:val="nil"/>
                  </w:tcBorders>
                  <w:noWrap w:val="0"/>
                  <w:vAlign w:val="center"/>
                </w:tcPr>
                <w:p w14:paraId="3358CBF8">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贮存场地应分为报废机动车贮存场地、回用件贮存场地及固体废物贮存场地。固体废物贮存场地应具有满足GB 18599 要求的一般工业固体废物贮存设施和满足GB 18597 要求的危险废物贮存设施。</w:t>
                  </w:r>
                </w:p>
              </w:tc>
              <w:tc>
                <w:tcPr>
                  <w:tcW w:w="5574" w:type="dxa"/>
                  <w:tcBorders>
                    <w:tl2br w:val="nil"/>
                    <w:tr2bl w:val="nil"/>
                  </w:tcBorders>
                  <w:noWrap w:val="0"/>
                  <w:vAlign w:val="center"/>
                </w:tcPr>
                <w:p w14:paraId="7A2788BF">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本工程报废机动车贮存场地为硬化堆场、一般工业固体废物贮存及处置执行《一般工业固体废物贮存和填埋污染控制标准》（GB18599-2020）要求；危险废物临时贮存执行《危险废物贮存污染控制标准》（GB18597-2023）要求。</w:t>
                  </w:r>
                </w:p>
              </w:tc>
              <w:tc>
                <w:tcPr>
                  <w:tcW w:w="878" w:type="dxa"/>
                  <w:tcBorders>
                    <w:tl2br w:val="nil"/>
                    <w:tr2bl w:val="nil"/>
                  </w:tcBorders>
                  <w:noWrap w:val="0"/>
                  <w:vAlign w:val="center"/>
                </w:tcPr>
                <w:p w14:paraId="35F4071B">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0153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continue"/>
                  <w:tcBorders>
                    <w:tl2br w:val="nil"/>
                    <w:tr2bl w:val="nil"/>
                  </w:tcBorders>
                  <w:noWrap w:val="0"/>
                  <w:vAlign w:val="center"/>
                </w:tcPr>
                <w:p w14:paraId="37973EA8">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p>
              </w:tc>
              <w:tc>
                <w:tcPr>
                  <w:tcW w:w="6265" w:type="dxa"/>
                  <w:tcBorders>
                    <w:tl2br w:val="nil"/>
                    <w:tr2bl w:val="nil"/>
                  </w:tcBorders>
                  <w:noWrap w:val="0"/>
                  <w:vAlign w:val="center"/>
                </w:tcPr>
                <w:p w14:paraId="7B86C0E9">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拆解电动汽车的企业还应满足以下场地建设要求：a）具备电动汽车贮存场地、动力蓄电池贮存场地和动力蓄电池拆卸专用场地。场地应设有高压警示、区域隔离及危险识别标志，并具有防腐防渗紧急收集池及专用容器，用于收集动力蓄电池等破损时泄漏出的电解液、冷却液等有毒有害液体；b）电动汽车贮存场地应单独管理，并保持通风；c）动力蓄电池贮存场地应设在易燃、易爆等，危险品仓库及高压输电线路防护区域以外，并设有烟雾报警器等火灾自动报警设施；d）动力蓄电池拆卸专用场地地面应做绝缘处理。</w:t>
                  </w:r>
                </w:p>
              </w:tc>
              <w:tc>
                <w:tcPr>
                  <w:tcW w:w="5574" w:type="dxa"/>
                  <w:tcBorders>
                    <w:tl2br w:val="nil"/>
                    <w:tr2bl w:val="nil"/>
                  </w:tcBorders>
                  <w:noWrap w:val="0"/>
                  <w:vAlign w:val="center"/>
                </w:tcPr>
                <w:p w14:paraId="467DEA75">
                  <w:pPr>
                    <w:autoSpaceDE w:val="0"/>
                    <w:autoSpaceDN w:val="0"/>
                    <w:jc w:val="both"/>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公司</w:t>
                  </w:r>
                  <w:r>
                    <w:rPr>
                      <w:rFonts w:hint="eastAsia" w:ascii="宋体" w:hAnsi="宋体" w:eastAsia="宋体" w:cs="宋体"/>
                      <w:color w:val="000000" w:themeColor="text1"/>
                      <w:kern w:val="0"/>
                      <w:sz w:val="21"/>
                      <w:szCs w:val="21"/>
                      <w:lang w:val="en-US" w:eastAsia="zh-CN"/>
                      <w14:textFill>
                        <w14:solidFill>
                          <w14:schemeClr w14:val="tx1"/>
                        </w14:solidFill>
                      </w14:textFill>
                    </w:rPr>
                    <w:t>废车停车场内</w:t>
                  </w:r>
                  <w:r>
                    <w:rPr>
                      <w:rFonts w:hint="eastAsia" w:ascii="宋体" w:hAnsi="宋体" w:eastAsia="宋体" w:cs="宋体"/>
                      <w:color w:val="000000" w:themeColor="text1"/>
                      <w:kern w:val="0"/>
                      <w:sz w:val="21"/>
                      <w:szCs w:val="21"/>
                      <w14:textFill>
                        <w14:solidFill>
                          <w14:schemeClr w14:val="tx1"/>
                        </w14:solidFill>
                      </w14:textFill>
                    </w:rPr>
                    <w:t>设有电动汽车的贮存场地、动力蓄电池贮存场地和拆卸专用场地，场地设有高压警示、区域隔离及危险识别标志，并具有防腐防渗紧急收集池及专用容器，用于收集动力蓄电池等破损时泄漏出的电解液、冷却液等有毒有害液体。设置独立的动力蓄电池贮存场地并设置了标识标牌</w:t>
                  </w:r>
                  <w:r>
                    <w:rPr>
                      <w:rFonts w:hint="eastAsia" w:ascii="宋体" w:hAnsi="宋体" w:eastAsia="宋体" w:cs="宋体"/>
                      <w:color w:val="000000" w:themeColor="text1"/>
                      <w:kern w:val="0"/>
                      <w:sz w:val="21"/>
                      <w:szCs w:val="21"/>
                      <w:lang w:eastAsia="zh-CN"/>
                      <w14:textFill>
                        <w14:solidFill>
                          <w14:schemeClr w14:val="tx1"/>
                        </w14:solidFill>
                      </w14:textFill>
                    </w:rPr>
                    <w:t>。</w:t>
                  </w:r>
                </w:p>
              </w:tc>
              <w:tc>
                <w:tcPr>
                  <w:tcW w:w="878" w:type="dxa"/>
                  <w:tcBorders>
                    <w:tl2br w:val="nil"/>
                    <w:tr2bl w:val="nil"/>
                  </w:tcBorders>
                  <w:noWrap w:val="0"/>
                  <w:vAlign w:val="center"/>
                </w:tcPr>
                <w:p w14:paraId="13B6C065">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4FF24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restart"/>
                  <w:tcBorders>
                    <w:tl2br w:val="nil"/>
                    <w:tr2bl w:val="nil"/>
                  </w:tcBorders>
                  <w:noWrap w:val="0"/>
                  <w:vAlign w:val="center"/>
                </w:tcPr>
                <w:p w14:paraId="7EC151E8">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6.环保要求</w:t>
                  </w:r>
                </w:p>
              </w:tc>
              <w:tc>
                <w:tcPr>
                  <w:tcW w:w="6265" w:type="dxa"/>
                  <w:tcBorders>
                    <w:tl2br w:val="nil"/>
                    <w:tr2bl w:val="nil"/>
                  </w:tcBorders>
                  <w:noWrap w:val="0"/>
                  <w:vAlign w:val="center"/>
                </w:tcPr>
                <w:p w14:paraId="52611B79">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报废机动车拆解过程应满足HJ348中所规定的清污分流、污水达标排放等环境保护和污染控制的相关要求</w:t>
                  </w:r>
                </w:p>
              </w:tc>
              <w:tc>
                <w:tcPr>
                  <w:tcW w:w="5574" w:type="dxa"/>
                  <w:tcBorders>
                    <w:tl2br w:val="nil"/>
                    <w:tr2bl w:val="nil"/>
                  </w:tcBorders>
                  <w:noWrap w:val="0"/>
                  <w:vAlign w:val="center"/>
                </w:tcPr>
                <w:p w14:paraId="280F6ACA">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厂区内排水实行清污分流，</w:t>
                  </w:r>
                  <w:r>
                    <w:rPr>
                      <w:rFonts w:hint="eastAsia" w:ascii="宋体" w:hAnsi="宋体" w:eastAsia="宋体" w:cs="宋体"/>
                      <w:color w:val="000000" w:themeColor="text1"/>
                      <w:sz w:val="21"/>
                      <w:szCs w:val="21"/>
                      <w14:textFill>
                        <w14:solidFill>
                          <w14:schemeClr w14:val="tx1"/>
                        </w14:solidFill>
                      </w14:textFill>
                    </w:rPr>
                    <w:t>职工生活污水经化粪池预处理</w:t>
                  </w:r>
                  <w:r>
                    <w:rPr>
                      <w:rFonts w:hint="eastAsia" w:ascii="宋体" w:hAnsi="宋体" w:eastAsia="宋体" w:cs="宋体"/>
                      <w:color w:val="000000" w:themeColor="text1"/>
                      <w:sz w:val="21"/>
                      <w:szCs w:val="21"/>
                      <w:lang w:val="en-US" w:eastAsia="zh-CN"/>
                      <w14:textFill>
                        <w14:solidFill>
                          <w14:schemeClr w14:val="tx1"/>
                        </w14:solidFill>
                      </w14:textFill>
                    </w:rPr>
                    <w:t>后定期清运</w:t>
                  </w:r>
                  <w:r>
                    <w:rPr>
                      <w:rFonts w:hint="eastAsia" w:ascii="宋体" w:hAnsi="宋体" w:eastAsia="宋体" w:cs="宋体"/>
                      <w:color w:val="000000" w:themeColor="text1"/>
                      <w:sz w:val="21"/>
                      <w:szCs w:val="21"/>
                      <w14:textFill>
                        <w14:solidFill>
                          <w14:schemeClr w14:val="tx1"/>
                        </w14:solidFill>
                      </w14:textFill>
                    </w:rPr>
                    <w:t>及初期雨水通过油水分离器</w:t>
                  </w:r>
                  <w:r>
                    <w:rPr>
                      <w:rFonts w:hint="eastAsia" w:ascii="宋体" w:hAnsi="宋体" w:eastAsia="宋体" w:cs="宋体"/>
                      <w:color w:val="000000" w:themeColor="text1"/>
                      <w:sz w:val="21"/>
                      <w:szCs w:val="21"/>
                      <w:lang w:val="en-US" w:eastAsia="zh-CN"/>
                      <w14:textFill>
                        <w14:solidFill>
                          <w14:schemeClr w14:val="tx1"/>
                        </w14:solidFill>
                      </w14:textFill>
                    </w:rPr>
                    <w:t>等</w:t>
                  </w:r>
                  <w:r>
                    <w:rPr>
                      <w:rFonts w:hint="eastAsia" w:ascii="宋体" w:hAnsi="宋体" w:eastAsia="宋体" w:cs="宋体"/>
                      <w:color w:val="000000" w:themeColor="text1"/>
                      <w:sz w:val="21"/>
                      <w:szCs w:val="21"/>
                      <w14:textFill>
                        <w14:solidFill>
                          <w14:schemeClr w14:val="tx1"/>
                        </w14:solidFill>
                      </w14:textFill>
                    </w:rPr>
                    <w:t>处理后</w:t>
                  </w:r>
                  <w:r>
                    <w:rPr>
                      <w:rFonts w:hint="eastAsia" w:ascii="宋体" w:hAnsi="宋体" w:cs="宋体"/>
                      <w:color w:val="000000" w:themeColor="text1"/>
                      <w:sz w:val="21"/>
                      <w:szCs w:val="21"/>
                      <w:lang w:val="en-US" w:eastAsia="zh-CN"/>
                      <w14:textFill>
                        <w14:solidFill>
                          <w14:schemeClr w14:val="tx1"/>
                        </w14:solidFill>
                      </w14:textFill>
                    </w:rPr>
                    <w:t>运至有下水管网的指定点，排</w:t>
                  </w:r>
                  <w:r>
                    <w:rPr>
                      <w:rFonts w:hint="eastAsia" w:ascii="宋体" w:hAnsi="宋体" w:eastAsia="宋体" w:cs="宋体"/>
                      <w:color w:val="000000" w:themeColor="text1"/>
                      <w:sz w:val="21"/>
                      <w:szCs w:val="21"/>
                      <w14:textFill>
                        <w14:solidFill>
                          <w14:schemeClr w14:val="tx1"/>
                        </w14:solidFill>
                      </w14:textFill>
                    </w:rPr>
                    <w:t>入市政管网进入</w:t>
                  </w:r>
                  <w:r>
                    <w:rPr>
                      <w:rFonts w:hint="eastAsia" w:ascii="宋体" w:hAnsi="宋体" w:eastAsia="宋体" w:cs="宋体"/>
                      <w:color w:val="000000" w:themeColor="text1"/>
                      <w:sz w:val="21"/>
                      <w:szCs w:val="21"/>
                      <w:lang w:val="en-US" w:eastAsia="zh-CN"/>
                      <w14:textFill>
                        <w14:solidFill>
                          <w14:schemeClr w14:val="tx1"/>
                        </w14:solidFill>
                      </w14:textFill>
                    </w:rPr>
                    <w:t>污水处理厂</w:t>
                  </w:r>
                  <w:r>
                    <w:rPr>
                      <w:rFonts w:hint="eastAsia" w:ascii="宋体" w:hAnsi="宋体" w:eastAsia="宋体" w:cs="宋体"/>
                      <w:color w:val="000000" w:themeColor="text1"/>
                      <w:sz w:val="21"/>
                      <w:szCs w:val="21"/>
                      <w14:textFill>
                        <w14:solidFill>
                          <w14:schemeClr w14:val="tx1"/>
                        </w14:solidFill>
                      </w14:textFill>
                    </w:rPr>
                    <w:t>，处理达标后</w:t>
                  </w:r>
                  <w:r>
                    <w:rPr>
                      <w:rFonts w:hint="eastAsia" w:ascii="宋体" w:hAnsi="宋体" w:eastAsia="宋体" w:cs="宋体"/>
                      <w:color w:val="000000" w:themeColor="text1"/>
                      <w:sz w:val="21"/>
                      <w:szCs w:val="21"/>
                      <w:lang w:eastAsia="zh-CN"/>
                      <w14:textFill>
                        <w14:solidFill>
                          <w14:schemeClr w14:val="tx1"/>
                        </w14:solidFill>
                      </w14:textFill>
                    </w:rPr>
                    <w:t>排入</w:t>
                  </w:r>
                  <w:r>
                    <w:rPr>
                      <w:rFonts w:hint="eastAsia" w:ascii="宋体" w:hAnsi="宋体" w:eastAsia="宋体" w:cs="宋体"/>
                      <w:color w:val="000000" w:themeColor="text1"/>
                      <w:sz w:val="21"/>
                      <w:szCs w:val="21"/>
                      <w:lang w:val="en-US" w:eastAsia="zh-CN"/>
                      <w14:textFill>
                        <w14:solidFill>
                          <w14:schemeClr w14:val="tx1"/>
                        </w14:solidFill>
                      </w14:textFill>
                    </w:rPr>
                    <w:t>条子</w:t>
                  </w:r>
                  <w:r>
                    <w:rPr>
                      <w:rFonts w:hint="eastAsia" w:ascii="宋体" w:hAnsi="宋体" w:eastAsia="宋体" w:cs="宋体"/>
                      <w:color w:val="000000" w:themeColor="text1"/>
                      <w:sz w:val="21"/>
                      <w:szCs w:val="21"/>
                      <w:lang w:eastAsia="zh-CN"/>
                      <w14:textFill>
                        <w14:solidFill>
                          <w14:schemeClr w14:val="tx1"/>
                        </w14:solidFill>
                      </w14:textFill>
                    </w:rPr>
                    <w:t>河</w:t>
                  </w:r>
                  <w:r>
                    <w:rPr>
                      <w:rFonts w:hint="eastAsia" w:ascii="宋体" w:hAnsi="宋体" w:eastAsia="宋体" w:cs="宋体"/>
                      <w:color w:val="000000" w:themeColor="text1"/>
                      <w:sz w:val="21"/>
                      <w:szCs w:val="21"/>
                      <w14:textFill>
                        <w14:solidFill>
                          <w14:schemeClr w14:val="tx1"/>
                        </w14:solidFill>
                      </w14:textFill>
                    </w:rPr>
                    <w:t>。</w:t>
                  </w:r>
                </w:p>
              </w:tc>
              <w:tc>
                <w:tcPr>
                  <w:tcW w:w="878" w:type="dxa"/>
                  <w:tcBorders>
                    <w:tl2br w:val="nil"/>
                    <w:tr2bl w:val="nil"/>
                  </w:tcBorders>
                  <w:noWrap w:val="0"/>
                  <w:vAlign w:val="center"/>
                </w:tcPr>
                <w:p w14:paraId="59D21E53">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AFFF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continue"/>
                  <w:tcBorders>
                    <w:tl2br w:val="nil"/>
                    <w:tr2bl w:val="nil"/>
                  </w:tcBorders>
                  <w:noWrap w:val="0"/>
                  <w:vAlign w:val="center"/>
                </w:tcPr>
                <w:p w14:paraId="249BB68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p>
              </w:tc>
              <w:tc>
                <w:tcPr>
                  <w:tcW w:w="6265" w:type="dxa"/>
                  <w:tcBorders>
                    <w:tl2br w:val="nil"/>
                    <w:tr2bl w:val="nil"/>
                  </w:tcBorders>
                  <w:noWrap w:val="0"/>
                  <w:vAlign w:val="center"/>
                </w:tcPr>
                <w:p w14:paraId="0E67F629">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应实施满足危险废物规范化管理要求的环境管理制度，其中对列入《国家危险废物名录》的危险废物应严格按照有关规定进行管理</w:t>
                  </w:r>
                </w:p>
              </w:tc>
              <w:tc>
                <w:tcPr>
                  <w:tcW w:w="5574" w:type="dxa"/>
                  <w:tcBorders>
                    <w:tl2br w:val="nil"/>
                    <w:tr2bl w:val="nil"/>
                  </w:tcBorders>
                  <w:noWrap w:val="0"/>
                  <w:vAlign w:val="center"/>
                </w:tcPr>
                <w:p w14:paraId="67CAA5A6">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项目建立了严格的一般固废和危险废物管理制度，并</w:t>
                  </w:r>
                  <w:r>
                    <w:rPr>
                      <w:rFonts w:hint="eastAsia" w:ascii="宋体" w:hAnsi="宋体" w:eastAsia="宋体" w:cs="宋体"/>
                      <w:color w:val="000000" w:themeColor="text1"/>
                      <w:kern w:val="0"/>
                      <w:sz w:val="21"/>
                      <w:szCs w:val="21"/>
                      <w:lang w:val="en-US" w:eastAsia="zh-CN"/>
                      <w14:textFill>
                        <w14:solidFill>
                          <w14:schemeClr w14:val="tx1"/>
                        </w14:solidFill>
                      </w14:textFill>
                    </w:rPr>
                    <w:t>与</w:t>
                  </w:r>
                  <w:r>
                    <w:rPr>
                      <w:rFonts w:hint="eastAsia" w:ascii="宋体" w:hAnsi="宋体" w:eastAsia="宋体" w:cs="宋体"/>
                      <w:color w:val="000000" w:themeColor="text1"/>
                      <w:kern w:val="0"/>
                      <w:sz w:val="21"/>
                      <w:szCs w:val="21"/>
                      <w14:textFill>
                        <w14:solidFill>
                          <w14:schemeClr w14:val="tx1"/>
                        </w14:solidFill>
                      </w14:textFill>
                    </w:rPr>
                    <w:t>有资质的单位签订危废处置合同，按照《报废汽车回收拆解企业技术规范》（GB22128-2019）、《危险废物贮存污染控制标准》（GB18597-2023）有关要求及《危险废物管理制度》中贮存、运输、处理规定进行管理。</w:t>
                  </w:r>
                </w:p>
              </w:tc>
              <w:tc>
                <w:tcPr>
                  <w:tcW w:w="878" w:type="dxa"/>
                  <w:tcBorders>
                    <w:tl2br w:val="nil"/>
                    <w:tr2bl w:val="nil"/>
                  </w:tcBorders>
                  <w:noWrap w:val="0"/>
                  <w:vAlign w:val="center"/>
                </w:tcPr>
                <w:p w14:paraId="7096CF7A">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FDF9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dxa"/>
                  <w:vMerge w:val="continue"/>
                  <w:tcBorders>
                    <w:tl2br w:val="nil"/>
                    <w:tr2bl w:val="nil"/>
                  </w:tcBorders>
                  <w:noWrap w:val="0"/>
                  <w:vAlign w:val="center"/>
                </w:tcPr>
                <w:p w14:paraId="12D946F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p>
              </w:tc>
              <w:tc>
                <w:tcPr>
                  <w:tcW w:w="6265" w:type="dxa"/>
                  <w:tcBorders>
                    <w:tl2br w:val="nil"/>
                    <w:tr2bl w:val="nil"/>
                  </w:tcBorders>
                  <w:noWrap w:val="0"/>
                  <w:vAlign w:val="center"/>
                </w:tcPr>
                <w:p w14:paraId="7666D261">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应满足GB12348中所规定的2类声环境功能区工业企业厂界环境噪声排放限值要求</w:t>
                  </w:r>
                </w:p>
              </w:tc>
              <w:tc>
                <w:tcPr>
                  <w:tcW w:w="5574" w:type="dxa"/>
                  <w:tcBorders>
                    <w:tl2br w:val="nil"/>
                    <w:tr2bl w:val="nil"/>
                  </w:tcBorders>
                  <w:noWrap w:val="0"/>
                  <w:vAlign w:val="center"/>
                </w:tcPr>
                <w:p w14:paraId="6EB0E192">
                  <w:pPr>
                    <w:autoSpaceDE w:val="0"/>
                    <w:autoSpaceDN w:val="0"/>
                    <w:jc w:val="both"/>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根据预测，项目</w:t>
                  </w:r>
                  <w:r>
                    <w:rPr>
                      <w:rFonts w:hint="eastAsia" w:ascii="宋体" w:hAnsi="宋体" w:eastAsia="宋体" w:cs="宋体"/>
                      <w:color w:val="000000" w:themeColor="text1"/>
                      <w:kern w:val="0"/>
                      <w:sz w:val="21"/>
                      <w:szCs w:val="21"/>
                      <w:lang w:val="en-US" w:eastAsia="zh-CN"/>
                      <w14:textFill>
                        <w14:solidFill>
                          <w14:schemeClr w14:val="tx1"/>
                        </w14:solidFill>
                      </w14:textFill>
                    </w:rPr>
                    <w:t>完成后</w:t>
                  </w:r>
                  <w:r>
                    <w:rPr>
                      <w:rFonts w:hint="eastAsia" w:ascii="宋体" w:hAnsi="宋体" w:eastAsia="宋体" w:cs="宋体"/>
                      <w:color w:val="000000" w:themeColor="text1"/>
                      <w:kern w:val="0"/>
                      <w:sz w:val="21"/>
                      <w:szCs w:val="21"/>
                      <w14:textFill>
                        <w14:solidFill>
                          <w14:schemeClr w14:val="tx1"/>
                        </w14:solidFill>
                      </w14:textFill>
                    </w:rPr>
                    <w:t>四周厂界噪声能够满足</w:t>
                  </w:r>
                  <w:r>
                    <w:rPr>
                      <w:rFonts w:hint="eastAsia" w:ascii="宋体" w:hAnsi="宋体" w:eastAsia="宋体" w:cs="宋体"/>
                      <w:color w:val="000000" w:themeColor="text1"/>
                      <w:kern w:val="0"/>
                      <w:sz w:val="21"/>
                      <w:szCs w:val="21"/>
                      <w:lang w:val="en-US" w:eastAsia="zh-CN"/>
                      <w14:textFill>
                        <w14:solidFill>
                          <w14:schemeClr w14:val="tx1"/>
                        </w14:solidFill>
                      </w14:textFill>
                    </w:rPr>
                    <w:t>项目所在区域要求执行的</w:t>
                  </w:r>
                  <w:r>
                    <w:rPr>
                      <w:rFonts w:hint="eastAsia" w:ascii="宋体" w:hAnsi="宋体" w:eastAsia="宋体" w:cs="宋体"/>
                      <w:color w:val="000000" w:themeColor="text1"/>
                      <w:kern w:val="0"/>
                      <w:sz w:val="21"/>
                      <w:szCs w:val="21"/>
                      <w14:textFill>
                        <w14:solidFill>
                          <w14:schemeClr w14:val="tx1"/>
                        </w14:solidFill>
                      </w14:textFill>
                    </w:rPr>
                    <w:t>《工业企业厂界环境噪声排放标准》(GB12348-2008)3类区标准限值要求。</w:t>
                  </w:r>
                </w:p>
              </w:tc>
              <w:tc>
                <w:tcPr>
                  <w:tcW w:w="878" w:type="dxa"/>
                  <w:tcBorders>
                    <w:tl2br w:val="nil"/>
                    <w:tr2bl w:val="nil"/>
                  </w:tcBorders>
                  <w:noWrap w:val="0"/>
                  <w:vAlign w:val="center"/>
                </w:tcPr>
                <w:p w14:paraId="7C380E9E">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bl>
          <w:p w14:paraId="5C00DEDC">
            <w:pPr>
              <w:spacing w:line="360" w:lineRule="auto"/>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w:t>
            </w:r>
            <w:r>
              <w:rPr>
                <w:rFonts w:hint="eastAsia" w:ascii="宋体" w:hAnsi="宋体" w:cs="宋体"/>
                <w:b/>
                <w:bCs/>
                <w:color w:val="000000" w:themeColor="text1"/>
                <w:sz w:val="24"/>
                <w:lang w:val="en-US" w:eastAsia="zh-CN"/>
                <w14:textFill>
                  <w14:solidFill>
                    <w14:schemeClr w14:val="tx1"/>
                  </w14:solidFill>
                </w14:textFill>
              </w:rPr>
              <w:t>2</w:t>
            </w:r>
            <w:r>
              <w:rPr>
                <w:rFonts w:hint="eastAsia" w:ascii="宋体" w:hAnsi="宋体" w:eastAsia="宋体" w:cs="宋体"/>
                <w:b/>
                <w:bCs/>
                <w:color w:val="000000" w:themeColor="text1"/>
                <w:sz w:val="24"/>
                <w:lang w:val="en-US" w:eastAsia="zh-CN"/>
                <w14:textFill>
                  <w14:solidFill>
                    <w14:schemeClr w14:val="tx1"/>
                  </w14:solidFill>
                </w14:textFill>
              </w:rPr>
              <w:t>）</w:t>
            </w:r>
            <w:r>
              <w:rPr>
                <w:rFonts w:hint="eastAsia" w:ascii="宋体" w:hAnsi="宋体" w:eastAsia="宋体" w:cs="宋体"/>
                <w:b/>
                <w:bCs/>
                <w:color w:val="000000" w:themeColor="text1"/>
                <w:sz w:val="24"/>
                <w14:textFill>
                  <w14:solidFill>
                    <w14:schemeClr w14:val="tx1"/>
                  </w14:solidFill>
                </w14:textFill>
              </w:rPr>
              <w:t>与《</w:t>
            </w:r>
            <w:r>
              <w:rPr>
                <w:rFonts w:hint="eastAsia" w:ascii="宋体" w:hAnsi="宋体" w:eastAsia="宋体" w:cs="宋体"/>
                <w:b/>
                <w:color w:val="000000" w:themeColor="text1"/>
                <w:sz w:val="24"/>
                <w14:textFill>
                  <w14:solidFill>
                    <w14:schemeClr w14:val="tx1"/>
                  </w14:solidFill>
                </w14:textFill>
              </w:rPr>
              <w:t>报废机动车拆解企业污染控制技术规范</w:t>
            </w:r>
            <w:r>
              <w:rPr>
                <w:rFonts w:hint="eastAsia" w:ascii="宋体" w:hAnsi="宋体" w:eastAsia="宋体" w:cs="宋体"/>
                <w:b/>
                <w:bCs/>
                <w:color w:val="000000" w:themeColor="text1"/>
                <w:sz w:val="24"/>
                <w14:textFill>
                  <w14:solidFill>
                    <w14:schemeClr w14:val="tx1"/>
                  </w14:solidFill>
                </w14:textFill>
              </w:rPr>
              <w:t>》相符性分析</w:t>
            </w:r>
          </w:p>
          <w:p w14:paraId="5FD8CADC">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为贯彻《中华人民共和国固体废物污染环境防治法》及相关法律法规，落实《汽车产品回收利用技术政策》，防治报废机动车拆解过程的环境污染，保护环境，促进资源的循环利用，生态环境部公布了《报废机动车拆解企业污染控制技术规范》（HJ348-2022），于2022年10月1日起实施。该标准适用于报废机动车拆解和破碎过程的污染防治和环境保护，强制执行。</w:t>
            </w:r>
          </w:p>
          <w:p w14:paraId="5B63B75C">
            <w:pPr>
              <w:keepNext w:val="0"/>
              <w:keepLines w:val="0"/>
              <w:pageBreakBefore w:val="0"/>
              <w:widowControl/>
              <w:numPr>
                <w:ilvl w:val="0"/>
                <w:numId w:val="0"/>
              </w:numPr>
              <w:kinsoku/>
              <w:wordWrap/>
              <w:overflowPunct/>
              <w:topLinePunct w:val="0"/>
              <w:autoSpaceDE/>
              <w:autoSpaceDN/>
              <w:bidi w:val="0"/>
              <w:adjustRightInd/>
              <w:snapToGrid/>
              <w:spacing w:line="240" w:lineRule="atLeast"/>
              <w:ind w:left="420" w:leftChars="0" w:hanging="420" w:firstLineChars="0"/>
              <w:jc w:val="center"/>
              <w:textAlignment w:val="auto"/>
              <w:rPr>
                <w:rFonts w:hint="eastAsia" w:ascii="宋体" w:hAnsi="宋体" w:eastAsia="宋体" w:cs="宋体"/>
                <w:b/>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SA"/>
                <w14:textFill>
                  <w14:solidFill>
                    <w14:schemeClr w14:val="tx1"/>
                  </w14:solidFill>
                </w14:textFill>
              </w:rPr>
              <w:t>表1-6  本项目与《报废机动车拆解企业污染控制技术规范》符合性分析</w:t>
            </w:r>
          </w:p>
          <w:tbl>
            <w:tblPr>
              <w:tblStyle w:val="25"/>
              <w:tblW w:w="13858"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86"/>
              <w:gridCol w:w="6000"/>
              <w:gridCol w:w="872"/>
            </w:tblGrid>
            <w:tr w14:paraId="6F949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6" w:type="dxa"/>
                  <w:tcBorders>
                    <w:tl2br w:val="nil"/>
                    <w:tr2bl w:val="nil"/>
                  </w:tcBorders>
                  <w:noWrap w:val="0"/>
                  <w:vAlign w:val="center"/>
                </w:tcPr>
                <w:p w14:paraId="0609F085">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行业规范要求</w:t>
                  </w:r>
                </w:p>
              </w:tc>
              <w:tc>
                <w:tcPr>
                  <w:tcW w:w="6000" w:type="dxa"/>
                  <w:tcBorders>
                    <w:tl2br w:val="nil"/>
                    <w:tr2bl w:val="nil"/>
                  </w:tcBorders>
                  <w:noWrap w:val="0"/>
                  <w:vAlign w:val="center"/>
                </w:tcPr>
                <w:p w14:paraId="219BA9E5">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本项目情况</w:t>
                  </w:r>
                </w:p>
              </w:tc>
              <w:tc>
                <w:tcPr>
                  <w:tcW w:w="872" w:type="dxa"/>
                  <w:tcBorders>
                    <w:tl2br w:val="nil"/>
                    <w:tr2bl w:val="nil"/>
                  </w:tcBorders>
                  <w:noWrap w:val="0"/>
                  <w:vAlign w:val="center"/>
                </w:tcPr>
                <w:p w14:paraId="5040E638">
                  <w:pPr>
                    <w:keepNext w:val="0"/>
                    <w:keepLines w:val="0"/>
                    <w:pageBreakBefore w:val="0"/>
                    <w:kinsoku/>
                    <w:wordWrap/>
                    <w:overflowPunct/>
                    <w:topLinePunct w:val="0"/>
                    <w:autoSpaceDE w:val="0"/>
                    <w:autoSpaceDN w:val="0"/>
                    <w:bidi w:val="0"/>
                    <w:adjustRightInd/>
                    <w:snapToGrid/>
                    <w:spacing w:line="240" w:lineRule="atLeast"/>
                    <w:ind w:left="-120" w:leftChars="-50" w:right="-120" w:rightChars="-50"/>
                    <w:jc w:val="center"/>
                    <w:textAlignment w:val="auto"/>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相符性</w:t>
                  </w:r>
                </w:p>
              </w:tc>
            </w:tr>
            <w:tr w14:paraId="58580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8" w:type="dxa"/>
                  <w:gridSpan w:val="3"/>
                  <w:tcBorders>
                    <w:tl2br w:val="nil"/>
                    <w:tr2bl w:val="nil"/>
                  </w:tcBorders>
                  <w:noWrap w:val="0"/>
                  <w:vAlign w:val="center"/>
                </w:tcPr>
                <w:p w14:paraId="40AE305D">
                  <w:pPr>
                    <w:keepNext w:val="0"/>
                    <w:keepLines w:val="0"/>
                    <w:pageBreakBefore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4、总体要求</w:t>
                  </w:r>
                </w:p>
              </w:tc>
            </w:tr>
            <w:tr w14:paraId="3E14C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6A91038C">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4.1 报废机动车的拆解应遵循减量化、资源化和无害化的原则。报废机动车回收拆解企业应优先采用资源回收率高、污染物排放量少的工艺和设备，防范二次污染，实现减污降碳协同增效。</w:t>
                  </w:r>
                </w:p>
              </w:tc>
              <w:tc>
                <w:tcPr>
                  <w:tcW w:w="6000" w:type="dxa"/>
                  <w:tcBorders>
                    <w:tl2br w:val="nil"/>
                    <w:tr2bl w:val="nil"/>
                  </w:tcBorders>
                  <w:noWrap w:val="0"/>
                  <w:vAlign w:val="center"/>
                </w:tcPr>
                <w:p w14:paraId="3BA57806">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本项目</w:t>
                  </w:r>
                  <w:r>
                    <w:rPr>
                      <w:rFonts w:hint="eastAsia" w:ascii="宋体" w:hAnsi="宋体" w:eastAsia="宋体" w:cs="宋体"/>
                      <w:color w:val="000000" w:themeColor="text1"/>
                      <w:kern w:val="0"/>
                      <w:sz w:val="21"/>
                      <w:szCs w:val="21"/>
                      <w14:textFill>
                        <w14:solidFill>
                          <w14:schemeClr w14:val="tx1"/>
                        </w14:solidFill>
                      </w14:textFill>
                    </w:rPr>
                    <w:t>报废机动车拆解遵循减量化、资源化和无害化的原则。项目采用资源回收率高、污染物排放量少的工艺和设备，可防范二次污染，实现</w:t>
                  </w:r>
                  <w:r>
                    <w:rPr>
                      <w:rFonts w:hint="eastAsia" w:ascii="宋体" w:hAnsi="宋体" w:eastAsia="宋体" w:cs="宋体"/>
                      <w:color w:val="000000" w:themeColor="text1"/>
                      <w:kern w:val="0"/>
                      <w:sz w:val="21"/>
                      <w:szCs w:val="21"/>
                      <w:lang w:eastAsia="zh-CN"/>
                      <w14:textFill>
                        <w14:solidFill>
                          <w14:schemeClr w14:val="tx1"/>
                        </w14:solidFill>
                      </w14:textFill>
                    </w:rPr>
                    <w:t>了</w:t>
                  </w:r>
                  <w:r>
                    <w:rPr>
                      <w:rFonts w:hint="eastAsia" w:ascii="宋体" w:hAnsi="宋体" w:eastAsia="宋体" w:cs="宋体"/>
                      <w:color w:val="000000" w:themeColor="text1"/>
                      <w:kern w:val="0"/>
                      <w:sz w:val="21"/>
                      <w:szCs w:val="21"/>
                      <w14:textFill>
                        <w14:solidFill>
                          <w14:schemeClr w14:val="tx1"/>
                        </w14:solidFill>
                      </w14:textFill>
                    </w:rPr>
                    <w:t>减污降碳协同增效。</w:t>
                  </w:r>
                </w:p>
              </w:tc>
              <w:tc>
                <w:tcPr>
                  <w:tcW w:w="872" w:type="dxa"/>
                  <w:tcBorders>
                    <w:tl2br w:val="nil"/>
                    <w:tr2bl w:val="nil"/>
                  </w:tcBorders>
                  <w:noWrap w:val="0"/>
                  <w:vAlign w:val="center"/>
                </w:tcPr>
                <w:p w14:paraId="4D624C93">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85A4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1737D65D">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4.2 报废机动车拆解建设项目选址不应位于国务院和国务院有关主管部门及省、自治区、直辖市人民政府划定的生态保护红线区域、永久基本农田和其他需要特别保护的区域内。</w:t>
                  </w:r>
                </w:p>
              </w:tc>
              <w:tc>
                <w:tcPr>
                  <w:tcW w:w="6000" w:type="dxa"/>
                  <w:tcBorders>
                    <w:tl2br w:val="nil"/>
                    <w:tr2bl w:val="nil"/>
                  </w:tcBorders>
                  <w:noWrap w:val="0"/>
                  <w:vAlign w:val="center"/>
                </w:tcPr>
                <w:p w14:paraId="70C225B3">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项目位于生态保护红线区域、永久基本农田和其他需要特别保护的区域内之外。</w:t>
                  </w:r>
                </w:p>
              </w:tc>
              <w:tc>
                <w:tcPr>
                  <w:tcW w:w="872" w:type="dxa"/>
                  <w:tcBorders>
                    <w:tl2br w:val="nil"/>
                    <w:tr2bl w:val="nil"/>
                  </w:tcBorders>
                  <w:noWrap w:val="0"/>
                  <w:vAlign w:val="center"/>
                </w:tcPr>
                <w:p w14:paraId="1B130912">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41CDB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86" w:type="dxa"/>
                  <w:tcBorders>
                    <w:tl2br w:val="nil"/>
                    <w:tr2bl w:val="nil"/>
                  </w:tcBorders>
                  <w:noWrap w:val="0"/>
                  <w:vAlign w:val="center"/>
                </w:tcPr>
                <w:p w14:paraId="5C3C25DC">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4.3 报废机动车回收拆解企业应具备集中的运营场地，并实行封闭式规范管理。</w:t>
                  </w:r>
                </w:p>
              </w:tc>
              <w:tc>
                <w:tcPr>
                  <w:tcW w:w="6000" w:type="dxa"/>
                  <w:tcBorders>
                    <w:tl2br w:val="nil"/>
                    <w:tr2bl w:val="nil"/>
                  </w:tcBorders>
                  <w:noWrap w:val="0"/>
                  <w:vAlign w:val="center"/>
                </w:tcPr>
                <w:p w14:paraId="5F4AAD71">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w:t>
                  </w:r>
                  <w:r>
                    <w:rPr>
                      <w:rFonts w:hint="eastAsia" w:ascii="宋体" w:hAnsi="宋体" w:eastAsia="宋体" w:cs="宋体"/>
                      <w:color w:val="000000" w:themeColor="text1"/>
                      <w:kern w:val="0"/>
                      <w:sz w:val="21"/>
                      <w:szCs w:val="21"/>
                      <w:lang w:val="en-US" w:eastAsia="zh-CN"/>
                      <w14:textFill>
                        <w14:solidFill>
                          <w14:schemeClr w14:val="tx1"/>
                        </w14:solidFill>
                      </w14:textFill>
                    </w:rPr>
                    <w:t>具有</w:t>
                  </w:r>
                  <w:r>
                    <w:rPr>
                      <w:rFonts w:hint="eastAsia" w:ascii="宋体" w:hAnsi="宋体" w:eastAsia="宋体" w:cs="宋体"/>
                      <w:color w:val="000000" w:themeColor="text1"/>
                      <w:kern w:val="0"/>
                      <w:sz w:val="21"/>
                      <w:szCs w:val="21"/>
                      <w14:textFill>
                        <w14:solidFill>
                          <w14:schemeClr w14:val="tx1"/>
                        </w14:solidFill>
                      </w14:textFill>
                    </w:rPr>
                    <w:t>集中运营</w:t>
                  </w:r>
                  <w:r>
                    <w:rPr>
                      <w:rFonts w:hint="eastAsia" w:ascii="宋体" w:hAnsi="宋体" w:eastAsia="宋体" w:cs="宋体"/>
                      <w:color w:val="000000" w:themeColor="text1"/>
                      <w:kern w:val="0"/>
                      <w:sz w:val="21"/>
                      <w:szCs w:val="21"/>
                      <w:lang w:val="en-US" w:eastAsia="zh-CN"/>
                      <w14:textFill>
                        <w14:solidFill>
                          <w14:schemeClr w14:val="tx1"/>
                        </w14:solidFill>
                      </w14:textFill>
                    </w:rPr>
                    <w:t>的场地</w:t>
                  </w:r>
                  <w:r>
                    <w:rPr>
                      <w:rFonts w:hint="eastAsia" w:ascii="宋体" w:hAnsi="宋体" w:eastAsia="宋体" w:cs="宋体"/>
                      <w:color w:val="000000" w:themeColor="text1"/>
                      <w:kern w:val="0"/>
                      <w:sz w:val="21"/>
                      <w:szCs w:val="21"/>
                      <w14:textFill>
                        <w14:solidFill>
                          <w14:schemeClr w14:val="tx1"/>
                        </w14:solidFill>
                      </w14:textFill>
                    </w:rPr>
                    <w:t>，并实行封闭式规范管理。</w:t>
                  </w:r>
                </w:p>
              </w:tc>
              <w:tc>
                <w:tcPr>
                  <w:tcW w:w="872" w:type="dxa"/>
                  <w:tcBorders>
                    <w:tl2br w:val="nil"/>
                    <w:tr2bl w:val="nil"/>
                  </w:tcBorders>
                  <w:noWrap w:val="0"/>
                  <w:vAlign w:val="center"/>
                </w:tcPr>
                <w:p w14:paraId="33F6B17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394D8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986" w:type="dxa"/>
                  <w:tcBorders>
                    <w:tl2br w:val="nil"/>
                    <w:tr2bl w:val="nil"/>
                  </w:tcBorders>
                  <w:noWrap w:val="0"/>
                  <w:vAlign w:val="center"/>
                </w:tcPr>
                <w:p w14:paraId="471A5569">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4.4 报废机动车回收拆解企业应依据GB22128等相关规定开展拆解作业。不应露天拆解报废机动车，拆解产物不应露天堆放，不应对大气、土壤、地表水和地下水造成污染。</w:t>
                  </w:r>
                </w:p>
              </w:tc>
              <w:tc>
                <w:tcPr>
                  <w:tcW w:w="6000" w:type="dxa"/>
                  <w:tcBorders>
                    <w:tl2br w:val="nil"/>
                    <w:tr2bl w:val="nil"/>
                  </w:tcBorders>
                  <w:noWrap w:val="0"/>
                  <w:vAlign w:val="center"/>
                </w:tcPr>
                <w:p w14:paraId="14E6D7CA">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项目建设封闭</w:t>
                  </w:r>
                  <w:r>
                    <w:rPr>
                      <w:rFonts w:hint="eastAsia" w:ascii="宋体" w:hAnsi="宋体" w:eastAsia="宋体" w:cs="宋体"/>
                      <w:color w:val="000000" w:themeColor="text1"/>
                      <w:kern w:val="0"/>
                      <w:sz w:val="21"/>
                      <w:szCs w:val="21"/>
                      <w:lang w:val="en-US" w:eastAsia="zh-CN"/>
                      <w14:textFill>
                        <w14:solidFill>
                          <w14:schemeClr w14:val="tx1"/>
                        </w14:solidFill>
                      </w14:textFill>
                    </w:rPr>
                    <w:t>拆解</w:t>
                  </w:r>
                  <w:r>
                    <w:rPr>
                      <w:rFonts w:hint="eastAsia" w:ascii="宋体" w:hAnsi="宋体" w:eastAsia="宋体" w:cs="宋体"/>
                      <w:color w:val="000000" w:themeColor="text1"/>
                      <w:kern w:val="0"/>
                      <w:sz w:val="21"/>
                      <w:szCs w:val="21"/>
                      <w14:textFill>
                        <w14:solidFill>
                          <w14:schemeClr w14:val="tx1"/>
                        </w14:solidFill>
                      </w14:textFill>
                    </w:rPr>
                    <w:t>厂房，</w:t>
                  </w:r>
                  <w:r>
                    <w:rPr>
                      <w:rFonts w:hint="eastAsia" w:ascii="宋体" w:hAnsi="宋体" w:eastAsia="宋体" w:cs="宋体"/>
                      <w:color w:val="000000" w:themeColor="text1"/>
                      <w:kern w:val="0"/>
                      <w:sz w:val="21"/>
                      <w:szCs w:val="21"/>
                      <w:lang w:val="en-US" w:eastAsia="zh-CN"/>
                      <w14:textFill>
                        <w14:solidFill>
                          <w14:schemeClr w14:val="tx1"/>
                        </w14:solidFill>
                      </w14:textFill>
                    </w:rPr>
                    <w:t>在封闭车间内</w:t>
                  </w:r>
                  <w:r>
                    <w:rPr>
                      <w:rFonts w:hint="eastAsia" w:ascii="宋体" w:hAnsi="宋体" w:eastAsia="宋体" w:cs="宋体"/>
                      <w:color w:val="000000" w:themeColor="text1"/>
                      <w:kern w:val="0"/>
                      <w:sz w:val="21"/>
                      <w:szCs w:val="21"/>
                      <w14:textFill>
                        <w14:solidFill>
                          <w14:schemeClr w14:val="tx1"/>
                        </w14:solidFill>
                      </w14:textFill>
                    </w:rPr>
                    <w:t>拆解报废机动车，拆解产物</w:t>
                  </w:r>
                  <w:r>
                    <w:rPr>
                      <w:rFonts w:hint="eastAsia" w:ascii="宋体" w:hAnsi="宋体" w:eastAsia="宋体" w:cs="宋体"/>
                      <w:color w:val="000000" w:themeColor="text1"/>
                      <w:kern w:val="0"/>
                      <w:sz w:val="21"/>
                      <w:szCs w:val="21"/>
                      <w:lang w:val="en-US" w:eastAsia="zh-CN"/>
                      <w14:textFill>
                        <w14:solidFill>
                          <w14:schemeClr w14:val="tx1"/>
                        </w14:solidFill>
                      </w14:textFill>
                    </w:rPr>
                    <w:t>分区堆放在封闭车间</w:t>
                  </w:r>
                  <w:r>
                    <w:rPr>
                      <w:rFonts w:hint="eastAsia" w:ascii="宋体" w:hAnsi="宋体" w:eastAsia="宋体" w:cs="宋体"/>
                      <w:color w:val="000000" w:themeColor="text1"/>
                      <w:kern w:val="0"/>
                      <w:sz w:val="21"/>
                      <w:szCs w:val="21"/>
                      <w14:textFill>
                        <w14:solidFill>
                          <w14:schemeClr w14:val="tx1"/>
                        </w14:solidFill>
                      </w14:textFill>
                    </w:rPr>
                    <w:t>，不对大气、土壤、地表水和地下水造成污染。</w:t>
                  </w:r>
                </w:p>
              </w:tc>
              <w:tc>
                <w:tcPr>
                  <w:tcW w:w="872" w:type="dxa"/>
                  <w:tcBorders>
                    <w:tl2br w:val="nil"/>
                    <w:tr2bl w:val="nil"/>
                  </w:tcBorders>
                  <w:noWrap w:val="0"/>
                  <w:vAlign w:val="center"/>
                </w:tcPr>
                <w:p w14:paraId="5D18230E">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46B6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86" w:type="dxa"/>
                  <w:tcBorders>
                    <w:tl2br w:val="nil"/>
                    <w:tr2bl w:val="nil"/>
                  </w:tcBorders>
                  <w:noWrap w:val="0"/>
                  <w:vAlign w:val="center"/>
                </w:tcPr>
                <w:p w14:paraId="76F4E926">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4.5 报废机动车回收拆解企业应具备与生产规模相匹配的环境保护设施，环境保护设施的设计、施工与运行应遵守“三同时”环境管理制度。</w:t>
                  </w:r>
                </w:p>
              </w:tc>
              <w:tc>
                <w:tcPr>
                  <w:tcW w:w="6000" w:type="dxa"/>
                  <w:tcBorders>
                    <w:tl2br w:val="nil"/>
                    <w:tr2bl w:val="nil"/>
                  </w:tcBorders>
                  <w:noWrap w:val="0"/>
                  <w:vAlign w:val="center"/>
                </w:tcPr>
                <w:p w14:paraId="049C61DD">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项目已设计与生产规模相匹配的环境保护设施，严格遵守“三同时”环境管理制度。</w:t>
                  </w:r>
                </w:p>
              </w:tc>
              <w:tc>
                <w:tcPr>
                  <w:tcW w:w="872" w:type="dxa"/>
                  <w:tcBorders>
                    <w:tl2br w:val="nil"/>
                    <w:tr2bl w:val="nil"/>
                  </w:tcBorders>
                  <w:noWrap w:val="0"/>
                  <w:vAlign w:val="center"/>
                </w:tcPr>
                <w:p w14:paraId="4DAC3F01">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9F6C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39B3BB00">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4.6 报废机动车回收拆解及贮存过程除满足环境保护相关要求外，还应符合国家安全生产、职业健康、交通运输、消防等法规标准的相关要求。</w:t>
                  </w:r>
                </w:p>
              </w:tc>
              <w:tc>
                <w:tcPr>
                  <w:tcW w:w="6000" w:type="dxa"/>
                  <w:tcBorders>
                    <w:tl2br w:val="nil"/>
                    <w:tr2bl w:val="nil"/>
                  </w:tcBorders>
                  <w:noWrap w:val="0"/>
                  <w:vAlign w:val="center"/>
                </w:tcPr>
                <w:p w14:paraId="3337DBAF">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项目回收拆解及贮存过程满足环境保护相关要求外，同时也符合国家安全生产、职业健康、交通运输、消防等法规标准的相关要求。</w:t>
                  </w:r>
                </w:p>
              </w:tc>
              <w:tc>
                <w:tcPr>
                  <w:tcW w:w="872" w:type="dxa"/>
                  <w:tcBorders>
                    <w:tl2br w:val="nil"/>
                    <w:tr2bl w:val="nil"/>
                  </w:tcBorders>
                  <w:noWrap w:val="0"/>
                  <w:vAlign w:val="center"/>
                </w:tcPr>
                <w:p w14:paraId="219FF29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6BD2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8" w:type="dxa"/>
                  <w:gridSpan w:val="3"/>
                  <w:tcBorders>
                    <w:tl2br w:val="nil"/>
                    <w:tr2bl w:val="nil"/>
                  </w:tcBorders>
                  <w:noWrap w:val="0"/>
                  <w:vAlign w:val="center"/>
                </w:tcPr>
                <w:p w14:paraId="5D5F027B">
                  <w:pPr>
                    <w:autoSpaceDE w:val="0"/>
                    <w:autoSpaceDN w:val="0"/>
                    <w:jc w:val="center"/>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5、基础设施污染控制要求</w:t>
                  </w:r>
                </w:p>
              </w:tc>
            </w:tr>
            <w:tr w14:paraId="47A13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6986" w:type="dxa"/>
                  <w:tcBorders>
                    <w:tl2br w:val="nil"/>
                    <w:tr2bl w:val="nil"/>
                  </w:tcBorders>
                  <w:noWrap w:val="0"/>
                  <w:vAlign w:val="center"/>
                </w:tcPr>
                <w:p w14:paraId="080FA552">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5.1 报废机动车回收拆解企业应划分不同的功能区，包括办公区和作业区。作业区应包括：a）整车贮存区（分为传统燃料机动车区和电动汽车区）；b）动力蓄电池拆卸区；c）铅蓄电池拆卸区；d）电池分类贮存区；e）拆解区；f）产品（半成品；不包括电池）贮存区；g）破碎分选区；h）一般工业固体废物贮存区；</w:t>
                  </w:r>
                </w:p>
              </w:tc>
              <w:tc>
                <w:tcPr>
                  <w:tcW w:w="6000" w:type="dxa"/>
                  <w:tcBorders>
                    <w:tl2br w:val="nil"/>
                    <w:tr2bl w:val="nil"/>
                  </w:tcBorders>
                  <w:noWrap w:val="0"/>
                  <w:vAlign w:val="center"/>
                </w:tcPr>
                <w:p w14:paraId="5C40E2EB">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项目划分</w:t>
                  </w:r>
                  <w:r>
                    <w:rPr>
                      <w:rFonts w:hint="eastAsia" w:ascii="宋体" w:hAnsi="宋体" w:eastAsia="宋体" w:cs="宋体"/>
                      <w:color w:val="000000" w:themeColor="text1"/>
                      <w:kern w:val="0"/>
                      <w:sz w:val="21"/>
                      <w:szCs w:val="21"/>
                      <w:lang w:val="en-US" w:eastAsia="zh-CN"/>
                      <w14:textFill>
                        <w14:solidFill>
                          <w14:schemeClr w14:val="tx1"/>
                        </w14:solidFill>
                      </w14:textFill>
                    </w:rPr>
                    <w:t>有</w:t>
                  </w:r>
                  <w:r>
                    <w:rPr>
                      <w:rFonts w:hint="eastAsia" w:ascii="宋体" w:hAnsi="宋体" w:eastAsia="宋体" w:cs="宋体"/>
                      <w:color w:val="000000" w:themeColor="text1"/>
                      <w:kern w:val="0"/>
                      <w:sz w:val="21"/>
                      <w:szCs w:val="21"/>
                      <w14:textFill>
                        <w14:solidFill>
                          <w14:schemeClr w14:val="tx1"/>
                        </w14:solidFill>
                      </w14:textFill>
                    </w:rPr>
                    <w:t>不同的功能区，包括</w:t>
                  </w:r>
                  <w:r>
                    <w:rPr>
                      <w:rFonts w:hint="eastAsia" w:ascii="宋体" w:hAnsi="宋体" w:eastAsia="宋体" w:cs="宋体"/>
                      <w:color w:val="000000" w:themeColor="text1"/>
                      <w:kern w:val="0"/>
                      <w:sz w:val="21"/>
                      <w:szCs w:val="21"/>
                      <w:lang w:val="en-US" w:eastAsia="zh-CN"/>
                      <w14:textFill>
                        <w14:solidFill>
                          <w14:schemeClr w14:val="tx1"/>
                        </w14:solidFill>
                      </w14:textFill>
                    </w:rPr>
                    <w:t>综合</w:t>
                  </w:r>
                  <w:r>
                    <w:rPr>
                      <w:rFonts w:hint="eastAsia" w:ascii="宋体" w:hAnsi="宋体" w:eastAsia="宋体" w:cs="宋体"/>
                      <w:color w:val="000000" w:themeColor="text1"/>
                      <w:kern w:val="0"/>
                      <w:sz w:val="21"/>
                      <w:szCs w:val="21"/>
                      <w14:textFill>
                        <w14:solidFill>
                          <w14:schemeClr w14:val="tx1"/>
                        </w14:solidFill>
                      </w14:textFill>
                    </w:rPr>
                    <w:t>办公区和作业区</w:t>
                  </w:r>
                  <w:r>
                    <w:rPr>
                      <w:rFonts w:hint="eastAsia" w:ascii="宋体" w:hAnsi="宋体" w:eastAsia="宋体" w:cs="宋体"/>
                      <w:color w:val="000000" w:themeColor="text1"/>
                      <w:kern w:val="0"/>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拆解车间、废车停车场等</w:t>
                  </w:r>
                  <w:r>
                    <w:rPr>
                      <w:rFonts w:hint="eastAsia" w:ascii="宋体" w:hAnsi="宋体" w:eastAsia="宋体" w:cs="宋体"/>
                      <w:color w:val="000000" w:themeColor="text1"/>
                      <w:kern w:val="0"/>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14:textFill>
                        <w14:solidFill>
                          <w14:schemeClr w14:val="tx1"/>
                        </w14:solidFill>
                      </w14:textFill>
                    </w:rPr>
                    <w:t>。作业区应包括：</w:t>
                  </w:r>
                  <w:r>
                    <w:rPr>
                      <w:rFonts w:hint="eastAsia" w:ascii="宋体" w:hAnsi="宋体" w:eastAsia="宋体" w:cs="宋体"/>
                      <w:color w:val="000000" w:themeColor="text1"/>
                      <w:kern w:val="0"/>
                      <w:sz w:val="21"/>
                      <w:szCs w:val="21"/>
                      <w:highlight w:val="none"/>
                      <w14:textFill>
                        <w14:solidFill>
                          <w14:schemeClr w14:val="tx1"/>
                        </w14:solidFill>
                      </w14:textFill>
                    </w:rPr>
                    <w:t>a）整车贮存区（分为传统燃料机动车区和新能源汽车区）；b）动力蓄电池拆卸区；c）铅蓄电池拆卸区；d）电池分类贮存区；e）拆解区；f）产品（半成品；不包括电池）贮存区；g）切割区（项目不进行</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破碎</w:t>
                  </w:r>
                  <w:r>
                    <w:rPr>
                      <w:rFonts w:hint="eastAsia" w:ascii="宋体" w:hAnsi="宋体" w:eastAsia="宋体" w:cs="宋体"/>
                      <w:color w:val="000000" w:themeColor="text1"/>
                      <w:kern w:val="0"/>
                      <w:sz w:val="21"/>
                      <w:szCs w:val="21"/>
                      <w:highlight w:val="none"/>
                      <w14:textFill>
                        <w14:solidFill>
                          <w14:schemeClr w14:val="tx1"/>
                        </w14:solidFill>
                      </w14:textFill>
                    </w:rPr>
                    <w:t>分选）；h）一般工业固体废物贮存区；</w:t>
                  </w:r>
                </w:p>
              </w:tc>
              <w:tc>
                <w:tcPr>
                  <w:tcW w:w="872" w:type="dxa"/>
                  <w:tcBorders>
                    <w:tl2br w:val="nil"/>
                    <w:tr2bl w:val="nil"/>
                  </w:tcBorders>
                  <w:noWrap w:val="0"/>
                  <w:vAlign w:val="center"/>
                </w:tcPr>
                <w:p w14:paraId="09831856">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DB61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6" w:type="dxa"/>
                  <w:tcBorders>
                    <w:tl2br w:val="nil"/>
                    <w:tr2bl w:val="nil"/>
                  </w:tcBorders>
                  <w:noWrap w:val="0"/>
                  <w:vAlign w:val="center"/>
                </w:tcPr>
                <w:p w14:paraId="4175E29A">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5.2 报废机动车回收拆解企业厂区内功能区的设计和建设应满足以下要求：a）作业区面积大小和功能区划分应满足拆解作业的需要；b）不同的功能区应具有明显的标识；c）作业区应具有防渗地面和油水收集设施，地面应符合GB 50037的防油渗地面要求；d）作业区地面混凝土强度等级不低于C20，厚度不低于150mm，其中物流通道路面和拆解作业区域强度不低于C30，厚度不低于200mm。大型拆解设备承重区域的硬化标准参照设备工艺要求执行；e）拆解区应为封闭或半封闭建筑物；f）破碎分选区应设在封闭区域内，控制工业废气、粉尘和噪声污染；g）危险废物贮存区应设置液体导流和收集装置，地面应无液体积聚，如有冲洗废水应纳入废水收集处理设施处理；h）不同种类的危险废物应单独收集、分类存放，中间有明显间隔；贮存场所应设置警示标识，同时还应满足 GB 18597 中其他相关要求；i）铅蓄电池的拆卸、贮存区的地面应做防酸、防腐、防渗及硬化处理，同时还应满足 HJ 519 中其他相关要求；j）动力蓄电池拆卸、贮存区应满足 HJ 1186 中的相关要求，地面应采用环氧地坪等硬化措施，地面应做防酸、防腐、防渗、硬化及绝缘处理；k）各贮存区应在显著位置设置标识，标明贮存物的类别、名称、规格、注意事项等，根据其特性合理划分贮存区域，采取必要的隔离措施。</w:t>
                  </w:r>
                </w:p>
              </w:tc>
              <w:tc>
                <w:tcPr>
                  <w:tcW w:w="6000" w:type="dxa"/>
                  <w:tcBorders>
                    <w:tl2br w:val="nil"/>
                    <w:tr2bl w:val="nil"/>
                  </w:tcBorders>
                  <w:noWrap w:val="0"/>
                  <w:vAlign w:val="center"/>
                </w:tcPr>
                <w:p w14:paraId="1ABE8E81">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项目厂区内功能区的设计和建设满足以下要求：a）作业区面积大小和功能区划分满足拆解作业的需要；b）不同的功能区具有明显的标识；c）作业区具有防渗地面，地面符合 GB 50037 的防油渗地面要求；d）作业区地面混凝土强度等级不低于 C20，厚度不低于150mm，其中物流通道路面和拆解作业区域强度不低于C30，厚度不低于200mm。大型拆解设备承重区域</w:t>
                  </w:r>
                  <w:r>
                    <w:rPr>
                      <w:rFonts w:hint="eastAsia" w:ascii="宋体" w:hAnsi="宋体" w:eastAsia="宋体" w:cs="宋体"/>
                      <w:color w:val="000000" w:themeColor="text1"/>
                      <w:kern w:val="0"/>
                      <w:sz w:val="21"/>
                      <w:szCs w:val="21"/>
                      <w:lang w:val="en-US" w:eastAsia="zh-CN"/>
                      <w14:textFill>
                        <w14:solidFill>
                          <w14:schemeClr w14:val="tx1"/>
                        </w14:solidFill>
                      </w14:textFill>
                    </w:rPr>
                    <w:t>全部铺设钢板</w:t>
                  </w:r>
                  <w:r>
                    <w:rPr>
                      <w:rFonts w:hint="eastAsia" w:ascii="宋体" w:hAnsi="宋体" w:eastAsia="宋体" w:cs="宋体"/>
                      <w:color w:val="000000" w:themeColor="text1"/>
                      <w:kern w:val="0"/>
                      <w:sz w:val="21"/>
                      <w:szCs w:val="21"/>
                      <w14:textFill>
                        <w14:solidFill>
                          <w14:schemeClr w14:val="tx1"/>
                        </w14:solidFill>
                      </w14:textFill>
                    </w:rPr>
                    <w:t>；e）拆解区为封闭建筑物；f）</w:t>
                  </w:r>
                  <w:r>
                    <w:rPr>
                      <w:rFonts w:hint="eastAsia" w:ascii="宋体" w:hAnsi="宋体" w:eastAsia="宋体" w:cs="宋体"/>
                      <w:color w:val="000000" w:themeColor="text1"/>
                      <w:kern w:val="0"/>
                      <w:sz w:val="21"/>
                      <w:szCs w:val="21"/>
                      <w:lang w:val="en-US" w:eastAsia="zh-CN"/>
                      <w14:textFill>
                        <w14:solidFill>
                          <w14:schemeClr w14:val="tx1"/>
                        </w14:solidFill>
                      </w14:textFill>
                    </w:rPr>
                    <w:t>企业不设置拆解与分选工序</w:t>
                  </w:r>
                  <w:r>
                    <w:rPr>
                      <w:rFonts w:hint="eastAsia" w:ascii="宋体" w:hAnsi="宋体" w:eastAsia="宋体" w:cs="宋体"/>
                      <w:color w:val="000000" w:themeColor="text1"/>
                      <w:kern w:val="0"/>
                      <w:sz w:val="21"/>
                      <w:szCs w:val="21"/>
                      <w14:textFill>
                        <w14:solidFill>
                          <w14:schemeClr w14:val="tx1"/>
                        </w14:solidFill>
                      </w14:textFill>
                    </w:rPr>
                    <w:t>；g）危险废物贮存区设置液体导流和收集装置，地面无液体积聚；h）不同种类的危险废物应单独收集、分类存放，中间有明显间隔；贮存场所设置警示标识，满足GB18597中其他相关要求；i）铅蓄电池的拆卸、贮存区的地面做好防酸、防腐、防渗及硬化处理，满足HJ519其他相关要求；j）动力蓄电池拆卸、贮存区</w:t>
                  </w:r>
                  <w:r>
                    <w:rPr>
                      <w:rFonts w:hint="eastAsia" w:ascii="宋体" w:hAnsi="宋体" w:eastAsia="宋体" w:cs="宋体"/>
                      <w:color w:val="000000" w:themeColor="text1"/>
                      <w:kern w:val="0"/>
                      <w:sz w:val="21"/>
                      <w:szCs w:val="21"/>
                      <w:lang w:val="en-US" w:eastAsia="zh-CN"/>
                      <w14:textFill>
                        <w14:solidFill>
                          <w14:schemeClr w14:val="tx1"/>
                        </w14:solidFill>
                      </w14:textFill>
                    </w:rPr>
                    <w:t>应</w:t>
                  </w:r>
                  <w:r>
                    <w:rPr>
                      <w:rFonts w:hint="eastAsia" w:ascii="宋体" w:hAnsi="宋体" w:eastAsia="宋体" w:cs="宋体"/>
                      <w:color w:val="000000" w:themeColor="text1"/>
                      <w:kern w:val="0"/>
                      <w:sz w:val="21"/>
                      <w:szCs w:val="21"/>
                      <w14:textFill>
                        <w14:solidFill>
                          <w14:schemeClr w14:val="tx1"/>
                        </w14:solidFill>
                      </w14:textFill>
                    </w:rPr>
                    <w:t>满足 HJ1186中的相关要求，地面采用环氧地坪等硬化措施，地面做好防酸、防腐、防渗、硬化及绝缘处理；k）各贮存区设置显著标识，标明贮存物的类别、名称、规格、注意事项等，并采取必要的隔离措施。</w:t>
                  </w:r>
                </w:p>
              </w:tc>
              <w:tc>
                <w:tcPr>
                  <w:tcW w:w="872" w:type="dxa"/>
                  <w:tcBorders>
                    <w:tl2br w:val="nil"/>
                    <w:tr2bl w:val="nil"/>
                  </w:tcBorders>
                  <w:noWrap w:val="0"/>
                  <w:vAlign w:val="center"/>
                </w:tcPr>
                <w:p w14:paraId="22FC872B">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22C9E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86" w:type="dxa"/>
                  <w:tcBorders>
                    <w:tl2br w:val="nil"/>
                    <w:tr2bl w:val="nil"/>
                  </w:tcBorders>
                  <w:noWrap w:val="0"/>
                  <w:vAlign w:val="center"/>
                </w:tcPr>
                <w:p w14:paraId="35ABE253">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5.3 报废机动车拆解、破碎企业内的道路应采取硬化措施，并确保在其运营期间无破损。</w:t>
                  </w:r>
                </w:p>
              </w:tc>
              <w:tc>
                <w:tcPr>
                  <w:tcW w:w="6000" w:type="dxa"/>
                  <w:tcBorders>
                    <w:tl2br w:val="nil"/>
                    <w:tr2bl w:val="nil"/>
                  </w:tcBorders>
                  <w:noWrap w:val="0"/>
                  <w:vAlign w:val="center"/>
                </w:tcPr>
                <w:p w14:paraId="175D1893">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项目厂区的道路已采取硬化措施，</w:t>
                  </w:r>
                  <w:r>
                    <w:rPr>
                      <w:rFonts w:hint="eastAsia" w:ascii="宋体" w:hAnsi="宋体" w:eastAsia="宋体" w:cs="宋体"/>
                      <w:color w:val="000000" w:themeColor="text1"/>
                      <w:kern w:val="0"/>
                      <w:sz w:val="21"/>
                      <w:szCs w:val="21"/>
                      <w:lang w:val="en-US" w:eastAsia="zh-CN"/>
                      <w14:textFill>
                        <w14:solidFill>
                          <w14:schemeClr w14:val="tx1"/>
                        </w14:solidFill>
                      </w14:textFill>
                    </w:rPr>
                    <w:t>定期检修，</w:t>
                  </w:r>
                  <w:r>
                    <w:rPr>
                      <w:rFonts w:hint="eastAsia" w:ascii="宋体" w:hAnsi="宋体" w:eastAsia="宋体" w:cs="宋体"/>
                      <w:color w:val="000000" w:themeColor="text1"/>
                      <w:kern w:val="0"/>
                      <w:sz w:val="21"/>
                      <w:szCs w:val="21"/>
                      <w14:textFill>
                        <w14:solidFill>
                          <w14:schemeClr w14:val="tx1"/>
                        </w14:solidFill>
                      </w14:textFill>
                    </w:rPr>
                    <w:t>可确保在其运营期间无破损。</w:t>
                  </w:r>
                </w:p>
              </w:tc>
              <w:tc>
                <w:tcPr>
                  <w:tcW w:w="872" w:type="dxa"/>
                  <w:tcBorders>
                    <w:tl2br w:val="nil"/>
                    <w:tr2bl w:val="nil"/>
                  </w:tcBorders>
                  <w:noWrap w:val="0"/>
                  <w:vAlign w:val="center"/>
                </w:tcPr>
                <w:p w14:paraId="1524F183">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7E9F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3F8DED42">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5.4 报废机动车回收拆解企业应做到雨污分流，在作业区内产生的初期雨水、清洗水和其他非生活废水应设置专门的收集设施和污水处理设施。厂区内应按照 GB/T 50483 的要求设置初期雨水收集池。</w:t>
                  </w:r>
                </w:p>
              </w:tc>
              <w:tc>
                <w:tcPr>
                  <w:tcW w:w="6000" w:type="dxa"/>
                  <w:tcBorders>
                    <w:tl2br w:val="nil"/>
                    <w:tr2bl w:val="nil"/>
                  </w:tcBorders>
                  <w:noWrap w:val="0"/>
                  <w:vAlign w:val="center"/>
                </w:tcPr>
                <w:p w14:paraId="4202DCA5">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项目厂区</w:t>
                  </w:r>
                  <w:r>
                    <w:rPr>
                      <w:rFonts w:hint="eastAsia" w:ascii="宋体" w:hAnsi="宋体" w:eastAsia="宋体" w:cs="宋体"/>
                      <w:color w:val="000000" w:themeColor="text1"/>
                      <w:kern w:val="0"/>
                      <w:sz w:val="21"/>
                      <w:szCs w:val="21"/>
                      <w:lang w:val="en-US" w:eastAsia="zh-CN"/>
                      <w14:textFill>
                        <w14:solidFill>
                          <w14:schemeClr w14:val="tx1"/>
                        </w14:solidFill>
                      </w14:textFill>
                    </w:rPr>
                    <w:t>排水采取</w:t>
                  </w:r>
                  <w:r>
                    <w:rPr>
                      <w:rFonts w:hint="eastAsia" w:ascii="宋体" w:hAnsi="宋体" w:eastAsia="宋体" w:cs="宋体"/>
                      <w:color w:val="000000" w:themeColor="text1"/>
                      <w:kern w:val="0"/>
                      <w:sz w:val="21"/>
                      <w:szCs w:val="21"/>
                      <w14:textFill>
                        <w14:solidFill>
                          <w14:schemeClr w14:val="tx1"/>
                        </w14:solidFill>
                      </w14:textFill>
                    </w:rPr>
                    <w:t>雨污分流</w:t>
                  </w:r>
                  <w:r>
                    <w:rPr>
                      <w:rFonts w:hint="eastAsia" w:ascii="宋体" w:hAnsi="宋体" w:eastAsia="宋体" w:cs="宋体"/>
                      <w:color w:val="000000" w:themeColor="text1"/>
                      <w:kern w:val="0"/>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清污分流</w:t>
                  </w:r>
                  <w:r>
                    <w:rPr>
                      <w:rFonts w:hint="eastAsia" w:ascii="宋体" w:hAnsi="宋体" w:eastAsia="宋体" w:cs="宋体"/>
                      <w:color w:val="000000" w:themeColor="text1"/>
                      <w:kern w:val="0"/>
                      <w:sz w:val="21"/>
                      <w:szCs w:val="21"/>
                      <w14:textFill>
                        <w14:solidFill>
                          <w14:schemeClr w14:val="tx1"/>
                        </w14:solidFill>
                      </w14:textFill>
                    </w:rPr>
                    <w:t>，在作业区内产生的初期雨水</w:t>
                  </w:r>
                  <w:r>
                    <w:rPr>
                      <w:rFonts w:hint="eastAsia" w:ascii="宋体" w:hAnsi="宋体" w:eastAsia="宋体" w:cs="宋体"/>
                      <w:color w:val="000000" w:themeColor="text1"/>
                      <w:kern w:val="0"/>
                      <w:sz w:val="21"/>
                      <w:szCs w:val="21"/>
                      <w:lang w:val="en-US" w:eastAsia="zh-CN"/>
                      <w14:textFill>
                        <w14:solidFill>
                          <w14:schemeClr w14:val="tx1"/>
                        </w14:solidFill>
                      </w14:textFill>
                    </w:rPr>
                    <w:t>经</w:t>
                  </w:r>
                  <w:r>
                    <w:rPr>
                      <w:rFonts w:hint="eastAsia" w:ascii="宋体" w:hAnsi="宋体" w:eastAsia="宋体" w:cs="宋体"/>
                      <w:color w:val="000000" w:themeColor="text1"/>
                      <w:kern w:val="0"/>
                      <w:sz w:val="21"/>
                      <w:szCs w:val="21"/>
                      <w14:textFill>
                        <w14:solidFill>
                          <w14:schemeClr w14:val="tx1"/>
                        </w14:solidFill>
                      </w14:textFill>
                    </w:rPr>
                    <w:t>专门的</w:t>
                  </w:r>
                  <w:r>
                    <w:rPr>
                      <w:rFonts w:hint="eastAsia" w:ascii="宋体" w:hAnsi="宋体" w:eastAsia="宋体" w:cs="宋体"/>
                      <w:color w:val="000000" w:themeColor="text1"/>
                      <w:kern w:val="0"/>
                      <w:sz w:val="21"/>
                      <w:szCs w:val="21"/>
                      <w:lang w:val="en-US" w:eastAsia="zh-CN"/>
                      <w14:textFill>
                        <w14:solidFill>
                          <w14:schemeClr w14:val="tx1"/>
                        </w14:solidFill>
                      </w14:textFill>
                    </w:rPr>
                    <w:t>废水收集池收集后经厂区内</w:t>
                  </w:r>
                  <w:r>
                    <w:rPr>
                      <w:rFonts w:hint="eastAsia" w:ascii="宋体" w:hAnsi="宋体" w:eastAsia="宋体" w:cs="宋体"/>
                      <w:color w:val="000000" w:themeColor="text1"/>
                      <w:kern w:val="0"/>
                      <w:sz w:val="21"/>
                      <w:szCs w:val="21"/>
                      <w14:textFill>
                        <w14:solidFill>
                          <w14:schemeClr w14:val="tx1"/>
                        </w14:solidFill>
                      </w14:textFill>
                    </w:rPr>
                    <w:t>污水处理设施</w:t>
                  </w:r>
                  <w:r>
                    <w:rPr>
                      <w:rFonts w:hint="eastAsia" w:ascii="宋体" w:hAnsi="宋体" w:eastAsia="宋体" w:cs="宋体"/>
                      <w:color w:val="000000" w:themeColor="text1"/>
                      <w:kern w:val="0"/>
                      <w:sz w:val="21"/>
                      <w:szCs w:val="21"/>
                      <w:lang w:val="en-US" w:eastAsia="zh-CN"/>
                      <w14:textFill>
                        <w14:solidFill>
                          <w14:schemeClr w14:val="tx1"/>
                        </w14:solidFill>
                      </w14:textFill>
                    </w:rPr>
                    <w:t>处理后达标排放</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厂区</w:t>
                  </w:r>
                  <w:r>
                    <w:rPr>
                      <w:rFonts w:hint="eastAsia" w:ascii="宋体" w:hAnsi="宋体" w:eastAsia="宋体" w:cs="宋体"/>
                      <w:color w:val="000000" w:themeColor="text1"/>
                      <w:kern w:val="0"/>
                      <w:sz w:val="21"/>
                      <w:szCs w:val="21"/>
                      <w14:textFill>
                        <w14:solidFill>
                          <w14:schemeClr w14:val="tx1"/>
                        </w14:solidFill>
                      </w14:textFill>
                    </w:rPr>
                    <w:t>按照GB/T 50483的要求</w:t>
                  </w:r>
                  <w:r>
                    <w:rPr>
                      <w:rFonts w:hint="eastAsia" w:ascii="宋体" w:hAnsi="宋体" w:eastAsia="宋体" w:cs="宋体"/>
                      <w:color w:val="000000" w:themeColor="text1"/>
                      <w:kern w:val="0"/>
                      <w:sz w:val="21"/>
                      <w:szCs w:val="21"/>
                      <w:lang w:val="en-US" w:eastAsia="zh-CN"/>
                      <w14:textFill>
                        <w14:solidFill>
                          <w14:schemeClr w14:val="tx1"/>
                        </w14:solidFill>
                      </w14:textFill>
                    </w:rPr>
                    <w:t>设置有</w:t>
                  </w:r>
                  <w:r>
                    <w:rPr>
                      <w:rFonts w:hint="eastAsia" w:ascii="宋体" w:hAnsi="宋体" w:eastAsia="宋体" w:cs="宋体"/>
                      <w:color w:val="000000" w:themeColor="text1"/>
                      <w:kern w:val="0"/>
                      <w:sz w:val="21"/>
                      <w:szCs w:val="21"/>
                      <w14:textFill>
                        <w14:solidFill>
                          <w14:schemeClr w14:val="tx1"/>
                        </w14:solidFill>
                      </w14:textFill>
                    </w:rPr>
                    <w:t>初期雨水收集池。</w:t>
                  </w:r>
                </w:p>
              </w:tc>
              <w:tc>
                <w:tcPr>
                  <w:tcW w:w="872" w:type="dxa"/>
                  <w:tcBorders>
                    <w:tl2br w:val="nil"/>
                    <w:tr2bl w:val="nil"/>
                  </w:tcBorders>
                  <w:noWrap w:val="0"/>
                  <w:vAlign w:val="center"/>
                </w:tcPr>
                <w:p w14:paraId="54AF2092">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9031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8" w:type="dxa"/>
                  <w:gridSpan w:val="3"/>
                  <w:tcBorders>
                    <w:tl2br w:val="nil"/>
                    <w:tr2bl w:val="nil"/>
                  </w:tcBorders>
                  <w:noWrap w:val="0"/>
                  <w:vAlign w:val="center"/>
                </w:tcPr>
                <w:p w14:paraId="2DB9E013">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6、拆解过程污染控制要求</w:t>
                  </w:r>
                </w:p>
              </w:tc>
            </w:tr>
            <w:tr w14:paraId="26287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6986" w:type="dxa"/>
                  <w:tcBorders>
                    <w:tl2br w:val="nil"/>
                    <w:tr2bl w:val="nil"/>
                  </w:tcBorders>
                  <w:noWrap w:val="0"/>
                  <w:vAlign w:val="center"/>
                </w:tcPr>
                <w:p w14:paraId="6D0AE719">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6.1 传统燃料报废机动车在开展拆解作业前，应抽排下列气体及液体：燃油、发动机油、变速器/齿轮箱（包括后差速器和/或分动器）油、动力转向油、制动液等石油基油或者液态合成润滑剂、冷却液、挡风玻璃清洗液、制冷剂等，并使用专用容器回收贮存。操作场所应有防漏、截流和清污措施，抽排挥发性油液时应通过油气回收装置吸收拆解区域内的挥发性气体。防止上述气体及液体遗撒或泄漏。</w:t>
                  </w:r>
                </w:p>
              </w:tc>
              <w:tc>
                <w:tcPr>
                  <w:tcW w:w="6000" w:type="dxa"/>
                  <w:tcBorders>
                    <w:tl2br w:val="nil"/>
                    <w:tr2bl w:val="nil"/>
                  </w:tcBorders>
                  <w:noWrap w:val="0"/>
                  <w:vAlign w:val="center"/>
                </w:tcPr>
                <w:p w14:paraId="0C8EAE7A">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传统燃料报废机动车在开展拆解作业前，已抽排燃油、发动机油、变速器/齿轮箱（包括后差速器和/或分动器）油、动力转向油、制动液等石油基油或者液态合成润滑剂、冷却液、挡风玻璃清洗液、制冷剂等，并使用专用容器回收贮存。操作场所设置有防漏、截流和清污措施，抽排挥发性油液时通过油气回收装置吸收拆解区域内的挥发性气体。</w:t>
                  </w:r>
                </w:p>
              </w:tc>
              <w:tc>
                <w:tcPr>
                  <w:tcW w:w="872" w:type="dxa"/>
                  <w:tcBorders>
                    <w:tl2br w:val="nil"/>
                    <w:tr2bl w:val="nil"/>
                  </w:tcBorders>
                  <w:noWrap w:val="0"/>
                  <w:vAlign w:val="center"/>
                </w:tcPr>
                <w:p w14:paraId="1D8FB706">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C622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986" w:type="dxa"/>
                  <w:tcBorders>
                    <w:tl2br w:val="nil"/>
                    <w:tr2bl w:val="nil"/>
                  </w:tcBorders>
                  <w:noWrap w:val="0"/>
                  <w:vAlign w:val="center"/>
                </w:tcPr>
                <w:p w14:paraId="74DC66FD">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6.2 报废电动汽车进场检测时，受损变形以及漏液、漏电、电源供应工作不正常或其他的事故车辆应进行明显标识，及时隔离并优先处理，避免造成环境风险。</w:t>
                  </w:r>
                </w:p>
              </w:tc>
              <w:tc>
                <w:tcPr>
                  <w:tcW w:w="6000" w:type="dxa"/>
                  <w:tcBorders>
                    <w:tl2br w:val="nil"/>
                    <w:tr2bl w:val="nil"/>
                  </w:tcBorders>
                  <w:noWrap w:val="0"/>
                  <w:vAlign w:val="center"/>
                </w:tcPr>
                <w:p w14:paraId="162089E7">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报废电动汽车进场检测时，对受损变形以及漏液、漏电、电源供应工作不正常或其他的事故车辆进行明显标识，及时隔离并优先处理，避免造成环境风险。</w:t>
                  </w:r>
                </w:p>
              </w:tc>
              <w:tc>
                <w:tcPr>
                  <w:tcW w:w="872" w:type="dxa"/>
                  <w:tcBorders>
                    <w:tl2br w:val="nil"/>
                    <w:tr2bl w:val="nil"/>
                  </w:tcBorders>
                  <w:noWrap w:val="0"/>
                  <w:vAlign w:val="center"/>
                </w:tcPr>
                <w:p w14:paraId="0AB18347">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0E12B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986" w:type="dxa"/>
                  <w:tcBorders>
                    <w:tl2br w:val="nil"/>
                    <w:tr2bl w:val="nil"/>
                  </w:tcBorders>
                  <w:noWrap w:val="0"/>
                  <w:vAlign w:val="center"/>
                </w:tcPr>
                <w:p w14:paraId="7ACA9DA9">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6.3 报废电动汽车在开展拆解作业前，应采用防静电设备彻底抽排制冷剂，并用专用容器回收储存，避免电解质和有机溶剂泄漏。拆卸下来的动力蓄电池存在漏液、冒烟、漏电、外壳破损等情形的，应及时处理并采用专用容器单独存放，避免动力蓄电池自燃引起的环境风险。</w:t>
                  </w:r>
                </w:p>
              </w:tc>
              <w:tc>
                <w:tcPr>
                  <w:tcW w:w="6000" w:type="dxa"/>
                  <w:tcBorders>
                    <w:tl2br w:val="nil"/>
                    <w:tr2bl w:val="nil"/>
                  </w:tcBorders>
                  <w:noWrap w:val="0"/>
                  <w:vAlign w:val="center"/>
                </w:tcPr>
                <w:p w14:paraId="16DCBA40">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报废电动汽车在开展拆解作业前，采用防静电设备彻底抽排制冷剂，并用专用容器回收储存。拆卸下来的动力蓄电池存在漏液、冒烟、漏电、外壳破损等情形的，及时处理并采用专用容器单独存放。</w:t>
                  </w:r>
                </w:p>
              </w:tc>
              <w:tc>
                <w:tcPr>
                  <w:tcW w:w="872" w:type="dxa"/>
                  <w:tcBorders>
                    <w:tl2br w:val="nil"/>
                    <w:tr2bl w:val="nil"/>
                  </w:tcBorders>
                  <w:noWrap w:val="0"/>
                  <w:vAlign w:val="center"/>
                </w:tcPr>
                <w:p w14:paraId="544882E2">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FA43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6" w:type="dxa"/>
                  <w:tcBorders>
                    <w:tl2br w:val="nil"/>
                    <w:tr2bl w:val="nil"/>
                  </w:tcBorders>
                  <w:noWrap w:val="0"/>
                  <w:vAlign w:val="center"/>
                </w:tcPr>
                <w:p w14:paraId="5E24E760">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6.4 动力蓄电池不应与铅蓄电池混合贮存。</w:t>
                  </w:r>
                </w:p>
              </w:tc>
              <w:tc>
                <w:tcPr>
                  <w:tcW w:w="6000" w:type="dxa"/>
                  <w:tcBorders>
                    <w:tl2br w:val="nil"/>
                    <w:tr2bl w:val="nil"/>
                  </w:tcBorders>
                  <w:noWrap w:val="0"/>
                  <w:vAlign w:val="center"/>
                </w:tcPr>
                <w:p w14:paraId="4A8B1253">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项目动力</w:t>
                  </w:r>
                  <w:r>
                    <w:rPr>
                      <w:rFonts w:hint="eastAsia" w:ascii="宋体" w:hAnsi="宋体" w:eastAsia="宋体" w:cs="宋体"/>
                      <w:color w:val="000000" w:themeColor="text1"/>
                      <w:kern w:val="0"/>
                      <w:sz w:val="21"/>
                      <w:szCs w:val="21"/>
                      <w:highlight w:val="none"/>
                      <w14:textFill>
                        <w14:solidFill>
                          <w14:schemeClr w14:val="tx1"/>
                        </w14:solidFill>
                      </w14:textFill>
                    </w:rPr>
                    <w:t>蓄电池与铅蓄电池</w:t>
                  </w:r>
                  <w:r>
                    <w:rPr>
                      <w:rFonts w:hint="eastAsia" w:ascii="宋体" w:hAnsi="宋体" w:eastAsia="宋体" w:cs="宋体"/>
                      <w:color w:val="000000" w:themeColor="text1"/>
                      <w:kern w:val="0"/>
                      <w:sz w:val="21"/>
                      <w:szCs w:val="21"/>
                      <w14:textFill>
                        <w14:solidFill>
                          <w14:schemeClr w14:val="tx1"/>
                        </w14:solidFill>
                      </w14:textFill>
                    </w:rPr>
                    <w:t>分别储存在不同的危废</w:t>
                  </w:r>
                  <w:r>
                    <w:rPr>
                      <w:rFonts w:hint="eastAsia" w:ascii="宋体" w:hAnsi="宋体" w:cs="宋体"/>
                      <w:color w:val="000000" w:themeColor="text1"/>
                      <w:kern w:val="0"/>
                      <w:sz w:val="21"/>
                      <w:szCs w:val="21"/>
                      <w:lang w:eastAsia="zh-CN"/>
                      <w14:textFill>
                        <w14:solidFill>
                          <w14:schemeClr w14:val="tx1"/>
                        </w14:solidFill>
                      </w14:textFill>
                    </w:rPr>
                    <w:t>暂存库</w:t>
                  </w:r>
                  <w:r>
                    <w:rPr>
                      <w:rFonts w:hint="eastAsia" w:ascii="宋体" w:hAnsi="宋体" w:eastAsia="宋体" w:cs="宋体"/>
                      <w:color w:val="000000" w:themeColor="text1"/>
                      <w:kern w:val="0"/>
                      <w:sz w:val="21"/>
                      <w:szCs w:val="21"/>
                      <w14:textFill>
                        <w14:solidFill>
                          <w14:schemeClr w14:val="tx1"/>
                        </w14:solidFill>
                      </w14:textFill>
                    </w:rPr>
                    <w:t>。</w:t>
                  </w:r>
                </w:p>
              </w:tc>
              <w:tc>
                <w:tcPr>
                  <w:tcW w:w="872" w:type="dxa"/>
                  <w:tcBorders>
                    <w:tl2br w:val="nil"/>
                    <w:tr2bl w:val="nil"/>
                  </w:tcBorders>
                  <w:noWrap w:val="0"/>
                  <w:vAlign w:val="center"/>
                </w:tcPr>
                <w:p w14:paraId="399D0F27">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0CEEA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86" w:type="dxa"/>
                  <w:tcBorders>
                    <w:tl2br w:val="nil"/>
                    <w:tr2bl w:val="nil"/>
                  </w:tcBorders>
                  <w:noWrap w:val="0"/>
                  <w:vAlign w:val="center"/>
                </w:tcPr>
                <w:p w14:paraId="276C2E6E">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6.5 报废机动车回收拆解企业不应在未完成各项拆解作业前对报废机动车进行破碎处理或者直接进行熔炼处理。</w:t>
                  </w:r>
                </w:p>
              </w:tc>
              <w:tc>
                <w:tcPr>
                  <w:tcW w:w="6000" w:type="dxa"/>
                  <w:tcBorders>
                    <w:tl2br w:val="nil"/>
                    <w:tr2bl w:val="nil"/>
                  </w:tcBorders>
                  <w:noWrap w:val="0"/>
                  <w:vAlign w:val="center"/>
                </w:tcPr>
                <w:p w14:paraId="51FD2A85">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企业仅</w:t>
                  </w:r>
                  <w:r>
                    <w:rPr>
                      <w:rFonts w:hint="eastAsia" w:ascii="宋体" w:hAnsi="宋体" w:eastAsia="宋体" w:cs="宋体"/>
                      <w:color w:val="000000" w:themeColor="text1"/>
                      <w:kern w:val="0"/>
                      <w:sz w:val="21"/>
                      <w:szCs w:val="21"/>
                      <w14:textFill>
                        <w14:solidFill>
                          <w14:schemeClr w14:val="tx1"/>
                        </w14:solidFill>
                      </w14:textFill>
                    </w:rPr>
                    <w:t>完成各项拆解作业</w:t>
                  </w:r>
                  <w:r>
                    <w:rPr>
                      <w:rFonts w:hint="eastAsia" w:ascii="宋体" w:hAnsi="宋体" w:eastAsia="宋体" w:cs="宋体"/>
                      <w:color w:val="000000" w:themeColor="text1"/>
                      <w:kern w:val="0"/>
                      <w:sz w:val="21"/>
                      <w:szCs w:val="21"/>
                      <w:lang w:val="en-US" w:eastAsia="zh-CN"/>
                      <w14:textFill>
                        <w14:solidFill>
                          <w14:schemeClr w14:val="tx1"/>
                        </w14:solidFill>
                      </w14:textFill>
                    </w:rPr>
                    <w:t>无</w:t>
                  </w:r>
                  <w:r>
                    <w:rPr>
                      <w:rFonts w:hint="eastAsia" w:ascii="宋体" w:hAnsi="宋体" w:eastAsia="宋体" w:cs="宋体"/>
                      <w:color w:val="000000" w:themeColor="text1"/>
                      <w:kern w:val="0"/>
                      <w:sz w:val="21"/>
                      <w:szCs w:val="21"/>
                      <w:highlight w:val="none"/>
                      <w14:textFill>
                        <w14:solidFill>
                          <w14:schemeClr w14:val="tx1"/>
                        </w14:solidFill>
                      </w14:textFill>
                    </w:rPr>
                    <w:t>破碎处</w:t>
                  </w:r>
                  <w:r>
                    <w:rPr>
                      <w:rFonts w:hint="eastAsia" w:ascii="宋体" w:hAnsi="宋体" w:eastAsia="宋体" w:cs="宋体"/>
                      <w:color w:val="000000" w:themeColor="text1"/>
                      <w:kern w:val="0"/>
                      <w:sz w:val="21"/>
                      <w:szCs w:val="21"/>
                      <w14:textFill>
                        <w14:solidFill>
                          <w14:schemeClr w14:val="tx1"/>
                        </w14:solidFill>
                      </w14:textFill>
                    </w:rPr>
                    <w:t>理。</w:t>
                  </w:r>
                </w:p>
              </w:tc>
              <w:tc>
                <w:tcPr>
                  <w:tcW w:w="872" w:type="dxa"/>
                  <w:tcBorders>
                    <w:tl2br w:val="nil"/>
                    <w:tr2bl w:val="nil"/>
                  </w:tcBorders>
                  <w:noWrap w:val="0"/>
                  <w:vAlign w:val="center"/>
                </w:tcPr>
                <w:p w14:paraId="76027F0A">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2A7F2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86" w:type="dxa"/>
                  <w:tcBorders>
                    <w:tl2br w:val="nil"/>
                    <w:tr2bl w:val="nil"/>
                  </w:tcBorders>
                  <w:noWrap w:val="0"/>
                  <w:vAlign w:val="center"/>
                </w:tcPr>
                <w:p w14:paraId="61B7971A">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6.6 报废机动车回收拆解企业不应焚烧报废机动车拆解过程中产生的废电线电缆、废轮胎和其他废物。</w:t>
                  </w:r>
                </w:p>
              </w:tc>
              <w:tc>
                <w:tcPr>
                  <w:tcW w:w="6000" w:type="dxa"/>
                  <w:tcBorders>
                    <w:tl2br w:val="nil"/>
                    <w:tr2bl w:val="nil"/>
                  </w:tcBorders>
                  <w:noWrap w:val="0"/>
                  <w:vAlign w:val="center"/>
                </w:tcPr>
                <w:p w14:paraId="56160859">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项目不对报废机动车拆解过程中产生的废电线电缆、废轮胎和其他废物进行焚烧处理。</w:t>
                  </w:r>
                </w:p>
              </w:tc>
              <w:tc>
                <w:tcPr>
                  <w:tcW w:w="872" w:type="dxa"/>
                  <w:tcBorders>
                    <w:tl2br w:val="nil"/>
                    <w:tr2bl w:val="nil"/>
                  </w:tcBorders>
                  <w:noWrap w:val="0"/>
                  <w:vAlign w:val="center"/>
                </w:tcPr>
                <w:p w14:paraId="42D84483">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0BDD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146D0783">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6.7 报废机动车拆解产生的废旧玻璃、报废机动车破碎残余物、引爆后的安全气囊等应避免危险废物的沾染，未沾染危险废物的应按一般工业固体废物进行管理。</w:t>
                  </w:r>
                </w:p>
              </w:tc>
              <w:tc>
                <w:tcPr>
                  <w:tcW w:w="6000" w:type="dxa"/>
                  <w:tcBorders>
                    <w:tl2br w:val="nil"/>
                    <w:tr2bl w:val="nil"/>
                  </w:tcBorders>
                  <w:noWrap w:val="0"/>
                  <w:vAlign w:val="center"/>
                </w:tcPr>
                <w:p w14:paraId="03854681">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项目避免将拆解产生的废旧玻璃、报废机动车破碎残余物、引爆后的安全气囊与危险废物沾染，未沾染危险废物的按一般工业固体废物进行管理。</w:t>
                  </w:r>
                </w:p>
              </w:tc>
              <w:tc>
                <w:tcPr>
                  <w:tcW w:w="872" w:type="dxa"/>
                  <w:tcBorders>
                    <w:tl2br w:val="nil"/>
                    <w:tr2bl w:val="nil"/>
                  </w:tcBorders>
                  <w:noWrap w:val="0"/>
                  <w:vAlign w:val="center"/>
                </w:tcPr>
                <w:p w14:paraId="00ABC388">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AD33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986" w:type="dxa"/>
                  <w:tcBorders>
                    <w:tl2br w:val="nil"/>
                    <w:tr2bl w:val="nil"/>
                  </w:tcBorders>
                  <w:noWrap w:val="0"/>
                  <w:vAlign w:val="center"/>
                </w:tcPr>
                <w:p w14:paraId="2EA833B8">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6.8 报废机动车拆解产生的废铅蓄电池、废矿物油、废电路板、废尾气净化催化剂以及含有或沾染危险废物的废弃包装物、容器等依据《国家危险废物名录》属于危险废物的，应按照危险废物贮存管理相关要求进行分区、分类贮存。废弃含油抹布和劳保用品宜集中收集。</w:t>
                  </w:r>
                </w:p>
              </w:tc>
              <w:tc>
                <w:tcPr>
                  <w:tcW w:w="6000" w:type="dxa"/>
                  <w:tcBorders>
                    <w:tl2br w:val="nil"/>
                    <w:tr2bl w:val="nil"/>
                  </w:tcBorders>
                  <w:noWrap w:val="0"/>
                  <w:vAlign w:val="center"/>
                </w:tcPr>
                <w:p w14:paraId="3B4E6CA4">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厂区内使用专门危废库，</w:t>
                  </w:r>
                  <w:r>
                    <w:rPr>
                      <w:rFonts w:hint="eastAsia" w:ascii="宋体" w:hAnsi="宋体" w:eastAsia="宋体" w:cs="宋体"/>
                      <w:color w:val="000000" w:themeColor="text1"/>
                      <w:kern w:val="0"/>
                      <w:sz w:val="21"/>
                      <w:szCs w:val="21"/>
                      <w14:textFill>
                        <w14:solidFill>
                          <w14:schemeClr w14:val="tx1"/>
                        </w14:solidFill>
                      </w14:textFill>
                    </w:rPr>
                    <w:t>项目拆解产生的废铅蓄电池、废矿物油、废电路板、废尾气净化催化剂以及含有或沾染危险废物的废弃包装物、容器等依据《国家危险废物名录》属于危险废物的，按照危险废物贮存管理相关要求进行分区、分类贮存。废弃含油抹布和劳保用品</w:t>
                  </w:r>
                  <w:r>
                    <w:rPr>
                      <w:rFonts w:hint="eastAsia" w:ascii="宋体" w:hAnsi="宋体" w:eastAsia="宋体" w:cs="宋体"/>
                      <w:color w:val="000000" w:themeColor="text1"/>
                      <w:kern w:val="0"/>
                      <w:sz w:val="21"/>
                      <w:szCs w:val="21"/>
                      <w:lang w:val="en-US" w:eastAsia="zh-CN"/>
                      <w14:textFill>
                        <w14:solidFill>
                          <w14:schemeClr w14:val="tx1"/>
                        </w14:solidFill>
                      </w14:textFill>
                    </w:rPr>
                    <w:t>采取</w:t>
                  </w:r>
                  <w:r>
                    <w:rPr>
                      <w:rFonts w:hint="eastAsia" w:ascii="宋体" w:hAnsi="宋体" w:eastAsia="宋体" w:cs="宋体"/>
                      <w:color w:val="000000" w:themeColor="text1"/>
                      <w:kern w:val="0"/>
                      <w:sz w:val="21"/>
                      <w:szCs w:val="21"/>
                      <w14:textFill>
                        <w14:solidFill>
                          <w14:schemeClr w14:val="tx1"/>
                        </w14:solidFill>
                      </w14:textFill>
                    </w:rPr>
                    <w:t>集中收集。</w:t>
                  </w:r>
                </w:p>
              </w:tc>
              <w:tc>
                <w:tcPr>
                  <w:tcW w:w="872" w:type="dxa"/>
                  <w:tcBorders>
                    <w:tl2br w:val="nil"/>
                    <w:tr2bl w:val="nil"/>
                  </w:tcBorders>
                  <w:noWrap w:val="0"/>
                  <w:vAlign w:val="center"/>
                </w:tcPr>
                <w:p w14:paraId="7014B0A4">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00E4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986" w:type="dxa"/>
                  <w:tcBorders>
                    <w:tl2br w:val="nil"/>
                    <w:tr2bl w:val="nil"/>
                  </w:tcBorders>
                  <w:noWrap w:val="0"/>
                  <w:vAlign w:val="center"/>
                </w:tcPr>
                <w:p w14:paraId="0E7DDF44">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6.9 报废机动车回收拆解企业不应倾倒铅蓄电池内的电解液、铅块和铅膏等废物。对于破损的铅蓄电池，应单独贮存，并采取防止电解液泄漏的措施。</w:t>
                  </w:r>
                </w:p>
              </w:tc>
              <w:tc>
                <w:tcPr>
                  <w:tcW w:w="6000" w:type="dxa"/>
                  <w:tcBorders>
                    <w:tl2br w:val="nil"/>
                    <w:tr2bl w:val="nil"/>
                  </w:tcBorders>
                  <w:noWrap w:val="0"/>
                  <w:vAlign w:val="center"/>
                </w:tcPr>
                <w:p w14:paraId="46A40CF0">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项目不倾</w:t>
                  </w:r>
                  <w:r>
                    <w:rPr>
                      <w:rFonts w:hint="eastAsia" w:ascii="宋体" w:hAnsi="宋体" w:eastAsia="宋体" w:cs="宋体"/>
                      <w:color w:val="000000" w:themeColor="text1"/>
                      <w:kern w:val="0"/>
                      <w:sz w:val="21"/>
                      <w:szCs w:val="21"/>
                      <w:highlight w:val="none"/>
                      <w14:textFill>
                        <w14:solidFill>
                          <w14:schemeClr w14:val="tx1"/>
                        </w14:solidFill>
                      </w14:textFill>
                    </w:rPr>
                    <w:t>倒铅蓄电池内的电解液、</w:t>
                  </w:r>
                  <w:r>
                    <w:rPr>
                      <w:rFonts w:hint="eastAsia" w:ascii="宋体" w:hAnsi="宋体" w:eastAsia="宋体" w:cs="宋体"/>
                      <w:color w:val="000000" w:themeColor="text1"/>
                      <w:kern w:val="0"/>
                      <w:sz w:val="21"/>
                      <w:szCs w:val="21"/>
                      <w14:textFill>
                        <w14:solidFill>
                          <w14:schemeClr w14:val="tx1"/>
                        </w14:solidFill>
                      </w14:textFill>
                    </w:rPr>
                    <w:t>铅块和铅膏等废物。对于破损的铅蓄电池，单独贮存，并采取防止电解液泄漏的措施。</w:t>
                  </w:r>
                </w:p>
              </w:tc>
              <w:tc>
                <w:tcPr>
                  <w:tcW w:w="872" w:type="dxa"/>
                  <w:tcBorders>
                    <w:tl2br w:val="nil"/>
                    <w:tr2bl w:val="nil"/>
                  </w:tcBorders>
                  <w:noWrap w:val="0"/>
                  <w:vAlign w:val="center"/>
                </w:tcPr>
                <w:p w14:paraId="161640C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F690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2CB156BC">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6.10 报废机动车拆解产生的产物和固体废物应合理分类，不能自行利用处置的，分别委托具有相关资质、相应处理能力或经营范围的单位利用和处置。</w:t>
                  </w:r>
                </w:p>
              </w:tc>
              <w:tc>
                <w:tcPr>
                  <w:tcW w:w="6000" w:type="dxa"/>
                  <w:tcBorders>
                    <w:tl2br w:val="nil"/>
                    <w:tr2bl w:val="nil"/>
                  </w:tcBorders>
                  <w:noWrap w:val="0"/>
                  <w:vAlign w:val="center"/>
                </w:tcPr>
                <w:p w14:paraId="0540E5C5">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项目拆解产生的产物和固体废物合理分类，不能自行利用处置的，分别委托具有相关资质、相应处理能力或经营范围的单位利用和处置。</w:t>
                  </w:r>
                </w:p>
              </w:tc>
              <w:tc>
                <w:tcPr>
                  <w:tcW w:w="872" w:type="dxa"/>
                  <w:tcBorders>
                    <w:tl2br w:val="nil"/>
                    <w:tr2bl w:val="nil"/>
                  </w:tcBorders>
                  <w:noWrap w:val="0"/>
                  <w:vAlign w:val="center"/>
                </w:tcPr>
                <w:p w14:paraId="45FDF393">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01AFB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986" w:type="dxa"/>
                  <w:tcBorders>
                    <w:tl2br w:val="nil"/>
                    <w:tr2bl w:val="nil"/>
                  </w:tcBorders>
                  <w:noWrap w:val="0"/>
                  <w:vAlign w:val="center"/>
                </w:tcPr>
                <w:p w14:paraId="49D69F91">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6.11 报废机动车拆解产物应符合国家及地方处理处置要求，其中主要拆解产物特性及去向见附录A。如报废机动车回收拆解企业具备与报废机动车拆解处理相关的深加工或二次加工经营业务，应当符合其他相关污染控制要求。</w:t>
                  </w:r>
                </w:p>
              </w:tc>
              <w:tc>
                <w:tcPr>
                  <w:tcW w:w="6000" w:type="dxa"/>
                  <w:tcBorders>
                    <w:tl2br w:val="nil"/>
                    <w:tr2bl w:val="nil"/>
                  </w:tcBorders>
                  <w:noWrap w:val="0"/>
                  <w:vAlign w:val="center"/>
                </w:tcPr>
                <w:p w14:paraId="22F5A101">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项目拆解产物按国家及地方处理处置要求处理，不涉及深加工或二次加工经营业务。</w:t>
                  </w:r>
                </w:p>
              </w:tc>
              <w:tc>
                <w:tcPr>
                  <w:tcW w:w="872" w:type="dxa"/>
                  <w:tcBorders>
                    <w:tl2br w:val="nil"/>
                    <w:tr2bl w:val="nil"/>
                  </w:tcBorders>
                  <w:noWrap w:val="0"/>
                  <w:vAlign w:val="center"/>
                </w:tcPr>
                <w:p w14:paraId="0D3F0003">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28C26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86" w:type="dxa"/>
                  <w:tcBorders>
                    <w:tl2br w:val="nil"/>
                    <w:tr2bl w:val="nil"/>
                  </w:tcBorders>
                  <w:noWrap w:val="0"/>
                  <w:vAlign w:val="center"/>
                </w:tcPr>
                <w:p w14:paraId="74EC002F">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6.12 报废机动车油箱中的燃料（汽油、柴油、天然气、液化石油气、甲醇等）应分类收集。</w:t>
                  </w:r>
                </w:p>
              </w:tc>
              <w:tc>
                <w:tcPr>
                  <w:tcW w:w="6000" w:type="dxa"/>
                  <w:tcBorders>
                    <w:tl2br w:val="nil"/>
                    <w:tr2bl w:val="nil"/>
                  </w:tcBorders>
                  <w:noWrap w:val="0"/>
                  <w:vAlign w:val="center"/>
                </w:tcPr>
                <w:p w14:paraId="2A1A5F1E">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报废机动车油箱中的燃料（汽油、柴油、天然气、液化石油气、甲醇等）分类收集。</w:t>
                  </w:r>
                </w:p>
              </w:tc>
              <w:tc>
                <w:tcPr>
                  <w:tcW w:w="872" w:type="dxa"/>
                  <w:tcBorders>
                    <w:tl2br w:val="nil"/>
                    <w:tr2bl w:val="nil"/>
                  </w:tcBorders>
                  <w:noWrap w:val="0"/>
                  <w:vAlign w:val="center"/>
                </w:tcPr>
                <w:p w14:paraId="09CF765F">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BCD2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58" w:type="dxa"/>
                  <w:gridSpan w:val="3"/>
                  <w:tcBorders>
                    <w:tl2br w:val="nil"/>
                    <w:tr2bl w:val="nil"/>
                  </w:tcBorders>
                  <w:noWrap w:val="0"/>
                  <w:vAlign w:val="center"/>
                </w:tcPr>
                <w:p w14:paraId="664056FD">
                  <w:pPr>
                    <w:autoSpaceDE w:val="0"/>
                    <w:autoSpaceDN w:val="0"/>
                    <w:jc w:val="center"/>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7、企业污染物排放要求</w:t>
                  </w:r>
                </w:p>
              </w:tc>
            </w:tr>
            <w:tr w14:paraId="1C34A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986" w:type="dxa"/>
                  <w:tcBorders>
                    <w:tl2br w:val="nil"/>
                    <w:tr2bl w:val="nil"/>
                  </w:tcBorders>
                  <w:noWrap w:val="0"/>
                  <w:vAlign w:val="center"/>
                </w:tcPr>
                <w:p w14:paraId="1000DF6F">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7.1 报废机动车回收拆解企业厂区收集的初期雨水、清洗水和其他非生活废水等应通过收集管道（井）等收集后进入污水处理设施进行处理，达到国家和地方的污染物排放标准后方可排放。</w:t>
                  </w:r>
                </w:p>
              </w:tc>
              <w:tc>
                <w:tcPr>
                  <w:tcW w:w="6000" w:type="dxa"/>
                  <w:tcBorders>
                    <w:tl2br w:val="nil"/>
                    <w:tr2bl w:val="nil"/>
                  </w:tcBorders>
                  <w:noWrap w:val="0"/>
                  <w:vAlign w:val="center"/>
                </w:tcPr>
                <w:p w14:paraId="231B9C90">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企业在生产过程无废水产生，无车间清洁污水，</w:t>
                  </w:r>
                  <w:r>
                    <w:rPr>
                      <w:rFonts w:hint="eastAsia" w:ascii="宋体" w:hAnsi="宋体" w:eastAsia="宋体" w:cs="宋体"/>
                      <w:color w:val="000000" w:themeColor="text1"/>
                      <w:sz w:val="21"/>
                      <w:szCs w:val="21"/>
                      <w:highlight w:val="none"/>
                      <w14:textFill>
                        <w14:solidFill>
                          <w14:schemeClr w14:val="tx1"/>
                        </w14:solidFill>
                      </w14:textFill>
                    </w:rPr>
                    <w:t>初期雨水进入厂区</w:t>
                  </w:r>
                  <w:r>
                    <w:rPr>
                      <w:rFonts w:hint="eastAsia" w:ascii="宋体" w:hAnsi="宋体" w:eastAsia="宋体" w:cs="宋体"/>
                      <w:color w:val="000000" w:themeColor="text1"/>
                      <w:sz w:val="21"/>
                      <w:szCs w:val="21"/>
                      <w:highlight w:val="none"/>
                      <w:lang w:eastAsia="zh-CN"/>
                      <w14:textFill>
                        <w14:solidFill>
                          <w14:schemeClr w14:val="tx1"/>
                        </w14:solidFill>
                      </w14:textFill>
                    </w:rPr>
                    <w:t>污水收集池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油水分离器</w:t>
                  </w:r>
                  <w:r>
                    <w:rPr>
                      <w:rFonts w:hint="eastAsia" w:ascii="宋体" w:hAnsi="宋体" w:eastAsia="宋体" w:cs="宋体"/>
                      <w:color w:val="000000" w:themeColor="text1"/>
                      <w:sz w:val="21"/>
                      <w:szCs w:val="21"/>
                      <w:highlight w:val="none"/>
                      <w14:textFill>
                        <w14:solidFill>
                          <w14:schemeClr w14:val="tx1"/>
                        </w14:solidFill>
                      </w14:textFill>
                    </w:rPr>
                    <w:t>）处理，废水处理后进入市政管网进入</w:t>
                  </w:r>
                  <w:r>
                    <w:rPr>
                      <w:rFonts w:hint="eastAsia" w:ascii="宋体" w:hAnsi="宋体" w:eastAsia="宋体" w:cs="宋体"/>
                      <w:color w:val="000000" w:themeColor="text1"/>
                      <w:sz w:val="21"/>
                      <w:szCs w:val="21"/>
                      <w:highlight w:val="none"/>
                      <w:lang w:val="en-US" w:eastAsia="zh-CN"/>
                      <w14:textFill>
                        <w14:solidFill>
                          <w14:schemeClr w14:val="tx1"/>
                        </w14:solidFill>
                      </w14:textFill>
                    </w:rPr>
                    <w:t>污水处理厂后排入条子河</w:t>
                  </w:r>
                  <w:r>
                    <w:rPr>
                      <w:rFonts w:hint="eastAsia" w:ascii="宋体" w:hAnsi="宋体" w:eastAsia="宋体" w:cs="宋体"/>
                      <w:color w:val="000000" w:themeColor="text1"/>
                      <w:sz w:val="21"/>
                      <w:szCs w:val="21"/>
                      <w:highlight w:val="none"/>
                      <w14:textFill>
                        <w14:solidFill>
                          <w14:schemeClr w14:val="tx1"/>
                        </w14:solidFill>
                      </w14:textFill>
                    </w:rPr>
                    <w:t>。</w:t>
                  </w:r>
                </w:p>
              </w:tc>
              <w:tc>
                <w:tcPr>
                  <w:tcW w:w="872" w:type="dxa"/>
                  <w:tcBorders>
                    <w:tl2br w:val="nil"/>
                    <w:tr2bl w:val="nil"/>
                  </w:tcBorders>
                  <w:noWrap w:val="0"/>
                  <w:vAlign w:val="center"/>
                </w:tcPr>
                <w:p w14:paraId="2B757FB0">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7994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0A688B63">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7.2 报废机动车回收拆解企业排放废气中颗粒物、挥发性有机物（VOCs）等应符合 GB 16297、GB 37822 规定的排放要求。地方污染物排放标准有更严格要求的，从其规定。</w:t>
                  </w:r>
                </w:p>
              </w:tc>
              <w:tc>
                <w:tcPr>
                  <w:tcW w:w="6000" w:type="dxa"/>
                  <w:tcBorders>
                    <w:tl2br w:val="nil"/>
                    <w:tr2bl w:val="nil"/>
                  </w:tcBorders>
                  <w:noWrap w:val="0"/>
                  <w:vAlign w:val="center"/>
                </w:tcPr>
                <w:p w14:paraId="5787603B">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w:t>
                  </w:r>
                  <w:r>
                    <w:rPr>
                      <w:rFonts w:hint="eastAsia" w:ascii="宋体" w:hAnsi="宋体" w:eastAsia="宋体" w:cs="宋体"/>
                      <w:color w:val="000000" w:themeColor="text1"/>
                      <w:kern w:val="0"/>
                      <w:sz w:val="21"/>
                      <w:szCs w:val="21"/>
                      <w:lang w:val="en-US" w:eastAsia="zh-CN"/>
                      <w14:textFill>
                        <w14:solidFill>
                          <w14:schemeClr w14:val="tx1"/>
                        </w14:solidFill>
                      </w14:textFill>
                    </w:rPr>
                    <w:t>经收集处理后</w:t>
                  </w:r>
                  <w:r>
                    <w:rPr>
                      <w:rFonts w:hint="eastAsia" w:ascii="宋体" w:hAnsi="宋体" w:eastAsia="宋体" w:cs="宋体"/>
                      <w:color w:val="000000" w:themeColor="text1"/>
                      <w:kern w:val="0"/>
                      <w:sz w:val="21"/>
                      <w:szCs w:val="21"/>
                      <w14:textFill>
                        <w14:solidFill>
                          <w14:schemeClr w14:val="tx1"/>
                        </w14:solidFill>
                      </w14:textFill>
                    </w:rPr>
                    <w:t>排放废气中颗粒物、挥发性有机物（VOCs）等符合GB16297、GB37822规定的排放要求。</w:t>
                  </w:r>
                </w:p>
              </w:tc>
              <w:tc>
                <w:tcPr>
                  <w:tcW w:w="872" w:type="dxa"/>
                  <w:tcBorders>
                    <w:tl2br w:val="nil"/>
                    <w:tr2bl w:val="nil"/>
                  </w:tcBorders>
                  <w:noWrap w:val="0"/>
                  <w:vAlign w:val="center"/>
                </w:tcPr>
                <w:p w14:paraId="08E17AF4">
                  <w:pPr>
                    <w:autoSpaceDE w:val="0"/>
                    <w:autoSpaceDN w:val="0"/>
                    <w:ind w:left="-120" w:leftChars="-50" w:right="-120" w:rightChars="-5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28169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986" w:type="dxa"/>
                  <w:tcBorders>
                    <w:tl2br w:val="nil"/>
                    <w:tr2bl w:val="nil"/>
                  </w:tcBorders>
                  <w:noWrap w:val="0"/>
                  <w:vAlign w:val="center"/>
                </w:tcPr>
                <w:p w14:paraId="1F2FF8F0">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7.3 报废机动车回收拆解企业应在厂区及易产生粉尘的生产环节采取有效防尘、降尘、集尘措施，拆解过程产生的粉尘等应收集净化后排放。</w:t>
                  </w:r>
                </w:p>
              </w:tc>
              <w:tc>
                <w:tcPr>
                  <w:tcW w:w="6000" w:type="dxa"/>
                  <w:tcBorders>
                    <w:tl2br w:val="nil"/>
                    <w:tr2bl w:val="nil"/>
                  </w:tcBorders>
                  <w:noWrap w:val="0"/>
                  <w:vAlign w:val="center"/>
                </w:tcPr>
                <w:p w14:paraId="5EF727EC">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项目在切割</w:t>
                  </w:r>
                  <w:r>
                    <w:rPr>
                      <w:rFonts w:hint="eastAsia" w:ascii="宋体" w:hAnsi="宋体" w:eastAsia="宋体" w:cs="宋体"/>
                      <w:color w:val="000000" w:themeColor="text1"/>
                      <w:kern w:val="0"/>
                      <w:sz w:val="21"/>
                      <w:szCs w:val="21"/>
                      <w:highlight w:val="none"/>
                      <w14:textFill>
                        <w14:solidFill>
                          <w14:schemeClr w14:val="tx1"/>
                        </w14:solidFill>
                      </w14:textFill>
                    </w:rPr>
                    <w:t>过程中</w:t>
                  </w:r>
                  <w:r>
                    <w:rPr>
                      <w:rFonts w:hint="eastAsia" w:ascii="宋体" w:hAnsi="宋体" w:eastAsia="宋体" w:cs="宋体"/>
                      <w:color w:val="000000" w:themeColor="text1"/>
                      <w:kern w:val="0"/>
                      <w:sz w:val="21"/>
                      <w:szCs w:val="21"/>
                      <w14:textFill>
                        <w14:solidFill>
                          <w14:schemeClr w14:val="tx1"/>
                        </w14:solidFill>
                      </w14:textFill>
                    </w:rPr>
                    <w:t>设置废气收集装置，收集粉尘并通过布袋除尘器净化后排放；项目场地道路扬尘（运输），采取限制运输车辆车速；安排清洁人员对场地道路定期清扫；每隔一段时间对厂区道路进行洒水抑尘等措施。</w:t>
                  </w:r>
                </w:p>
              </w:tc>
              <w:tc>
                <w:tcPr>
                  <w:tcW w:w="872" w:type="dxa"/>
                  <w:tcBorders>
                    <w:tl2br w:val="nil"/>
                    <w:tr2bl w:val="nil"/>
                  </w:tcBorders>
                  <w:noWrap w:val="0"/>
                  <w:vAlign w:val="center"/>
                </w:tcPr>
                <w:p w14:paraId="56F4AA88">
                  <w:pPr>
                    <w:autoSpaceDE w:val="0"/>
                    <w:autoSpaceDN w:val="0"/>
                    <w:ind w:left="-120" w:leftChars="-50" w:right="-120" w:rightChars="-5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3115D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986" w:type="dxa"/>
                  <w:tcBorders>
                    <w:tl2br w:val="nil"/>
                    <w:tr2bl w:val="nil"/>
                  </w:tcBorders>
                  <w:noWrap w:val="0"/>
                  <w:vAlign w:val="center"/>
                </w:tcPr>
                <w:p w14:paraId="1F1B8629">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7.4 报废机动车回收拆解企业应依照《消耗臭氧层物质管理条例》，对消耗臭氧层物质和氢氟碳化物进行分类回收，并交由专业单位进行利用或无害化处置，不应直接排放。涉及《中国受控消耗臭氧层物质清单》所列的废制冷剂应按照国家相关规定进行管理。</w:t>
                  </w:r>
                </w:p>
              </w:tc>
              <w:tc>
                <w:tcPr>
                  <w:tcW w:w="6000" w:type="dxa"/>
                  <w:tcBorders>
                    <w:tl2br w:val="nil"/>
                    <w:tr2bl w:val="nil"/>
                  </w:tcBorders>
                  <w:noWrap w:val="0"/>
                  <w:vAlign w:val="center"/>
                </w:tcPr>
                <w:p w14:paraId="19567D1E">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严格按照《消耗臭氧层物质管理条例》，对消耗臭氧层物质和氢氟碳化物进行分类回收，并交由专业单位进行利用或无害化处置，不直接排放。涉及《中国受控消耗臭氧层物质清单》所列的废制冷剂按照国家相关规定进行管理。</w:t>
                  </w:r>
                </w:p>
              </w:tc>
              <w:tc>
                <w:tcPr>
                  <w:tcW w:w="872" w:type="dxa"/>
                  <w:tcBorders>
                    <w:tl2br w:val="nil"/>
                    <w:tr2bl w:val="nil"/>
                  </w:tcBorders>
                  <w:noWrap w:val="0"/>
                  <w:vAlign w:val="center"/>
                </w:tcPr>
                <w:p w14:paraId="734724C5">
                  <w:pPr>
                    <w:autoSpaceDE w:val="0"/>
                    <w:autoSpaceDN w:val="0"/>
                    <w:ind w:left="-120" w:leftChars="-50" w:right="-120" w:rightChars="-5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40874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6986" w:type="dxa"/>
                  <w:tcBorders>
                    <w:tl2br w:val="nil"/>
                    <w:tr2bl w:val="nil"/>
                  </w:tcBorders>
                  <w:noWrap w:val="0"/>
                  <w:vAlign w:val="center"/>
                </w:tcPr>
                <w:p w14:paraId="747B7F1B">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7.5 （1）报废机动车回收拆解企业应采取隔音降噪措施，减小厂界噪声，满足 GB 12348 中的相关要求；（2）对于破碎机、分选机、风机等机械设备，应采用合理的降噪、减噪措施。如选用低噪声设备，安装隔振元件、柔性接头、隔振垫等；（3）在空压机、风机等的输气管道或在进气口、排气口上安装消声元件，采取屏蔽隔声措施等；（4）对于搬运、手工拆解、车辆运输等非机械噪声产生环节，宜采取可减少固体振动和碰撞过程噪声产生的管理措施，如使用手动运输车辆、车间地面涂刷防护地坪、使用软性传输装置等措施；加强工人的防噪声劳动保护措施，如使用耳塞等。</w:t>
                  </w:r>
                </w:p>
              </w:tc>
              <w:tc>
                <w:tcPr>
                  <w:tcW w:w="6000" w:type="dxa"/>
                  <w:tcBorders>
                    <w:tl2br w:val="nil"/>
                    <w:tr2bl w:val="nil"/>
                  </w:tcBorders>
                  <w:noWrap w:val="0"/>
                  <w:vAlign w:val="center"/>
                </w:tcPr>
                <w:p w14:paraId="5A274F37">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（1）项目已采用隔音降噪措施，减小厂界噪声，满足 GB 12348 中的相关要求；（2）对于机械设备，选用低噪声设备，安装隔振元件、柔性接头、隔振垫等；（3）在风机等的输气管道和进气口、排气口上安装消声元件，采取屏蔽隔声措施等；（4）对于搬运、手工拆解、车辆运输等非机械噪声产生环节，采取可减少固体振动和碰撞过程噪声产生的管理措施，如使用手动运输车辆、车间地面涂刷防护地坪、使用软性传输装置等措施；加强工人的防噪声劳动保护措施，如使用耳塞等。</w:t>
                  </w:r>
                </w:p>
              </w:tc>
              <w:tc>
                <w:tcPr>
                  <w:tcW w:w="872" w:type="dxa"/>
                  <w:tcBorders>
                    <w:tl2br w:val="nil"/>
                    <w:tr2bl w:val="nil"/>
                  </w:tcBorders>
                  <w:noWrap w:val="0"/>
                  <w:vAlign w:val="center"/>
                </w:tcPr>
                <w:p w14:paraId="07456BDC">
                  <w:pPr>
                    <w:autoSpaceDE w:val="0"/>
                    <w:autoSpaceDN w:val="0"/>
                    <w:ind w:left="-120" w:leftChars="-50" w:right="-120" w:rightChars="-5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5B246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986" w:type="dxa"/>
                  <w:tcBorders>
                    <w:tl2br w:val="nil"/>
                    <w:tr2bl w:val="nil"/>
                  </w:tcBorders>
                  <w:noWrap w:val="0"/>
                  <w:vAlign w:val="center"/>
                </w:tcPr>
                <w:p w14:paraId="7C7AF04C">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7.6 一般工业固体废物中不应混入危险废物。拆解过程中产生的一般工业固体废物应满足 GB18599的其他相关要求；危险废物应满足GB18597中的其他相关要求</w:t>
                  </w:r>
                </w:p>
              </w:tc>
              <w:tc>
                <w:tcPr>
                  <w:tcW w:w="6000" w:type="dxa"/>
                  <w:tcBorders>
                    <w:tl2br w:val="nil"/>
                    <w:tr2bl w:val="nil"/>
                  </w:tcBorders>
                  <w:noWrap w:val="0"/>
                  <w:vAlign w:val="center"/>
                </w:tcPr>
                <w:p w14:paraId="061A96DC">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一般工业固体废物中不混入危险废物。拆解过程中产生的一般工业固体废物满足 GB 18599 的其他相关要求；危险废物满足 GB 18597 中的其他相关要求</w:t>
                  </w:r>
                </w:p>
              </w:tc>
              <w:tc>
                <w:tcPr>
                  <w:tcW w:w="872" w:type="dxa"/>
                  <w:tcBorders>
                    <w:tl2br w:val="nil"/>
                    <w:tr2bl w:val="nil"/>
                  </w:tcBorders>
                  <w:noWrap w:val="0"/>
                  <w:vAlign w:val="center"/>
                </w:tcPr>
                <w:p w14:paraId="69FA529E">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0CCF8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858" w:type="dxa"/>
                  <w:gridSpan w:val="3"/>
                  <w:tcBorders>
                    <w:tl2br w:val="nil"/>
                    <w:tr2bl w:val="nil"/>
                  </w:tcBorders>
                  <w:noWrap w:val="0"/>
                  <w:vAlign w:val="center"/>
                </w:tcPr>
                <w:p w14:paraId="4922FE8F">
                  <w:pPr>
                    <w:autoSpaceDE w:val="0"/>
                    <w:autoSpaceDN w:val="0"/>
                    <w:ind w:left="-120" w:leftChars="-50" w:right="-120" w:rightChars="-50" w:firstLine="152"/>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8、企业环境管理要求</w:t>
                  </w:r>
                </w:p>
              </w:tc>
            </w:tr>
            <w:tr w14:paraId="3247D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986" w:type="dxa"/>
                  <w:tcBorders>
                    <w:tl2br w:val="nil"/>
                    <w:tr2bl w:val="nil"/>
                  </w:tcBorders>
                  <w:noWrap w:val="0"/>
                  <w:vAlign w:val="center"/>
                </w:tcPr>
                <w:p w14:paraId="369EF70F">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8.1 企业应建立、健全一般工业固体废物污染环境防治责任制度，采取以下措施防止造成环境污染：（1） 建立一般工业固体废物台账记录，应满足一般工业固体废物管理台账制定指南相关要求；（2）分类收集后贮存应设置标识标签，注明拆解产物的名称、贮存时间、数量等信息；贮存过程应采取防止货物和包装损坏或泄漏。</w:t>
                  </w:r>
                </w:p>
              </w:tc>
              <w:tc>
                <w:tcPr>
                  <w:tcW w:w="6000" w:type="dxa"/>
                  <w:tcBorders>
                    <w:tl2br w:val="nil"/>
                    <w:tr2bl w:val="nil"/>
                  </w:tcBorders>
                  <w:noWrap w:val="0"/>
                  <w:vAlign w:val="center"/>
                </w:tcPr>
                <w:p w14:paraId="720FC3D8">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项目将建立一般工业固体废物污染环境防治责任制度：（1） 建立一般工业固体废物台账记录，符合一般工业固体废物管理台账制定指南相关要求；（2）分类收集后贮存设置标识标签，注明拆解产物的名称、贮存时间、数量等信息；贮存过程防止货物和包装损坏或泄漏。</w:t>
                  </w:r>
                </w:p>
              </w:tc>
              <w:tc>
                <w:tcPr>
                  <w:tcW w:w="872" w:type="dxa"/>
                  <w:tcBorders>
                    <w:tl2br w:val="nil"/>
                    <w:tr2bl w:val="nil"/>
                  </w:tcBorders>
                  <w:noWrap w:val="0"/>
                  <w:vAlign w:val="center"/>
                </w:tcPr>
                <w:p w14:paraId="281B5E10">
                  <w:pPr>
                    <w:autoSpaceDE w:val="0"/>
                    <w:autoSpaceDN w:val="0"/>
                    <w:ind w:left="-120" w:leftChars="-50" w:right="-120" w:rightChars="-5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79DB1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6986" w:type="dxa"/>
                  <w:tcBorders>
                    <w:tl2br w:val="nil"/>
                    <w:tr2bl w:val="nil"/>
                  </w:tcBorders>
                  <w:noWrap w:val="0"/>
                  <w:vAlign w:val="center"/>
                </w:tcPr>
                <w:p w14:paraId="4F526B2B">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8.2 企业应建立、健全污染环境防治责任制度，采取以下措施严格控制危险废物造成环境污染：（1）制定危险废物管理计划和建立危险废物台账记录，应满足 HJ 1259 相关要求；（2）交由持有危险废物经营许可证并具有相关经营范围的企业进行处理，并签订委托处理合同；（3）拆解过程产生的固体废物危险特性不明时，按照相关要求开展危险废物鉴别工作；（4）转移危险废物时，应严格执行《危险废物转移管理办法》有关要求。</w:t>
                  </w:r>
                </w:p>
              </w:tc>
              <w:tc>
                <w:tcPr>
                  <w:tcW w:w="6000" w:type="dxa"/>
                  <w:tcBorders>
                    <w:tl2br w:val="nil"/>
                    <w:tr2bl w:val="nil"/>
                  </w:tcBorders>
                  <w:noWrap w:val="0"/>
                  <w:vAlign w:val="center"/>
                </w:tcPr>
                <w:p w14:paraId="173B872A">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项目将建立、健全污染环境防治责任制度：（1）制定危险废物管理计划和建立危险废物台账记录，满足 HJ 1259 相关要求；（2）交由持有危险废物经营许可证并具有相关经营范围的企业进行处理，并签订委托处理合同；（3）拆解过程产生的固体废物危险特性不明时，按照相关要求开展危险废物鉴别工作；（4）转移危险废物时，严格执行《危险废物转移管理办法》有关要求。</w:t>
                  </w:r>
                </w:p>
              </w:tc>
              <w:tc>
                <w:tcPr>
                  <w:tcW w:w="872" w:type="dxa"/>
                  <w:tcBorders>
                    <w:tl2br w:val="nil"/>
                    <w:tr2bl w:val="nil"/>
                  </w:tcBorders>
                  <w:noWrap w:val="0"/>
                  <w:vAlign w:val="center"/>
                </w:tcPr>
                <w:p w14:paraId="3709E01C">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941E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986" w:type="dxa"/>
                  <w:tcBorders>
                    <w:tl2br w:val="nil"/>
                    <w:tr2bl w:val="nil"/>
                  </w:tcBorders>
                  <w:noWrap w:val="0"/>
                  <w:vAlign w:val="center"/>
                </w:tcPr>
                <w:p w14:paraId="68421BA5">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8.3 报废机动车回收拆解企业应按照 HJ 819 等规定，建立企业监测制度，制定自行监测方案，对污染物排放状况及其周边环境质量的影响开展自行监测，保存原始监测记录，并公布监测结果，监测报告记录应至少保存3年。</w:t>
                  </w:r>
                </w:p>
              </w:tc>
              <w:tc>
                <w:tcPr>
                  <w:tcW w:w="6000" w:type="dxa"/>
                  <w:tcBorders>
                    <w:tl2br w:val="nil"/>
                    <w:tr2bl w:val="nil"/>
                  </w:tcBorders>
                  <w:noWrap w:val="0"/>
                  <w:vAlign w:val="center"/>
                </w:tcPr>
                <w:p w14:paraId="5DAEC085">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项目严格按照 HJ 819 等规定，已建立企业监测制度，制定自行监测方案，对污染物排放状况及其周边环境质量的影响开展自行监测，保存原始监测记录，并公布监测结果，监测报告记录至少保存</w:t>
                  </w:r>
                  <w:r>
                    <w:rPr>
                      <w:rFonts w:hint="eastAsia" w:ascii="宋体" w:hAnsi="宋体" w:eastAsia="宋体" w:cs="宋体"/>
                      <w:color w:val="000000" w:themeColor="text1"/>
                      <w:kern w:val="0"/>
                      <w:sz w:val="21"/>
                      <w:szCs w:val="21"/>
                      <w:lang w:val="en-US" w:eastAsia="zh-CN"/>
                      <w14:textFill>
                        <w14:solidFill>
                          <w14:schemeClr w14:val="tx1"/>
                        </w14:solidFill>
                      </w14:textFill>
                    </w:rPr>
                    <w:t>5</w:t>
                  </w:r>
                  <w:r>
                    <w:rPr>
                      <w:rFonts w:hint="eastAsia" w:ascii="宋体" w:hAnsi="宋体" w:eastAsia="宋体" w:cs="宋体"/>
                      <w:color w:val="000000" w:themeColor="text1"/>
                      <w:kern w:val="0"/>
                      <w:sz w:val="21"/>
                      <w:szCs w:val="21"/>
                      <w14:textFill>
                        <w14:solidFill>
                          <w14:schemeClr w14:val="tx1"/>
                        </w14:solidFill>
                      </w14:textFill>
                    </w:rPr>
                    <w:t>年。</w:t>
                  </w:r>
                </w:p>
              </w:tc>
              <w:tc>
                <w:tcPr>
                  <w:tcW w:w="872" w:type="dxa"/>
                  <w:tcBorders>
                    <w:tl2br w:val="nil"/>
                    <w:tr2bl w:val="nil"/>
                  </w:tcBorders>
                  <w:noWrap w:val="0"/>
                  <w:vAlign w:val="center"/>
                </w:tcPr>
                <w:p w14:paraId="6A06B886">
                  <w:pPr>
                    <w:autoSpaceDE w:val="0"/>
                    <w:autoSpaceDN w:val="0"/>
                    <w:ind w:left="-120" w:leftChars="-50" w:right="-120" w:rightChars="-5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FD2C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986" w:type="dxa"/>
                  <w:tcBorders>
                    <w:tl2br w:val="nil"/>
                    <w:tr2bl w:val="nil"/>
                  </w:tcBorders>
                  <w:noWrap w:val="0"/>
                  <w:vAlign w:val="center"/>
                </w:tcPr>
                <w:p w14:paraId="0ED5CCCC">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8.4 自行监测方案应包括企业基本情况、监测点位、监测频次、监测指标（含特征污染物）、执行排放标准及其限值、监测方法和仪器、监测质量控制、监测点位示意图、监测结果信息公开时限、应急监测方案等。</w:t>
                  </w:r>
                </w:p>
              </w:tc>
              <w:tc>
                <w:tcPr>
                  <w:tcW w:w="6000" w:type="dxa"/>
                  <w:tcBorders>
                    <w:tl2br w:val="nil"/>
                    <w:tr2bl w:val="nil"/>
                  </w:tcBorders>
                  <w:noWrap w:val="0"/>
                  <w:vAlign w:val="center"/>
                </w:tcPr>
                <w:p w14:paraId="4E8DCAFF">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企业</w:t>
                  </w:r>
                  <w:r>
                    <w:rPr>
                      <w:rFonts w:hint="eastAsia" w:ascii="宋体" w:hAnsi="宋体" w:eastAsia="宋体" w:cs="宋体"/>
                      <w:color w:val="000000" w:themeColor="text1"/>
                      <w:kern w:val="0"/>
                      <w:sz w:val="21"/>
                      <w:szCs w:val="21"/>
                      <w14:textFill>
                        <w14:solidFill>
                          <w14:schemeClr w14:val="tx1"/>
                        </w14:solidFill>
                      </w14:textFill>
                    </w:rPr>
                    <w:t>自行监测方案包括企业基本情况、监测点位、监测频次、监测指标（含特征污染物）、执行排放标准及其限值、监测方法和仪器、监测质量控制、监测点位示意图、监测结果信息公开时限、应急监测方案等。</w:t>
                  </w:r>
                </w:p>
              </w:tc>
              <w:tc>
                <w:tcPr>
                  <w:tcW w:w="872" w:type="dxa"/>
                  <w:tcBorders>
                    <w:tl2br w:val="nil"/>
                    <w:tr2bl w:val="nil"/>
                  </w:tcBorders>
                  <w:noWrap w:val="0"/>
                  <w:vAlign w:val="center"/>
                </w:tcPr>
                <w:p w14:paraId="3D6E902A">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AD19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6" w:type="dxa"/>
                  <w:tcBorders>
                    <w:tl2br w:val="nil"/>
                    <w:tr2bl w:val="nil"/>
                  </w:tcBorders>
                  <w:noWrap w:val="0"/>
                  <w:vAlign w:val="center"/>
                </w:tcPr>
                <w:p w14:paraId="5ACB0D3D">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8.5 报废机动车回收拆解企业不具备自行监测能力的，应委托具有监测服务资质的单位监测。</w:t>
                  </w:r>
                </w:p>
              </w:tc>
              <w:tc>
                <w:tcPr>
                  <w:tcW w:w="6000" w:type="dxa"/>
                  <w:tcBorders>
                    <w:tl2br w:val="nil"/>
                    <w:tr2bl w:val="nil"/>
                  </w:tcBorders>
                  <w:noWrap w:val="0"/>
                  <w:vAlign w:val="center"/>
                </w:tcPr>
                <w:p w14:paraId="3294D796">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项目不具备自行监测能力，委托具有监测服务资质的单位监测。</w:t>
                  </w:r>
                </w:p>
              </w:tc>
              <w:tc>
                <w:tcPr>
                  <w:tcW w:w="872" w:type="dxa"/>
                  <w:tcBorders>
                    <w:tl2br w:val="nil"/>
                    <w:tr2bl w:val="nil"/>
                  </w:tcBorders>
                  <w:noWrap w:val="0"/>
                  <w:vAlign w:val="center"/>
                </w:tcPr>
                <w:p w14:paraId="09BCC038">
                  <w:pPr>
                    <w:autoSpaceDE w:val="0"/>
                    <w:autoSpaceDN w:val="0"/>
                    <w:ind w:left="-120" w:leftChars="-50" w:right="-120" w:rightChars="-5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26553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6986" w:type="dxa"/>
                  <w:tcBorders>
                    <w:tl2br w:val="nil"/>
                    <w:tr2bl w:val="nil"/>
                  </w:tcBorders>
                  <w:noWrap w:val="0"/>
                  <w:vAlign w:val="center"/>
                </w:tcPr>
                <w:p w14:paraId="51D80AEA">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8.6 报废机动车回收拆解企业应对操作人员、技术人员及管理人员进行环境保护相关的法律法规、环境应急处理等理论知识和操作技能培训。培训应包含以下内容：（1）有关环境保护法律法规要求；（2）企业生产的工艺流程、污染物的产生环节和污染防治措施；（3）环境污染物的排放限值；（4）污染防治设备设施的运行维护要求；（5）发生突发环境事件的处理措施等。</w:t>
                  </w:r>
                </w:p>
              </w:tc>
              <w:tc>
                <w:tcPr>
                  <w:tcW w:w="6000" w:type="dxa"/>
                  <w:tcBorders>
                    <w:tl2br w:val="nil"/>
                    <w:tr2bl w:val="nil"/>
                  </w:tcBorders>
                  <w:noWrap w:val="0"/>
                  <w:vAlign w:val="center"/>
                </w:tcPr>
                <w:p w14:paraId="423A6EEC">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已对操作人员、技术人员及管理人员进行环境保护相关的法律法规、环境应急处理等理论知识和操作技能培训，包含以下内容：（1）有关环境保护法律法规要求；（2）企业生产的工艺流程、污染物的产生环节和污染防治措施；（3）环境污染物的排放限值；（4）污染防治设备设施的运行维护要求；（5）发生突发环境事件的处理措施等。</w:t>
                  </w:r>
                </w:p>
              </w:tc>
              <w:tc>
                <w:tcPr>
                  <w:tcW w:w="872" w:type="dxa"/>
                  <w:tcBorders>
                    <w:tl2br w:val="nil"/>
                    <w:tr2bl w:val="nil"/>
                  </w:tcBorders>
                  <w:noWrap w:val="0"/>
                  <w:vAlign w:val="center"/>
                </w:tcPr>
                <w:p w14:paraId="3F7D4AD6">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73446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6986" w:type="dxa"/>
                  <w:tcBorders>
                    <w:tl2br w:val="nil"/>
                    <w:tr2bl w:val="nil"/>
                  </w:tcBorders>
                  <w:noWrap w:val="0"/>
                  <w:vAlign w:val="center"/>
                </w:tcPr>
                <w:p w14:paraId="13F70B75">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8.7 报废机动车回收拆解企业应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w:t>
                  </w:r>
                </w:p>
              </w:tc>
              <w:tc>
                <w:tcPr>
                  <w:tcW w:w="6000" w:type="dxa"/>
                  <w:tcBorders>
                    <w:tl2br w:val="nil"/>
                    <w:tr2bl w:val="nil"/>
                  </w:tcBorders>
                  <w:noWrap w:val="0"/>
                  <w:vAlign w:val="center"/>
                </w:tcPr>
                <w:p w14:paraId="6CC16C05">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将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w:t>
                  </w:r>
                </w:p>
              </w:tc>
              <w:tc>
                <w:tcPr>
                  <w:tcW w:w="872" w:type="dxa"/>
                  <w:tcBorders>
                    <w:tl2br w:val="nil"/>
                    <w:tr2bl w:val="nil"/>
                  </w:tcBorders>
                  <w:noWrap w:val="0"/>
                  <w:vAlign w:val="center"/>
                </w:tcPr>
                <w:p w14:paraId="486260DD">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bl>
          <w:p w14:paraId="65133BF0">
            <w:pPr>
              <w:spacing w:line="360" w:lineRule="auto"/>
              <w:ind w:firstLine="422"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（4）</w:t>
            </w:r>
            <w:r>
              <w:rPr>
                <w:rFonts w:hint="eastAsia" w:ascii="宋体" w:hAnsi="宋体" w:eastAsia="宋体" w:cs="宋体"/>
                <w:b/>
                <w:bCs/>
                <w:color w:val="000000" w:themeColor="text1"/>
                <w:sz w:val="21"/>
                <w:szCs w:val="21"/>
                <w14:textFill>
                  <w14:solidFill>
                    <w14:schemeClr w14:val="tx1"/>
                  </w14:solidFill>
                </w14:textFill>
              </w:rPr>
              <w:t>与《</w:t>
            </w:r>
            <w:r>
              <w:rPr>
                <w:rFonts w:hint="eastAsia" w:ascii="宋体" w:hAnsi="宋体" w:eastAsia="宋体" w:cs="宋体"/>
                <w:b/>
                <w:color w:val="000000" w:themeColor="text1"/>
                <w:sz w:val="21"/>
                <w:szCs w:val="21"/>
                <w14:textFill>
                  <w14:solidFill>
                    <w14:schemeClr w14:val="tx1"/>
                  </w14:solidFill>
                </w14:textFill>
              </w:rPr>
              <w:t>报废机动车回收管理办法（国务院令第715号）</w:t>
            </w:r>
            <w:r>
              <w:rPr>
                <w:rFonts w:hint="eastAsia" w:ascii="宋体" w:hAnsi="宋体" w:eastAsia="宋体" w:cs="宋体"/>
                <w:b/>
                <w:bCs/>
                <w:color w:val="000000" w:themeColor="text1"/>
                <w:sz w:val="21"/>
                <w:szCs w:val="21"/>
                <w14:textFill>
                  <w14:solidFill>
                    <w14:schemeClr w14:val="tx1"/>
                  </w14:solidFill>
                </w14:textFill>
              </w:rPr>
              <w:t>》相符性分析</w:t>
            </w:r>
          </w:p>
          <w:p w14:paraId="2021C487">
            <w:pPr>
              <w:spacing w:line="360" w:lineRule="auto"/>
              <w:ind w:firstLine="42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为了规范报废机动车回收活动，保护环境，促进循环经济发展，保障道路交通安全。《报废机动车回收管理办法（国务院令第715号）》对企业的要求，结合项目实际情况，相符性分析详见下表。</w:t>
            </w:r>
          </w:p>
          <w:p w14:paraId="0EEADF45">
            <w:pPr>
              <w:widowControl/>
              <w:numPr>
                <w:ilvl w:val="0"/>
                <w:numId w:val="0"/>
              </w:numPr>
              <w:ind w:left="420" w:leftChars="0" w:hanging="420" w:firstLineChars="0"/>
              <w:jc w:val="center"/>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SA"/>
                <w14:textFill>
                  <w14:solidFill>
                    <w14:schemeClr w14:val="tx1"/>
                  </w14:solidFill>
                </w14:textFill>
              </w:rPr>
              <w:t xml:space="preserve">表1-7   </w:t>
            </w:r>
            <w:r>
              <w:rPr>
                <w:rFonts w:hint="eastAsia" w:ascii="宋体" w:hAnsi="宋体" w:eastAsia="宋体" w:cs="宋体"/>
                <w:b/>
                <w:color w:val="000000" w:themeColor="text1"/>
                <w:kern w:val="0"/>
                <w:sz w:val="21"/>
                <w:szCs w:val="21"/>
                <w14:textFill>
                  <w14:solidFill>
                    <w14:schemeClr w14:val="tx1"/>
                  </w14:solidFill>
                </w14:textFill>
              </w:rPr>
              <w:t>本项目与《报废机动车回收管理办法（国务院令第715号）》符合性分析</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6857"/>
              <w:gridCol w:w="6036"/>
              <w:gridCol w:w="955"/>
            </w:tblGrid>
            <w:tr w14:paraId="58AA382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5782" w:type="dxa"/>
                  <w:tcBorders>
                    <w:tl2br w:val="nil"/>
                    <w:tr2bl w:val="nil"/>
                  </w:tcBorders>
                  <w:noWrap w:val="0"/>
                  <w:vAlign w:val="center"/>
                </w:tcPr>
                <w:p w14:paraId="009A0934">
                  <w:pPr>
                    <w:autoSpaceDE w:val="0"/>
                    <w:autoSpaceDN w:val="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规范要求</w:t>
                  </w:r>
                </w:p>
              </w:tc>
              <w:tc>
                <w:tcPr>
                  <w:tcW w:w="5090" w:type="dxa"/>
                  <w:tcBorders>
                    <w:tl2br w:val="nil"/>
                    <w:tr2bl w:val="nil"/>
                  </w:tcBorders>
                  <w:noWrap w:val="0"/>
                  <w:vAlign w:val="center"/>
                </w:tcPr>
                <w:p w14:paraId="17E5B914">
                  <w:pPr>
                    <w:autoSpaceDE w:val="0"/>
                    <w:autoSpaceDN w:val="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本项目情况</w:t>
                  </w:r>
                </w:p>
              </w:tc>
              <w:tc>
                <w:tcPr>
                  <w:tcW w:w="805" w:type="dxa"/>
                  <w:tcBorders>
                    <w:tl2br w:val="nil"/>
                    <w:tr2bl w:val="nil"/>
                  </w:tcBorders>
                  <w:noWrap w:val="0"/>
                  <w:vAlign w:val="center"/>
                </w:tcPr>
                <w:p w14:paraId="4DB9B358">
                  <w:pPr>
                    <w:autoSpaceDE w:val="0"/>
                    <w:autoSpaceDN w:val="0"/>
                    <w:ind w:left="-120" w:leftChars="-50" w:right="-120" w:rightChars="-50"/>
                    <w:jc w:val="center"/>
                    <w:rPr>
                      <w:rFonts w:hint="eastAsia"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相符性</w:t>
                  </w:r>
                </w:p>
              </w:tc>
            </w:tr>
            <w:tr w14:paraId="343B14F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5782" w:type="dxa"/>
                  <w:tcBorders>
                    <w:tl2br w:val="nil"/>
                    <w:tr2bl w:val="nil"/>
                  </w:tcBorders>
                  <w:noWrap w:val="0"/>
                  <w:vAlign w:val="center"/>
                </w:tcPr>
                <w:p w14:paraId="123E12FF">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废机动车回收企业对回收的报废机动车，应当向机动车所有人出具《报废机动车回收证明》，收回机动车登记证书、号牌、行驶证，并按照国家有关规定及时向公安机关交通管理部门办理注销登记，将注销证明转交机动车所有人</w:t>
                  </w:r>
                </w:p>
              </w:tc>
              <w:tc>
                <w:tcPr>
                  <w:tcW w:w="5090" w:type="dxa"/>
                  <w:tcBorders>
                    <w:tl2br w:val="nil"/>
                    <w:tr2bl w:val="nil"/>
                  </w:tcBorders>
                  <w:noWrap w:val="0"/>
                  <w:vAlign w:val="center"/>
                </w:tcPr>
                <w:p w14:paraId="200E44A2">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对于进厂的报废机动车出具国务院负责报废机动车回收管理的部门规定的《报废机动车回收证明》，同时收回机动车登记证书、号牌、行驶证，并办理注销登记，将注销证明转交机动车所有人</w:t>
                  </w:r>
                </w:p>
              </w:tc>
              <w:tc>
                <w:tcPr>
                  <w:tcW w:w="805" w:type="dxa"/>
                  <w:tcBorders>
                    <w:tl2br w:val="nil"/>
                    <w:tr2bl w:val="nil"/>
                  </w:tcBorders>
                  <w:noWrap w:val="0"/>
                  <w:vAlign w:val="center"/>
                </w:tcPr>
                <w:p w14:paraId="61E37CAC">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113298F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5782" w:type="dxa"/>
                  <w:tcBorders>
                    <w:tl2br w:val="nil"/>
                    <w:tr2bl w:val="nil"/>
                  </w:tcBorders>
                  <w:noWrap w:val="0"/>
                  <w:vAlign w:val="center"/>
                </w:tcPr>
                <w:p w14:paraId="03F32495">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废机动车回收企业对回收的报废机动车，应当逐车登记机动车的型号、号牌号码、发动机号码、车辆识别代号等信息；发现回收的报废机动车疑似赃物或者用于盗窃、抢劫等犯罪活动的犯罪工具的，应当及时向公安机关报告。</w:t>
                  </w:r>
                </w:p>
                <w:p w14:paraId="15BBA40A">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报废机动车回收企业不得拆解、改装、拼装、倒卖疑似赃物或者犯罪工具的机动车或者其发动机、方向机、变速器、前后桥、车架（以下统称“五大总成”）和其他零部件。</w:t>
                  </w:r>
                </w:p>
              </w:tc>
              <w:tc>
                <w:tcPr>
                  <w:tcW w:w="5090" w:type="dxa"/>
                  <w:tcBorders>
                    <w:tl2br w:val="nil"/>
                    <w:tr2bl w:val="nil"/>
                  </w:tcBorders>
                  <w:noWrap w:val="0"/>
                  <w:vAlign w:val="center"/>
                </w:tcPr>
                <w:p w14:paraId="6722D203">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明确进厂报废机动车来源，发现回收的报废机动车疑似赃物或者用于盗窃、抢劫等犯罪活动的犯罪工具的，及时向公安机关报告。</w:t>
                  </w:r>
                </w:p>
              </w:tc>
              <w:tc>
                <w:tcPr>
                  <w:tcW w:w="805" w:type="dxa"/>
                  <w:tcBorders>
                    <w:tl2br w:val="nil"/>
                    <w:tr2bl w:val="nil"/>
                  </w:tcBorders>
                  <w:noWrap w:val="0"/>
                  <w:vAlign w:val="center"/>
                </w:tcPr>
                <w:p w14:paraId="1A646621">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7B44B39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5782" w:type="dxa"/>
                  <w:tcBorders>
                    <w:tl2br w:val="nil"/>
                    <w:tr2bl w:val="nil"/>
                  </w:tcBorders>
                  <w:noWrap w:val="0"/>
                  <w:vAlign w:val="center"/>
                </w:tcPr>
                <w:p w14:paraId="5541E3E2">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回收的报废机动车必须按照有关规定予以拆解；其中，回收的报废大型客车、货车等营运车辆和校车，应当在公安机关的监督下解体。</w:t>
                  </w:r>
                </w:p>
              </w:tc>
              <w:tc>
                <w:tcPr>
                  <w:tcW w:w="5090" w:type="dxa"/>
                  <w:tcBorders>
                    <w:tl2br w:val="nil"/>
                    <w:tr2bl w:val="nil"/>
                  </w:tcBorders>
                  <w:noWrap w:val="0"/>
                  <w:vAlign w:val="center"/>
                </w:tcPr>
                <w:p w14:paraId="7231313E">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厂区大型客车、货车等营运车辆的拆解场所，设置监控视频并与公安系统联网。</w:t>
                  </w:r>
                </w:p>
              </w:tc>
              <w:tc>
                <w:tcPr>
                  <w:tcW w:w="805" w:type="dxa"/>
                  <w:tcBorders>
                    <w:tl2br w:val="nil"/>
                    <w:tr2bl w:val="nil"/>
                  </w:tcBorders>
                  <w:noWrap w:val="0"/>
                  <w:vAlign w:val="center"/>
                </w:tcPr>
                <w:p w14:paraId="5C9C54A8">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422F80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5782" w:type="dxa"/>
                  <w:tcBorders>
                    <w:tl2br w:val="nil"/>
                    <w:tr2bl w:val="nil"/>
                  </w:tcBorders>
                  <w:noWrap w:val="0"/>
                  <w:vAlign w:val="center"/>
                </w:tcPr>
                <w:p w14:paraId="2ED5FB9B">
                  <w:pPr>
                    <w:autoSpaceDE w:val="0"/>
                    <w:autoSpaceDN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拆解的报废机动车“五大总成”具备再制造条件的，可以按照国家有关规定出售给具有再制造能力的企业经过再制造予以循环利用；不具备再制造条件的，应当作为废金属，交售给钢铁企业作为冶炼原料。</w:t>
                  </w:r>
                </w:p>
                <w:p w14:paraId="189CFC6B">
                  <w:pPr>
                    <w:pStyle w:val="11"/>
                    <w:snapToGrid/>
                    <w:spacing w:before="0" w:after="0"/>
                    <w:ind w:right="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拆解的报废机动车“五大总成”以外的零部件符合保障人身和财产安全等强制性国家标准，能够继续使用的，可以出售，但应当标明“报废机动车回用件”。</w:t>
                  </w:r>
                </w:p>
              </w:tc>
              <w:tc>
                <w:tcPr>
                  <w:tcW w:w="5090" w:type="dxa"/>
                  <w:tcBorders>
                    <w:tl2br w:val="nil"/>
                    <w:tr2bl w:val="nil"/>
                  </w:tcBorders>
                  <w:noWrap w:val="0"/>
                  <w:vAlign w:val="center"/>
                </w:tcPr>
                <w:p w14:paraId="4CDB5C05">
                  <w:pPr>
                    <w:autoSpaceDE w:val="0"/>
                    <w:autoSpaceDN w:val="0"/>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项目拆解的“五大总成”</w:t>
                  </w:r>
                  <w:r>
                    <w:rPr>
                      <w:rFonts w:hint="eastAsia" w:ascii="宋体" w:hAnsi="宋体" w:eastAsia="宋体" w:cs="宋体"/>
                      <w:color w:val="000000" w:themeColor="text1"/>
                      <w:kern w:val="0"/>
                      <w:sz w:val="21"/>
                      <w:szCs w:val="21"/>
                      <w:lang w:val="en-US" w:eastAsia="zh-CN"/>
                      <w14:textFill>
                        <w14:solidFill>
                          <w14:schemeClr w14:val="tx1"/>
                        </w14:solidFill>
                      </w14:textFill>
                    </w:rPr>
                    <w:t>不进行</w:t>
                  </w:r>
                  <w:r>
                    <w:rPr>
                      <w:rFonts w:hint="eastAsia" w:ascii="宋体" w:hAnsi="宋体" w:eastAsia="宋体" w:cs="宋体"/>
                      <w:color w:val="000000" w:themeColor="text1"/>
                      <w:kern w:val="0"/>
                      <w:sz w:val="21"/>
                      <w:szCs w:val="21"/>
                      <w14:textFill>
                        <w14:solidFill>
                          <w14:schemeClr w14:val="tx1"/>
                        </w14:solidFill>
                      </w14:textFill>
                    </w:rPr>
                    <w:t>再制造</w:t>
                  </w:r>
                  <w:r>
                    <w:rPr>
                      <w:rFonts w:hint="eastAsia" w:ascii="宋体" w:hAnsi="宋体" w:eastAsia="宋体" w:cs="宋体"/>
                      <w:color w:val="000000" w:themeColor="text1"/>
                      <w:kern w:val="0"/>
                      <w:sz w:val="21"/>
                      <w:szCs w:val="21"/>
                      <w:lang w:eastAsia="zh-CN"/>
                      <w14:textFill>
                        <w14:solidFill>
                          <w14:schemeClr w14:val="tx1"/>
                        </w14:solidFill>
                      </w14:textFill>
                    </w:rPr>
                    <w:t>；</w:t>
                  </w:r>
                </w:p>
                <w:p w14:paraId="0B68BA7D">
                  <w:pPr>
                    <w:autoSpaceDE w:val="0"/>
                    <w:autoSpaceDN w:val="0"/>
                    <w:rPr>
                      <w:rFonts w:hint="eastAsia" w:ascii="宋体" w:hAnsi="宋体" w:eastAsia="宋体" w:cs="宋体"/>
                      <w:color w:val="000000" w:themeColor="text1"/>
                      <w:kern w:val="0"/>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“五大总成”以外能够继续使用的零部件，标明“报废机动车回用件”后出售</w:t>
                  </w:r>
                  <w:r>
                    <w:rPr>
                      <w:rFonts w:hint="eastAsia" w:ascii="宋体" w:hAnsi="宋体" w:eastAsia="宋体" w:cs="宋体"/>
                      <w:color w:val="000000" w:themeColor="text1"/>
                      <w:sz w:val="21"/>
                      <w:szCs w:val="21"/>
                      <w:lang w:eastAsia="zh-CN"/>
                      <w14:textFill>
                        <w14:solidFill>
                          <w14:schemeClr w14:val="tx1"/>
                        </w14:solidFill>
                      </w14:textFill>
                    </w:rPr>
                    <w:t>。</w:t>
                  </w:r>
                </w:p>
              </w:tc>
              <w:tc>
                <w:tcPr>
                  <w:tcW w:w="805" w:type="dxa"/>
                  <w:tcBorders>
                    <w:tl2br w:val="nil"/>
                    <w:tr2bl w:val="nil"/>
                  </w:tcBorders>
                  <w:noWrap w:val="0"/>
                  <w:vAlign w:val="center"/>
                </w:tcPr>
                <w:p w14:paraId="24757EEA">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4FD9C34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5782" w:type="dxa"/>
                  <w:tcBorders>
                    <w:tl2br w:val="nil"/>
                    <w:tr2bl w:val="nil"/>
                  </w:tcBorders>
                  <w:noWrap w:val="0"/>
                  <w:vAlign w:val="center"/>
                </w:tcPr>
                <w:p w14:paraId="298BA1B6">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报废机动车回收企业应当如实记录本企业回收的报废机动车“五大总成”等主要部件的数量、型号、流向等信息，并上传至报废机动车回收信息系统。</w:t>
                  </w:r>
                </w:p>
              </w:tc>
              <w:tc>
                <w:tcPr>
                  <w:tcW w:w="5090" w:type="dxa"/>
                  <w:tcBorders>
                    <w:tl2br w:val="nil"/>
                    <w:tr2bl w:val="nil"/>
                  </w:tcBorders>
                  <w:noWrap w:val="0"/>
                  <w:vAlign w:val="center"/>
                </w:tcPr>
                <w:p w14:paraId="23205E58">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公司做好</w:t>
                  </w:r>
                  <w:r>
                    <w:rPr>
                      <w:rFonts w:hint="eastAsia" w:ascii="宋体" w:hAnsi="宋体" w:eastAsia="宋体" w:cs="宋体"/>
                      <w:color w:val="000000" w:themeColor="text1"/>
                      <w:sz w:val="21"/>
                      <w:szCs w:val="21"/>
                      <w14:textFill>
                        <w14:solidFill>
                          <w14:schemeClr w14:val="tx1"/>
                        </w14:solidFill>
                      </w14:textFill>
                    </w:rPr>
                    <w:t>报废机动车“五大总成”等主要部件的数量、型号、流向等信息，并上传至报废机动车回收信息系统。</w:t>
                  </w:r>
                </w:p>
              </w:tc>
              <w:tc>
                <w:tcPr>
                  <w:tcW w:w="805" w:type="dxa"/>
                  <w:tcBorders>
                    <w:tl2br w:val="nil"/>
                    <w:tr2bl w:val="nil"/>
                  </w:tcBorders>
                  <w:noWrap w:val="0"/>
                  <w:vAlign w:val="center"/>
                </w:tcPr>
                <w:p w14:paraId="3FB04EC8">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r w14:paraId="67E83C5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5782" w:type="dxa"/>
                  <w:tcBorders>
                    <w:tl2br w:val="nil"/>
                    <w:tr2bl w:val="nil"/>
                  </w:tcBorders>
                  <w:noWrap w:val="0"/>
                  <w:vAlign w:val="center"/>
                </w:tcPr>
                <w:p w14:paraId="6AB0F108">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拆解报废机动车，应当遵守环境保护法律法规和强制性标准，采取有效措施保护环境，不得造成环境污染。</w:t>
                  </w:r>
                </w:p>
              </w:tc>
              <w:tc>
                <w:tcPr>
                  <w:tcW w:w="5090" w:type="dxa"/>
                  <w:tcBorders>
                    <w:tl2br w:val="nil"/>
                    <w:tr2bl w:val="nil"/>
                  </w:tcBorders>
                  <w:noWrap w:val="0"/>
                  <w:vAlign w:val="center"/>
                </w:tcPr>
                <w:p w14:paraId="7E7D7D39">
                  <w:pPr>
                    <w:autoSpaceDE w:val="0"/>
                    <w:autoSpaceDN w:val="0"/>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项目生产过程中拆解有机废气采取活性炭吸附处理，切割粉尘采取布袋除尘器处理，各种危险废物分类储存在危废库内，定期交资质单位处理，落实污染防治措施后，不会造成环境污染。</w:t>
                  </w:r>
                </w:p>
              </w:tc>
              <w:tc>
                <w:tcPr>
                  <w:tcW w:w="805" w:type="dxa"/>
                  <w:tcBorders>
                    <w:tl2br w:val="nil"/>
                    <w:tr2bl w:val="nil"/>
                  </w:tcBorders>
                  <w:noWrap w:val="0"/>
                  <w:vAlign w:val="center"/>
                </w:tcPr>
                <w:p w14:paraId="48EBF709">
                  <w:pPr>
                    <w:autoSpaceDE w:val="0"/>
                    <w:autoSpaceDN w:val="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符合</w:t>
                  </w:r>
                </w:p>
              </w:tc>
            </w:tr>
          </w:tbl>
          <w:p w14:paraId="600F9845">
            <w:pPr>
              <w:spacing w:line="360" w:lineRule="auto"/>
              <w:ind w:firstLine="422" w:firstLineChars="200"/>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cs="宋体"/>
                <w:b/>
                <w:bCs/>
                <w:color w:val="000000" w:themeColor="text1"/>
                <w:sz w:val="21"/>
                <w:szCs w:val="21"/>
                <w:lang w:val="en-US" w:eastAsia="zh-CN"/>
                <w14:textFill>
                  <w14:solidFill>
                    <w14:schemeClr w14:val="tx1"/>
                  </w14:solidFill>
                </w14:textFill>
              </w:rPr>
              <w:t>4</w:t>
            </w:r>
            <w:r>
              <w:rPr>
                <w:rFonts w:hint="eastAsia" w:ascii="宋体" w:hAnsi="宋体" w:eastAsia="宋体" w:cs="宋体"/>
                <w:b/>
                <w:bCs/>
                <w:color w:val="000000" w:themeColor="text1"/>
                <w:sz w:val="21"/>
                <w:szCs w:val="21"/>
                <w:lang w:val="en-US"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与《</w:t>
            </w:r>
            <w:r>
              <w:rPr>
                <w:rFonts w:hint="eastAsia" w:ascii="宋体" w:hAnsi="宋体" w:eastAsia="宋体" w:cs="宋体"/>
                <w:b/>
                <w:color w:val="000000" w:themeColor="text1"/>
                <w:sz w:val="21"/>
                <w:szCs w:val="21"/>
                <w14:textFill>
                  <w14:solidFill>
                    <w14:schemeClr w14:val="tx1"/>
                  </w14:solidFill>
                </w14:textFill>
              </w:rPr>
              <w:t>报废机动车回收管理办法实施细则（商务部令2020年第2号）</w:t>
            </w:r>
            <w:r>
              <w:rPr>
                <w:rFonts w:hint="eastAsia" w:ascii="宋体" w:hAnsi="宋体" w:eastAsia="宋体" w:cs="宋体"/>
                <w:b/>
                <w:bCs/>
                <w:color w:val="000000" w:themeColor="text1"/>
                <w:sz w:val="21"/>
                <w:szCs w:val="21"/>
                <w14:textFill>
                  <w14:solidFill>
                    <w14:schemeClr w14:val="tx1"/>
                  </w14:solidFill>
                </w14:textFill>
              </w:rPr>
              <w:t>》相符性分析</w:t>
            </w:r>
          </w:p>
          <w:p w14:paraId="56646F95">
            <w:pPr>
              <w:widowControl/>
              <w:numPr>
                <w:ilvl w:val="0"/>
                <w:numId w:val="0"/>
              </w:numPr>
              <w:ind w:left="420" w:leftChars="0" w:hanging="420" w:firstLineChars="0"/>
              <w:jc w:val="center"/>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SA"/>
                <w14:textFill>
                  <w14:solidFill>
                    <w14:schemeClr w14:val="tx1"/>
                  </w14:solidFill>
                </w14:textFill>
              </w:rPr>
              <w:t xml:space="preserve">表1-8    </w:t>
            </w:r>
            <w:r>
              <w:rPr>
                <w:rFonts w:hint="eastAsia" w:ascii="宋体" w:hAnsi="宋体" w:eastAsia="宋体" w:cs="宋体"/>
                <w:b/>
                <w:color w:val="000000" w:themeColor="text1"/>
                <w:kern w:val="0"/>
                <w:sz w:val="21"/>
                <w:szCs w:val="21"/>
                <w14:textFill>
                  <w14:solidFill>
                    <w14:schemeClr w14:val="tx1"/>
                  </w14:solidFill>
                </w14:textFill>
              </w:rPr>
              <w:t>本项目与《报废机动车回收管理办法实施细则（商务部令2020年第2号）》符合性分析</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57"/>
              <w:gridCol w:w="6036"/>
              <w:gridCol w:w="955"/>
            </w:tblGrid>
            <w:tr w14:paraId="3AF7F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2BA8E6B2">
                  <w:pPr>
                    <w:pStyle w:val="116"/>
                    <w:spacing w:after="0" w:line="240" w:lineRule="auto"/>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规范要求</w:t>
                  </w:r>
                </w:p>
              </w:tc>
              <w:tc>
                <w:tcPr>
                  <w:tcW w:w="6036" w:type="dxa"/>
                  <w:tcBorders>
                    <w:tl2br w:val="nil"/>
                    <w:tr2bl w:val="nil"/>
                  </w:tcBorders>
                  <w:noWrap w:val="0"/>
                  <w:vAlign w:val="center"/>
                </w:tcPr>
                <w:p w14:paraId="39F9A50B">
                  <w:pPr>
                    <w:pStyle w:val="116"/>
                    <w:spacing w:after="0" w:line="240" w:lineRule="auto"/>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本项目情况</w:t>
                  </w:r>
                </w:p>
              </w:tc>
              <w:tc>
                <w:tcPr>
                  <w:tcW w:w="955" w:type="dxa"/>
                  <w:tcBorders>
                    <w:tl2br w:val="nil"/>
                    <w:tr2bl w:val="nil"/>
                  </w:tcBorders>
                  <w:noWrap w:val="0"/>
                  <w:vAlign w:val="center"/>
                </w:tcPr>
                <w:p w14:paraId="150EBA32">
                  <w:pPr>
                    <w:pStyle w:val="116"/>
                    <w:spacing w:after="0" w:line="240" w:lineRule="auto"/>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相符性</w:t>
                  </w:r>
                </w:p>
              </w:tc>
            </w:tr>
            <w:tr w14:paraId="337C6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3E7CEBF8">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国家对回收拆解企业实行资质认定制度。未经资质认定，任何单位或者个人不得从事报废机动车回收拆解活动。</w:t>
                  </w:r>
                </w:p>
              </w:tc>
              <w:tc>
                <w:tcPr>
                  <w:tcW w:w="6036" w:type="dxa"/>
                  <w:tcBorders>
                    <w:tl2br w:val="nil"/>
                    <w:tr2bl w:val="nil"/>
                  </w:tcBorders>
                  <w:noWrap w:val="0"/>
                  <w:vAlign w:val="center"/>
                </w:tcPr>
                <w:p w14:paraId="7E3F67C7">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公司将按照取得报废机动车回收拆解资质认定的要求，取得资质。本次环境影响评价文件的审批文件为资质审定的书面材料之一。</w:t>
                  </w:r>
                </w:p>
              </w:tc>
              <w:tc>
                <w:tcPr>
                  <w:tcW w:w="955" w:type="dxa"/>
                  <w:tcBorders>
                    <w:tl2br w:val="nil"/>
                    <w:tr2bl w:val="nil"/>
                  </w:tcBorders>
                  <w:noWrap w:val="0"/>
                  <w:vAlign w:val="center"/>
                </w:tcPr>
                <w:p w14:paraId="04800ADF">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635B9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848" w:type="dxa"/>
                  <w:gridSpan w:val="3"/>
                  <w:tcBorders>
                    <w:tl2br w:val="nil"/>
                    <w:tr2bl w:val="nil"/>
                  </w:tcBorders>
                  <w:noWrap w:val="0"/>
                  <w:vAlign w:val="center"/>
                </w:tcPr>
                <w:p w14:paraId="4F1AE48D">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回收拆解行为规范</w:t>
                  </w:r>
                </w:p>
              </w:tc>
            </w:tr>
            <w:tr w14:paraId="6B15A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01244C04">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回收拆解企业在回收报废机动车时，应当核验机动车所有人有效身份证件，逐车登记机动车型号、号牌号码、车辆识别代号、发动机号等信息，并收回下列证牌：</w:t>
                  </w:r>
                </w:p>
                <w:p w14:paraId="52289338">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（一）机动车登记证书原件；</w:t>
                  </w:r>
                </w:p>
                <w:p w14:paraId="6A83222B">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（二）机动车行驶证原件；</w:t>
                  </w:r>
                </w:p>
                <w:p w14:paraId="2613D4AD">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（三）机动车号牌。</w:t>
                  </w:r>
                </w:p>
                <w:p w14:paraId="3159E7B5">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回收拆解企业应当核对报废机动车的车辆型号、号牌号码、车辆识别代号、发动机号等实车信息是否与机动车登记证书、机动车行驶证记载的信息一致。</w:t>
                  </w:r>
                </w:p>
                <w:p w14:paraId="32CF0EF2">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无法提供本条第一款所列三项证牌中任意一项的，应当由机动车所有人出具书面情况说明，并对其真实性负责。</w:t>
                  </w:r>
                </w:p>
                <w:p w14:paraId="47E695DF">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动车所有人为自然人且委托他人代办的，还需提供受委托人有效证件及授权委托书；机动车所有人为机关、企业、事业单位、社会团体等的，需提供加盖单位公章的营业执照复印件、统一社会信用代码证书复印件或者社会团体法人登记证书复印件以及单位授权委托书、经办人身份证件。</w:t>
                  </w:r>
                </w:p>
              </w:tc>
              <w:tc>
                <w:tcPr>
                  <w:tcW w:w="6036" w:type="dxa"/>
                  <w:tcBorders>
                    <w:tl2br w:val="nil"/>
                    <w:tr2bl w:val="nil"/>
                  </w:tcBorders>
                  <w:noWrap w:val="0"/>
                  <w:vAlign w:val="center"/>
                </w:tcPr>
                <w:p w14:paraId="29C106B4">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公司做好报废机动车进厂登记管理，逐车登记机动车型号、号牌号码、车辆识别代号、发动机号等信息，并核实是否与机动车登记证书、机动车行驶证记载的信息一致。</w:t>
                  </w:r>
                </w:p>
                <w:p w14:paraId="6ED047DC">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对于无法提供三项证牌中任意一项的，要求机动车所有人出具书面情况说明，并对其真实性负责。</w:t>
                  </w:r>
                </w:p>
                <w:p w14:paraId="44E70DE5">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于机动车所有人为自然人且委托他人代办的，要求提供受委托人有效证件及授权委托书；机动车所有人为机关、企业、事业单位、社会团体等的，要求提供加盖单位公章的营业执照复印件、统一社会信用代码证书复印件或者社会团体法人登记证书复印件以及单位授权委托书、经办人身份证件。</w:t>
                  </w:r>
                </w:p>
              </w:tc>
              <w:tc>
                <w:tcPr>
                  <w:tcW w:w="955" w:type="dxa"/>
                  <w:tcBorders>
                    <w:tl2br w:val="nil"/>
                    <w:tr2bl w:val="nil"/>
                  </w:tcBorders>
                  <w:noWrap w:val="0"/>
                  <w:vAlign w:val="center"/>
                </w:tcPr>
                <w:p w14:paraId="46215FBA">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1396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29331EEA">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在回收报废机动车后，应当通过“全国汽车流通信息管理应用服务”系统如实录入机动车信息，打印《报废机动车回收证明》，上传机动车拆解前照片，机动车拆解后，上传拆解后照片。上传的照片应当包括机动车拆解前整体外观、拆解后状况以及车辆识别代号等特征。对按照规定应当在公安机关监督下解体的报废机动车，回收拆解企业应当在机动车拆解后，打印《报废机动车回收证明》。</w:t>
                  </w:r>
                </w:p>
                <w:p w14:paraId="40BA10CD">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回收拆解企业应当按照国家有关规定及时向公安机关交通管理部门申请机动车注销登记，将注销证明及《报废机动车回收证明》交给机动车所有人。</w:t>
                  </w:r>
                </w:p>
              </w:tc>
              <w:tc>
                <w:tcPr>
                  <w:tcW w:w="6036" w:type="dxa"/>
                  <w:tcBorders>
                    <w:tl2br w:val="nil"/>
                    <w:tr2bl w:val="nil"/>
                  </w:tcBorders>
                  <w:noWrap w:val="0"/>
                  <w:vAlign w:val="center"/>
                </w:tcPr>
                <w:p w14:paraId="4BB71586">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报废机动车按要求进厂后，公司即通过“全国汽车流通信息管理应用服务”系统如实录入机动车信息，打印《报废机动车回收证明》，上传机动车拆解前照片，机动车拆解后，上传拆解后照片。厂区大型客车、货车等营运车辆的拆解场所，设置监控视频并与公安系统联网。同时，将注销证明及《报废机动车回收证明》交给机动车所有人。</w:t>
                  </w:r>
                </w:p>
              </w:tc>
              <w:tc>
                <w:tcPr>
                  <w:tcW w:w="955" w:type="dxa"/>
                  <w:tcBorders>
                    <w:tl2br w:val="nil"/>
                    <w:tr2bl w:val="nil"/>
                  </w:tcBorders>
                  <w:noWrap w:val="0"/>
                  <w:vAlign w:val="center"/>
                </w:tcPr>
                <w:p w14:paraId="6BA4DC96">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74BE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3AE8AAC8">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报废机动车“五大总成”和尾气后处理装置，以及新能源汽车动力蓄电池不齐全的，机动车所有人应当书面说明情况，并对其真实性负责。机动车车架（或者车身）或者发动机缺失的应当认定为车辆缺失，回收拆解企业不得出具《报废机动车回收证明》。</w:t>
                  </w:r>
                </w:p>
              </w:tc>
              <w:tc>
                <w:tcPr>
                  <w:tcW w:w="6036" w:type="dxa"/>
                  <w:tcBorders>
                    <w:tl2br w:val="nil"/>
                    <w:tr2bl w:val="nil"/>
                  </w:tcBorders>
                  <w:noWrap w:val="0"/>
                  <w:vAlign w:val="center"/>
                </w:tcPr>
                <w:p w14:paraId="46ED062D">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对于报废机动车“五大总成”和尾气后处理装置，要求机动车所有人应当书面说明情况，并对其真实性负责。</w:t>
                  </w:r>
                </w:p>
                <w:p w14:paraId="5A796E0F">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对于机动车车架（或者车身）或者发动机缺失的应当认定为车辆缺失，公司将不进行回收拆解处理。</w:t>
                  </w:r>
                </w:p>
              </w:tc>
              <w:tc>
                <w:tcPr>
                  <w:tcW w:w="955" w:type="dxa"/>
                  <w:tcBorders>
                    <w:tl2br w:val="nil"/>
                    <w:tr2bl w:val="nil"/>
                  </w:tcBorders>
                  <w:noWrap w:val="0"/>
                  <w:vAlign w:val="center"/>
                </w:tcPr>
                <w:p w14:paraId="5CE188B6">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52AD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7AD06D55">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机动车存在抵押、质押情形的，回收拆解企业不得出具《报废机动车回收证明》。</w:t>
                  </w:r>
                </w:p>
                <w:p w14:paraId="2F81A8C4">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发现回收的报废机动车疑似为赃物或者用于盗窃、抢劫等犯罪活动工具的，以及涉嫌伪造变造号牌、车辆识别代号、发动机号的，回收拆解企业应当向公安机关报告。已经打印的《报废机动车回收证明》应当予以作废。</w:t>
                  </w:r>
                </w:p>
              </w:tc>
              <w:tc>
                <w:tcPr>
                  <w:tcW w:w="6036" w:type="dxa"/>
                  <w:tcBorders>
                    <w:tl2br w:val="nil"/>
                    <w:tr2bl w:val="nil"/>
                  </w:tcBorders>
                  <w:noWrap w:val="0"/>
                  <w:vAlign w:val="center"/>
                </w:tcPr>
                <w:p w14:paraId="39161375">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明确进厂报废机动车来源，发现回收的报废机动车疑似赃物或者用于盗窃、抢劫等犯罪活动的犯罪工具的，及时向公安机关报告。公司将不进行回收拆解处理。</w:t>
                  </w:r>
                </w:p>
              </w:tc>
              <w:tc>
                <w:tcPr>
                  <w:tcW w:w="955" w:type="dxa"/>
                  <w:tcBorders>
                    <w:tl2br w:val="nil"/>
                    <w:tr2bl w:val="nil"/>
                  </w:tcBorders>
                  <w:noWrap w:val="0"/>
                  <w:vAlign w:val="center"/>
                </w:tcPr>
                <w:p w14:paraId="57759853">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3643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5FC673BD">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必须在其资质认定的拆解经营场地内对回收的报废机动车予以拆解，禁止以任何方式交易报废机动车整车、拼装车。回收的报废大型客、货车等营运车辆和校车，应当在公安机关现场或者视频监督下解体。回收拆解企业应当积极配合报废机动车监督解体工作。</w:t>
                  </w:r>
                </w:p>
              </w:tc>
              <w:tc>
                <w:tcPr>
                  <w:tcW w:w="6036" w:type="dxa"/>
                  <w:tcBorders>
                    <w:tl2br w:val="nil"/>
                    <w:tr2bl w:val="nil"/>
                  </w:tcBorders>
                  <w:noWrap w:val="0"/>
                  <w:vAlign w:val="center"/>
                </w:tcPr>
                <w:p w14:paraId="5600FCA0">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将在资质认定的场地内进行回收、拆解报废机动车，所有回收的报废机动车均进行拆解处理，可回收利用的部件，标明“报废机动车回用件”后出售。厂区大型客车、货车等营运车辆的拆解场所，设置监控视频并与公安系统联网。</w:t>
                  </w:r>
                </w:p>
              </w:tc>
              <w:tc>
                <w:tcPr>
                  <w:tcW w:w="955" w:type="dxa"/>
                  <w:tcBorders>
                    <w:tl2br w:val="nil"/>
                    <w:tr2bl w:val="nil"/>
                  </w:tcBorders>
                  <w:noWrap w:val="0"/>
                  <w:vAlign w:val="center"/>
                </w:tcPr>
                <w:p w14:paraId="602F54FF">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CCEA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20EC80CA">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回收拆解企业拆解报废机动车应当符合国家标准《报废机动车回收拆解企业技术规范》（GB22128）相关要求，并建立生产经营全覆盖的电子监控系统，录像保存至少1年。</w:t>
                  </w:r>
                </w:p>
              </w:tc>
              <w:tc>
                <w:tcPr>
                  <w:tcW w:w="6036" w:type="dxa"/>
                  <w:tcBorders>
                    <w:tl2br w:val="nil"/>
                    <w:tr2bl w:val="nil"/>
                  </w:tcBorders>
                  <w:noWrap w:val="0"/>
                  <w:vAlign w:val="center"/>
                </w:tcPr>
                <w:p w14:paraId="71211E8E">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根据前章《报废汽车回收拆解企业技术规范》（GB22128-2019）相符性分析可知，项目建设符合《报废汽车回收拆解企业技术规范》（GB22128-2019）中的相关要求。</w:t>
                  </w:r>
                </w:p>
              </w:tc>
              <w:tc>
                <w:tcPr>
                  <w:tcW w:w="955" w:type="dxa"/>
                  <w:tcBorders>
                    <w:tl2br w:val="nil"/>
                    <w:tr2bl w:val="nil"/>
                  </w:tcBorders>
                  <w:noWrap w:val="0"/>
                  <w:vAlign w:val="center"/>
                </w:tcPr>
                <w:p w14:paraId="187572E6">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7BDE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0FF6C495">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应当遵守环境保护法律法规和强制性标准，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tc>
              <w:tc>
                <w:tcPr>
                  <w:tcW w:w="6036" w:type="dxa"/>
                  <w:tcBorders>
                    <w:tl2br w:val="nil"/>
                    <w:tr2bl w:val="nil"/>
                  </w:tcBorders>
                  <w:noWrap w:val="0"/>
                  <w:vAlign w:val="center"/>
                </w:tcPr>
                <w:p w14:paraId="794B6D33">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项目生产过程中拆解有机废气采取活性炭吸附处理，各种危险废物分类储存在危废库内，定期交资质单位处理，落实污染防治措施后，不会造成环境污染。</w:t>
                  </w:r>
                </w:p>
                <w:p w14:paraId="37A149DC">
                  <w:pPr>
                    <w:pStyle w:val="116"/>
                    <w:spacing w:after="0"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tc>
              <w:tc>
                <w:tcPr>
                  <w:tcW w:w="955" w:type="dxa"/>
                  <w:tcBorders>
                    <w:tl2br w:val="nil"/>
                    <w:tr2bl w:val="nil"/>
                  </w:tcBorders>
                  <w:noWrap w:val="0"/>
                  <w:vAlign w:val="center"/>
                </w:tcPr>
                <w:p w14:paraId="25190C73">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604E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848" w:type="dxa"/>
                  <w:gridSpan w:val="3"/>
                  <w:tcBorders>
                    <w:tl2br w:val="nil"/>
                    <w:tr2bl w:val="nil"/>
                  </w:tcBorders>
                  <w:noWrap w:val="0"/>
                  <w:vAlign w:val="center"/>
                </w:tcPr>
                <w:p w14:paraId="48DAD3C4">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回收利用行为规范</w:t>
                  </w:r>
                </w:p>
              </w:tc>
            </w:tr>
            <w:tr w14:paraId="19F20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72654392">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回收拆解企业应当建立报废机动车零部件销售台账，如实记录报废机动车“五大总成”数量、型号、流向等信息，并录入“全国汽车流通信息管理应用服务”系统。</w:t>
                  </w:r>
                </w:p>
                <w:p w14:paraId="290E2D72">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回收拆解企业应当对出售用于再制造的报废机动车“五大总成”按照商务部制定的标识规则编码，其中车架应当录入原车辆识别代号信息。</w:t>
                  </w:r>
                </w:p>
              </w:tc>
              <w:tc>
                <w:tcPr>
                  <w:tcW w:w="6036" w:type="dxa"/>
                  <w:tcBorders>
                    <w:tl2br w:val="nil"/>
                    <w:tr2bl w:val="nil"/>
                  </w:tcBorders>
                  <w:noWrap w:val="0"/>
                  <w:vAlign w:val="center"/>
                </w:tcPr>
                <w:p w14:paraId="59EEF783">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公司建立台账，记录报废机动车“五大总成”数量、型号、流向等信息，并录入“全国汽车流通信息管理应用服务”系统。</w:t>
                  </w:r>
                </w:p>
                <w:p w14:paraId="209FAC6E">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对于可再利用的“五大总成”，按照商务部制定的标识规则编码，其中车架应当录入原车辆识别代号信息。</w:t>
                  </w:r>
                </w:p>
              </w:tc>
              <w:tc>
                <w:tcPr>
                  <w:tcW w:w="955" w:type="dxa"/>
                  <w:tcBorders>
                    <w:tl2br w:val="nil"/>
                    <w:tr2bl w:val="nil"/>
                  </w:tcBorders>
                  <w:noWrap w:val="0"/>
                  <w:vAlign w:val="center"/>
                </w:tcPr>
                <w:p w14:paraId="5D55F05E">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A19E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7BE545D2">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回收拆解企业应当按照国家对新能源汽车动力蓄电池回收利用管理有关要求，对报废新能源汽车的废旧动力蓄电池或者其他类型储能装置进行拆卸、收集、贮存、运输及回收利用，加强全过程安全管理。</w:t>
                  </w:r>
                </w:p>
                <w:p w14:paraId="534E1877">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回收拆解企业应当将报废新能源汽车车辆识别代号及动力蓄电池编码、数量、型号、流向等信息，录入“新能源汽车国家监测与动力蓄电池回收利用溯源综合管理平台”系统。</w:t>
                  </w:r>
                </w:p>
              </w:tc>
              <w:tc>
                <w:tcPr>
                  <w:tcW w:w="6036" w:type="dxa"/>
                  <w:tcBorders>
                    <w:tl2br w:val="nil"/>
                    <w:tr2bl w:val="nil"/>
                  </w:tcBorders>
                  <w:noWrap w:val="0"/>
                  <w:vAlign w:val="center"/>
                </w:tcPr>
                <w:p w14:paraId="47DA1FDF">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项目将做好报废新能源汽车车辆识别代号及动力蓄电池编码、数量、型号、流向等信息，录入“新能源汽车国家监测与动力蓄电池回收利用溯源综合管理平台”系统。</w:t>
                  </w:r>
                </w:p>
              </w:tc>
              <w:tc>
                <w:tcPr>
                  <w:tcW w:w="955" w:type="dxa"/>
                  <w:tcBorders>
                    <w:tl2br w:val="nil"/>
                    <w:tr2bl w:val="nil"/>
                  </w:tcBorders>
                  <w:noWrap w:val="0"/>
                  <w:vAlign w:val="center"/>
                </w:tcPr>
                <w:p w14:paraId="57D3400F">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21DAD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528B6EAB">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拆解的报废机动车“五大总成”具备再制造条件的，可以按照国家有关规定出售给具有再制造能力的企业经过再制造予以循环利用；不具备再制造条件的，应当作为废金属，交售给冶炼或者破碎企业。</w:t>
                  </w:r>
                </w:p>
              </w:tc>
              <w:tc>
                <w:tcPr>
                  <w:tcW w:w="6036" w:type="dxa"/>
                  <w:tcBorders>
                    <w:tl2br w:val="nil"/>
                    <w:tr2bl w:val="nil"/>
                  </w:tcBorders>
                  <w:noWrap w:val="0"/>
                  <w:vAlign w:val="center"/>
                </w:tcPr>
                <w:p w14:paraId="13A45DAD">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项目拆解的“五大总成”</w:t>
                  </w:r>
                  <w:r>
                    <w:rPr>
                      <w:rFonts w:hint="eastAsia" w:ascii="宋体" w:hAnsi="宋体" w:eastAsia="宋体" w:cs="宋体"/>
                      <w:color w:val="000000" w:themeColor="text1"/>
                      <w:sz w:val="21"/>
                      <w:szCs w:val="21"/>
                      <w:lang w:val="en-US" w:eastAsia="zh-CN"/>
                      <w14:textFill>
                        <w14:solidFill>
                          <w14:schemeClr w14:val="tx1"/>
                        </w14:solidFill>
                      </w14:textFill>
                    </w:rPr>
                    <w:t>不</w:t>
                  </w:r>
                  <w:r>
                    <w:rPr>
                      <w:rFonts w:hint="eastAsia" w:ascii="宋体" w:hAnsi="宋体" w:eastAsia="宋体" w:cs="宋体"/>
                      <w:color w:val="000000" w:themeColor="text1"/>
                      <w:sz w:val="21"/>
                      <w:szCs w:val="21"/>
                      <w14:textFill>
                        <w14:solidFill>
                          <w14:schemeClr w14:val="tx1"/>
                        </w14:solidFill>
                      </w14:textFill>
                    </w:rPr>
                    <w:t>再制造，按照国家有关规定出售给具有再制造能力的企业经过再制造予以循环利用；不具备再制造条件的，作为废金属，交售给钢铁企业作为冶炼原料。</w:t>
                  </w:r>
                </w:p>
              </w:tc>
              <w:tc>
                <w:tcPr>
                  <w:tcW w:w="955" w:type="dxa"/>
                  <w:tcBorders>
                    <w:tl2br w:val="nil"/>
                    <w:tr2bl w:val="nil"/>
                  </w:tcBorders>
                  <w:noWrap w:val="0"/>
                  <w:vAlign w:val="center"/>
                </w:tcPr>
                <w:p w14:paraId="7A50D262">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10D4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57" w:type="dxa"/>
                  <w:tcBorders>
                    <w:tl2br w:val="nil"/>
                    <w:tr2bl w:val="nil"/>
                  </w:tcBorders>
                  <w:noWrap w:val="0"/>
                  <w:vAlign w:val="center"/>
                </w:tcPr>
                <w:p w14:paraId="198E1808">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回收拆解企业拆解的报废机动车“五大总成”以外的零部件符合保障人身和财产安全等强制性国家标准，能够继续使用的，可以出售，但应当标明“报废机动车回用件”。</w:t>
                  </w:r>
                </w:p>
                <w:p w14:paraId="6A0ADB99">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回收拆解企业拆解的尾气后处理装置、危险废物应当如实记录，并交由有处理资质的企业进行拆解处置，不得向其他企业出售和转卖。</w:t>
                  </w:r>
                </w:p>
                <w:p w14:paraId="789DF24D">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回收拆解企业拆卸的动力蓄电池应当交售给新能源汽车生产企业建立的动力蓄电池回收服务网点，或者符合国家对动力蓄电池梯次利用管理有关要求的梯次利用企业，或者从事废旧动力蓄电池综合利用的企业。</w:t>
                  </w:r>
                </w:p>
              </w:tc>
              <w:tc>
                <w:tcPr>
                  <w:tcW w:w="6036" w:type="dxa"/>
                  <w:tcBorders>
                    <w:tl2br w:val="nil"/>
                    <w:tr2bl w:val="nil"/>
                  </w:tcBorders>
                  <w:noWrap w:val="0"/>
                  <w:vAlign w:val="center"/>
                </w:tcPr>
                <w:p w14:paraId="01EC27C7">
                  <w:pPr>
                    <w:pStyle w:val="116"/>
                    <w:spacing w:after="0"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大总成”以外能够继续使用的零部件，标明“报废机动车回用件”后出售。同时，公司建立台账，如实记录拆解的尾气后处理装置、危险废物流向、贮存、利用和处置等信息，并通过“全国固体废物管理信息系统”进行填报；制定危险废物管理计划，按照国家有关规定贮存、运输、转移和利用处置危险废物。拆卸的动力蓄电池应当交售给新能源汽车生产企业建立的动力蓄电池回收服务网点。</w:t>
                  </w:r>
                </w:p>
              </w:tc>
              <w:tc>
                <w:tcPr>
                  <w:tcW w:w="955" w:type="dxa"/>
                  <w:tcBorders>
                    <w:tl2br w:val="nil"/>
                    <w:tr2bl w:val="nil"/>
                  </w:tcBorders>
                  <w:noWrap w:val="0"/>
                  <w:vAlign w:val="center"/>
                </w:tcPr>
                <w:p w14:paraId="35EA9E14">
                  <w:pPr>
                    <w:pStyle w:val="116"/>
                    <w:spacing w:after="0"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333AC33B">
            <w:pPr>
              <w:pStyle w:val="119"/>
              <w:spacing w:before="183" w:line="345" w:lineRule="auto"/>
              <w:ind w:right="4" w:firstLine="404"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4"/>
                <w:sz w:val="21"/>
                <w:szCs w:val="21"/>
                <w:lang w:eastAsia="zh-CN"/>
                <w14:textFill>
                  <w14:solidFill>
                    <w14:schemeClr w14:val="tx1"/>
                  </w14:solidFill>
                </w14:textFill>
              </w:rPr>
              <w:t>（</w:t>
            </w:r>
            <w:r>
              <w:rPr>
                <w:rFonts w:hint="eastAsia" w:ascii="宋体" w:hAnsi="宋体" w:eastAsia="宋体" w:cs="宋体"/>
                <w:color w:val="000000" w:themeColor="text1"/>
                <w:spacing w:val="-4"/>
                <w:sz w:val="21"/>
                <w:szCs w:val="21"/>
                <w:lang w:val="en-US" w:eastAsia="zh-CN"/>
                <w14:textFill>
                  <w14:solidFill>
                    <w14:schemeClr w14:val="tx1"/>
                  </w14:solidFill>
                </w14:textFill>
              </w:rPr>
              <w:t>5）</w:t>
            </w:r>
            <w:r>
              <w:rPr>
                <w:rFonts w:hint="eastAsia" w:ascii="宋体" w:hAnsi="宋体" w:eastAsia="宋体" w:cs="宋体"/>
                <w:color w:val="000000" w:themeColor="text1"/>
                <w:spacing w:val="-4"/>
                <w:sz w:val="21"/>
                <w:szCs w:val="21"/>
                <w14:textFill>
                  <w14:solidFill>
                    <w14:schemeClr w14:val="tx1"/>
                  </w14:solidFill>
                </w14:textFill>
              </w:rPr>
              <w:t>与《报废农业机械回收拆解技术规范》（NY/T2900-2022）</w:t>
            </w:r>
            <w:r>
              <w:rPr>
                <w:rFonts w:hint="eastAsia" w:ascii="宋体" w:hAnsi="宋体" w:eastAsia="宋体" w:cs="宋体"/>
                <w:color w:val="000000" w:themeColor="text1"/>
                <w:spacing w:val="-3"/>
                <w:sz w:val="21"/>
                <w:szCs w:val="21"/>
                <w14:textFill>
                  <w14:solidFill>
                    <w14:schemeClr w14:val="tx1"/>
                  </w14:solidFill>
                </w14:textFill>
              </w:rPr>
              <w:t>符合性分析</w:t>
            </w:r>
          </w:p>
          <w:p w14:paraId="75D1DB08">
            <w:pPr>
              <w:pStyle w:val="119"/>
              <w:spacing w:before="36" w:line="350" w:lineRule="auto"/>
              <w:ind w:left="114" w:right="101" w:firstLine="477"/>
              <w:jc w:val="both"/>
              <w:rPr>
                <w:rFonts w:hint="eastAsia" w:ascii="宋体" w:hAnsi="宋体" w:eastAsia="宋体" w:cs="宋体"/>
                <w:color w:val="000000" w:themeColor="text1"/>
                <w:spacing w:val="-2"/>
                <w:sz w:val="21"/>
                <w:szCs w:val="21"/>
                <w14:textFill>
                  <w14:solidFill>
                    <w14:schemeClr w14:val="tx1"/>
                  </w14:solidFill>
                </w14:textFill>
              </w:rPr>
            </w:pPr>
            <w:r>
              <w:rPr>
                <w:rFonts w:hint="eastAsia" w:ascii="宋体" w:hAnsi="宋体" w:eastAsia="宋体" w:cs="宋体"/>
                <w:color w:val="000000" w:themeColor="text1"/>
                <w:spacing w:val="-2"/>
                <w:sz w:val="21"/>
                <w:szCs w:val="21"/>
                <w14:textFill>
                  <w14:solidFill>
                    <w14:schemeClr w14:val="tx1"/>
                  </w14:solidFill>
                </w14:textFill>
              </w:rPr>
              <w:t>本文件适用于报废回收拆解企业进行报废的拖拉机、收获机械等</w:t>
            </w:r>
            <w:r>
              <w:rPr>
                <w:rFonts w:hint="eastAsia" w:ascii="宋体" w:hAnsi="宋体" w:eastAsia="宋体" w:cs="宋体"/>
                <w:color w:val="000000" w:themeColor="text1"/>
                <w:spacing w:val="7"/>
                <w:sz w:val="21"/>
                <w:szCs w:val="21"/>
                <w14:textFill>
                  <w14:solidFill>
                    <w14:schemeClr w14:val="tx1"/>
                  </w14:solidFill>
                </w14:textFill>
              </w:rPr>
              <w:t>自走式农业机械回收拆解。其他报废农业机械的回收拆解可参</w:t>
            </w:r>
            <w:r>
              <w:rPr>
                <w:rFonts w:hint="eastAsia" w:ascii="宋体" w:hAnsi="宋体" w:eastAsia="宋体" w:cs="宋体"/>
                <w:color w:val="000000" w:themeColor="text1"/>
                <w:spacing w:val="6"/>
                <w:sz w:val="21"/>
                <w:szCs w:val="21"/>
                <w14:textFill>
                  <w14:solidFill>
                    <w14:schemeClr w14:val="tx1"/>
                  </w14:solidFill>
                </w14:textFill>
              </w:rPr>
              <w:t>照执</w:t>
            </w:r>
            <w:r>
              <w:rPr>
                <w:rFonts w:hint="eastAsia" w:ascii="宋体" w:hAnsi="宋体" w:eastAsia="宋体" w:cs="宋体"/>
                <w:color w:val="000000" w:themeColor="text1"/>
                <w:spacing w:val="-2"/>
                <w:sz w:val="21"/>
                <w:szCs w:val="21"/>
                <w14:textFill>
                  <w14:solidFill>
                    <w14:schemeClr w14:val="tx1"/>
                  </w14:solidFill>
                </w14:textFill>
              </w:rPr>
              <w:t>行，本项目与《报废农业机械回收拆解技术规范》符合性详见下表。</w:t>
            </w:r>
          </w:p>
          <w:p w14:paraId="1B3F7EC7">
            <w:pPr>
              <w:pStyle w:val="119"/>
              <w:spacing w:before="36" w:line="350" w:lineRule="auto"/>
              <w:ind w:left="114" w:right="101" w:firstLine="477"/>
              <w:jc w:val="center"/>
              <w:rPr>
                <w:rFonts w:hint="eastAsia" w:ascii="宋体" w:hAnsi="宋体" w:eastAsia="宋体" w:cs="宋体"/>
                <w:b/>
                <w:bCs/>
                <w:color w:val="000000" w:themeColor="text1"/>
                <w:spacing w:val="-3"/>
                <w:sz w:val="21"/>
                <w:szCs w:val="21"/>
                <w14:textFill>
                  <w14:solidFill>
                    <w14:schemeClr w14:val="tx1"/>
                  </w14:solidFill>
                </w14:textFill>
              </w:rPr>
            </w:pPr>
            <w:r>
              <w:rPr>
                <w:rFonts w:hint="eastAsia" w:ascii="宋体" w:hAnsi="宋体" w:eastAsia="宋体" w:cs="宋体"/>
                <w:b/>
                <w:bCs/>
                <w:color w:val="000000" w:themeColor="text1"/>
                <w:spacing w:val="-2"/>
                <w:sz w:val="21"/>
                <w:szCs w:val="21"/>
                <w14:textFill>
                  <w14:solidFill>
                    <w14:schemeClr w14:val="tx1"/>
                  </w14:solidFill>
                </w14:textFill>
              </w:rPr>
              <w:t>表</w:t>
            </w:r>
            <w:r>
              <w:rPr>
                <w:rFonts w:hint="eastAsia" w:ascii="宋体" w:hAnsi="宋体" w:eastAsia="宋体" w:cs="宋体"/>
                <w:color w:val="000000" w:themeColor="text1"/>
                <w:spacing w:val="-44"/>
                <w:sz w:val="21"/>
                <w:szCs w:val="21"/>
                <w14:textFill>
                  <w14:solidFill>
                    <w14:schemeClr w14:val="tx1"/>
                  </w14:solidFill>
                </w14:textFill>
              </w:rPr>
              <w:t xml:space="preserve"> </w:t>
            </w:r>
            <w:r>
              <w:rPr>
                <w:rFonts w:hint="eastAsia" w:ascii="宋体" w:hAnsi="宋体" w:eastAsia="宋体" w:cs="宋体"/>
                <w:b/>
                <w:bCs/>
                <w:color w:val="000000" w:themeColor="text1"/>
                <w:spacing w:val="-2"/>
                <w:sz w:val="21"/>
                <w:szCs w:val="21"/>
                <w14:textFill>
                  <w14:solidFill>
                    <w14:schemeClr w14:val="tx1"/>
                  </w14:solidFill>
                </w14:textFill>
              </w:rPr>
              <w:t>1-</w:t>
            </w:r>
            <w:r>
              <w:rPr>
                <w:rFonts w:hint="eastAsia" w:cs="宋体"/>
                <w:b/>
                <w:bCs/>
                <w:color w:val="000000" w:themeColor="text1"/>
                <w:spacing w:val="-2"/>
                <w:sz w:val="21"/>
                <w:szCs w:val="21"/>
                <w:lang w:val="en-US" w:eastAsia="zh-CN"/>
                <w14:textFill>
                  <w14:solidFill>
                    <w14:schemeClr w14:val="tx1"/>
                  </w14:solidFill>
                </w14:textFill>
              </w:rPr>
              <w:t>9</w:t>
            </w:r>
            <w:r>
              <w:rPr>
                <w:rFonts w:hint="eastAsia" w:ascii="宋体" w:hAnsi="宋体" w:eastAsia="宋体" w:cs="宋体"/>
                <w:b/>
                <w:bCs/>
                <w:color w:val="000000" w:themeColor="text1"/>
                <w:spacing w:val="-2"/>
                <w:sz w:val="21"/>
                <w:szCs w:val="21"/>
                <w14:textFill>
                  <w14:solidFill>
                    <w14:schemeClr w14:val="tx1"/>
                  </w14:solidFill>
                </w14:textFill>
              </w:rPr>
              <w:t xml:space="preserve">    与《报废农业机械回收拆解技术规范》</w:t>
            </w:r>
            <w:r>
              <w:rPr>
                <w:rFonts w:hint="eastAsia" w:ascii="宋体" w:hAnsi="宋体" w:eastAsia="宋体" w:cs="宋体"/>
                <w:b/>
                <w:bCs/>
                <w:color w:val="000000" w:themeColor="text1"/>
                <w:spacing w:val="-3"/>
                <w:sz w:val="21"/>
                <w:szCs w:val="21"/>
                <w14:textFill>
                  <w14:solidFill>
                    <w14:schemeClr w14:val="tx1"/>
                  </w14:solidFill>
                </w14:textFill>
              </w:rPr>
              <w:t>符合性一览表</w:t>
            </w:r>
          </w:p>
          <w:tbl>
            <w:tblPr>
              <w:tblStyle w:val="108"/>
              <w:tblW w:w="4999"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1260"/>
              <w:gridCol w:w="1341"/>
              <w:gridCol w:w="5546"/>
              <w:gridCol w:w="4773"/>
              <w:gridCol w:w="925"/>
            </w:tblGrid>
            <w:tr w14:paraId="694C8B5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2941" w:type="pct"/>
                  <w:gridSpan w:val="3"/>
                  <w:tcBorders>
                    <w:tl2br w:val="nil"/>
                    <w:tr2bl w:val="nil"/>
                  </w:tcBorders>
                  <w:vAlign w:val="center"/>
                </w:tcPr>
                <w:p w14:paraId="68823E51">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b/>
                      <w:color w:val="000000" w:themeColor="text1"/>
                      <w:sz w:val="18"/>
                      <w:szCs w:val="18"/>
                      <w14:textFill>
                        <w14:solidFill>
                          <w14:schemeClr w14:val="tx1"/>
                        </w14:solidFill>
                      </w14:textFill>
                    </w:rPr>
                  </w:pPr>
                  <w:r>
                    <w:rPr>
                      <w:rFonts w:hint="eastAsia" w:ascii="宋体" w:hAnsi="宋体" w:eastAsia="宋体" w:cs="宋体"/>
                      <w:b/>
                      <w:bCs/>
                      <w:color w:val="000000" w:themeColor="text1"/>
                      <w:spacing w:val="6"/>
                      <w:sz w:val="18"/>
                      <w:szCs w:val="18"/>
                      <w14:textFill>
                        <w14:solidFill>
                          <w14:schemeClr w14:val="tx1"/>
                        </w14:solidFill>
                      </w14:textFill>
                    </w:rPr>
                    <w:t>技术规范要求</w:t>
                  </w:r>
                </w:p>
              </w:tc>
              <w:tc>
                <w:tcPr>
                  <w:tcW w:w="1723" w:type="pct"/>
                  <w:tcBorders>
                    <w:tl2br w:val="nil"/>
                    <w:tr2bl w:val="nil"/>
                  </w:tcBorders>
                  <w:vAlign w:val="center"/>
                </w:tcPr>
                <w:p w14:paraId="22EFB721">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b/>
                      <w:color w:val="000000" w:themeColor="text1"/>
                      <w:sz w:val="18"/>
                      <w:szCs w:val="18"/>
                      <w14:textFill>
                        <w14:solidFill>
                          <w14:schemeClr w14:val="tx1"/>
                        </w14:solidFill>
                      </w14:textFill>
                    </w:rPr>
                  </w:pPr>
                  <w:r>
                    <w:rPr>
                      <w:rFonts w:hint="eastAsia" w:ascii="宋体" w:hAnsi="宋体" w:eastAsia="宋体" w:cs="宋体"/>
                      <w:b/>
                      <w:color w:val="000000" w:themeColor="text1"/>
                      <w:spacing w:val="7"/>
                      <w:sz w:val="18"/>
                      <w:szCs w:val="18"/>
                      <w14:textFill>
                        <w14:solidFill>
                          <w14:schemeClr w14:val="tx1"/>
                        </w14:solidFill>
                      </w14:textFill>
                    </w:rPr>
                    <w:t>本项目情况</w:t>
                  </w:r>
                </w:p>
              </w:tc>
              <w:tc>
                <w:tcPr>
                  <w:tcW w:w="334" w:type="pct"/>
                  <w:tcBorders>
                    <w:tl2br w:val="nil"/>
                    <w:tr2bl w:val="nil"/>
                  </w:tcBorders>
                  <w:vAlign w:val="center"/>
                </w:tcPr>
                <w:p w14:paraId="540C569A">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b/>
                      <w:color w:val="000000" w:themeColor="text1"/>
                      <w:sz w:val="18"/>
                      <w:szCs w:val="18"/>
                      <w14:textFill>
                        <w14:solidFill>
                          <w14:schemeClr w14:val="tx1"/>
                        </w14:solidFill>
                      </w14:textFill>
                    </w:rPr>
                  </w:pPr>
                  <w:r>
                    <w:rPr>
                      <w:rFonts w:hint="eastAsia" w:ascii="宋体" w:hAnsi="宋体" w:eastAsia="宋体" w:cs="宋体"/>
                      <w:b/>
                      <w:color w:val="000000" w:themeColor="text1"/>
                      <w:spacing w:val="8"/>
                      <w:sz w:val="18"/>
                      <w:szCs w:val="18"/>
                      <w14:textFill>
                        <w14:solidFill>
                          <w14:schemeClr w14:val="tx1"/>
                        </w14:solidFill>
                      </w14:textFill>
                    </w:rPr>
                    <w:t>符合性</w:t>
                  </w:r>
                </w:p>
              </w:tc>
            </w:tr>
            <w:tr w14:paraId="740E88C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532" w:hRule="atLeast"/>
                <w:jc w:val="center"/>
              </w:trPr>
              <w:tc>
                <w:tcPr>
                  <w:tcW w:w="455" w:type="pct"/>
                  <w:vMerge w:val="restart"/>
                  <w:tcBorders>
                    <w:tl2br w:val="nil"/>
                    <w:tr2bl w:val="nil"/>
                  </w:tcBorders>
                  <w:vAlign w:val="center"/>
                </w:tcPr>
                <w:p w14:paraId="3FA622A7">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基本要求</w:t>
                  </w:r>
                </w:p>
              </w:tc>
              <w:tc>
                <w:tcPr>
                  <w:tcW w:w="484" w:type="pct"/>
                  <w:tcBorders>
                    <w:tl2br w:val="nil"/>
                    <w:tr2bl w:val="nil"/>
                  </w:tcBorders>
                  <w:vAlign w:val="center"/>
                </w:tcPr>
                <w:p w14:paraId="37CACFE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5"/>
                      <w:sz w:val="18"/>
                      <w:szCs w:val="18"/>
                      <w14:textFill>
                        <w14:solidFill>
                          <w14:schemeClr w14:val="tx1"/>
                        </w14:solidFill>
                      </w14:textFill>
                    </w:rPr>
                    <w:t>报废农业机械</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pacing w:val="5"/>
                      <w:sz w:val="18"/>
                      <w:szCs w:val="18"/>
                      <w14:textFill>
                        <w14:solidFill>
                          <w14:schemeClr w14:val="tx1"/>
                        </w14:solidFill>
                      </w14:textFill>
                    </w:rPr>
                    <w:t>回收拆解一般</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pacing w:val="5"/>
                      <w:sz w:val="18"/>
                      <w:szCs w:val="18"/>
                      <w14:textFill>
                        <w14:solidFill>
                          <w14:schemeClr w14:val="tx1"/>
                        </w14:solidFill>
                      </w14:textFill>
                    </w:rPr>
                    <w:t>流程</w:t>
                  </w:r>
                </w:p>
              </w:tc>
              <w:tc>
                <w:tcPr>
                  <w:tcW w:w="2001" w:type="pct"/>
                  <w:tcBorders>
                    <w:tl2br w:val="nil"/>
                    <w:tr2bl w:val="nil"/>
                  </w:tcBorders>
                  <w:vAlign w:val="center"/>
                </w:tcPr>
                <w:p w14:paraId="34A8908F">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报废农业机械回收拆解一般</w:t>
                  </w:r>
                  <w:r>
                    <w:rPr>
                      <w:rFonts w:hint="eastAsia" w:ascii="宋体" w:hAnsi="宋体" w:eastAsia="宋体" w:cs="宋体"/>
                      <w:color w:val="000000" w:themeColor="text1"/>
                      <w:spacing w:val="2"/>
                      <w:sz w:val="18"/>
                      <w:szCs w:val="18"/>
                      <w14:textFill>
                        <w14:solidFill>
                          <w14:schemeClr w14:val="tx1"/>
                        </w14:solidFill>
                      </w14:textFill>
                    </w:rPr>
                    <w:t>作业流程：报废农业机械回收</w:t>
                  </w:r>
                  <w:r>
                    <w:rPr>
                      <w:rFonts w:hint="eastAsia" w:ascii="宋体" w:hAnsi="宋体" w:eastAsia="宋体" w:cs="宋体"/>
                      <w:color w:val="000000" w:themeColor="text1"/>
                      <w:spacing w:val="11"/>
                      <w:sz w:val="18"/>
                      <w:szCs w:val="18"/>
                      <w14:textFill>
                        <w14:solidFill>
                          <w14:schemeClr w14:val="tx1"/>
                        </w14:solidFill>
                      </w14:textFill>
                    </w:rPr>
                    <w:t>→回收确认→按报废标准验</w:t>
                  </w:r>
                  <w:r>
                    <w:rPr>
                      <w:rFonts w:hint="eastAsia" w:ascii="宋体" w:hAnsi="宋体" w:eastAsia="宋体" w:cs="宋体"/>
                      <w:color w:val="000000" w:themeColor="text1"/>
                      <w:spacing w:val="14"/>
                      <w:sz w:val="18"/>
                      <w:szCs w:val="18"/>
                      <w14:textFill>
                        <w14:solidFill>
                          <w14:schemeClr w14:val="tx1"/>
                        </w14:solidFill>
                      </w14:textFill>
                    </w:rPr>
                    <w:t>收→牌证注销→提报信息→</w:t>
                  </w:r>
                  <w:r>
                    <w:rPr>
                      <w:rFonts w:hint="eastAsia" w:ascii="宋体" w:hAnsi="宋体" w:eastAsia="宋体" w:cs="宋体"/>
                      <w:color w:val="000000" w:themeColor="text1"/>
                      <w:spacing w:val="11"/>
                      <w:sz w:val="18"/>
                      <w:szCs w:val="18"/>
                      <w14:textFill>
                        <w14:solidFill>
                          <w14:schemeClr w14:val="tx1"/>
                        </w14:solidFill>
                      </w14:textFill>
                    </w:rPr>
                    <w:t>拆解→内控监销→拆解物料</w:t>
                  </w:r>
                  <w:r>
                    <w:rPr>
                      <w:rFonts w:hint="eastAsia" w:ascii="宋体" w:hAnsi="宋体" w:eastAsia="宋体" w:cs="宋体"/>
                      <w:color w:val="000000" w:themeColor="text1"/>
                      <w:spacing w:val="12"/>
                      <w:sz w:val="18"/>
                      <w:szCs w:val="18"/>
                      <w14:textFill>
                        <w14:solidFill>
                          <w14:schemeClr w14:val="tx1"/>
                        </w14:solidFill>
                      </w14:textFill>
                    </w:rPr>
                    <w:t>存储→</w:t>
                  </w:r>
                  <w:r>
                    <w:rPr>
                      <w:rFonts w:hint="eastAsia" w:ascii="宋体" w:hAnsi="宋体" w:eastAsia="宋体" w:cs="宋体"/>
                      <w:color w:val="000000" w:themeColor="text1"/>
                      <w:spacing w:val="-24"/>
                      <w:sz w:val="18"/>
                      <w:szCs w:val="18"/>
                      <w14:textFill>
                        <w14:solidFill>
                          <w14:schemeClr w14:val="tx1"/>
                        </w14:solidFill>
                      </w14:textFill>
                    </w:rPr>
                    <w:t xml:space="preserve"> </w:t>
                  </w:r>
                  <w:r>
                    <w:rPr>
                      <w:rFonts w:hint="eastAsia" w:ascii="宋体" w:hAnsi="宋体" w:eastAsia="宋体" w:cs="宋体"/>
                      <w:color w:val="000000" w:themeColor="text1"/>
                      <w:spacing w:val="12"/>
                      <w:sz w:val="18"/>
                      <w:szCs w:val="18"/>
                      <w14:textFill>
                        <w14:solidFill>
                          <w14:schemeClr w14:val="tx1"/>
                        </w14:solidFill>
                      </w14:textFill>
                    </w:rPr>
                    <w:t>固废和危险废物处理→</w:t>
                  </w:r>
                  <w:r>
                    <w:rPr>
                      <w:rFonts w:hint="eastAsia" w:ascii="宋体" w:hAnsi="宋体" w:eastAsia="宋体" w:cs="宋体"/>
                      <w:color w:val="000000" w:themeColor="text1"/>
                      <w:spacing w:val="-24"/>
                      <w:sz w:val="18"/>
                      <w:szCs w:val="18"/>
                      <w14:textFill>
                        <w14:solidFill>
                          <w14:schemeClr w14:val="tx1"/>
                        </w14:solidFill>
                      </w14:textFill>
                    </w:rPr>
                    <w:t xml:space="preserve"> </w:t>
                  </w:r>
                  <w:r>
                    <w:rPr>
                      <w:rFonts w:hint="eastAsia" w:ascii="宋体" w:hAnsi="宋体" w:eastAsia="宋体" w:cs="宋体"/>
                      <w:color w:val="000000" w:themeColor="text1"/>
                      <w:spacing w:val="12"/>
                      <w:sz w:val="18"/>
                      <w:szCs w:val="18"/>
                      <w14:textFill>
                        <w14:solidFill>
                          <w14:schemeClr w14:val="tx1"/>
                        </w14:solidFill>
                      </w14:textFill>
                    </w:rPr>
                    <w:t>资源再生利用或回收利用</w:t>
                  </w:r>
                  <w:r>
                    <w:rPr>
                      <w:rFonts w:hint="eastAsia" w:ascii="宋体" w:hAnsi="宋体" w:eastAsia="宋体" w:cs="宋体"/>
                      <w:color w:val="000000" w:themeColor="text1"/>
                      <w:spacing w:val="7"/>
                      <w:sz w:val="18"/>
                      <w:szCs w:val="18"/>
                      <w14:textFill>
                        <w14:solidFill>
                          <w14:schemeClr w14:val="tx1"/>
                        </w14:solidFill>
                      </w14:textFill>
                    </w:rPr>
                    <w:t>→报废农机建档。</w:t>
                  </w:r>
                </w:p>
              </w:tc>
              <w:tc>
                <w:tcPr>
                  <w:tcW w:w="1723" w:type="pct"/>
                  <w:tcBorders>
                    <w:tl2br w:val="nil"/>
                    <w:tr2bl w:val="nil"/>
                  </w:tcBorders>
                  <w:vAlign w:val="center"/>
                </w:tcPr>
                <w:p w14:paraId="58F9D48F">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本项目严格按照作业流</w:t>
                  </w:r>
                  <w:r>
                    <w:rPr>
                      <w:rFonts w:hint="eastAsia" w:ascii="宋体" w:hAnsi="宋体" w:eastAsia="宋体" w:cs="宋体"/>
                      <w:color w:val="000000" w:themeColor="text1"/>
                      <w:spacing w:val="6"/>
                      <w:sz w:val="18"/>
                      <w:szCs w:val="18"/>
                      <w14:textFill>
                        <w14:solidFill>
                          <w14:schemeClr w14:val="tx1"/>
                        </w14:solidFill>
                      </w14:textFill>
                    </w:rPr>
                    <w:t>程进行生产。</w:t>
                  </w:r>
                </w:p>
              </w:tc>
              <w:tc>
                <w:tcPr>
                  <w:tcW w:w="334" w:type="pct"/>
                  <w:tcBorders>
                    <w:tl2br w:val="nil"/>
                    <w:tr2bl w:val="nil"/>
                  </w:tcBorders>
                  <w:vAlign w:val="center"/>
                </w:tcPr>
                <w:p w14:paraId="120ED244">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r w14:paraId="3B57F33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vMerge w:val="continue"/>
                  <w:tcBorders>
                    <w:tl2br w:val="nil"/>
                    <w:tr2bl w:val="nil"/>
                  </w:tcBorders>
                  <w:vAlign w:val="center"/>
                </w:tcPr>
                <w:p w14:paraId="3AC4DCC6">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84" w:type="pct"/>
                  <w:tcBorders>
                    <w:tl2br w:val="nil"/>
                    <w:tr2bl w:val="nil"/>
                  </w:tcBorders>
                  <w:vAlign w:val="center"/>
                </w:tcPr>
                <w:p w14:paraId="1DBE090F">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5"/>
                      <w:sz w:val="18"/>
                      <w:szCs w:val="18"/>
                      <w14:textFill>
                        <w14:solidFill>
                          <w14:schemeClr w14:val="tx1"/>
                        </w14:solidFill>
                      </w14:textFill>
                    </w:rPr>
                    <w:t>场地</w:t>
                  </w:r>
                  <w:r>
                    <w:rPr>
                      <w:rFonts w:hint="eastAsia" w:ascii="宋体" w:hAnsi="宋体" w:eastAsia="宋体" w:cs="宋体"/>
                      <w:color w:val="000000" w:themeColor="text1"/>
                      <w:spacing w:val="4"/>
                      <w:sz w:val="18"/>
                      <w:szCs w:val="18"/>
                      <w14:textFill>
                        <w14:solidFill>
                          <w14:schemeClr w14:val="tx1"/>
                        </w14:solidFill>
                      </w14:textFill>
                    </w:rPr>
                    <w:t>建设要求</w:t>
                  </w:r>
                </w:p>
              </w:tc>
              <w:tc>
                <w:tcPr>
                  <w:tcW w:w="2001" w:type="pct"/>
                  <w:tcBorders>
                    <w:tl2br w:val="nil"/>
                    <w:tr2bl w:val="nil"/>
                  </w:tcBorders>
                  <w:vAlign w:val="center"/>
                </w:tcPr>
                <w:p w14:paraId="61BCCF0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报废农业机械拆解作业场地</w:t>
                  </w:r>
                  <w:r>
                    <w:rPr>
                      <w:rFonts w:hint="eastAsia" w:ascii="宋体" w:hAnsi="宋体" w:eastAsia="宋体" w:cs="宋体"/>
                      <w:color w:val="000000" w:themeColor="text1"/>
                      <w:spacing w:val="2"/>
                      <w:sz w:val="18"/>
                      <w:szCs w:val="18"/>
                      <w14:textFill>
                        <w14:solidFill>
                          <w14:schemeClr w14:val="tx1"/>
                        </w14:solidFill>
                      </w14:textFill>
                    </w:rPr>
                    <w:t>应有独立的拆解区、产品及拆解后物料储存区、固体废物或</w:t>
                  </w:r>
                  <w:r>
                    <w:rPr>
                      <w:rFonts w:hint="eastAsia" w:ascii="宋体" w:hAnsi="宋体" w:eastAsia="宋体" w:cs="宋体"/>
                      <w:color w:val="000000" w:themeColor="text1"/>
                      <w:spacing w:val="14"/>
                      <w:sz w:val="18"/>
                      <w:szCs w:val="18"/>
                      <w14:textFill>
                        <w14:solidFill>
                          <w14:schemeClr w14:val="tx1"/>
                        </w14:solidFill>
                      </w14:textFill>
                    </w:rPr>
                    <w:t>危险废物料储存控制区等各</w:t>
                  </w:r>
                  <w:r>
                    <w:rPr>
                      <w:rFonts w:hint="eastAsia" w:ascii="宋体" w:hAnsi="宋体" w:eastAsia="宋体" w:cs="宋体"/>
                      <w:color w:val="000000" w:themeColor="text1"/>
                      <w:spacing w:val="2"/>
                      <w:sz w:val="18"/>
                      <w:szCs w:val="18"/>
                      <w14:textFill>
                        <w14:solidFill>
                          <w14:schemeClr w14:val="tx1"/>
                        </w14:solidFill>
                      </w14:textFill>
                    </w:rPr>
                    <w:t>功能区，各功能区场地面积应</w:t>
                  </w:r>
                  <w:r>
                    <w:rPr>
                      <w:rFonts w:hint="eastAsia" w:ascii="宋体" w:hAnsi="宋体" w:eastAsia="宋体" w:cs="宋体"/>
                      <w:color w:val="000000" w:themeColor="text1"/>
                      <w:spacing w:val="7"/>
                      <w:sz w:val="18"/>
                      <w:szCs w:val="18"/>
                      <w14:textFill>
                        <w14:solidFill>
                          <w14:schemeClr w14:val="tx1"/>
                        </w14:solidFill>
                      </w14:textFill>
                    </w:rPr>
                    <w:t>与拆解能力相匹配。</w:t>
                  </w:r>
                </w:p>
              </w:tc>
              <w:tc>
                <w:tcPr>
                  <w:tcW w:w="1723" w:type="pct"/>
                  <w:tcBorders>
                    <w:tl2br w:val="nil"/>
                    <w:tr2bl w:val="nil"/>
                  </w:tcBorders>
                  <w:vAlign w:val="center"/>
                </w:tcPr>
                <w:p w14:paraId="4E4891F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本项目农业机械</w:t>
                  </w:r>
                  <w:r>
                    <w:rPr>
                      <w:rFonts w:hint="eastAsia" w:ascii="宋体" w:hAnsi="宋体" w:eastAsia="宋体" w:cs="宋体"/>
                      <w:color w:val="000000" w:themeColor="text1"/>
                      <w:spacing w:val="8"/>
                      <w:sz w:val="18"/>
                      <w:szCs w:val="18"/>
                      <w:highlight w:val="none"/>
                      <w14:textFill>
                        <w14:solidFill>
                          <w14:schemeClr w14:val="tx1"/>
                        </w14:solidFill>
                      </w14:textFill>
                    </w:rPr>
                    <w:t>生</w:t>
                  </w:r>
                  <w:r>
                    <w:rPr>
                      <w:rFonts w:hint="eastAsia" w:ascii="宋体" w:hAnsi="宋体" w:eastAsia="宋体" w:cs="宋体"/>
                      <w:color w:val="000000" w:themeColor="text1"/>
                      <w:spacing w:val="8"/>
                      <w:sz w:val="18"/>
                      <w:szCs w:val="18"/>
                      <w14:textFill>
                        <w14:solidFill>
                          <w14:schemeClr w14:val="tx1"/>
                        </w14:solidFill>
                      </w14:textFill>
                    </w:rPr>
                    <w:t>产车间</w:t>
                  </w:r>
                  <w:r>
                    <w:rPr>
                      <w:rFonts w:hint="eastAsia" w:ascii="宋体" w:hAnsi="宋体" w:eastAsia="宋体" w:cs="宋体"/>
                      <w:color w:val="000000" w:themeColor="text1"/>
                      <w:spacing w:val="8"/>
                      <w:sz w:val="18"/>
                      <w:szCs w:val="18"/>
                      <w:lang w:val="en-US" w:eastAsia="zh-CN"/>
                      <w14:textFill>
                        <w14:solidFill>
                          <w14:schemeClr w14:val="tx1"/>
                        </w14:solidFill>
                      </w14:textFill>
                    </w:rPr>
                    <w:t>有独立的</w:t>
                  </w:r>
                  <w:r>
                    <w:rPr>
                      <w:rFonts w:hint="eastAsia" w:ascii="宋体" w:hAnsi="宋体" w:eastAsia="宋体" w:cs="宋体"/>
                      <w:color w:val="000000" w:themeColor="text1"/>
                      <w:spacing w:val="8"/>
                      <w:sz w:val="18"/>
                      <w:szCs w:val="18"/>
                      <w14:textFill>
                        <w14:solidFill>
                          <w14:schemeClr w14:val="tx1"/>
                        </w14:solidFill>
                      </w14:textFill>
                    </w:rPr>
                    <w:t>拆解</w:t>
                  </w:r>
                  <w:r>
                    <w:rPr>
                      <w:rFonts w:hint="eastAsia" w:ascii="宋体" w:hAnsi="宋体" w:eastAsia="宋体" w:cs="宋体"/>
                      <w:color w:val="000000" w:themeColor="text1"/>
                      <w:spacing w:val="8"/>
                      <w:sz w:val="18"/>
                      <w:szCs w:val="18"/>
                      <w:lang w:val="en-US" w:eastAsia="zh-CN"/>
                      <w14:textFill>
                        <w14:solidFill>
                          <w14:schemeClr w14:val="tx1"/>
                        </w14:solidFill>
                      </w14:textFill>
                    </w:rPr>
                    <w:t>区</w:t>
                  </w:r>
                  <w:r>
                    <w:rPr>
                      <w:rFonts w:hint="eastAsia" w:ascii="宋体" w:hAnsi="宋体" w:eastAsia="宋体" w:cs="宋体"/>
                      <w:color w:val="000000" w:themeColor="text1"/>
                      <w:spacing w:val="8"/>
                      <w:sz w:val="18"/>
                      <w:szCs w:val="18"/>
                      <w14:textFill>
                        <w14:solidFill>
                          <w14:schemeClr w14:val="tx1"/>
                        </w14:solidFill>
                      </w14:textFill>
                    </w:rPr>
                    <w:t>，满足拆</w:t>
                  </w:r>
                  <w:r>
                    <w:rPr>
                      <w:rFonts w:hint="eastAsia" w:ascii="宋体" w:hAnsi="宋体" w:eastAsia="宋体" w:cs="宋体"/>
                      <w:color w:val="000000" w:themeColor="text1"/>
                      <w:spacing w:val="6"/>
                      <w:sz w:val="18"/>
                      <w:szCs w:val="18"/>
                      <w14:textFill>
                        <w14:solidFill>
                          <w14:schemeClr w14:val="tx1"/>
                        </w14:solidFill>
                      </w14:textFill>
                    </w:rPr>
                    <w:t>解场地要求。</w:t>
                  </w:r>
                  <w:r>
                    <w:rPr>
                      <w:rFonts w:hint="eastAsia" w:ascii="宋体" w:hAnsi="宋体" w:eastAsia="宋体" w:cs="宋体"/>
                      <w:color w:val="000000" w:themeColor="text1"/>
                      <w:spacing w:val="2"/>
                      <w:sz w:val="18"/>
                      <w:szCs w:val="18"/>
                      <w14:textFill>
                        <w14:solidFill>
                          <w14:schemeClr w14:val="tx1"/>
                        </w14:solidFill>
                      </w14:textFill>
                    </w:rPr>
                    <w:t>产品及拆解后物料储存区、固体废物或</w:t>
                  </w:r>
                  <w:r>
                    <w:rPr>
                      <w:rFonts w:hint="eastAsia" w:ascii="宋体" w:hAnsi="宋体" w:eastAsia="宋体" w:cs="宋体"/>
                      <w:color w:val="000000" w:themeColor="text1"/>
                      <w:spacing w:val="14"/>
                      <w:sz w:val="18"/>
                      <w:szCs w:val="18"/>
                      <w14:textFill>
                        <w14:solidFill>
                          <w14:schemeClr w14:val="tx1"/>
                        </w14:solidFill>
                      </w14:textFill>
                    </w:rPr>
                    <w:t>危险废物料储存控制区等各</w:t>
                  </w:r>
                  <w:r>
                    <w:rPr>
                      <w:rFonts w:hint="eastAsia" w:ascii="宋体" w:hAnsi="宋体" w:eastAsia="宋体" w:cs="宋体"/>
                      <w:color w:val="000000" w:themeColor="text1"/>
                      <w:spacing w:val="2"/>
                      <w:sz w:val="18"/>
                      <w:szCs w:val="18"/>
                      <w14:textFill>
                        <w14:solidFill>
                          <w14:schemeClr w14:val="tx1"/>
                        </w14:solidFill>
                      </w14:textFill>
                    </w:rPr>
                    <w:t>功能区，各功能区场地面积应</w:t>
                  </w:r>
                  <w:r>
                    <w:rPr>
                      <w:rFonts w:hint="eastAsia" w:ascii="宋体" w:hAnsi="宋体" w:eastAsia="宋体" w:cs="宋体"/>
                      <w:color w:val="000000" w:themeColor="text1"/>
                      <w:spacing w:val="7"/>
                      <w:sz w:val="18"/>
                      <w:szCs w:val="18"/>
                      <w14:textFill>
                        <w14:solidFill>
                          <w14:schemeClr w14:val="tx1"/>
                        </w14:solidFill>
                      </w14:textFill>
                    </w:rPr>
                    <w:t>与拆解能力相匹配。</w:t>
                  </w:r>
                </w:p>
              </w:tc>
              <w:tc>
                <w:tcPr>
                  <w:tcW w:w="334" w:type="pct"/>
                  <w:tcBorders>
                    <w:tl2br w:val="nil"/>
                    <w:tr2bl w:val="nil"/>
                  </w:tcBorders>
                  <w:vAlign w:val="center"/>
                </w:tcPr>
                <w:p w14:paraId="651B41BC">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符合</w:t>
                  </w:r>
                </w:p>
              </w:tc>
            </w:tr>
            <w:tr w14:paraId="51DE14A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39" w:type="pct"/>
                  <w:gridSpan w:val="2"/>
                  <w:tcBorders>
                    <w:tl2br w:val="nil"/>
                    <w:tr2bl w:val="nil"/>
                  </w:tcBorders>
                  <w:vAlign w:val="center"/>
                </w:tcPr>
                <w:p w14:paraId="2F0AB3CE">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回收技术要求</w:t>
                  </w:r>
                </w:p>
              </w:tc>
              <w:tc>
                <w:tcPr>
                  <w:tcW w:w="2001" w:type="pct"/>
                  <w:tcBorders>
                    <w:tl2br w:val="nil"/>
                    <w:tr2bl w:val="nil"/>
                  </w:tcBorders>
                  <w:vAlign w:val="center"/>
                </w:tcPr>
                <w:p w14:paraId="1ECB82A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回收企业收到报废自走式农</w:t>
                  </w:r>
                  <w:r>
                    <w:rPr>
                      <w:rFonts w:hint="eastAsia" w:ascii="宋体" w:hAnsi="宋体" w:eastAsia="宋体" w:cs="宋体"/>
                      <w:color w:val="000000" w:themeColor="text1"/>
                      <w:spacing w:val="2"/>
                      <w:sz w:val="18"/>
                      <w:szCs w:val="18"/>
                      <w14:textFill>
                        <w14:solidFill>
                          <w14:schemeClr w14:val="tx1"/>
                        </w14:solidFill>
                      </w14:textFill>
                    </w:rPr>
                    <w:t>业机械后，应检查发动机、散</w:t>
                  </w:r>
                  <w:r>
                    <w:rPr>
                      <w:rFonts w:hint="eastAsia" w:ascii="宋体" w:hAnsi="宋体" w:eastAsia="宋体" w:cs="宋体"/>
                      <w:color w:val="000000" w:themeColor="text1"/>
                      <w:spacing w:val="-7"/>
                      <w:sz w:val="18"/>
                      <w:szCs w:val="18"/>
                      <w14:textFill>
                        <w14:solidFill>
                          <w14:schemeClr w14:val="tx1"/>
                        </w14:solidFill>
                      </w14:textFill>
                    </w:rPr>
                    <w:t>热器、变速箱、差速器、油箱、</w:t>
                  </w:r>
                  <w:r>
                    <w:rPr>
                      <w:rFonts w:hint="eastAsia" w:ascii="宋体" w:hAnsi="宋体" w:eastAsia="宋体" w:cs="宋体"/>
                      <w:color w:val="000000" w:themeColor="text1"/>
                      <w:spacing w:val="3"/>
                      <w:sz w:val="18"/>
                      <w:szCs w:val="18"/>
                      <w14:textFill>
                        <w14:solidFill>
                          <w14:schemeClr w14:val="tx1"/>
                        </w14:solidFill>
                      </w14:textFill>
                    </w:rPr>
                    <w:t xml:space="preserve"> </w:t>
                  </w:r>
                  <w:r>
                    <w:rPr>
                      <w:rFonts w:hint="eastAsia" w:ascii="宋体" w:hAnsi="宋体" w:eastAsia="宋体" w:cs="宋体"/>
                      <w:color w:val="000000" w:themeColor="text1"/>
                      <w:spacing w:val="14"/>
                      <w:sz w:val="18"/>
                      <w:szCs w:val="18"/>
                      <w14:textFill>
                        <w14:solidFill>
                          <w14:schemeClr w14:val="tx1"/>
                        </w14:solidFill>
                      </w14:textFill>
                    </w:rPr>
                    <w:t>后处理装置和燃料罐等总成</w:t>
                  </w:r>
                  <w:r>
                    <w:rPr>
                      <w:rFonts w:hint="eastAsia" w:ascii="宋体" w:hAnsi="宋体" w:eastAsia="宋体" w:cs="宋体"/>
                      <w:color w:val="000000" w:themeColor="text1"/>
                      <w:spacing w:val="2"/>
                      <w:sz w:val="18"/>
                      <w:szCs w:val="18"/>
                      <w14:textFill>
                        <w14:solidFill>
                          <w14:schemeClr w14:val="tx1"/>
                        </w14:solidFill>
                      </w14:textFill>
                    </w:rPr>
                    <w:t>部件的密封和破损情况。对于 出现泄漏的总成部件，应采取</w:t>
                  </w:r>
                  <w:r>
                    <w:rPr>
                      <w:rFonts w:hint="eastAsia" w:ascii="宋体" w:hAnsi="宋体" w:eastAsia="宋体" w:cs="宋体"/>
                      <w:color w:val="000000" w:themeColor="text1"/>
                      <w:spacing w:val="4"/>
                      <w:sz w:val="18"/>
                      <w:szCs w:val="18"/>
                      <w14:textFill>
                        <w14:solidFill>
                          <w14:schemeClr w14:val="tx1"/>
                        </w14:solidFill>
                      </w14:textFill>
                    </w:rPr>
                    <w:t xml:space="preserve"> </w:t>
                  </w:r>
                  <w:r>
                    <w:rPr>
                      <w:rFonts w:hint="eastAsia" w:ascii="宋体" w:hAnsi="宋体" w:eastAsia="宋体" w:cs="宋体"/>
                      <w:color w:val="000000" w:themeColor="text1"/>
                      <w:spacing w:val="14"/>
                      <w:sz w:val="18"/>
                      <w:szCs w:val="18"/>
                      <w14:textFill>
                        <w14:solidFill>
                          <w14:schemeClr w14:val="tx1"/>
                        </w14:solidFill>
                      </w14:textFill>
                    </w:rPr>
                    <w:t>适当的方式收集泄漏的液体</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pacing w:val="2"/>
                      <w:sz w:val="18"/>
                      <w:szCs w:val="18"/>
                      <w14:textFill>
                        <w14:solidFill>
                          <w14:schemeClr w14:val="tx1"/>
                        </w14:solidFill>
                      </w14:textFill>
                    </w:rPr>
                    <w:t>或封住泄漏处，防止废液渗入</w:t>
                  </w:r>
                  <w:r>
                    <w:rPr>
                      <w:rFonts w:hint="eastAsia" w:ascii="宋体" w:hAnsi="宋体" w:eastAsia="宋体" w:cs="宋体"/>
                      <w:color w:val="000000" w:themeColor="text1"/>
                      <w:spacing w:val="3"/>
                      <w:sz w:val="18"/>
                      <w:szCs w:val="18"/>
                      <w14:textFill>
                        <w14:solidFill>
                          <w14:schemeClr w14:val="tx1"/>
                        </w14:solidFill>
                      </w14:textFill>
                    </w:rPr>
                    <w:t>地下。</w:t>
                  </w:r>
                </w:p>
              </w:tc>
              <w:tc>
                <w:tcPr>
                  <w:tcW w:w="1723" w:type="pct"/>
                  <w:tcBorders>
                    <w:tl2br w:val="nil"/>
                    <w:tr2bl w:val="nil"/>
                  </w:tcBorders>
                  <w:vAlign w:val="center"/>
                </w:tcPr>
                <w:p w14:paraId="25C2F0D1">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本项目严格按照该条款</w:t>
                  </w:r>
                  <w:r>
                    <w:rPr>
                      <w:rFonts w:hint="eastAsia" w:ascii="宋体" w:hAnsi="宋体" w:eastAsia="宋体" w:cs="宋体"/>
                      <w:color w:val="000000" w:themeColor="text1"/>
                      <w:spacing w:val="9"/>
                      <w:sz w:val="18"/>
                      <w:szCs w:val="18"/>
                      <w14:textFill>
                        <w14:solidFill>
                          <w14:schemeClr w14:val="tx1"/>
                        </w14:solidFill>
                      </w14:textFill>
                    </w:rPr>
                    <w:t>执行，对于出现泄漏的</w:t>
                  </w:r>
                  <w:r>
                    <w:rPr>
                      <w:rFonts w:hint="eastAsia" w:ascii="宋体" w:hAnsi="宋体" w:eastAsia="宋体" w:cs="宋体"/>
                      <w:color w:val="000000" w:themeColor="text1"/>
                      <w:spacing w:val="8"/>
                      <w:sz w:val="18"/>
                      <w:szCs w:val="18"/>
                      <w14:textFill>
                        <w14:solidFill>
                          <w14:schemeClr w14:val="tx1"/>
                        </w14:solidFill>
                      </w14:textFill>
                    </w:rPr>
                    <w:t>总成部件，使用真空泵</w:t>
                  </w:r>
                  <w:r>
                    <w:rPr>
                      <w:rFonts w:hint="eastAsia" w:ascii="宋体" w:hAnsi="宋体" w:eastAsia="宋体" w:cs="宋体"/>
                      <w:color w:val="000000" w:themeColor="text1"/>
                      <w:spacing w:val="9"/>
                      <w:sz w:val="18"/>
                      <w:szCs w:val="18"/>
                      <w14:textFill>
                        <w14:solidFill>
                          <w14:schemeClr w14:val="tx1"/>
                        </w14:solidFill>
                      </w14:textFill>
                    </w:rPr>
                    <w:t>等方式收集泄漏的液体</w:t>
                  </w:r>
                  <w:r>
                    <w:rPr>
                      <w:rFonts w:hint="eastAsia" w:ascii="宋体" w:hAnsi="宋体" w:eastAsia="宋体" w:cs="宋体"/>
                      <w:color w:val="000000" w:themeColor="text1"/>
                      <w:spacing w:val="8"/>
                      <w:sz w:val="18"/>
                      <w:szCs w:val="18"/>
                      <w14:textFill>
                        <w14:solidFill>
                          <w14:schemeClr w14:val="tx1"/>
                        </w14:solidFill>
                      </w14:textFill>
                    </w:rPr>
                    <w:t>或封住泄漏处，防止废</w:t>
                  </w:r>
                  <w:r>
                    <w:rPr>
                      <w:rFonts w:hint="eastAsia" w:ascii="宋体" w:hAnsi="宋体" w:eastAsia="宋体" w:cs="宋体"/>
                      <w:color w:val="000000" w:themeColor="text1"/>
                      <w:spacing w:val="6"/>
                      <w:sz w:val="18"/>
                      <w:szCs w:val="18"/>
                      <w14:textFill>
                        <w14:solidFill>
                          <w14:schemeClr w14:val="tx1"/>
                        </w14:solidFill>
                      </w14:textFill>
                    </w:rPr>
                    <w:t>液渗入地下。</w:t>
                  </w:r>
                </w:p>
              </w:tc>
              <w:tc>
                <w:tcPr>
                  <w:tcW w:w="334" w:type="pct"/>
                  <w:tcBorders>
                    <w:tl2br w:val="nil"/>
                    <w:tr2bl w:val="nil"/>
                  </w:tcBorders>
                  <w:vAlign w:val="center"/>
                </w:tcPr>
                <w:p w14:paraId="678C7735">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符合</w:t>
                  </w:r>
                </w:p>
              </w:tc>
            </w:tr>
            <w:tr w14:paraId="49DDB24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282" w:hRule="atLeast"/>
                <w:jc w:val="center"/>
              </w:trPr>
              <w:tc>
                <w:tcPr>
                  <w:tcW w:w="455" w:type="pct"/>
                  <w:tcBorders>
                    <w:tl2br w:val="nil"/>
                    <w:tr2bl w:val="nil"/>
                  </w:tcBorders>
                  <w:vAlign w:val="center"/>
                </w:tcPr>
                <w:p w14:paraId="758DAD0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拆解技术要求</w:t>
                  </w:r>
                </w:p>
              </w:tc>
              <w:tc>
                <w:tcPr>
                  <w:tcW w:w="484" w:type="pct"/>
                  <w:tcBorders>
                    <w:tl2br w:val="nil"/>
                    <w:tr2bl w:val="nil"/>
                  </w:tcBorders>
                  <w:vAlign w:val="center"/>
                </w:tcPr>
                <w:p w14:paraId="26C4CD14">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拆解</w:t>
                  </w:r>
                  <w:r>
                    <w:rPr>
                      <w:rFonts w:hint="eastAsia" w:ascii="宋体" w:hAnsi="宋体" w:eastAsia="宋体" w:cs="宋体"/>
                      <w:color w:val="000000" w:themeColor="text1"/>
                      <w:spacing w:val="3"/>
                      <w:sz w:val="18"/>
                      <w:szCs w:val="18"/>
                      <w14:textFill>
                        <w14:solidFill>
                          <w14:schemeClr w14:val="tx1"/>
                        </w14:solidFill>
                      </w14:textFill>
                    </w:rPr>
                    <w:t>前储</w:t>
                  </w:r>
                  <w:r>
                    <w:rPr>
                      <w:rFonts w:hint="eastAsia" w:ascii="宋体" w:hAnsi="宋体" w:eastAsia="宋体" w:cs="宋体"/>
                      <w:color w:val="000000" w:themeColor="text1"/>
                      <w:spacing w:val="1"/>
                      <w:sz w:val="18"/>
                      <w:szCs w:val="18"/>
                      <w14:textFill>
                        <w14:solidFill>
                          <w14:schemeClr w14:val="tx1"/>
                        </w14:solidFill>
                      </w14:textFill>
                    </w:rPr>
                    <w:t>存</w:t>
                  </w:r>
                </w:p>
              </w:tc>
              <w:tc>
                <w:tcPr>
                  <w:tcW w:w="2001" w:type="pct"/>
                  <w:tcBorders>
                    <w:tl2br w:val="nil"/>
                    <w:tr2bl w:val="nil"/>
                  </w:tcBorders>
                  <w:vAlign w:val="center"/>
                </w:tcPr>
                <w:p w14:paraId="03097FE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报废农业机械应与其他废弃</w:t>
                  </w:r>
                  <w:r>
                    <w:rPr>
                      <w:rFonts w:hint="eastAsia" w:ascii="宋体" w:hAnsi="宋体" w:eastAsia="宋体" w:cs="宋体"/>
                      <w:color w:val="000000" w:themeColor="text1"/>
                      <w:spacing w:val="-9"/>
                      <w:sz w:val="18"/>
                      <w:szCs w:val="18"/>
                      <w14:textFill>
                        <w14:solidFill>
                          <w14:schemeClr w14:val="tx1"/>
                        </w14:solidFill>
                      </w14:textFill>
                    </w:rPr>
                    <w:t>物分开储存，严禁侧放、倒放；</w:t>
                  </w:r>
                  <w:r>
                    <w:rPr>
                      <w:rFonts w:hint="eastAsia" w:ascii="宋体" w:hAnsi="宋体" w:eastAsia="宋体" w:cs="宋体"/>
                      <w:color w:val="000000" w:themeColor="text1"/>
                      <w:spacing w:val="8"/>
                      <w:sz w:val="18"/>
                      <w:szCs w:val="18"/>
                      <w14:textFill>
                        <w14:solidFill>
                          <w14:schemeClr w14:val="tx1"/>
                        </w14:solidFill>
                      </w14:textFill>
                    </w:rPr>
                    <w:t>如需叠放，应做到堆放合理，</w:t>
                  </w:r>
                  <w:r>
                    <w:rPr>
                      <w:rFonts w:hint="eastAsia" w:ascii="宋体" w:hAnsi="宋体" w:eastAsia="宋体" w:cs="宋体"/>
                      <w:color w:val="000000" w:themeColor="text1"/>
                      <w:spacing w:val="5"/>
                      <w:sz w:val="18"/>
                      <w:szCs w:val="18"/>
                      <w14:textFill>
                        <w14:solidFill>
                          <w14:schemeClr w14:val="tx1"/>
                        </w14:solidFill>
                      </w14:textFill>
                    </w:rPr>
                    <w:t>方便装卸。</w:t>
                  </w:r>
                  <w:r>
                    <w:rPr>
                      <w:rFonts w:hint="eastAsia" w:ascii="宋体" w:hAnsi="宋体" w:eastAsia="宋体" w:cs="宋体"/>
                      <w:color w:val="000000" w:themeColor="text1"/>
                      <w:spacing w:val="2"/>
                      <w:sz w:val="18"/>
                      <w:szCs w:val="18"/>
                      <w14:textFill>
                        <w14:solidFill>
                          <w14:schemeClr w14:val="tx1"/>
                        </w14:solidFill>
                      </w14:textFill>
                    </w:rPr>
                    <w:t>保障人身财产安全。回收报废</w:t>
                  </w:r>
                  <w:r>
                    <w:rPr>
                      <w:rFonts w:hint="eastAsia" w:ascii="宋体" w:hAnsi="宋体" w:eastAsia="宋体" w:cs="宋体"/>
                      <w:color w:val="000000" w:themeColor="text1"/>
                      <w:spacing w:val="1"/>
                      <w:sz w:val="18"/>
                      <w:szCs w:val="18"/>
                      <w14:textFill>
                        <w14:solidFill>
                          <w14:schemeClr w14:val="tx1"/>
                        </w14:solidFill>
                      </w14:textFill>
                    </w:rPr>
                    <w:t>农业机械后，应在</w:t>
                  </w:r>
                  <w:r>
                    <w:rPr>
                      <w:rFonts w:hint="eastAsia" w:ascii="宋体" w:hAnsi="宋体" w:eastAsia="宋体" w:cs="宋体"/>
                      <w:color w:val="000000" w:themeColor="text1"/>
                      <w:spacing w:val="-33"/>
                      <w:sz w:val="18"/>
                      <w:szCs w:val="18"/>
                      <w14:textFill>
                        <w14:solidFill>
                          <w14:schemeClr w14:val="tx1"/>
                        </w14:solidFill>
                      </w14:textFill>
                    </w:rPr>
                    <w:t xml:space="preserve"> </w:t>
                  </w:r>
                  <w:r>
                    <w:rPr>
                      <w:rFonts w:hint="eastAsia" w:ascii="宋体" w:hAnsi="宋体" w:eastAsia="宋体" w:cs="宋体"/>
                      <w:color w:val="000000" w:themeColor="text1"/>
                      <w:spacing w:val="1"/>
                      <w:sz w:val="18"/>
                      <w:szCs w:val="18"/>
                      <w14:textFill>
                        <w14:solidFill>
                          <w14:schemeClr w14:val="tx1"/>
                        </w14:solidFill>
                      </w14:textFill>
                    </w:rPr>
                    <w:t>3 个月内将</w:t>
                  </w:r>
                  <w:r>
                    <w:rPr>
                      <w:rFonts w:hint="eastAsia" w:ascii="宋体" w:hAnsi="宋体" w:eastAsia="宋体" w:cs="宋体"/>
                      <w:color w:val="000000" w:themeColor="text1"/>
                      <w:spacing w:val="6"/>
                      <w:sz w:val="18"/>
                      <w:szCs w:val="18"/>
                      <w14:textFill>
                        <w14:solidFill>
                          <w14:schemeClr w14:val="tx1"/>
                        </w14:solidFill>
                      </w14:textFill>
                    </w:rPr>
                    <w:t>其拆解完毕。</w:t>
                  </w:r>
                </w:p>
              </w:tc>
              <w:tc>
                <w:tcPr>
                  <w:tcW w:w="1723" w:type="pct"/>
                  <w:tcBorders>
                    <w:tl2br w:val="nil"/>
                    <w:tr2bl w:val="nil"/>
                  </w:tcBorders>
                  <w:vAlign w:val="center"/>
                </w:tcPr>
                <w:p w14:paraId="63320AF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本项目未拆解的农业机</w:t>
                  </w:r>
                  <w:r>
                    <w:rPr>
                      <w:rFonts w:hint="eastAsia" w:ascii="宋体" w:hAnsi="宋体" w:eastAsia="宋体" w:cs="宋体"/>
                      <w:color w:val="000000" w:themeColor="text1"/>
                      <w:spacing w:val="9"/>
                      <w:sz w:val="18"/>
                      <w:szCs w:val="18"/>
                      <w14:textFill>
                        <w14:solidFill>
                          <w14:schemeClr w14:val="tx1"/>
                        </w14:solidFill>
                      </w14:textFill>
                    </w:rPr>
                    <w:t>械暂存于报废农业机械贮存区，与其他废弃物分开贮存，未拆解的报废农业机械，不会出现叠放情况，停放中禁止侧放、倒放，回收报废农业机械后，严格按照</w:t>
                  </w:r>
                  <w:r>
                    <w:rPr>
                      <w:rFonts w:hint="eastAsia" w:ascii="宋体" w:hAnsi="宋体" w:eastAsia="宋体" w:cs="宋体"/>
                      <w:color w:val="000000" w:themeColor="text1"/>
                      <w:spacing w:val="8"/>
                      <w:sz w:val="18"/>
                      <w:szCs w:val="18"/>
                      <w14:textFill>
                        <w14:solidFill>
                          <w14:schemeClr w14:val="tx1"/>
                        </w14:solidFill>
                      </w14:textFill>
                    </w:rPr>
                    <w:t>3个月之内将其拆解完</w:t>
                  </w:r>
                  <w:r>
                    <w:rPr>
                      <w:rFonts w:hint="eastAsia" w:ascii="宋体" w:hAnsi="宋体" w:eastAsia="宋体" w:cs="宋体"/>
                      <w:color w:val="000000" w:themeColor="text1"/>
                      <w:spacing w:val="5"/>
                      <w:sz w:val="18"/>
                      <w:szCs w:val="18"/>
                      <w14:textFill>
                        <w14:solidFill>
                          <w14:schemeClr w14:val="tx1"/>
                        </w14:solidFill>
                      </w14:textFill>
                    </w:rPr>
                    <w:t>毕的要求。</w:t>
                  </w:r>
                </w:p>
              </w:tc>
              <w:tc>
                <w:tcPr>
                  <w:tcW w:w="334" w:type="pct"/>
                  <w:tcBorders>
                    <w:tl2br w:val="nil"/>
                    <w:tr2bl w:val="nil"/>
                  </w:tcBorders>
                  <w:vAlign w:val="center"/>
                </w:tcPr>
                <w:p w14:paraId="10FE33DC">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符合</w:t>
                  </w:r>
                </w:p>
              </w:tc>
            </w:tr>
            <w:tr w14:paraId="5F38370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tcBorders>
                    <w:tl2br w:val="nil"/>
                    <w:tr2bl w:val="nil"/>
                  </w:tcBorders>
                  <w:vAlign w:val="center"/>
                </w:tcPr>
                <w:p w14:paraId="3AC7752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拆解</w:t>
                  </w:r>
                  <w:r>
                    <w:rPr>
                      <w:rFonts w:hint="eastAsia" w:ascii="宋体" w:hAnsi="宋体" w:eastAsia="宋体" w:cs="宋体"/>
                      <w:color w:val="000000" w:themeColor="text1"/>
                      <w:spacing w:val="3"/>
                      <w:sz w:val="18"/>
                      <w:szCs w:val="18"/>
                      <w14:textFill>
                        <w14:solidFill>
                          <w14:schemeClr w14:val="tx1"/>
                        </w14:solidFill>
                      </w14:textFill>
                    </w:rPr>
                    <w:t>后贮</w:t>
                  </w:r>
                  <w:r>
                    <w:rPr>
                      <w:rFonts w:hint="eastAsia" w:ascii="宋体" w:hAnsi="宋体" w:eastAsia="宋体" w:cs="宋体"/>
                      <w:color w:val="000000" w:themeColor="text1"/>
                      <w:spacing w:val="28"/>
                      <w:w w:val="137"/>
                      <w:sz w:val="18"/>
                      <w:szCs w:val="18"/>
                      <w14:textFill>
                        <w14:solidFill>
                          <w14:schemeClr w14:val="tx1"/>
                        </w14:solidFill>
                      </w14:textFill>
                    </w:rPr>
                    <w:t>存</w:t>
                  </w:r>
                </w:p>
              </w:tc>
              <w:tc>
                <w:tcPr>
                  <w:tcW w:w="484" w:type="pct"/>
                  <w:tcBorders>
                    <w:tl2br w:val="nil"/>
                    <w:tr2bl w:val="nil"/>
                  </w:tcBorders>
                  <w:vAlign w:val="center"/>
                </w:tcPr>
                <w:p w14:paraId="19A508B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5"/>
                      <w:sz w:val="18"/>
                      <w:szCs w:val="18"/>
                      <w14:textFill>
                        <w14:solidFill>
                          <w14:schemeClr w14:val="tx1"/>
                        </w14:solidFill>
                      </w14:textFill>
                    </w:rPr>
                    <w:t>固体</w:t>
                  </w:r>
                  <w:r>
                    <w:rPr>
                      <w:rFonts w:hint="eastAsia" w:ascii="宋体" w:hAnsi="宋体" w:eastAsia="宋体" w:cs="宋体"/>
                      <w:color w:val="000000" w:themeColor="text1"/>
                      <w:spacing w:val="5"/>
                      <w:sz w:val="18"/>
                      <w:szCs w:val="18"/>
                      <w14:textFill>
                        <w14:solidFill>
                          <w14:schemeClr w14:val="tx1"/>
                        </w14:solidFill>
                      </w14:textFill>
                    </w:rPr>
                    <w:t>废物贮存</w:t>
                  </w:r>
                </w:p>
              </w:tc>
              <w:tc>
                <w:tcPr>
                  <w:tcW w:w="2001" w:type="pct"/>
                  <w:tcBorders>
                    <w:tl2br w:val="nil"/>
                    <w:tr2bl w:val="nil"/>
                  </w:tcBorders>
                  <w:vAlign w:val="center"/>
                </w:tcPr>
                <w:p w14:paraId="19B5A6C7">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一般工业固体废物储存设施</w:t>
                  </w:r>
                  <w:r>
                    <w:rPr>
                      <w:rFonts w:hint="eastAsia" w:ascii="宋体" w:hAnsi="宋体" w:eastAsia="宋体" w:cs="宋体"/>
                      <w:color w:val="000000" w:themeColor="text1"/>
                      <w:spacing w:val="7"/>
                      <w:sz w:val="18"/>
                      <w:szCs w:val="18"/>
                      <w14:textFill>
                        <w14:solidFill>
                          <w14:schemeClr w14:val="tx1"/>
                        </w14:solidFill>
                      </w14:textFill>
                    </w:rPr>
                    <w:t>及包装物应按照</w:t>
                  </w:r>
                  <w:r>
                    <w:rPr>
                      <w:rFonts w:hint="eastAsia" w:ascii="宋体" w:hAnsi="宋体" w:eastAsia="宋体" w:cs="宋体"/>
                      <w:color w:val="000000" w:themeColor="text1"/>
                      <w:spacing w:val="-40"/>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7"/>
                      <w:sz w:val="18"/>
                      <w:szCs w:val="18"/>
                      <w14:textFill>
                        <w14:solidFill>
                          <w14:schemeClr w14:val="tx1"/>
                        </w14:solidFill>
                      </w14:textFill>
                    </w:rPr>
                    <w:t>15562.2</w:t>
                  </w:r>
                  <w:r>
                    <w:rPr>
                      <w:rFonts w:hint="eastAsia" w:ascii="宋体" w:hAnsi="宋体" w:eastAsia="宋体" w:cs="宋体"/>
                      <w:color w:val="000000" w:themeColor="text1"/>
                      <w:spacing w:val="1"/>
                      <w:sz w:val="18"/>
                      <w:szCs w:val="18"/>
                      <w14:textFill>
                        <w14:solidFill>
                          <w14:schemeClr w14:val="tx1"/>
                        </w14:solidFill>
                      </w14:textFill>
                    </w:rPr>
                    <w:t>的规定进行标识，危险废物储</w:t>
                  </w:r>
                  <w:r>
                    <w:rPr>
                      <w:rFonts w:hint="eastAsia" w:ascii="宋体" w:hAnsi="宋体" w:eastAsia="宋体" w:cs="宋体"/>
                      <w:color w:val="000000" w:themeColor="text1"/>
                      <w:spacing w:val="9"/>
                      <w:sz w:val="18"/>
                      <w:szCs w:val="18"/>
                      <w14:textFill>
                        <w14:solidFill>
                          <w14:schemeClr w14:val="tx1"/>
                        </w14:solidFill>
                      </w14:textFill>
                    </w:rPr>
                    <w:t>存设施及包装物的标志应符</w:t>
                  </w:r>
                  <w:r>
                    <w:rPr>
                      <w:rFonts w:hint="eastAsia" w:ascii="宋体" w:hAnsi="宋体" w:eastAsia="宋体" w:cs="宋体"/>
                      <w:color w:val="000000" w:themeColor="text1"/>
                      <w:spacing w:val="4"/>
                      <w:sz w:val="18"/>
                      <w:szCs w:val="18"/>
                      <w14:textFill>
                        <w14:solidFill>
                          <w14:schemeClr w14:val="tx1"/>
                        </w14:solidFill>
                      </w14:textFill>
                    </w:rPr>
                    <w:t>合</w:t>
                  </w:r>
                  <w:r>
                    <w:rPr>
                      <w:rFonts w:hint="eastAsia" w:ascii="宋体" w:hAnsi="宋体" w:eastAsia="宋体" w:cs="宋体"/>
                      <w:color w:val="000000" w:themeColor="text1"/>
                      <w:spacing w:val="-34"/>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4"/>
                      <w:sz w:val="18"/>
                      <w:szCs w:val="18"/>
                      <w14:textFill>
                        <w14:solidFill>
                          <w14:schemeClr w14:val="tx1"/>
                        </w14:solidFill>
                      </w14:textFill>
                    </w:rPr>
                    <w:t>18597和</w:t>
                  </w:r>
                  <w:r>
                    <w:rPr>
                      <w:rFonts w:hint="eastAsia" w:ascii="宋体" w:hAnsi="宋体" w:eastAsia="宋体" w:cs="宋体"/>
                      <w:color w:val="000000" w:themeColor="text1"/>
                      <w:spacing w:val="-44"/>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4"/>
                      <w:sz w:val="18"/>
                      <w:szCs w:val="18"/>
                      <w14:textFill>
                        <w14:solidFill>
                          <w14:schemeClr w14:val="tx1"/>
                        </w14:solidFill>
                      </w14:textFill>
                    </w:rPr>
                    <w:t>2025的规</w:t>
                  </w:r>
                  <w:r>
                    <w:rPr>
                      <w:rFonts w:hint="eastAsia" w:ascii="宋体" w:hAnsi="宋体" w:eastAsia="宋体" w:cs="宋体"/>
                      <w:color w:val="000000" w:themeColor="text1"/>
                      <w:spacing w:val="8"/>
                      <w:sz w:val="18"/>
                      <w:szCs w:val="18"/>
                      <w14:textFill>
                        <w14:solidFill>
                          <w14:schemeClr w14:val="tx1"/>
                        </w14:solidFill>
                      </w14:textFill>
                    </w:rPr>
                    <w:t>定。所有固体废物避免混合、</w:t>
                  </w:r>
                  <w:r>
                    <w:rPr>
                      <w:rFonts w:hint="eastAsia" w:ascii="宋体" w:hAnsi="宋体" w:eastAsia="宋体" w:cs="宋体"/>
                      <w:color w:val="000000" w:themeColor="text1"/>
                      <w:spacing w:val="3"/>
                      <w:sz w:val="18"/>
                      <w:szCs w:val="18"/>
                      <w14:textFill>
                        <w14:solidFill>
                          <w14:schemeClr w14:val="tx1"/>
                        </w14:solidFill>
                      </w14:textFill>
                    </w:rPr>
                    <w:t>混放</w:t>
                  </w:r>
                  <w:r>
                    <w:rPr>
                      <w:rFonts w:hint="eastAsia" w:ascii="宋体" w:hAnsi="宋体" w:eastAsia="宋体" w:cs="宋体"/>
                      <w:color w:val="000000" w:themeColor="text1"/>
                      <w:spacing w:val="3"/>
                      <w:sz w:val="18"/>
                      <w:szCs w:val="18"/>
                      <w:lang w:eastAsia="zh-CN"/>
                      <w14:textFill>
                        <w14:solidFill>
                          <w14:schemeClr w14:val="tx1"/>
                        </w14:solidFill>
                      </w14:textFill>
                    </w:rPr>
                    <w:t>。</w:t>
                  </w:r>
                </w:p>
              </w:tc>
              <w:tc>
                <w:tcPr>
                  <w:tcW w:w="1723" w:type="pct"/>
                  <w:tcBorders>
                    <w:tl2br w:val="nil"/>
                    <w:tr2bl w:val="nil"/>
                  </w:tcBorders>
                  <w:vAlign w:val="center"/>
                </w:tcPr>
                <w:p w14:paraId="2614189F">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lang w:val="en-US" w:eastAsia="zh-CN"/>
                      <w14:textFill>
                        <w14:solidFill>
                          <w14:schemeClr w14:val="tx1"/>
                        </w14:solidFill>
                      </w14:textFill>
                    </w:rPr>
                    <w:t>企业</w:t>
                  </w:r>
                  <w:r>
                    <w:rPr>
                      <w:rFonts w:hint="eastAsia" w:ascii="宋体" w:hAnsi="宋体" w:eastAsia="宋体" w:cs="宋体"/>
                      <w:color w:val="000000" w:themeColor="text1"/>
                      <w:spacing w:val="8"/>
                      <w:sz w:val="18"/>
                      <w:szCs w:val="18"/>
                      <w14:textFill>
                        <w14:solidFill>
                          <w14:schemeClr w14:val="tx1"/>
                        </w14:solidFill>
                      </w14:textFill>
                    </w:rPr>
                    <w:t>一般工业固体废物储存设施</w:t>
                  </w:r>
                  <w:r>
                    <w:rPr>
                      <w:rFonts w:hint="eastAsia" w:ascii="宋体" w:hAnsi="宋体" w:eastAsia="宋体" w:cs="宋体"/>
                      <w:color w:val="000000" w:themeColor="text1"/>
                      <w:spacing w:val="7"/>
                      <w:sz w:val="18"/>
                      <w:szCs w:val="18"/>
                      <w14:textFill>
                        <w14:solidFill>
                          <w14:schemeClr w14:val="tx1"/>
                        </w14:solidFill>
                      </w14:textFill>
                    </w:rPr>
                    <w:t>及包装物应按照</w:t>
                  </w:r>
                  <w:r>
                    <w:rPr>
                      <w:rFonts w:hint="eastAsia" w:ascii="宋体" w:hAnsi="宋体" w:eastAsia="宋体" w:cs="宋体"/>
                      <w:color w:val="000000" w:themeColor="text1"/>
                      <w:spacing w:val="-40"/>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7"/>
                      <w:sz w:val="18"/>
                      <w:szCs w:val="18"/>
                      <w14:textFill>
                        <w14:solidFill>
                          <w14:schemeClr w14:val="tx1"/>
                        </w14:solidFill>
                      </w14:textFill>
                    </w:rPr>
                    <w:t>15562.2</w:t>
                  </w:r>
                  <w:r>
                    <w:rPr>
                      <w:rFonts w:hint="eastAsia" w:ascii="宋体" w:hAnsi="宋体" w:eastAsia="宋体" w:cs="宋体"/>
                      <w:color w:val="000000" w:themeColor="text1"/>
                      <w:spacing w:val="1"/>
                      <w:sz w:val="18"/>
                      <w:szCs w:val="18"/>
                      <w14:textFill>
                        <w14:solidFill>
                          <w14:schemeClr w14:val="tx1"/>
                        </w14:solidFill>
                      </w14:textFill>
                    </w:rPr>
                    <w:t>的规定进行标识，危险废物储</w:t>
                  </w:r>
                  <w:r>
                    <w:rPr>
                      <w:rFonts w:hint="eastAsia" w:ascii="宋体" w:hAnsi="宋体" w:eastAsia="宋体" w:cs="宋体"/>
                      <w:color w:val="000000" w:themeColor="text1"/>
                      <w:spacing w:val="9"/>
                      <w:sz w:val="18"/>
                      <w:szCs w:val="18"/>
                      <w14:textFill>
                        <w14:solidFill>
                          <w14:schemeClr w14:val="tx1"/>
                        </w14:solidFill>
                      </w14:textFill>
                    </w:rPr>
                    <w:t>存设施及包装物的标志符</w:t>
                  </w:r>
                  <w:r>
                    <w:rPr>
                      <w:rFonts w:hint="eastAsia" w:ascii="宋体" w:hAnsi="宋体" w:eastAsia="宋体" w:cs="宋体"/>
                      <w:color w:val="000000" w:themeColor="text1"/>
                      <w:spacing w:val="4"/>
                      <w:sz w:val="18"/>
                      <w:szCs w:val="18"/>
                      <w14:textFill>
                        <w14:solidFill>
                          <w14:schemeClr w14:val="tx1"/>
                        </w14:solidFill>
                      </w14:textFill>
                    </w:rPr>
                    <w:t>合</w:t>
                  </w:r>
                  <w:r>
                    <w:rPr>
                      <w:rFonts w:hint="eastAsia" w:ascii="宋体" w:hAnsi="宋体" w:eastAsia="宋体" w:cs="宋体"/>
                      <w:color w:val="000000" w:themeColor="text1"/>
                      <w:spacing w:val="-34"/>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4"/>
                      <w:sz w:val="18"/>
                      <w:szCs w:val="18"/>
                      <w14:textFill>
                        <w14:solidFill>
                          <w14:schemeClr w14:val="tx1"/>
                        </w14:solidFill>
                      </w14:textFill>
                    </w:rPr>
                    <w:t>18597和</w:t>
                  </w:r>
                  <w:r>
                    <w:rPr>
                      <w:rFonts w:hint="eastAsia" w:ascii="宋体" w:hAnsi="宋体" w:eastAsia="宋体" w:cs="宋体"/>
                      <w:color w:val="000000" w:themeColor="text1"/>
                      <w:spacing w:val="-44"/>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4"/>
                      <w:sz w:val="18"/>
                      <w:szCs w:val="18"/>
                      <w14:textFill>
                        <w14:solidFill>
                          <w14:schemeClr w14:val="tx1"/>
                        </w14:solidFill>
                      </w14:textFill>
                    </w:rPr>
                    <w:t>2025的规</w:t>
                  </w:r>
                  <w:r>
                    <w:rPr>
                      <w:rFonts w:hint="eastAsia" w:ascii="宋体" w:hAnsi="宋体" w:eastAsia="宋体" w:cs="宋体"/>
                      <w:color w:val="000000" w:themeColor="text1"/>
                      <w:spacing w:val="8"/>
                      <w:sz w:val="18"/>
                      <w:szCs w:val="18"/>
                      <w14:textFill>
                        <w14:solidFill>
                          <w14:schemeClr w14:val="tx1"/>
                        </w14:solidFill>
                      </w14:textFill>
                    </w:rPr>
                    <w:t>定。所有固体废物</w:t>
                  </w:r>
                  <w:r>
                    <w:rPr>
                      <w:rFonts w:hint="eastAsia" w:ascii="宋体" w:hAnsi="宋体" w:eastAsia="宋体" w:cs="宋体"/>
                      <w:color w:val="000000" w:themeColor="text1"/>
                      <w:spacing w:val="8"/>
                      <w:sz w:val="18"/>
                      <w:szCs w:val="18"/>
                      <w:lang w:val="en-US" w:eastAsia="zh-CN"/>
                      <w14:textFill>
                        <w14:solidFill>
                          <w14:schemeClr w14:val="tx1"/>
                        </w14:solidFill>
                      </w14:textFill>
                    </w:rPr>
                    <w:t>无</w:t>
                  </w:r>
                  <w:r>
                    <w:rPr>
                      <w:rFonts w:hint="eastAsia" w:ascii="宋体" w:hAnsi="宋体" w:eastAsia="宋体" w:cs="宋体"/>
                      <w:color w:val="000000" w:themeColor="text1"/>
                      <w:spacing w:val="8"/>
                      <w:sz w:val="18"/>
                      <w:szCs w:val="18"/>
                      <w14:textFill>
                        <w14:solidFill>
                          <w14:schemeClr w14:val="tx1"/>
                        </w14:solidFill>
                      </w14:textFill>
                    </w:rPr>
                    <w:t>混合、</w:t>
                  </w:r>
                  <w:r>
                    <w:rPr>
                      <w:rFonts w:hint="eastAsia" w:ascii="宋体" w:hAnsi="宋体" w:eastAsia="宋体" w:cs="宋体"/>
                      <w:color w:val="000000" w:themeColor="text1"/>
                      <w:spacing w:val="3"/>
                      <w:sz w:val="18"/>
                      <w:szCs w:val="18"/>
                      <w14:textFill>
                        <w14:solidFill>
                          <w14:schemeClr w14:val="tx1"/>
                        </w14:solidFill>
                      </w14:textFill>
                    </w:rPr>
                    <w:t>混放</w:t>
                  </w:r>
                  <w:r>
                    <w:rPr>
                      <w:rFonts w:hint="eastAsia" w:ascii="宋体" w:hAnsi="宋体" w:eastAsia="宋体" w:cs="宋体"/>
                      <w:color w:val="000000" w:themeColor="text1"/>
                      <w:spacing w:val="3"/>
                      <w:sz w:val="18"/>
                      <w:szCs w:val="18"/>
                      <w:lang w:val="en-US" w:eastAsia="zh-CN"/>
                      <w14:textFill>
                        <w14:solidFill>
                          <w14:schemeClr w14:val="tx1"/>
                        </w14:solidFill>
                      </w14:textFill>
                    </w:rPr>
                    <w:t>现象</w:t>
                  </w:r>
                  <w:r>
                    <w:rPr>
                      <w:rFonts w:hint="eastAsia" w:ascii="宋体" w:hAnsi="宋体" w:eastAsia="宋体" w:cs="宋体"/>
                      <w:color w:val="000000" w:themeColor="text1"/>
                      <w:spacing w:val="3"/>
                      <w:sz w:val="18"/>
                      <w:szCs w:val="18"/>
                      <w:lang w:eastAsia="zh-CN"/>
                      <w14:textFill>
                        <w14:solidFill>
                          <w14:schemeClr w14:val="tx1"/>
                        </w14:solidFill>
                      </w14:textFill>
                    </w:rPr>
                    <w:t>。</w:t>
                  </w:r>
                </w:p>
              </w:tc>
              <w:tc>
                <w:tcPr>
                  <w:tcW w:w="334" w:type="pct"/>
                  <w:tcBorders>
                    <w:tl2br w:val="nil"/>
                    <w:tr2bl w:val="nil"/>
                  </w:tcBorders>
                  <w:vAlign w:val="center"/>
                </w:tcPr>
                <w:p w14:paraId="1A3158FA">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符合</w:t>
                  </w:r>
                </w:p>
              </w:tc>
            </w:tr>
            <w:tr w14:paraId="62F8E96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tcBorders>
                    <w:tl2br w:val="nil"/>
                    <w:tr2bl w:val="nil"/>
                  </w:tcBorders>
                  <w:vAlign w:val="center"/>
                </w:tcPr>
                <w:p w14:paraId="118F7C6C">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84" w:type="pct"/>
                  <w:tcBorders>
                    <w:tl2br w:val="nil"/>
                    <w:tr2bl w:val="nil"/>
                  </w:tcBorders>
                  <w:vAlign w:val="center"/>
                </w:tcPr>
                <w:p w14:paraId="47B38A5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回用</w:t>
                  </w:r>
                  <w:r>
                    <w:rPr>
                      <w:rFonts w:hint="eastAsia" w:ascii="宋体" w:hAnsi="宋体" w:eastAsia="宋体" w:cs="宋体"/>
                      <w:color w:val="000000" w:themeColor="text1"/>
                      <w:spacing w:val="5"/>
                      <w:sz w:val="18"/>
                      <w:szCs w:val="18"/>
                      <w14:textFill>
                        <w14:solidFill>
                          <w14:schemeClr w14:val="tx1"/>
                        </w14:solidFill>
                      </w14:textFill>
                    </w:rPr>
                    <w:t>件贮</w:t>
                  </w:r>
                  <w:r>
                    <w:rPr>
                      <w:rFonts w:hint="eastAsia" w:ascii="宋体" w:hAnsi="宋体" w:eastAsia="宋体" w:cs="宋体"/>
                      <w:color w:val="000000" w:themeColor="text1"/>
                      <w:spacing w:val="1"/>
                      <w:sz w:val="18"/>
                      <w:szCs w:val="18"/>
                      <w14:textFill>
                        <w14:solidFill>
                          <w14:schemeClr w14:val="tx1"/>
                        </w14:solidFill>
                      </w14:textFill>
                    </w:rPr>
                    <w:t>存</w:t>
                  </w:r>
                </w:p>
              </w:tc>
              <w:tc>
                <w:tcPr>
                  <w:tcW w:w="2001" w:type="pct"/>
                  <w:tcBorders>
                    <w:tl2br w:val="nil"/>
                    <w:tr2bl w:val="nil"/>
                  </w:tcBorders>
                  <w:vAlign w:val="center"/>
                </w:tcPr>
                <w:p w14:paraId="7A64EACE">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拆解后的所有的零部件、材</w:t>
                  </w:r>
                  <w:r>
                    <w:rPr>
                      <w:rFonts w:hint="eastAsia" w:ascii="宋体" w:hAnsi="宋体" w:eastAsia="宋体" w:cs="宋体"/>
                      <w:color w:val="000000" w:themeColor="text1"/>
                      <w:spacing w:val="2"/>
                      <w:sz w:val="18"/>
                      <w:szCs w:val="18"/>
                      <w14:textFill>
                        <w14:solidFill>
                          <w14:schemeClr w14:val="tx1"/>
                        </w14:solidFill>
                      </w14:textFill>
                    </w:rPr>
                    <w:t>料、废物，应进行分类存储和</w:t>
                  </w:r>
                  <w:r>
                    <w:rPr>
                      <w:rFonts w:hint="eastAsia" w:ascii="宋体" w:hAnsi="宋体" w:eastAsia="宋体" w:cs="宋体"/>
                      <w:color w:val="000000" w:themeColor="text1"/>
                      <w:spacing w:val="6"/>
                      <w:sz w:val="18"/>
                      <w:szCs w:val="18"/>
                      <w14:textFill>
                        <w14:solidFill>
                          <w14:schemeClr w14:val="tx1"/>
                        </w14:solidFill>
                      </w14:textFill>
                    </w:rPr>
                    <w:t>标识，废物不得焚烧、丢弃。</w:t>
                  </w:r>
                  <w:r>
                    <w:rPr>
                      <w:rFonts w:hint="eastAsia" w:ascii="宋体" w:hAnsi="宋体" w:eastAsia="宋体" w:cs="宋体"/>
                      <w:color w:val="000000" w:themeColor="text1"/>
                      <w:spacing w:val="14"/>
                      <w:sz w:val="18"/>
                      <w:szCs w:val="18"/>
                      <w14:textFill>
                        <w14:solidFill>
                          <w14:schemeClr w14:val="tx1"/>
                        </w14:solidFill>
                      </w14:textFill>
                    </w:rPr>
                    <w:t>拆解后一般固体废物的存储</w:t>
                  </w:r>
                  <w:r>
                    <w:rPr>
                      <w:rFonts w:hint="eastAsia" w:ascii="宋体" w:hAnsi="宋体" w:eastAsia="宋体" w:cs="宋体"/>
                      <w:color w:val="000000" w:themeColor="text1"/>
                      <w:spacing w:val="7"/>
                      <w:sz w:val="18"/>
                      <w:szCs w:val="18"/>
                      <w14:textFill>
                        <w14:solidFill>
                          <w14:schemeClr w14:val="tx1"/>
                        </w14:solidFill>
                      </w14:textFill>
                    </w:rPr>
                    <w:t>和处置应按照</w:t>
                  </w:r>
                  <w:r>
                    <w:rPr>
                      <w:rFonts w:hint="eastAsia" w:ascii="宋体" w:hAnsi="宋体" w:eastAsia="宋体" w:cs="宋体"/>
                      <w:color w:val="000000" w:themeColor="text1"/>
                      <w:spacing w:val="-37"/>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7"/>
                      <w:sz w:val="18"/>
                      <w:szCs w:val="18"/>
                      <w14:textFill>
                        <w14:solidFill>
                          <w14:schemeClr w14:val="tx1"/>
                        </w14:solidFill>
                      </w14:textFill>
                    </w:rPr>
                    <w:t>18599的规</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pacing w:val="2"/>
                      <w:sz w:val="18"/>
                      <w:szCs w:val="18"/>
                      <w14:textFill>
                        <w14:solidFill>
                          <w14:schemeClr w14:val="tx1"/>
                        </w14:solidFill>
                      </w14:textFill>
                    </w:rPr>
                    <w:t>定执行。拆解后有毒有害的危</w:t>
                  </w:r>
                  <w:r>
                    <w:rPr>
                      <w:rFonts w:hint="eastAsia" w:ascii="宋体" w:hAnsi="宋体" w:eastAsia="宋体" w:cs="宋体"/>
                      <w:color w:val="000000" w:themeColor="text1"/>
                      <w:spacing w:val="14"/>
                      <w:sz w:val="18"/>
                      <w:szCs w:val="18"/>
                      <w14:textFill>
                        <w14:solidFill>
                          <w14:schemeClr w14:val="tx1"/>
                        </w14:solidFill>
                      </w14:textFill>
                    </w:rPr>
                    <w:t>险废物的存储和处置应按照</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9"/>
                      <w:sz w:val="18"/>
                      <w:szCs w:val="18"/>
                      <w14:textFill>
                        <w14:solidFill>
                          <w14:schemeClr w14:val="tx1"/>
                        </w14:solidFill>
                      </w14:textFill>
                    </w:rPr>
                    <w:t>18597的规定执行，危险</w:t>
                  </w:r>
                  <w:r>
                    <w:rPr>
                      <w:rFonts w:hint="eastAsia" w:ascii="宋体" w:hAnsi="宋体" w:eastAsia="宋体" w:cs="宋体"/>
                      <w:color w:val="000000" w:themeColor="text1"/>
                      <w:spacing w:val="14"/>
                      <w:sz w:val="18"/>
                      <w:szCs w:val="18"/>
                      <w14:textFill>
                        <w14:solidFill>
                          <w14:schemeClr w14:val="tx1"/>
                        </w14:solidFill>
                      </w14:textFill>
                    </w:rPr>
                    <w:t>废物应交由具有相应资质的</w:t>
                  </w:r>
                  <w:r>
                    <w:rPr>
                      <w:rFonts w:hint="eastAsia" w:ascii="宋体" w:hAnsi="宋体" w:eastAsia="宋体" w:cs="宋体"/>
                      <w:color w:val="000000" w:themeColor="text1"/>
                      <w:spacing w:val="6"/>
                      <w:sz w:val="18"/>
                      <w:szCs w:val="18"/>
                      <w14:textFill>
                        <w14:solidFill>
                          <w14:schemeClr w14:val="tx1"/>
                        </w14:solidFill>
                      </w14:textFill>
                    </w:rPr>
                    <w:t>单位进行处置。</w:t>
                  </w:r>
                </w:p>
              </w:tc>
              <w:tc>
                <w:tcPr>
                  <w:tcW w:w="1723" w:type="pct"/>
                  <w:tcBorders>
                    <w:tl2br w:val="nil"/>
                    <w:tr2bl w:val="nil"/>
                  </w:tcBorders>
                  <w:vAlign w:val="center"/>
                </w:tcPr>
                <w:p w14:paraId="16FB919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设施及包装物应按照</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15562.2</w:t>
                  </w:r>
                  <w:r>
                    <w:rPr>
                      <w:rFonts w:hint="eastAsia" w:ascii="宋体" w:hAnsi="宋体" w:eastAsia="宋体" w:cs="宋体"/>
                      <w:color w:val="000000" w:themeColor="text1"/>
                      <w:spacing w:val="28"/>
                      <w:sz w:val="18"/>
                      <w:szCs w:val="18"/>
                      <w14:textFill>
                        <w14:solidFill>
                          <w14:schemeClr w14:val="tx1"/>
                        </w14:solidFill>
                      </w14:textFill>
                    </w:rPr>
                    <w:t xml:space="preserve"> </w:t>
                  </w:r>
                  <w:r>
                    <w:rPr>
                      <w:rFonts w:hint="eastAsia" w:ascii="宋体" w:hAnsi="宋体" w:eastAsia="宋体" w:cs="宋体"/>
                      <w:color w:val="000000" w:themeColor="text1"/>
                      <w:spacing w:val="6"/>
                      <w:sz w:val="18"/>
                      <w:szCs w:val="18"/>
                      <w14:textFill>
                        <w14:solidFill>
                          <w14:schemeClr w14:val="tx1"/>
                        </w14:solidFill>
                      </w14:textFill>
                    </w:rPr>
                    <w:t>的规定进行</w:t>
                  </w:r>
                  <w:r>
                    <w:rPr>
                      <w:rFonts w:hint="eastAsia" w:ascii="宋体" w:hAnsi="宋体" w:eastAsia="宋体" w:cs="宋体"/>
                      <w:color w:val="000000" w:themeColor="text1"/>
                      <w:spacing w:val="9"/>
                      <w:sz w:val="18"/>
                      <w:szCs w:val="18"/>
                      <w14:textFill>
                        <w14:solidFill>
                          <w14:schemeClr w14:val="tx1"/>
                        </w14:solidFill>
                      </w14:textFill>
                    </w:rPr>
                    <w:t>标识，本项目产生的危</w:t>
                  </w:r>
                  <w:r>
                    <w:rPr>
                      <w:rFonts w:hint="eastAsia" w:ascii="宋体" w:hAnsi="宋体" w:eastAsia="宋体" w:cs="宋体"/>
                      <w:color w:val="000000" w:themeColor="text1"/>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险废物暂存于危险废物</w:t>
                  </w:r>
                  <w:r>
                    <w:rPr>
                      <w:rFonts w:hint="eastAsia" w:cs="宋体"/>
                      <w:color w:val="000000" w:themeColor="text1"/>
                      <w:spacing w:val="7"/>
                      <w:sz w:val="18"/>
                      <w:szCs w:val="18"/>
                      <w:lang w:eastAsia="zh-CN"/>
                      <w14:textFill>
                        <w14:solidFill>
                          <w14:schemeClr w14:val="tx1"/>
                        </w14:solidFill>
                      </w14:textFill>
                    </w:rPr>
                    <w:t>暂存库</w:t>
                  </w:r>
                  <w:r>
                    <w:rPr>
                      <w:rFonts w:hint="eastAsia" w:ascii="宋体" w:hAnsi="宋体" w:eastAsia="宋体" w:cs="宋体"/>
                      <w:color w:val="000000" w:themeColor="text1"/>
                      <w:spacing w:val="7"/>
                      <w:sz w:val="18"/>
                      <w:szCs w:val="18"/>
                      <w14:textFill>
                        <w14:solidFill>
                          <w14:schemeClr w14:val="tx1"/>
                        </w14:solidFill>
                      </w14:textFill>
                    </w:rPr>
                    <w:t>，严格按照</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7"/>
                      <w:sz w:val="18"/>
                      <w:szCs w:val="18"/>
                      <w14:textFill>
                        <w14:solidFill>
                          <w14:schemeClr w14:val="tx1"/>
                        </w14:solidFill>
                      </w14:textFill>
                    </w:rPr>
                    <w:t>18597的规定执行，</w:t>
                  </w:r>
                  <w:r>
                    <w:rPr>
                      <w:rFonts w:hint="eastAsia" w:ascii="宋体" w:hAnsi="宋体" w:eastAsia="宋体" w:cs="宋体"/>
                      <w:color w:val="000000" w:themeColor="text1"/>
                      <w:spacing w:val="10"/>
                      <w:sz w:val="18"/>
                      <w:szCs w:val="18"/>
                      <w14:textFill>
                        <w14:solidFill>
                          <w14:schemeClr w14:val="tx1"/>
                        </w14:solidFill>
                      </w14:textFill>
                    </w:rPr>
                    <w:t>危险废物包装物的标志</w:t>
                  </w:r>
                  <w:r>
                    <w:rPr>
                      <w:rFonts w:hint="eastAsia" w:ascii="宋体" w:hAnsi="宋体" w:eastAsia="宋体" w:cs="宋体"/>
                      <w:color w:val="000000" w:themeColor="text1"/>
                      <w:sz w:val="18"/>
                      <w:szCs w:val="18"/>
                      <w14:textFill>
                        <w14:solidFill>
                          <w14:schemeClr w14:val="tx1"/>
                        </w14:solidFill>
                      </w14:textFill>
                    </w:rPr>
                    <w:t>应符合</w:t>
                  </w:r>
                  <w:r>
                    <w:rPr>
                      <w:rFonts w:hint="eastAsia" w:ascii="宋体" w:hAnsi="宋体" w:eastAsia="宋体" w:cs="宋体"/>
                      <w:color w:val="000000" w:themeColor="text1"/>
                      <w:spacing w:val="-32"/>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HJ2025的规定，</w:t>
                  </w:r>
                  <w:r>
                    <w:rPr>
                      <w:rFonts w:hint="eastAsia" w:ascii="宋体" w:hAnsi="宋体" w:eastAsia="宋体" w:cs="宋体"/>
                      <w:color w:val="000000" w:themeColor="text1"/>
                      <w:spacing w:val="10"/>
                      <w:sz w:val="18"/>
                      <w:szCs w:val="18"/>
                      <w14:textFill>
                        <w14:solidFill>
                          <w14:schemeClr w14:val="tx1"/>
                        </w14:solidFill>
                      </w14:textFill>
                    </w:rPr>
                    <w:t>贮存间内进行了合理的分区，将不同性质的危</w:t>
                  </w:r>
                  <w:r>
                    <w:rPr>
                      <w:rFonts w:hint="eastAsia" w:ascii="宋体" w:hAnsi="宋体" w:eastAsia="宋体" w:cs="宋体"/>
                      <w:color w:val="000000" w:themeColor="text1"/>
                      <w:spacing w:val="12"/>
                      <w:sz w:val="18"/>
                      <w:szCs w:val="18"/>
                      <w14:textFill>
                        <w14:solidFill>
                          <w14:schemeClr w14:val="tx1"/>
                        </w14:solidFill>
                      </w14:textFill>
                    </w:rPr>
                    <w:t>险废物进行分区存放，</w:t>
                  </w:r>
                  <w:r>
                    <w:rPr>
                      <w:rFonts w:hint="eastAsia" w:ascii="宋体" w:hAnsi="宋体" w:eastAsia="宋体" w:cs="宋体"/>
                      <w:color w:val="000000" w:themeColor="text1"/>
                      <w:spacing w:val="10"/>
                      <w:sz w:val="18"/>
                      <w:szCs w:val="18"/>
                      <w14:textFill>
                        <w14:solidFill>
                          <w14:schemeClr w14:val="tx1"/>
                        </w14:solidFill>
                      </w14:textFill>
                    </w:rPr>
                    <w:t>定期委托有资质单位进行处理，均得到了合理</w:t>
                  </w:r>
                  <w:r>
                    <w:rPr>
                      <w:rFonts w:hint="eastAsia" w:ascii="宋体" w:hAnsi="宋体" w:eastAsia="宋体" w:cs="宋体"/>
                      <w:color w:val="000000" w:themeColor="text1"/>
                      <w:spacing w:val="3"/>
                      <w:sz w:val="18"/>
                      <w:szCs w:val="18"/>
                      <w14:textFill>
                        <w14:solidFill>
                          <w14:schemeClr w14:val="tx1"/>
                        </w14:solidFill>
                      </w14:textFill>
                    </w:rPr>
                    <w:t>的处理/处置。</w:t>
                  </w:r>
                </w:p>
              </w:tc>
              <w:tc>
                <w:tcPr>
                  <w:tcW w:w="334" w:type="pct"/>
                  <w:tcBorders>
                    <w:tl2br w:val="nil"/>
                    <w:tr2bl w:val="nil"/>
                  </w:tcBorders>
                  <w:vAlign w:val="center"/>
                </w:tcPr>
                <w:p w14:paraId="394DF2D4">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7"/>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r w14:paraId="0ACDF9B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vMerge w:val="restart"/>
                  <w:tcBorders>
                    <w:tl2br w:val="nil"/>
                    <w:tr2bl w:val="nil"/>
                  </w:tcBorders>
                  <w:vAlign w:val="center"/>
                </w:tcPr>
                <w:p w14:paraId="5594F58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拆解</w:t>
                  </w:r>
                  <w:r>
                    <w:rPr>
                      <w:rFonts w:hint="eastAsia" w:ascii="宋体" w:hAnsi="宋体" w:eastAsia="宋体" w:cs="宋体"/>
                      <w:color w:val="000000" w:themeColor="text1"/>
                      <w:spacing w:val="3"/>
                      <w:sz w:val="18"/>
                      <w:szCs w:val="18"/>
                      <w14:textFill>
                        <w14:solidFill>
                          <w14:schemeClr w14:val="tx1"/>
                        </w14:solidFill>
                      </w14:textFill>
                    </w:rPr>
                    <w:t>后处</w:t>
                  </w:r>
                  <w:r>
                    <w:rPr>
                      <w:rFonts w:hint="eastAsia" w:ascii="宋体" w:hAnsi="宋体" w:eastAsia="宋体" w:cs="宋体"/>
                      <w:color w:val="000000" w:themeColor="text1"/>
                      <w:spacing w:val="24"/>
                      <w:w w:val="139"/>
                      <w:sz w:val="18"/>
                      <w:szCs w:val="18"/>
                      <w14:textFill>
                        <w14:solidFill>
                          <w14:schemeClr w14:val="tx1"/>
                        </w14:solidFill>
                      </w14:textFill>
                    </w:rPr>
                    <w:t>置</w:t>
                  </w:r>
                </w:p>
              </w:tc>
              <w:tc>
                <w:tcPr>
                  <w:tcW w:w="2486" w:type="pct"/>
                  <w:gridSpan w:val="2"/>
                  <w:tcBorders>
                    <w:tl2br w:val="nil"/>
                    <w:tr2bl w:val="nil"/>
                  </w:tcBorders>
                  <w:vAlign w:val="center"/>
                </w:tcPr>
                <w:p w14:paraId="39727560">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液应使用专用密闭容器存储，防漏、防洒溅、防挥发，并交给具有相应资质的废液回收处理企业处置。</w:t>
                  </w:r>
                </w:p>
              </w:tc>
              <w:tc>
                <w:tcPr>
                  <w:tcW w:w="1723" w:type="pct"/>
                  <w:tcBorders>
                    <w:tl2br w:val="nil"/>
                    <w:tr2bl w:val="nil"/>
                  </w:tcBorders>
                  <w:vAlign w:val="center"/>
                </w:tcPr>
                <w:p w14:paraId="470CFF7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本项目各种油液分类贮</w:t>
                  </w:r>
                  <w:r>
                    <w:rPr>
                      <w:rFonts w:hint="eastAsia" w:ascii="宋体" w:hAnsi="宋体" w:eastAsia="宋体" w:cs="宋体"/>
                      <w:color w:val="000000" w:themeColor="text1"/>
                      <w:spacing w:val="9"/>
                      <w:sz w:val="18"/>
                      <w:szCs w:val="18"/>
                      <w14:textFill>
                        <w14:solidFill>
                          <w14:schemeClr w14:val="tx1"/>
                        </w14:solidFill>
                      </w14:textFill>
                    </w:rPr>
                    <w:t>存于专用密闭容器，可有效的做到防漏、防洒溅、防挥发，并交给具有相应资质的废液回收</w:t>
                  </w:r>
                  <w:r>
                    <w:rPr>
                      <w:rFonts w:hint="eastAsia" w:ascii="宋体" w:hAnsi="宋体" w:eastAsia="宋体" w:cs="宋体"/>
                      <w:color w:val="000000" w:themeColor="text1"/>
                      <w:spacing w:val="6"/>
                      <w:sz w:val="18"/>
                      <w:szCs w:val="18"/>
                      <w14:textFill>
                        <w14:solidFill>
                          <w14:schemeClr w14:val="tx1"/>
                        </w14:solidFill>
                      </w14:textFill>
                    </w:rPr>
                    <w:t>处理企业处置。</w:t>
                  </w:r>
                </w:p>
              </w:tc>
              <w:tc>
                <w:tcPr>
                  <w:tcW w:w="334" w:type="pct"/>
                  <w:tcBorders>
                    <w:tl2br w:val="nil"/>
                    <w:tr2bl w:val="nil"/>
                  </w:tcBorders>
                  <w:vAlign w:val="center"/>
                </w:tcPr>
                <w:p w14:paraId="148569F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r w14:paraId="2D7BF4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vMerge w:val="continue"/>
                  <w:tcBorders>
                    <w:tl2br w:val="nil"/>
                    <w:tr2bl w:val="nil"/>
                  </w:tcBorders>
                  <w:vAlign w:val="center"/>
                </w:tcPr>
                <w:p w14:paraId="628A1ACC">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486" w:type="pct"/>
                  <w:gridSpan w:val="2"/>
                  <w:tcBorders>
                    <w:tl2br w:val="nil"/>
                    <w:tr2bl w:val="nil"/>
                  </w:tcBorders>
                  <w:vAlign w:val="center"/>
                </w:tcPr>
                <w:p w14:paraId="1AEDCC4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拆后的可再利用零部件，标明“回用</w:t>
                  </w:r>
                  <w:r>
                    <w:rPr>
                      <w:rFonts w:hint="eastAsia" w:ascii="宋体" w:hAnsi="宋体" w:eastAsia="宋体" w:cs="宋体"/>
                      <w:color w:val="000000" w:themeColor="text1"/>
                      <w:spacing w:val="26"/>
                      <w:sz w:val="18"/>
                      <w:szCs w:val="18"/>
                      <w14:textFill>
                        <w14:solidFill>
                          <w14:schemeClr w14:val="tx1"/>
                        </w14:solidFill>
                      </w14:textFill>
                    </w:rPr>
                    <w:t>件”</w:t>
                  </w:r>
                </w:p>
              </w:tc>
              <w:tc>
                <w:tcPr>
                  <w:tcW w:w="1723" w:type="pct"/>
                  <w:tcBorders>
                    <w:tl2br w:val="nil"/>
                    <w:tr2bl w:val="nil"/>
                  </w:tcBorders>
                  <w:vAlign w:val="center"/>
                </w:tcPr>
                <w:p w14:paraId="728A090E">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严格标明回用件</w:t>
                  </w:r>
                </w:p>
              </w:tc>
              <w:tc>
                <w:tcPr>
                  <w:tcW w:w="334" w:type="pct"/>
                  <w:tcBorders>
                    <w:tl2br w:val="nil"/>
                    <w:tr2bl w:val="nil"/>
                  </w:tcBorders>
                  <w:vAlign w:val="center"/>
                </w:tcPr>
                <w:p w14:paraId="3713CFF1">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5"/>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r w14:paraId="26A4050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vMerge w:val="continue"/>
                  <w:tcBorders>
                    <w:tl2br w:val="nil"/>
                    <w:tr2bl w:val="nil"/>
                  </w:tcBorders>
                  <w:vAlign w:val="center"/>
                </w:tcPr>
                <w:p w14:paraId="17B6DD9E">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486" w:type="pct"/>
                  <w:gridSpan w:val="2"/>
                  <w:tcBorders>
                    <w:tl2br w:val="nil"/>
                    <w:tr2bl w:val="nil"/>
                  </w:tcBorders>
                  <w:vAlign w:val="center"/>
                </w:tcPr>
                <w:p w14:paraId="02937CF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拆解后的所有的零部件、材料、废物，</w:t>
                  </w:r>
                  <w:r>
                    <w:rPr>
                      <w:rFonts w:hint="eastAsia" w:ascii="宋体" w:hAnsi="宋体" w:eastAsia="宋体" w:cs="宋体"/>
                      <w:color w:val="000000" w:themeColor="text1"/>
                      <w:spacing w:val="6"/>
                      <w:sz w:val="18"/>
                      <w:szCs w:val="18"/>
                      <w14:textFill>
                        <w14:solidFill>
                          <w14:schemeClr w14:val="tx1"/>
                        </w14:solidFill>
                      </w14:textFill>
                    </w:rPr>
                    <w:t>应按照</w:t>
                  </w:r>
                  <w:r>
                    <w:rPr>
                      <w:rFonts w:hint="eastAsia" w:ascii="宋体" w:hAnsi="宋体" w:eastAsia="宋体" w:cs="宋体"/>
                      <w:color w:val="000000" w:themeColor="text1"/>
                      <w:spacing w:val="-27"/>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18484</w:t>
                  </w:r>
                  <w:r>
                    <w:rPr>
                      <w:rFonts w:hint="eastAsia" w:ascii="宋体" w:hAnsi="宋体" w:eastAsia="宋体" w:cs="宋体"/>
                      <w:color w:val="000000" w:themeColor="text1"/>
                      <w:spacing w:val="27"/>
                      <w:sz w:val="18"/>
                      <w:szCs w:val="18"/>
                      <w14:textFill>
                        <w14:solidFill>
                          <w14:schemeClr w14:val="tx1"/>
                        </w14:solidFill>
                      </w14:textFill>
                    </w:rPr>
                    <w:t xml:space="preserve"> </w:t>
                  </w:r>
                  <w:r>
                    <w:rPr>
                      <w:rFonts w:hint="eastAsia" w:ascii="宋体" w:hAnsi="宋体" w:eastAsia="宋体" w:cs="宋体"/>
                      <w:color w:val="000000" w:themeColor="text1"/>
                      <w:spacing w:val="6"/>
                      <w:sz w:val="18"/>
                      <w:szCs w:val="18"/>
                      <w14:textFill>
                        <w14:solidFill>
                          <w14:schemeClr w14:val="tx1"/>
                        </w14:solidFill>
                      </w14:textFill>
                    </w:rPr>
                    <w:t>的规定分类存储和标</w:t>
                  </w:r>
                  <w:r>
                    <w:rPr>
                      <w:rFonts w:hint="eastAsia" w:ascii="宋体" w:hAnsi="宋体" w:eastAsia="宋体" w:cs="宋体"/>
                      <w:color w:val="000000" w:themeColor="text1"/>
                      <w:spacing w:val="7"/>
                      <w:sz w:val="18"/>
                      <w:szCs w:val="18"/>
                      <w14:textFill>
                        <w14:solidFill>
                          <w14:schemeClr w14:val="tx1"/>
                        </w14:solidFill>
                      </w14:textFill>
                    </w:rPr>
                    <w:t>识，废物不得焚烧丢弃。</w:t>
                  </w:r>
                </w:p>
              </w:tc>
              <w:tc>
                <w:tcPr>
                  <w:tcW w:w="1723" w:type="pct"/>
                  <w:tcBorders>
                    <w:tl2br w:val="nil"/>
                    <w:tr2bl w:val="nil"/>
                  </w:tcBorders>
                  <w:vAlign w:val="center"/>
                </w:tcPr>
                <w:p w14:paraId="7D7D6A73">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拆解后的所有的零部件、材料、废物，</w:t>
                  </w:r>
                  <w:r>
                    <w:rPr>
                      <w:rFonts w:hint="eastAsia" w:ascii="宋体" w:hAnsi="宋体" w:eastAsia="宋体" w:cs="宋体"/>
                      <w:color w:val="000000" w:themeColor="text1"/>
                      <w:spacing w:val="6"/>
                      <w:sz w:val="18"/>
                      <w:szCs w:val="18"/>
                      <w14:textFill>
                        <w14:solidFill>
                          <w14:schemeClr w14:val="tx1"/>
                        </w14:solidFill>
                      </w14:textFill>
                    </w:rPr>
                    <w:t>按照</w:t>
                  </w:r>
                  <w:r>
                    <w:rPr>
                      <w:rFonts w:hint="eastAsia" w:ascii="宋体" w:hAnsi="宋体" w:eastAsia="宋体" w:cs="宋体"/>
                      <w:color w:val="000000" w:themeColor="text1"/>
                      <w:spacing w:val="-27"/>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18484的规定分类存储和标</w:t>
                  </w:r>
                  <w:r>
                    <w:rPr>
                      <w:rFonts w:hint="eastAsia" w:ascii="宋体" w:hAnsi="宋体" w:eastAsia="宋体" w:cs="宋体"/>
                      <w:color w:val="000000" w:themeColor="text1"/>
                      <w:spacing w:val="7"/>
                      <w:sz w:val="18"/>
                      <w:szCs w:val="18"/>
                      <w14:textFill>
                        <w14:solidFill>
                          <w14:schemeClr w14:val="tx1"/>
                        </w14:solidFill>
                      </w14:textFill>
                    </w:rPr>
                    <w:t>识，</w:t>
                  </w:r>
                  <w:r>
                    <w:rPr>
                      <w:rFonts w:hint="eastAsia" w:ascii="宋体" w:hAnsi="宋体" w:eastAsia="宋体" w:cs="宋体"/>
                      <w:color w:val="000000" w:themeColor="text1"/>
                      <w:spacing w:val="19"/>
                      <w:sz w:val="18"/>
                      <w:szCs w:val="18"/>
                      <w14:textFill>
                        <w14:solidFill>
                          <w14:schemeClr w14:val="tx1"/>
                        </w14:solidFill>
                      </w14:textFill>
                    </w:rPr>
                    <w:t>废物</w:t>
                  </w:r>
                  <w:r>
                    <w:rPr>
                      <w:rFonts w:hint="eastAsia" w:ascii="宋体" w:hAnsi="宋体" w:eastAsia="宋体" w:cs="宋体"/>
                      <w:color w:val="000000" w:themeColor="text1"/>
                      <w:spacing w:val="19"/>
                      <w:sz w:val="18"/>
                      <w:szCs w:val="18"/>
                      <w:lang w:val="en-US" w:eastAsia="zh-CN"/>
                      <w14:textFill>
                        <w14:solidFill>
                          <w14:schemeClr w14:val="tx1"/>
                        </w14:solidFill>
                      </w14:textFill>
                    </w:rPr>
                    <w:t>无</w:t>
                  </w:r>
                  <w:r>
                    <w:rPr>
                      <w:rFonts w:hint="eastAsia" w:ascii="宋体" w:hAnsi="宋体" w:eastAsia="宋体" w:cs="宋体"/>
                      <w:color w:val="000000" w:themeColor="text1"/>
                      <w:spacing w:val="19"/>
                      <w:sz w:val="18"/>
                      <w:szCs w:val="18"/>
                      <w14:textFill>
                        <w14:solidFill>
                          <w14:schemeClr w14:val="tx1"/>
                        </w14:solidFill>
                      </w14:textFill>
                    </w:rPr>
                    <w:t>焚烧丢弃。</w:t>
                  </w:r>
                </w:p>
              </w:tc>
              <w:tc>
                <w:tcPr>
                  <w:tcW w:w="334" w:type="pct"/>
                  <w:tcBorders>
                    <w:tl2br w:val="nil"/>
                    <w:tr2bl w:val="nil"/>
                  </w:tcBorders>
                  <w:vAlign w:val="center"/>
                </w:tcPr>
                <w:p w14:paraId="463018D0">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r w14:paraId="6B5994E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vMerge w:val="continue"/>
                  <w:tcBorders>
                    <w:tl2br w:val="nil"/>
                    <w:tr2bl w:val="nil"/>
                  </w:tcBorders>
                  <w:vAlign w:val="center"/>
                </w:tcPr>
                <w:p w14:paraId="447C6130">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486" w:type="pct"/>
                  <w:gridSpan w:val="2"/>
                  <w:tcBorders>
                    <w:tl2br w:val="nil"/>
                    <w:tr2bl w:val="nil"/>
                  </w:tcBorders>
                  <w:vAlign w:val="center"/>
                </w:tcPr>
                <w:p w14:paraId="503C4923">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对入国家危险废物名录的危险废物</w:t>
                  </w:r>
                  <w:r>
                    <w:rPr>
                      <w:rFonts w:hint="eastAsia" w:ascii="宋体" w:hAnsi="宋体" w:eastAsia="宋体" w:cs="宋体"/>
                      <w:color w:val="000000" w:themeColor="text1"/>
                      <w:spacing w:val="6"/>
                      <w:sz w:val="18"/>
                      <w:szCs w:val="18"/>
                      <w14:textFill>
                        <w14:solidFill>
                          <w14:schemeClr w14:val="tx1"/>
                        </w14:solidFill>
                      </w14:textFill>
                    </w:rPr>
                    <w:t>应按照</w:t>
                  </w:r>
                  <w:r>
                    <w:rPr>
                      <w:rFonts w:hint="eastAsia" w:ascii="宋体" w:hAnsi="宋体" w:eastAsia="宋体" w:cs="宋体"/>
                      <w:color w:val="000000" w:themeColor="text1"/>
                      <w:spacing w:val="-27"/>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18599</w:t>
                  </w:r>
                  <w:r>
                    <w:rPr>
                      <w:rFonts w:hint="eastAsia" w:ascii="宋体" w:hAnsi="宋体" w:eastAsia="宋体" w:cs="宋体"/>
                      <w:color w:val="000000" w:themeColor="text1"/>
                      <w:spacing w:val="27"/>
                      <w:sz w:val="18"/>
                      <w:szCs w:val="18"/>
                      <w14:textFill>
                        <w14:solidFill>
                          <w14:schemeClr w14:val="tx1"/>
                        </w14:solidFill>
                      </w14:textFill>
                    </w:rPr>
                    <w:t xml:space="preserve"> </w:t>
                  </w:r>
                  <w:r>
                    <w:rPr>
                      <w:rFonts w:hint="eastAsia" w:ascii="宋体" w:hAnsi="宋体" w:eastAsia="宋体" w:cs="宋体"/>
                      <w:color w:val="000000" w:themeColor="text1"/>
                      <w:spacing w:val="6"/>
                      <w:sz w:val="18"/>
                      <w:szCs w:val="18"/>
                      <w14:textFill>
                        <w14:solidFill>
                          <w14:schemeClr w14:val="tx1"/>
                        </w14:solidFill>
                      </w14:textFill>
                    </w:rPr>
                    <w:t>的规定进行储存和污</w:t>
                  </w:r>
                  <w:r>
                    <w:rPr>
                      <w:rFonts w:hint="eastAsia" w:ascii="宋体" w:hAnsi="宋体" w:eastAsia="宋体" w:cs="宋体"/>
                      <w:color w:val="000000" w:themeColor="text1"/>
                      <w:spacing w:val="7"/>
                      <w:sz w:val="18"/>
                      <w:szCs w:val="18"/>
                      <w14:textFill>
                        <w14:solidFill>
                          <w14:schemeClr w14:val="tx1"/>
                        </w14:solidFill>
                      </w14:textFill>
                    </w:rPr>
                    <w:t>染控制管理</w:t>
                  </w:r>
                </w:p>
              </w:tc>
              <w:tc>
                <w:tcPr>
                  <w:tcW w:w="1723" w:type="pct"/>
                  <w:tcBorders>
                    <w:tl2br w:val="nil"/>
                    <w:tr2bl w:val="nil"/>
                  </w:tcBorders>
                  <w:vAlign w:val="center"/>
                </w:tcPr>
                <w:p w14:paraId="26E3094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本项目产生的危险废物按照</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8"/>
                      <w:sz w:val="18"/>
                      <w:szCs w:val="18"/>
                      <w14:textFill>
                        <w14:solidFill>
                          <w14:schemeClr w14:val="tx1"/>
                        </w14:solidFill>
                      </w14:textFill>
                    </w:rPr>
                    <w:t>18599的规定进</w:t>
                  </w:r>
                  <w:r>
                    <w:rPr>
                      <w:rFonts w:hint="eastAsia" w:ascii="宋体" w:hAnsi="宋体" w:eastAsia="宋体" w:cs="宋体"/>
                      <w:color w:val="000000" w:themeColor="text1"/>
                      <w:spacing w:val="10"/>
                      <w:sz w:val="18"/>
                      <w:szCs w:val="18"/>
                      <w14:textFill>
                        <w14:solidFill>
                          <w14:schemeClr w14:val="tx1"/>
                        </w14:solidFill>
                      </w14:textFill>
                    </w:rPr>
                    <w:t>行储存和污染控制管理</w:t>
                  </w:r>
                  <w:r>
                    <w:rPr>
                      <w:rFonts w:hint="eastAsia" w:ascii="宋体" w:hAnsi="宋体" w:eastAsia="宋体" w:cs="宋体"/>
                      <w:color w:val="000000" w:themeColor="text1"/>
                      <w:spacing w:val="10"/>
                      <w:sz w:val="18"/>
                      <w:szCs w:val="18"/>
                      <w:lang w:eastAsia="zh-CN"/>
                      <w14:textFill>
                        <w14:solidFill>
                          <w14:schemeClr w14:val="tx1"/>
                        </w14:solidFill>
                      </w14:textFill>
                    </w:rPr>
                    <w:t>。</w:t>
                  </w:r>
                </w:p>
              </w:tc>
              <w:tc>
                <w:tcPr>
                  <w:tcW w:w="334" w:type="pct"/>
                  <w:tcBorders>
                    <w:tl2br w:val="nil"/>
                    <w:tr2bl w:val="nil"/>
                  </w:tcBorders>
                  <w:vAlign w:val="center"/>
                </w:tcPr>
                <w:p w14:paraId="6215C36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r w14:paraId="66D7AE2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vMerge w:val="continue"/>
                  <w:tcBorders>
                    <w:tl2br w:val="nil"/>
                    <w:tr2bl w:val="nil"/>
                  </w:tcBorders>
                  <w:vAlign w:val="center"/>
                </w:tcPr>
                <w:p w14:paraId="6BB41BC5">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486" w:type="pct"/>
                  <w:gridSpan w:val="2"/>
                  <w:tcBorders>
                    <w:tl2br w:val="nil"/>
                    <w:tr2bl w:val="nil"/>
                  </w:tcBorders>
                  <w:vAlign w:val="center"/>
                </w:tcPr>
                <w:p w14:paraId="6DBD864F">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拆解后有毒有害的危险废物的存储和</w:t>
                  </w:r>
                  <w:r>
                    <w:rPr>
                      <w:rFonts w:hint="eastAsia" w:ascii="宋体" w:hAnsi="宋体" w:eastAsia="宋体" w:cs="宋体"/>
                      <w:color w:val="000000" w:themeColor="text1"/>
                      <w:spacing w:val="6"/>
                      <w:sz w:val="18"/>
                      <w:szCs w:val="18"/>
                      <w14:textFill>
                        <w14:solidFill>
                          <w14:schemeClr w14:val="tx1"/>
                        </w14:solidFill>
                      </w14:textFill>
                    </w:rPr>
                    <w:t>处置应符合</w:t>
                  </w:r>
                  <w:r>
                    <w:rPr>
                      <w:rFonts w:hint="eastAsia" w:ascii="宋体" w:hAnsi="宋体" w:eastAsia="宋体" w:cs="宋体"/>
                      <w:color w:val="000000" w:themeColor="text1"/>
                      <w:spacing w:val="-31"/>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18597的规定，危险废</w:t>
                  </w:r>
                  <w:r>
                    <w:rPr>
                      <w:rFonts w:hint="eastAsia" w:ascii="宋体" w:hAnsi="宋体" w:eastAsia="宋体" w:cs="宋体"/>
                      <w:color w:val="000000" w:themeColor="text1"/>
                      <w:spacing w:val="11"/>
                      <w:sz w:val="18"/>
                      <w:szCs w:val="18"/>
                      <w14:textFill>
                        <w14:solidFill>
                          <w14:schemeClr w14:val="tx1"/>
                        </w14:solidFill>
                      </w14:textFill>
                    </w:rPr>
                    <w:t>物应交由具有相应资质的企业进行处</w:t>
                  </w:r>
                  <w:r>
                    <w:rPr>
                      <w:rFonts w:hint="eastAsia" w:ascii="宋体" w:hAnsi="宋体" w:eastAsia="宋体" w:cs="宋体"/>
                      <w:color w:val="000000" w:themeColor="text1"/>
                      <w:spacing w:val="1"/>
                      <w:sz w:val="18"/>
                      <w:szCs w:val="18"/>
                      <w14:textFill>
                        <w14:solidFill>
                          <w14:schemeClr w14:val="tx1"/>
                        </w14:solidFill>
                      </w14:textFill>
                    </w:rPr>
                    <w:t>置。</w:t>
                  </w:r>
                </w:p>
              </w:tc>
              <w:tc>
                <w:tcPr>
                  <w:tcW w:w="1723" w:type="pct"/>
                  <w:tcBorders>
                    <w:tl2br w:val="nil"/>
                    <w:tr2bl w:val="nil"/>
                  </w:tcBorders>
                  <w:vAlign w:val="center"/>
                </w:tcPr>
                <w:p w14:paraId="05613EA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拆解后危险废物分区贮存于危险废物贮存间，定期由有资质单位处理，项目存储和处置符</w:t>
                  </w:r>
                  <w:r>
                    <w:rPr>
                      <w:rFonts w:hint="eastAsia" w:ascii="宋体" w:hAnsi="宋体" w:eastAsia="宋体" w:cs="宋体"/>
                      <w:color w:val="000000" w:themeColor="text1"/>
                      <w:spacing w:val="6"/>
                      <w:sz w:val="18"/>
                      <w:szCs w:val="18"/>
                      <w14:textFill>
                        <w14:solidFill>
                          <w14:schemeClr w14:val="tx1"/>
                        </w14:solidFill>
                      </w14:textFill>
                    </w:rPr>
                    <w:t xml:space="preserve"> </w:t>
                  </w:r>
                  <w:r>
                    <w:rPr>
                      <w:rFonts w:hint="eastAsia" w:ascii="宋体" w:hAnsi="宋体" w:eastAsia="宋体" w:cs="宋体"/>
                      <w:color w:val="000000" w:themeColor="text1"/>
                      <w:spacing w:val="9"/>
                      <w:sz w:val="18"/>
                      <w:szCs w:val="18"/>
                      <w14:textFill>
                        <w14:solidFill>
                          <w14:schemeClr w14:val="tx1"/>
                        </w14:solidFill>
                      </w14:textFill>
                    </w:rPr>
                    <w:t>合</w:t>
                  </w:r>
                  <w:r>
                    <w:rPr>
                      <w:rFonts w:hint="eastAsia" w:ascii="宋体" w:hAnsi="宋体" w:eastAsia="宋体" w:cs="宋体"/>
                      <w:color w:val="000000" w:themeColor="text1"/>
                      <w:spacing w:val="-33"/>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9"/>
                      <w:sz w:val="18"/>
                      <w:szCs w:val="18"/>
                      <w14:textFill>
                        <w14:solidFill>
                          <w14:schemeClr w14:val="tx1"/>
                        </w14:solidFill>
                      </w14:textFill>
                    </w:rPr>
                    <w:t>18597的规定。</w:t>
                  </w:r>
                </w:p>
              </w:tc>
              <w:tc>
                <w:tcPr>
                  <w:tcW w:w="334" w:type="pct"/>
                  <w:tcBorders>
                    <w:tl2br w:val="nil"/>
                    <w:tr2bl w:val="nil"/>
                  </w:tcBorders>
                  <w:vAlign w:val="center"/>
                </w:tcPr>
                <w:p w14:paraId="4EBBD8CE">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r w14:paraId="793F329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55" w:type="pct"/>
                  <w:vMerge w:val="continue"/>
                  <w:tcBorders>
                    <w:tl2br w:val="nil"/>
                    <w:tr2bl w:val="nil"/>
                  </w:tcBorders>
                  <w:vAlign w:val="center"/>
                </w:tcPr>
                <w:p w14:paraId="62C12483">
                  <w:pPr>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486" w:type="pct"/>
                  <w:gridSpan w:val="2"/>
                  <w:tcBorders>
                    <w:tl2br w:val="nil"/>
                    <w:tr2bl w:val="nil"/>
                  </w:tcBorders>
                  <w:vAlign w:val="center"/>
                </w:tcPr>
                <w:p w14:paraId="48478BA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动力蓄电池、</w:t>
                  </w:r>
                  <w:r>
                    <w:rPr>
                      <w:rFonts w:hint="eastAsia" w:ascii="宋体" w:hAnsi="宋体" w:eastAsia="宋体" w:cs="宋体"/>
                      <w:color w:val="000000" w:themeColor="text1"/>
                      <w:spacing w:val="-49"/>
                      <w:sz w:val="18"/>
                      <w:szCs w:val="18"/>
                      <w14:textFill>
                        <w14:solidFill>
                          <w14:schemeClr w14:val="tx1"/>
                        </w14:solidFill>
                      </w14:textFill>
                    </w:rPr>
                    <w:t xml:space="preserve"> </w:t>
                  </w:r>
                  <w:r>
                    <w:rPr>
                      <w:rFonts w:hint="eastAsia" w:ascii="宋体" w:hAnsi="宋体" w:eastAsia="宋体" w:cs="宋体"/>
                      <w:color w:val="000000" w:themeColor="text1"/>
                      <w:spacing w:val="6"/>
                      <w:sz w:val="18"/>
                      <w:szCs w:val="18"/>
                      <w14:textFill>
                        <w14:solidFill>
                          <w14:schemeClr w14:val="tx1"/>
                        </w14:solidFill>
                      </w14:textFill>
                    </w:rPr>
                    <w:t>电子元器件拆解后应单</w:t>
                  </w:r>
                  <w:r>
                    <w:rPr>
                      <w:rFonts w:hint="eastAsia" w:ascii="宋体" w:hAnsi="宋体" w:eastAsia="宋体" w:cs="宋体"/>
                      <w:color w:val="000000" w:themeColor="text1"/>
                      <w:spacing w:val="7"/>
                      <w:sz w:val="18"/>
                      <w:szCs w:val="18"/>
                      <w14:textFill>
                        <w14:solidFill>
                          <w14:schemeClr w14:val="tx1"/>
                        </w14:solidFill>
                      </w14:textFill>
                    </w:rPr>
                    <w:t>独存放，对锂电池进行整体拆解存放，</w:t>
                  </w:r>
                  <w:r>
                    <w:rPr>
                      <w:rFonts w:hint="eastAsia" w:ascii="宋体" w:hAnsi="宋体" w:eastAsia="宋体" w:cs="宋体"/>
                      <w:color w:val="000000" w:themeColor="text1"/>
                      <w:spacing w:val="9"/>
                      <w:sz w:val="18"/>
                      <w:szCs w:val="18"/>
                      <w14:textFill>
                        <w14:solidFill>
                          <w14:schemeClr w14:val="tx1"/>
                        </w14:solidFill>
                      </w14:textFill>
                    </w:rPr>
                    <w:t>做好防止自燃措施，并交由有资质的处置企业进行回收处理。电子元器件应交由有废电器资质企业拆解，不可</w:t>
                  </w:r>
                  <w:r>
                    <w:rPr>
                      <w:rFonts w:hint="eastAsia" w:ascii="宋体" w:hAnsi="宋体" w:eastAsia="宋体" w:cs="宋体"/>
                      <w:color w:val="000000" w:themeColor="text1"/>
                      <w:spacing w:val="-1"/>
                      <w:sz w:val="18"/>
                      <w:szCs w:val="18"/>
                      <w14:textFill>
                        <w14:solidFill>
                          <w14:schemeClr w14:val="tx1"/>
                        </w14:solidFill>
                      </w14:textFill>
                    </w:rPr>
                    <w:t>自行拆解。</w:t>
                  </w:r>
                </w:p>
              </w:tc>
              <w:tc>
                <w:tcPr>
                  <w:tcW w:w="1723" w:type="pct"/>
                  <w:tcBorders>
                    <w:tl2br w:val="nil"/>
                    <w:tr2bl w:val="nil"/>
                  </w:tcBorders>
                  <w:vAlign w:val="center"/>
                </w:tcPr>
                <w:p w14:paraId="3BA2C44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蓄电池贮存于废蓄电池</w:t>
                  </w:r>
                  <w:r>
                    <w:rPr>
                      <w:rFonts w:hint="eastAsia" w:ascii="宋体" w:hAnsi="宋体" w:eastAsia="宋体" w:cs="宋体"/>
                      <w:color w:val="000000" w:themeColor="text1"/>
                      <w:spacing w:val="11"/>
                      <w:sz w:val="18"/>
                      <w:szCs w:val="18"/>
                      <w14:textFill>
                        <w14:solidFill>
                          <w14:schemeClr w14:val="tx1"/>
                        </w14:solidFill>
                      </w14:textFill>
                    </w:rPr>
                    <w:t>危险废物</w:t>
                  </w:r>
                  <w:r>
                    <w:rPr>
                      <w:rFonts w:hint="eastAsia" w:cs="宋体"/>
                      <w:color w:val="000000" w:themeColor="text1"/>
                      <w:spacing w:val="11"/>
                      <w:sz w:val="18"/>
                      <w:szCs w:val="18"/>
                      <w:lang w:eastAsia="zh-CN"/>
                      <w14:textFill>
                        <w14:solidFill>
                          <w14:schemeClr w14:val="tx1"/>
                        </w14:solidFill>
                      </w14:textFill>
                    </w:rPr>
                    <w:t>暂存库</w:t>
                  </w:r>
                  <w:r>
                    <w:rPr>
                      <w:rFonts w:hint="eastAsia" w:ascii="宋体" w:hAnsi="宋体" w:eastAsia="宋体" w:cs="宋体"/>
                      <w:color w:val="000000" w:themeColor="text1"/>
                      <w:spacing w:val="11"/>
                      <w:sz w:val="18"/>
                      <w:szCs w:val="18"/>
                      <w14:textFill>
                        <w14:solidFill>
                          <w14:schemeClr w14:val="tx1"/>
                        </w14:solidFill>
                      </w14:textFill>
                    </w:rPr>
                    <w:t>内，电</w:t>
                  </w:r>
                  <w:r>
                    <w:rPr>
                      <w:rFonts w:hint="eastAsia" w:ascii="宋体" w:hAnsi="宋体" w:eastAsia="宋体" w:cs="宋体"/>
                      <w:color w:val="000000" w:themeColor="text1"/>
                      <w:spacing w:val="8"/>
                      <w:sz w:val="18"/>
                      <w:szCs w:val="18"/>
                      <w14:textFill>
                        <w14:solidFill>
                          <w14:schemeClr w14:val="tx1"/>
                        </w14:solidFill>
                      </w14:textFill>
                    </w:rPr>
                    <w:t>子元器件交由废电器资质企业拆解，本项目不</w:t>
                  </w:r>
                  <w:r>
                    <w:rPr>
                      <w:rFonts w:hint="eastAsia" w:ascii="宋体" w:hAnsi="宋体" w:eastAsia="宋体" w:cs="宋体"/>
                      <w:color w:val="000000" w:themeColor="text1"/>
                      <w:spacing w:val="-2"/>
                      <w:sz w:val="18"/>
                      <w:szCs w:val="18"/>
                      <w14:textFill>
                        <w14:solidFill>
                          <w14:schemeClr w14:val="tx1"/>
                        </w14:solidFill>
                      </w14:textFill>
                    </w:rPr>
                    <w:t>自行拆</w:t>
                  </w:r>
                </w:p>
              </w:tc>
              <w:tc>
                <w:tcPr>
                  <w:tcW w:w="334" w:type="pct"/>
                  <w:tcBorders>
                    <w:tl2br w:val="nil"/>
                    <w:tr2bl w:val="nil"/>
                  </w:tcBorders>
                  <w:vAlign w:val="center"/>
                </w:tcPr>
                <w:p w14:paraId="66689D2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符</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合</w:t>
                  </w:r>
                </w:p>
              </w:tc>
            </w:tr>
          </w:tbl>
          <w:p w14:paraId="766C55B1">
            <w:pPr>
              <w:pStyle w:val="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（7）项目与《危险废物贮存污染控制标准》（GB18597-2023）、 《危险废物收集、贮存运输技术规范》（HJ2025-2012）符合性分析</w:t>
            </w:r>
          </w:p>
          <w:p w14:paraId="03D3FA7B">
            <w:pPr>
              <w:pStyle w:val="5"/>
              <w:ind w:firstLine="480" w:firstLineChars="200"/>
              <w:rPr>
                <w:rFonts w:hint="eastAsia" w:ascii="宋体" w:hAnsi="宋体" w:eastAsia="宋体" w:cs="宋体"/>
                <w:b w:val="0"/>
                <w:bCs w:val="0"/>
                <w:color w:val="000000" w:themeColor="text1"/>
                <w14:textFill>
                  <w14:solidFill>
                    <w14:schemeClr w14:val="tx1"/>
                  </w14:solidFill>
                </w14:textFill>
              </w:rPr>
            </w:pPr>
            <w:r>
              <w:rPr>
                <w:rFonts w:hint="eastAsia" w:ascii="宋体" w:hAnsi="宋体" w:eastAsia="宋体" w:cs="宋体"/>
                <w:b w:val="0"/>
                <w:bCs w:val="0"/>
                <w:color w:val="000000" w:themeColor="text1"/>
                <w14:textFill>
                  <w14:solidFill>
                    <w14:schemeClr w14:val="tx1"/>
                  </w14:solidFill>
                </w14:textFill>
              </w:rPr>
              <w:t>根据《危险废物管理计划和管理台账制定技术导则 》（HJ1259-2022），本项目属于危险废物重点管理单位。根据《危险废物贮存污染控制标准》（GB18597-2023），本项目危废间属于贮存库。项目与《危险废物贮存污染控制标准》（GB18597-2023）、《危险废物收集、贮存运输技术规范》HJ2025-2012 符合性见表 1-</w:t>
            </w:r>
            <w:r>
              <w:rPr>
                <w:rFonts w:hint="eastAsia" w:ascii="宋体" w:hAnsi="宋体" w:cs="宋体"/>
                <w:b w:val="0"/>
                <w:bCs w:val="0"/>
                <w:color w:val="000000" w:themeColor="text1"/>
                <w:lang w:val="en-US" w:eastAsia="zh-CN"/>
                <w14:textFill>
                  <w14:solidFill>
                    <w14:schemeClr w14:val="tx1"/>
                  </w14:solidFill>
                </w14:textFill>
              </w:rPr>
              <w:t>10</w:t>
            </w:r>
            <w:r>
              <w:rPr>
                <w:rFonts w:hint="eastAsia" w:ascii="宋体" w:hAnsi="宋体" w:eastAsia="宋体" w:cs="宋体"/>
                <w:b w:val="0"/>
                <w:bCs w:val="0"/>
                <w:color w:val="000000" w:themeColor="text1"/>
                <w14:textFill>
                  <w14:solidFill>
                    <w14:schemeClr w14:val="tx1"/>
                  </w14:solidFill>
                </w14:textFill>
              </w:rPr>
              <w:t>。</w:t>
            </w:r>
          </w:p>
          <w:p w14:paraId="3E611D01">
            <w:pPr>
              <w:ind w:firstLine="1054" w:firstLineChars="500"/>
              <w:rPr>
                <w:rFonts w:hint="eastAsia"/>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表1-</w:t>
            </w:r>
            <w:r>
              <w:rPr>
                <w:rFonts w:hint="eastAsia" w:ascii="宋体" w:hAnsi="宋体" w:cs="宋体"/>
                <w:b/>
                <w:bCs/>
                <w:color w:val="000000" w:themeColor="text1"/>
                <w:sz w:val="21"/>
                <w:szCs w:val="21"/>
                <w:lang w:val="en-US" w:eastAsia="zh-CN"/>
                <w14:textFill>
                  <w14:solidFill>
                    <w14:schemeClr w14:val="tx1"/>
                  </w14:solidFill>
                </w14:textFill>
              </w:rPr>
              <w:t xml:space="preserve">10  </w:t>
            </w:r>
            <w:r>
              <w:rPr>
                <w:rFonts w:hint="eastAsia" w:ascii="宋体" w:hAnsi="宋体" w:eastAsia="宋体" w:cs="宋体"/>
                <w:b/>
                <w:bCs/>
                <w:color w:val="000000" w:themeColor="text1"/>
                <w:sz w:val="21"/>
                <w:szCs w:val="21"/>
                <w14:textFill>
                  <w14:solidFill>
                    <w14:schemeClr w14:val="tx1"/>
                  </w14:solidFill>
                </w14:textFill>
              </w:rPr>
              <w:t>《危险废物贮存污染控制标准》 《危险废物收集、贮存运输技术规范》符合性</w:t>
            </w:r>
          </w:p>
          <w:tbl>
            <w:tblPr>
              <w:tblStyle w:val="108"/>
              <w:tblW w:w="4997"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Layout w:type="fixed"/>
              <w:tblCellMar>
                <w:top w:w="0" w:type="dxa"/>
                <w:left w:w="0" w:type="dxa"/>
                <w:bottom w:w="0" w:type="dxa"/>
                <w:right w:w="0" w:type="dxa"/>
              </w:tblCellMar>
            </w:tblPr>
            <w:tblGrid>
              <w:gridCol w:w="634"/>
              <w:gridCol w:w="8502"/>
              <w:gridCol w:w="4120"/>
              <w:gridCol w:w="584"/>
            </w:tblGrid>
            <w:tr w14:paraId="17C456C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3300" w:type="pct"/>
                  <w:gridSpan w:val="2"/>
                  <w:tcBorders>
                    <w:tl2br w:val="nil"/>
                    <w:tr2bl w:val="nil"/>
                  </w:tcBorders>
                  <w:vAlign w:val="center"/>
                </w:tcPr>
                <w:p w14:paraId="473666D3">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935"/>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相关要求</w:t>
                  </w:r>
                </w:p>
              </w:tc>
              <w:tc>
                <w:tcPr>
                  <w:tcW w:w="1487" w:type="pct"/>
                  <w:tcBorders>
                    <w:tl2br w:val="nil"/>
                    <w:tr2bl w:val="nil"/>
                  </w:tcBorders>
                  <w:vAlign w:val="center"/>
                </w:tcPr>
                <w:p w14:paraId="4BB01024">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59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项目情况</w:t>
                  </w:r>
                </w:p>
              </w:tc>
              <w:tc>
                <w:tcPr>
                  <w:tcW w:w="211" w:type="pct"/>
                  <w:tcBorders>
                    <w:tl2br w:val="nil"/>
                    <w:tr2bl w:val="nil"/>
                  </w:tcBorders>
                  <w:vAlign w:val="center"/>
                </w:tcPr>
                <w:p w14:paraId="2AF049EA">
                  <w:pPr>
                    <w:pStyle w:val="119"/>
                    <w:keepNext w:val="0"/>
                    <w:keepLines w:val="0"/>
                    <w:pageBreakBefore w:val="0"/>
                    <w:widowControl/>
                    <w:tabs>
                      <w:tab w:val="left" w:pos="420"/>
                    </w:tabs>
                    <w:kinsoku/>
                    <w:wordWrap/>
                    <w:overflowPunct w:val="0"/>
                    <w:topLinePunct w:val="0"/>
                    <w:autoSpaceDE w:val="0"/>
                    <w:autoSpaceDN w:val="0"/>
                    <w:bidi w:val="0"/>
                    <w:adjustRightInd w:val="0"/>
                    <w:snapToGrid w:val="0"/>
                    <w:spacing w:line="240" w:lineRule="atLeast"/>
                    <w:ind w:right="-72" w:right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lang w:val="en-US" w:eastAsia="zh-CN"/>
                      <w14:textFill>
                        <w14:solidFill>
                          <w14:schemeClr w14:val="tx1"/>
                        </w14:solidFill>
                      </w14:textFill>
                    </w:rPr>
                    <w:t>符</w:t>
                  </w:r>
                  <w:r>
                    <w:rPr>
                      <w:rFonts w:hint="eastAsia" w:ascii="宋体" w:hAnsi="宋体" w:eastAsia="宋体" w:cs="宋体"/>
                      <w:color w:val="000000" w:themeColor="text1"/>
                      <w:spacing w:val="3"/>
                      <w:sz w:val="18"/>
                      <w:szCs w:val="18"/>
                      <w14:textFill>
                        <w14:solidFill>
                          <w14:schemeClr w14:val="tx1"/>
                        </w14:solidFill>
                      </w14:textFill>
                    </w:rPr>
                    <w:t>合</w:t>
                  </w:r>
                  <w:r>
                    <w:rPr>
                      <w:rFonts w:hint="eastAsia" w:ascii="宋体" w:hAnsi="宋体" w:eastAsia="宋体" w:cs="宋体"/>
                      <w:color w:val="000000" w:themeColor="text1"/>
                      <w:sz w:val="18"/>
                      <w:szCs w:val="18"/>
                      <w14:textFill>
                        <w14:solidFill>
                          <w14:schemeClr w14:val="tx1"/>
                        </w14:solidFill>
                      </w14:textFill>
                    </w:rPr>
                    <w:t>性</w:t>
                  </w:r>
                </w:p>
              </w:tc>
            </w:tr>
            <w:tr w14:paraId="55FB62EF">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restart"/>
                  <w:tcBorders>
                    <w:tl2br w:val="nil"/>
                    <w:tr2bl w:val="nil"/>
                  </w:tcBorders>
                  <w:vAlign w:val="center"/>
                </w:tcPr>
                <w:p w14:paraId="4561778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86" w:rightChars="36"/>
                    <w:jc w:val="center"/>
                    <w:textAlignment w:val="baseline"/>
                    <w:rPr>
                      <w:rFonts w:hint="eastAsia" w:ascii="宋体" w:hAnsi="宋体" w:eastAsia="宋体" w:cs="宋体"/>
                      <w:color w:val="000000" w:themeColor="text1"/>
                      <w:spacing w:val="5"/>
                      <w:sz w:val="18"/>
                      <w:szCs w:val="18"/>
                      <w:lang w:eastAsia="zh-CN"/>
                      <w14:textFill>
                        <w14:solidFill>
                          <w14:schemeClr w14:val="tx1"/>
                        </w14:solidFill>
                      </w14:textFill>
                    </w:rPr>
                  </w:pPr>
                </w:p>
                <w:p w14:paraId="66D49B2F">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86" w:rightChars="36"/>
                    <w:jc w:val="center"/>
                    <w:textAlignment w:val="baseline"/>
                    <w:rPr>
                      <w:rFonts w:hint="eastAsia" w:ascii="宋体" w:hAnsi="宋体" w:eastAsia="宋体" w:cs="宋体"/>
                      <w:color w:val="000000" w:themeColor="text1"/>
                      <w:spacing w:val="5"/>
                      <w:sz w:val="18"/>
                      <w:szCs w:val="18"/>
                      <w:lang w:eastAsia="zh-CN"/>
                      <w14:textFill>
                        <w14:solidFill>
                          <w14:schemeClr w14:val="tx1"/>
                        </w14:solidFill>
                      </w14:textFill>
                    </w:rPr>
                  </w:pPr>
                </w:p>
                <w:p w14:paraId="0B52FEBA">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86" w:rightChars="36"/>
                    <w:jc w:val="center"/>
                    <w:textAlignment w:val="baseline"/>
                    <w:rPr>
                      <w:rFonts w:hint="eastAsia" w:ascii="宋体" w:hAnsi="宋体" w:eastAsia="宋体" w:cs="宋体"/>
                      <w:color w:val="000000" w:themeColor="text1"/>
                      <w:spacing w:val="5"/>
                      <w:sz w:val="18"/>
                      <w:szCs w:val="18"/>
                      <w:lang w:eastAsia="zh-CN"/>
                      <w14:textFill>
                        <w14:solidFill>
                          <w14:schemeClr w14:val="tx1"/>
                        </w14:solidFill>
                      </w14:textFill>
                    </w:rPr>
                  </w:pPr>
                </w:p>
                <w:p w14:paraId="7152D15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86" w:rightChars="36"/>
                    <w:jc w:val="center"/>
                    <w:textAlignment w:val="baseline"/>
                    <w:rPr>
                      <w:rFonts w:hint="eastAsia" w:ascii="宋体" w:hAnsi="宋体" w:eastAsia="宋体" w:cs="宋体"/>
                      <w:color w:val="000000" w:themeColor="text1"/>
                      <w:spacing w:val="5"/>
                      <w:sz w:val="18"/>
                      <w:szCs w:val="18"/>
                      <w:lang w:eastAsia="zh-CN"/>
                      <w14:textFill>
                        <w14:solidFill>
                          <w14:schemeClr w14:val="tx1"/>
                        </w14:solidFill>
                      </w14:textFill>
                    </w:rPr>
                  </w:pPr>
                </w:p>
                <w:p w14:paraId="79387CE3">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01" w:rightChars="-42"/>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5"/>
                      <w:sz w:val="18"/>
                      <w:szCs w:val="18"/>
                      <w:lang w:eastAsia="zh-CN"/>
                      <w14:textFill>
                        <w14:solidFill>
                          <w14:schemeClr w14:val="tx1"/>
                        </w14:solidFill>
                      </w14:textFill>
                    </w:rPr>
                    <w:t>《</w:t>
                  </w:r>
                  <w:r>
                    <w:rPr>
                      <w:rFonts w:hint="eastAsia" w:ascii="宋体" w:hAnsi="宋体" w:eastAsia="宋体" w:cs="宋体"/>
                      <w:color w:val="000000" w:themeColor="text1"/>
                      <w:spacing w:val="5"/>
                      <w:sz w:val="18"/>
                      <w:szCs w:val="18"/>
                      <w14:textFill>
                        <w14:solidFill>
                          <w14:schemeClr w14:val="tx1"/>
                        </w14:solidFill>
                      </w14:textFill>
                    </w:rPr>
                    <w:t>危险</w:t>
                  </w:r>
                  <w:r>
                    <w:rPr>
                      <w:rFonts w:hint="eastAsia" w:ascii="宋体" w:hAnsi="宋体" w:eastAsia="宋体" w:cs="宋体"/>
                      <w:color w:val="000000" w:themeColor="text1"/>
                      <w:spacing w:val="7"/>
                      <w:sz w:val="18"/>
                      <w:szCs w:val="18"/>
                      <w14:textFill>
                        <w14:solidFill>
                          <w14:schemeClr w14:val="tx1"/>
                        </w14:solidFill>
                      </w14:textFill>
                    </w:rPr>
                    <w:t>废物贮存污染控制标</w:t>
                  </w:r>
                  <w:r>
                    <w:rPr>
                      <w:rFonts w:hint="eastAsia" w:ascii="宋体" w:hAnsi="宋体" w:eastAsia="宋体" w:cs="宋体"/>
                      <w:color w:val="000000" w:themeColor="text1"/>
                      <w:spacing w:val="-1"/>
                      <w:sz w:val="18"/>
                      <w:szCs w:val="18"/>
                      <w14:textFill>
                        <w14:solidFill>
                          <w14:schemeClr w14:val="tx1"/>
                        </w14:solidFill>
                      </w14:textFill>
                    </w:rPr>
                    <w:t>准》</w:t>
                  </w:r>
                  <w:r>
                    <w:rPr>
                      <w:rFonts w:hint="eastAsia" w:ascii="宋体" w:hAnsi="宋体" w:eastAsia="宋体" w:cs="宋体"/>
                      <w:color w:val="000000" w:themeColor="text1"/>
                      <w:spacing w:val="4"/>
                      <w:sz w:val="18"/>
                      <w:szCs w:val="18"/>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4"/>
                      <w:sz w:val="18"/>
                      <w:szCs w:val="18"/>
                      <w14:textFill>
                        <w14:solidFill>
                          <w14:schemeClr w14:val="tx1"/>
                        </w14:solidFill>
                      </w14:textFill>
                    </w:rPr>
                    <w:t>1</w:t>
                  </w:r>
                  <w:r>
                    <w:rPr>
                      <w:rFonts w:hint="eastAsia" w:ascii="宋体" w:hAnsi="宋体" w:eastAsia="宋体" w:cs="宋体"/>
                      <w:color w:val="000000" w:themeColor="text1"/>
                      <w:spacing w:val="2"/>
                      <w:sz w:val="18"/>
                      <w:szCs w:val="18"/>
                      <w14:textFill>
                        <w14:solidFill>
                          <w14:schemeClr w14:val="tx1"/>
                        </w14:solidFill>
                      </w14:textFill>
                    </w:rPr>
                    <w:t>8597-2</w:t>
                  </w:r>
                  <w:r>
                    <w:rPr>
                      <w:rFonts w:hint="eastAsia" w:ascii="宋体" w:hAnsi="宋体" w:eastAsia="宋体" w:cs="宋体"/>
                      <w:color w:val="000000" w:themeColor="text1"/>
                      <w:spacing w:val="1"/>
                      <w:sz w:val="18"/>
                      <w:szCs w:val="18"/>
                      <w14:textFill>
                        <w14:solidFill>
                          <w14:schemeClr w14:val="tx1"/>
                        </w14:solidFill>
                      </w14:textFill>
                    </w:rPr>
                    <w:t>023）</w:t>
                  </w:r>
                </w:p>
              </w:tc>
              <w:tc>
                <w:tcPr>
                  <w:tcW w:w="4770" w:type="pct"/>
                  <w:gridSpan w:val="3"/>
                  <w:tcBorders>
                    <w:tl2br w:val="nil"/>
                    <w:tr2bl w:val="nil"/>
                  </w:tcBorders>
                  <w:vAlign w:val="center"/>
                </w:tcPr>
                <w:p w14:paraId="1472066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2514"/>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一、一般规定</w:t>
                  </w:r>
                </w:p>
              </w:tc>
            </w:tr>
            <w:tr w14:paraId="679EFBF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02" w:hRule="atLeast"/>
              </w:trPr>
              <w:tc>
                <w:tcPr>
                  <w:tcW w:w="229" w:type="pct"/>
                  <w:vMerge w:val="continue"/>
                  <w:tcBorders>
                    <w:tl2br w:val="nil"/>
                    <w:tr2bl w:val="nil"/>
                  </w:tcBorders>
                  <w:vAlign w:val="center"/>
                </w:tcPr>
                <w:p w14:paraId="04DF070E">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77224C8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贮存危险废物应根据危险废物的类别、形态、物理化学性质和污染防治要求进行分类贮存，且应避免危险废</w:t>
                  </w:r>
                  <w:r>
                    <w:rPr>
                      <w:rFonts w:hint="eastAsia" w:ascii="宋体" w:hAnsi="宋体" w:eastAsia="宋体" w:cs="宋体"/>
                      <w:color w:val="000000" w:themeColor="text1"/>
                      <w:spacing w:val="8"/>
                      <w:sz w:val="18"/>
                      <w:szCs w:val="18"/>
                      <w14:textFill>
                        <w14:solidFill>
                          <w14:schemeClr w14:val="tx1"/>
                        </w14:solidFill>
                      </w14:textFill>
                    </w:rPr>
                    <w:t>物与不相容的物质或材料接触。</w:t>
                  </w:r>
                </w:p>
              </w:tc>
              <w:tc>
                <w:tcPr>
                  <w:tcW w:w="1487" w:type="pct"/>
                  <w:tcBorders>
                    <w:tl2br w:val="nil"/>
                    <w:tr2bl w:val="nil"/>
                  </w:tcBorders>
                  <w:vAlign w:val="center"/>
                </w:tcPr>
                <w:p w14:paraId="7A244424">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本项目各类危废分</w:t>
                  </w:r>
                  <w:r>
                    <w:rPr>
                      <w:rFonts w:hint="eastAsia" w:ascii="宋体" w:hAnsi="宋体" w:eastAsia="宋体" w:cs="宋体"/>
                      <w:color w:val="000000" w:themeColor="text1"/>
                      <w:spacing w:val="7"/>
                      <w:sz w:val="18"/>
                      <w:szCs w:val="18"/>
                      <w14:textFill>
                        <w14:solidFill>
                          <w14:schemeClr w14:val="tx1"/>
                        </w14:solidFill>
                      </w14:textFill>
                    </w:rPr>
                    <w:t>别收集，</w:t>
                  </w:r>
                  <w:r>
                    <w:rPr>
                      <w:rFonts w:hint="eastAsia" w:ascii="宋体" w:hAnsi="宋体" w:eastAsia="宋体" w:cs="宋体"/>
                      <w:color w:val="000000" w:themeColor="text1"/>
                      <w:spacing w:val="7"/>
                      <w:sz w:val="18"/>
                      <w:szCs w:val="18"/>
                      <w:highlight w:val="none"/>
                      <w14:textFill>
                        <w14:solidFill>
                          <w14:schemeClr w14:val="tx1"/>
                        </w14:solidFill>
                      </w14:textFill>
                    </w:rPr>
                    <w:t>分类贮存，</w:t>
                  </w:r>
                  <w:r>
                    <w:rPr>
                      <w:rFonts w:hint="eastAsia" w:ascii="宋体" w:hAnsi="宋体" w:eastAsia="宋体" w:cs="宋体"/>
                      <w:color w:val="000000" w:themeColor="text1"/>
                      <w:spacing w:val="8"/>
                      <w:sz w:val="18"/>
                      <w:szCs w:val="18"/>
                      <w:highlight w:val="none"/>
                      <w14:textFill>
                        <w14:solidFill>
                          <w14:schemeClr w14:val="tx1"/>
                        </w14:solidFill>
                      </w14:textFill>
                    </w:rPr>
                    <w:t>其中废铅</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酸</w:t>
                  </w:r>
                  <w:r>
                    <w:rPr>
                      <w:rFonts w:hint="eastAsia" w:ascii="宋体" w:hAnsi="宋体" w:eastAsia="宋体" w:cs="宋体"/>
                      <w:color w:val="000000" w:themeColor="text1"/>
                      <w:spacing w:val="8"/>
                      <w:sz w:val="18"/>
                      <w:szCs w:val="18"/>
                      <w:highlight w:val="none"/>
                      <w14:textFill>
                        <w14:solidFill>
                          <w14:schemeClr w14:val="tx1"/>
                        </w14:solidFill>
                      </w14:textFill>
                    </w:rPr>
                    <w:t>电池</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和动力蓄电池均</w:t>
                  </w:r>
                  <w:r>
                    <w:rPr>
                      <w:rFonts w:hint="eastAsia" w:ascii="宋体" w:hAnsi="宋体" w:eastAsia="宋体" w:cs="宋体"/>
                      <w:color w:val="000000" w:themeColor="text1"/>
                      <w:spacing w:val="8"/>
                      <w:sz w:val="18"/>
                      <w:szCs w:val="18"/>
                      <w:highlight w:val="none"/>
                      <w14:textFill>
                        <w14:solidFill>
                          <w14:schemeClr w14:val="tx1"/>
                        </w14:solidFill>
                      </w14:textFill>
                    </w:rPr>
                    <w:t>单独在</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相应的</w:t>
                  </w:r>
                  <w:r>
                    <w:rPr>
                      <w:rFonts w:hint="eastAsia" w:ascii="宋体" w:hAnsi="宋体" w:eastAsia="宋体" w:cs="宋体"/>
                      <w:color w:val="000000" w:themeColor="text1"/>
                      <w:spacing w:val="8"/>
                      <w:sz w:val="18"/>
                      <w:szCs w:val="18"/>
                      <w:highlight w:val="none"/>
                      <w14:textFill>
                        <w14:solidFill>
                          <w14:schemeClr w14:val="tx1"/>
                        </w14:solidFill>
                      </w14:textFill>
                    </w:rPr>
                    <w:t>废电池</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2"/>
                      <w:sz w:val="18"/>
                      <w:szCs w:val="18"/>
                      <w:highlight w:val="none"/>
                      <w14:textFill>
                        <w14:solidFill>
                          <w14:schemeClr w14:val="tx1"/>
                        </w14:solidFill>
                      </w14:textFill>
                    </w:rPr>
                    <w:t>内暂存，废电路</w:t>
                  </w:r>
                  <w:r>
                    <w:rPr>
                      <w:rFonts w:hint="eastAsia" w:ascii="宋体" w:hAnsi="宋体" w:eastAsia="宋体" w:cs="宋体"/>
                      <w:color w:val="000000" w:themeColor="text1"/>
                      <w:spacing w:val="8"/>
                      <w:sz w:val="18"/>
                      <w:szCs w:val="18"/>
                      <w:highlight w:val="none"/>
                      <w14:textFill>
                        <w14:solidFill>
                          <w14:schemeClr w14:val="tx1"/>
                        </w14:solidFill>
                      </w14:textFill>
                    </w:rPr>
                    <w:t>板在废电路板</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3"/>
                      <w:sz w:val="18"/>
                      <w:szCs w:val="18"/>
                      <w:highlight w:val="none"/>
                      <w14:textFill>
                        <w14:solidFill>
                          <w14:schemeClr w14:val="tx1"/>
                        </w14:solidFill>
                      </w14:textFill>
                    </w:rPr>
                    <w:t>内暂存，液态危险</w:t>
                  </w:r>
                  <w:r>
                    <w:rPr>
                      <w:rFonts w:hint="eastAsia" w:ascii="宋体" w:hAnsi="宋体" w:eastAsia="宋体" w:cs="宋体"/>
                      <w:color w:val="000000" w:themeColor="text1"/>
                      <w:spacing w:val="8"/>
                      <w:sz w:val="18"/>
                      <w:szCs w:val="18"/>
                      <w:highlight w:val="none"/>
                      <w14:textFill>
                        <w14:solidFill>
                          <w14:schemeClr w14:val="tx1"/>
                        </w14:solidFill>
                      </w14:textFill>
                    </w:rPr>
                    <w:t>废物在液态危废</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2"/>
                      <w:sz w:val="18"/>
                      <w:szCs w:val="18"/>
                      <w:highlight w:val="none"/>
                      <w14:textFill>
                        <w14:solidFill>
                          <w14:schemeClr w14:val="tx1"/>
                        </w14:solidFill>
                      </w14:textFill>
                    </w:rPr>
                    <w:t>内暂存，其他危</w:t>
                  </w:r>
                  <w:r>
                    <w:rPr>
                      <w:rFonts w:hint="eastAsia" w:ascii="宋体" w:hAnsi="宋体" w:eastAsia="宋体" w:cs="宋体"/>
                      <w:color w:val="000000" w:themeColor="text1"/>
                      <w:spacing w:val="7"/>
                      <w:sz w:val="18"/>
                      <w:szCs w:val="18"/>
                      <w:highlight w:val="none"/>
                      <w14:textFill>
                        <w14:solidFill>
                          <w14:schemeClr w14:val="tx1"/>
                        </w14:solidFill>
                      </w14:textFill>
                    </w:rPr>
                    <w:t>险废物在综合危废</w:t>
                  </w:r>
                  <w:r>
                    <w:rPr>
                      <w:rFonts w:hint="eastAsia" w:ascii="宋体" w:hAnsi="宋体" w:eastAsia="宋体" w:cs="宋体"/>
                      <w:color w:val="000000" w:themeColor="text1"/>
                      <w:spacing w:val="-3"/>
                      <w:sz w:val="18"/>
                      <w:szCs w:val="18"/>
                      <w:highlight w:val="none"/>
                      <w14:textFill>
                        <w14:solidFill>
                          <w14:schemeClr w14:val="tx1"/>
                        </w14:solidFill>
                      </w14:textFill>
                    </w:rPr>
                    <w:t>间内。</w:t>
                  </w:r>
                </w:p>
              </w:tc>
              <w:tc>
                <w:tcPr>
                  <w:tcW w:w="211" w:type="pct"/>
                  <w:tcBorders>
                    <w:tl2br w:val="nil"/>
                    <w:tr2bl w:val="nil"/>
                  </w:tcBorders>
                  <w:vAlign w:val="center"/>
                </w:tcPr>
                <w:p w14:paraId="6B7B52D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lang w:val="en-US" w:eastAsia="zh-CN"/>
                      <w14:textFill>
                        <w14:solidFill>
                          <w14:schemeClr w14:val="tx1"/>
                        </w14:solidFill>
                      </w14:textFill>
                    </w:rPr>
                    <w:t>符</w:t>
                  </w:r>
                  <w:r>
                    <w:rPr>
                      <w:rFonts w:hint="eastAsia" w:ascii="宋体" w:hAnsi="宋体" w:eastAsia="宋体" w:cs="宋体"/>
                      <w:color w:val="000000" w:themeColor="text1"/>
                      <w:spacing w:val="3"/>
                      <w:sz w:val="18"/>
                      <w:szCs w:val="18"/>
                      <w14:textFill>
                        <w14:solidFill>
                          <w14:schemeClr w14:val="tx1"/>
                        </w14:solidFill>
                      </w14:textFill>
                    </w:rPr>
                    <w:t>合</w:t>
                  </w:r>
                </w:p>
              </w:tc>
            </w:tr>
            <w:tr w14:paraId="1720771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32" w:hRule="atLeast"/>
              </w:trPr>
              <w:tc>
                <w:tcPr>
                  <w:tcW w:w="229" w:type="pct"/>
                  <w:vMerge w:val="continue"/>
                  <w:tcBorders>
                    <w:tl2br w:val="nil"/>
                    <w:tr2bl w:val="nil"/>
                  </w:tcBorders>
                  <w:vAlign w:val="center"/>
                </w:tcPr>
                <w:p w14:paraId="7AF355FB">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887912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贮存危险废物应根据危险废物的形态、物理化学性质、包装形式和污染物迁移途径，采取措施减少渗滤液及</w:t>
                  </w:r>
                  <w:r>
                    <w:rPr>
                      <w:rFonts w:hint="eastAsia" w:ascii="宋体" w:hAnsi="宋体" w:eastAsia="宋体" w:cs="宋体"/>
                      <w:color w:val="000000" w:themeColor="text1"/>
                      <w:spacing w:val="4"/>
                      <w:sz w:val="18"/>
                      <w:szCs w:val="18"/>
                      <w14:textFill>
                        <w14:solidFill>
                          <w14:schemeClr w14:val="tx1"/>
                        </w14:solidFill>
                      </w14:textFill>
                    </w:rPr>
                    <w:t>其衍生废物、渗漏的液态废物、粉尘、</w:t>
                  </w:r>
                  <w:r>
                    <w:rPr>
                      <w:rFonts w:hint="eastAsia" w:ascii="宋体" w:hAnsi="宋体" w:eastAsia="宋体" w:cs="宋体"/>
                      <w:color w:val="000000" w:themeColor="text1"/>
                      <w:sz w:val="18"/>
                      <w:szCs w:val="18"/>
                      <w14:textFill>
                        <w14:solidFill>
                          <w14:schemeClr w14:val="tx1"/>
                        </w14:solidFill>
                      </w14:textFill>
                    </w:rPr>
                    <w:t>VOCs</w:t>
                  </w:r>
                  <w:r>
                    <w:rPr>
                      <w:rFonts w:hint="eastAsia" w:ascii="宋体" w:hAnsi="宋体" w:eastAsia="宋体" w:cs="宋体"/>
                      <w:color w:val="000000" w:themeColor="text1"/>
                      <w:spacing w:val="6"/>
                      <w:sz w:val="18"/>
                      <w:szCs w:val="18"/>
                      <w14:textFill>
                        <w14:solidFill>
                          <w14:schemeClr w14:val="tx1"/>
                        </w14:solidFill>
                      </w14:textFill>
                    </w:rPr>
                    <w:t>、酸雾、有毒有害大气污染物和</w:t>
                  </w:r>
                  <w:r>
                    <w:rPr>
                      <w:rFonts w:hint="eastAsia" w:ascii="宋体" w:hAnsi="宋体" w:eastAsia="宋体" w:cs="宋体"/>
                      <w:color w:val="000000" w:themeColor="text1"/>
                      <w:spacing w:val="10"/>
                      <w:sz w:val="18"/>
                      <w:szCs w:val="18"/>
                      <w14:textFill>
                        <w14:solidFill>
                          <w14:schemeClr w14:val="tx1"/>
                        </w14:solidFill>
                      </w14:textFill>
                    </w:rPr>
                    <w:t>刺激性气味气体等污染物的产生，防</w:t>
                  </w:r>
                  <w:r>
                    <w:rPr>
                      <w:rFonts w:hint="eastAsia" w:ascii="宋体" w:hAnsi="宋体" w:eastAsia="宋体" w:cs="宋体"/>
                      <w:color w:val="000000" w:themeColor="text1"/>
                      <w:spacing w:val="6"/>
                      <w:sz w:val="18"/>
                      <w:szCs w:val="18"/>
                      <w14:textFill>
                        <w14:solidFill>
                          <w14:schemeClr w14:val="tx1"/>
                        </w14:solidFill>
                      </w14:textFill>
                    </w:rPr>
                    <w:t>止其污染环境。</w:t>
                  </w:r>
                </w:p>
              </w:tc>
              <w:tc>
                <w:tcPr>
                  <w:tcW w:w="1487" w:type="pct"/>
                  <w:tcBorders>
                    <w:tl2br w:val="nil"/>
                    <w:tr2bl w:val="nil"/>
                  </w:tcBorders>
                  <w:vAlign w:val="center"/>
                </w:tcPr>
                <w:p w14:paraId="0408A51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采取措施减少</w:t>
                  </w:r>
                  <w:r>
                    <w:rPr>
                      <w:rFonts w:hint="eastAsia" w:ascii="宋体" w:hAnsi="宋体" w:eastAsia="宋体" w:cs="宋体"/>
                      <w:color w:val="000000" w:themeColor="text1"/>
                      <w:spacing w:val="9"/>
                      <w:sz w:val="18"/>
                      <w:szCs w:val="18"/>
                      <w:lang w:val="en-US" w:eastAsia="zh-CN"/>
                      <w14:textFill>
                        <w14:solidFill>
                          <w14:schemeClr w14:val="tx1"/>
                        </w14:solidFill>
                      </w14:textFill>
                    </w:rPr>
                    <w:t>污染物产生，避免发生污染环境事件</w:t>
                  </w:r>
                </w:p>
              </w:tc>
              <w:tc>
                <w:tcPr>
                  <w:tcW w:w="211" w:type="pct"/>
                  <w:tcBorders>
                    <w:tl2br w:val="nil"/>
                    <w:tr2bl w:val="nil"/>
                  </w:tcBorders>
                  <w:vAlign w:val="center"/>
                </w:tcPr>
                <w:p w14:paraId="0533183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1FEA9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04" w:hRule="atLeast"/>
              </w:trPr>
              <w:tc>
                <w:tcPr>
                  <w:tcW w:w="229" w:type="pct"/>
                  <w:vMerge w:val="continue"/>
                  <w:tcBorders>
                    <w:tl2br w:val="nil"/>
                    <w:tr2bl w:val="nil"/>
                  </w:tcBorders>
                  <w:vAlign w:val="center"/>
                </w:tcPr>
                <w:p w14:paraId="7A01C2F8">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00378F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危险废物贮存过程产生的液态废物和</w:t>
                  </w:r>
                  <w:r>
                    <w:rPr>
                      <w:rFonts w:hint="eastAsia" w:ascii="宋体" w:hAnsi="宋体" w:eastAsia="宋体" w:cs="宋体"/>
                      <w:color w:val="000000" w:themeColor="text1"/>
                      <w:spacing w:val="8"/>
                      <w:sz w:val="18"/>
                      <w:szCs w:val="18"/>
                      <w14:textFill>
                        <w14:solidFill>
                          <w14:schemeClr w14:val="tx1"/>
                        </w14:solidFill>
                      </w14:textFill>
                    </w:rPr>
                    <w:t>固态废物应分类收集，按其环境管理</w:t>
                  </w:r>
                  <w:r>
                    <w:rPr>
                      <w:rFonts w:hint="eastAsia" w:ascii="宋体" w:hAnsi="宋体" w:eastAsia="宋体" w:cs="宋体"/>
                      <w:color w:val="000000" w:themeColor="text1"/>
                      <w:spacing w:val="6"/>
                      <w:sz w:val="18"/>
                      <w:szCs w:val="18"/>
                      <w14:textFill>
                        <w14:solidFill>
                          <w14:schemeClr w14:val="tx1"/>
                        </w14:solidFill>
                      </w14:textFill>
                    </w:rPr>
                    <w:t>要求妥善处理。</w:t>
                  </w:r>
                </w:p>
              </w:tc>
              <w:tc>
                <w:tcPr>
                  <w:tcW w:w="1487" w:type="pct"/>
                  <w:tcBorders>
                    <w:tl2br w:val="nil"/>
                    <w:tr2bl w:val="nil"/>
                  </w:tcBorders>
                  <w:vAlign w:val="center"/>
                </w:tcPr>
                <w:p w14:paraId="403F3487">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液态废物和</w:t>
                  </w:r>
                  <w:r>
                    <w:rPr>
                      <w:rFonts w:hint="eastAsia" w:ascii="宋体" w:hAnsi="宋体" w:eastAsia="宋体" w:cs="宋体"/>
                      <w:color w:val="000000" w:themeColor="text1"/>
                      <w:spacing w:val="8"/>
                      <w:sz w:val="18"/>
                      <w:szCs w:val="18"/>
                      <w14:textFill>
                        <w14:solidFill>
                          <w14:schemeClr w14:val="tx1"/>
                        </w14:solidFill>
                      </w14:textFill>
                    </w:rPr>
                    <w:t>固态废物应分类收集</w:t>
                  </w:r>
                </w:p>
              </w:tc>
              <w:tc>
                <w:tcPr>
                  <w:tcW w:w="211" w:type="pct"/>
                  <w:tcBorders>
                    <w:tl2br w:val="nil"/>
                    <w:tr2bl w:val="nil"/>
                  </w:tcBorders>
                  <w:vAlign w:val="center"/>
                </w:tcPr>
                <w:p w14:paraId="0EB0726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2BFFA7C">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85" w:hRule="atLeast"/>
              </w:trPr>
              <w:tc>
                <w:tcPr>
                  <w:tcW w:w="229" w:type="pct"/>
                  <w:vMerge w:val="continue"/>
                  <w:tcBorders>
                    <w:tl2br w:val="nil"/>
                    <w:tr2bl w:val="nil"/>
                  </w:tcBorders>
                  <w:vAlign w:val="center"/>
                </w:tcPr>
                <w:p w14:paraId="0F6D59BE">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26B430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贮存设施或场所、容器和包装物应按</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8"/>
                      <w:sz w:val="18"/>
                      <w:szCs w:val="18"/>
                      <w14:textFill>
                        <w14:solidFill>
                          <w14:schemeClr w14:val="tx1"/>
                        </w14:solidFill>
                      </w14:textFill>
                    </w:rPr>
                    <w:t>1276要求设置危险废物贮存设施</w:t>
                  </w:r>
                  <w:r>
                    <w:rPr>
                      <w:rFonts w:hint="eastAsia" w:ascii="宋体" w:hAnsi="宋体" w:eastAsia="宋体" w:cs="宋体"/>
                      <w:color w:val="000000" w:themeColor="text1"/>
                      <w:spacing w:val="9"/>
                      <w:sz w:val="18"/>
                      <w:szCs w:val="18"/>
                      <w14:textFill>
                        <w14:solidFill>
                          <w14:schemeClr w14:val="tx1"/>
                        </w14:solidFill>
                      </w14:textFill>
                    </w:rPr>
                    <w:t>或场所标志、危险废物贮存分区标志和危险废物标签等危险废物识别标</w:t>
                  </w:r>
                  <w:r>
                    <w:rPr>
                      <w:rFonts w:hint="eastAsia" w:ascii="宋体" w:hAnsi="宋体" w:eastAsia="宋体" w:cs="宋体"/>
                      <w:color w:val="000000" w:themeColor="text1"/>
                      <w:spacing w:val="-3"/>
                      <w:sz w:val="18"/>
                      <w:szCs w:val="18"/>
                      <w14:textFill>
                        <w14:solidFill>
                          <w14:schemeClr w14:val="tx1"/>
                        </w14:solidFill>
                      </w14:textFill>
                    </w:rPr>
                    <w:t>志。</w:t>
                  </w:r>
                </w:p>
              </w:tc>
              <w:tc>
                <w:tcPr>
                  <w:tcW w:w="1487" w:type="pct"/>
                  <w:tcBorders>
                    <w:tl2br w:val="nil"/>
                    <w:tr2bl w:val="nil"/>
                  </w:tcBorders>
                  <w:vAlign w:val="center"/>
                </w:tcPr>
                <w:p w14:paraId="2AE0A08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按要求设置。</w:t>
                  </w:r>
                </w:p>
              </w:tc>
              <w:tc>
                <w:tcPr>
                  <w:tcW w:w="211" w:type="pct"/>
                  <w:tcBorders>
                    <w:tl2br w:val="nil"/>
                    <w:tr2bl w:val="nil"/>
                  </w:tcBorders>
                  <w:vAlign w:val="center"/>
                </w:tcPr>
                <w:p w14:paraId="5499EFB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165D323">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795" w:hRule="atLeast"/>
              </w:trPr>
              <w:tc>
                <w:tcPr>
                  <w:tcW w:w="229" w:type="pct"/>
                  <w:vMerge w:val="continue"/>
                  <w:tcBorders>
                    <w:tl2br w:val="nil"/>
                    <w:tr2bl w:val="nil"/>
                  </w:tcBorders>
                  <w:vAlign w:val="center"/>
                </w:tcPr>
                <w:p w14:paraId="38F85A3E">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44A2B8D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8"/>
                      <w:sz w:val="18"/>
                      <w:szCs w:val="18"/>
                      <w14:textFill>
                        <w14:solidFill>
                          <w14:schemeClr w14:val="tx1"/>
                        </w14:solidFill>
                      </w14:textFill>
                    </w:rPr>
                    <w:t>1259规定的危险废物环境重点监</w:t>
                  </w:r>
                  <w:r>
                    <w:rPr>
                      <w:rFonts w:hint="eastAsia" w:ascii="宋体" w:hAnsi="宋体" w:eastAsia="宋体" w:cs="宋体"/>
                      <w:color w:val="000000" w:themeColor="text1"/>
                      <w:spacing w:val="3"/>
                      <w:sz w:val="18"/>
                      <w:szCs w:val="18"/>
                      <w14:textFill>
                        <w14:solidFill>
                          <w14:schemeClr w14:val="tx1"/>
                        </w14:solidFill>
                      </w14:textFill>
                    </w:rPr>
                    <w:t>管单位，应采用电子地磅、电子标签、</w:t>
                  </w:r>
                  <w:r>
                    <w:rPr>
                      <w:rFonts w:hint="eastAsia" w:ascii="宋体" w:hAnsi="宋体" w:eastAsia="宋体" w:cs="宋体"/>
                      <w:color w:val="000000" w:themeColor="text1"/>
                      <w:spacing w:val="7"/>
                      <w:sz w:val="18"/>
                      <w:szCs w:val="18"/>
                      <w14:textFill>
                        <w14:solidFill>
                          <w14:schemeClr w14:val="tx1"/>
                        </w14:solidFill>
                      </w14:textFill>
                    </w:rPr>
                    <w:t>电子管理台账等技术手段对危险废物</w:t>
                  </w:r>
                  <w:r>
                    <w:rPr>
                      <w:rFonts w:hint="eastAsia" w:ascii="宋体" w:hAnsi="宋体" w:eastAsia="宋体" w:cs="宋体"/>
                      <w:color w:val="000000" w:themeColor="text1"/>
                      <w:spacing w:val="9"/>
                      <w:sz w:val="18"/>
                      <w:szCs w:val="18"/>
                      <w14:textFill>
                        <w14:solidFill>
                          <w14:schemeClr w14:val="tx1"/>
                        </w14:solidFill>
                      </w14:textFill>
                    </w:rPr>
                    <w:t>贮存过程进行信息化管理，确保数据完整、真实、准确；采用视频监控的应确保监控画面清晰，视频记录保存</w:t>
                  </w:r>
                  <w:r>
                    <w:rPr>
                      <w:rFonts w:hint="eastAsia" w:ascii="宋体" w:hAnsi="宋体" w:eastAsia="宋体" w:cs="宋体"/>
                      <w:color w:val="000000" w:themeColor="text1"/>
                      <w:spacing w:val="4"/>
                      <w:sz w:val="18"/>
                      <w:szCs w:val="18"/>
                      <w14:textFill>
                        <w14:solidFill>
                          <w14:schemeClr w14:val="tx1"/>
                        </w14:solidFill>
                      </w14:textFill>
                    </w:rPr>
                    <w:t>时间至少为</w:t>
                  </w:r>
                  <w:r>
                    <w:rPr>
                      <w:rFonts w:hint="eastAsia" w:ascii="宋体" w:hAnsi="宋体" w:eastAsia="宋体" w:cs="宋体"/>
                      <w:color w:val="000000" w:themeColor="text1"/>
                      <w:spacing w:val="-32"/>
                      <w:sz w:val="18"/>
                      <w:szCs w:val="18"/>
                      <w14:textFill>
                        <w14:solidFill>
                          <w14:schemeClr w14:val="tx1"/>
                        </w14:solidFill>
                      </w14:textFill>
                    </w:rPr>
                    <w:t xml:space="preserve"> </w:t>
                  </w:r>
                  <w:r>
                    <w:rPr>
                      <w:rFonts w:hint="eastAsia" w:ascii="宋体" w:hAnsi="宋体" w:eastAsia="宋体" w:cs="宋体"/>
                      <w:color w:val="000000" w:themeColor="text1"/>
                      <w:spacing w:val="4"/>
                      <w:sz w:val="18"/>
                      <w:szCs w:val="18"/>
                      <w14:textFill>
                        <w14:solidFill>
                          <w14:schemeClr w14:val="tx1"/>
                        </w14:solidFill>
                      </w14:textFill>
                    </w:rPr>
                    <w:t>3个月。</w:t>
                  </w:r>
                </w:p>
              </w:tc>
              <w:tc>
                <w:tcPr>
                  <w:tcW w:w="1487" w:type="pct"/>
                  <w:tcBorders>
                    <w:tl2br w:val="nil"/>
                    <w:tr2bl w:val="nil"/>
                  </w:tcBorders>
                  <w:vAlign w:val="center"/>
                </w:tcPr>
                <w:p w14:paraId="4133033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按照本条要求执行。</w:t>
                  </w:r>
                </w:p>
              </w:tc>
              <w:tc>
                <w:tcPr>
                  <w:tcW w:w="211" w:type="pct"/>
                  <w:tcBorders>
                    <w:tl2br w:val="nil"/>
                    <w:tr2bl w:val="nil"/>
                  </w:tcBorders>
                  <w:vAlign w:val="center"/>
                </w:tcPr>
                <w:p w14:paraId="35F2D007">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p w14:paraId="7AECBBE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p w14:paraId="6FC104B3">
                  <w:pPr>
                    <w:pStyle w:val="119"/>
                    <w:keepNext w:val="0"/>
                    <w:keepLines w:val="0"/>
                    <w:pageBreakBefore w:val="0"/>
                    <w:widowControl/>
                    <w:tabs>
                      <w:tab w:val="left" w:pos="420"/>
                    </w:tabs>
                    <w:kinsoku/>
                    <w:wordWrap/>
                    <w:overflowPunct w:val="0"/>
                    <w:topLinePunct w:val="0"/>
                    <w:autoSpaceDE w:val="0"/>
                    <w:autoSpaceDN w:val="0"/>
                    <w:bidi w:val="0"/>
                    <w:adjustRightInd w:val="0"/>
                    <w:snapToGrid w:val="0"/>
                    <w:spacing w:line="240" w:lineRule="atLeast"/>
                    <w:ind w:right="-72" w:right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不适</w:t>
                  </w:r>
                  <w:r>
                    <w:rPr>
                      <w:rFonts w:hint="eastAsia" w:ascii="宋体" w:hAnsi="宋体" w:eastAsia="宋体" w:cs="宋体"/>
                      <w:color w:val="000000" w:themeColor="text1"/>
                      <w:sz w:val="18"/>
                      <w:szCs w:val="18"/>
                      <w14:textFill>
                        <w14:solidFill>
                          <w14:schemeClr w14:val="tx1"/>
                        </w14:solidFill>
                      </w14:textFill>
                    </w:rPr>
                    <w:t>用</w:t>
                  </w:r>
                </w:p>
              </w:tc>
            </w:tr>
            <w:tr w14:paraId="323691E8">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767" w:hRule="atLeast"/>
              </w:trPr>
              <w:tc>
                <w:tcPr>
                  <w:tcW w:w="229" w:type="pct"/>
                  <w:vMerge w:val="continue"/>
                  <w:tcBorders>
                    <w:tl2br w:val="nil"/>
                    <w:tr2bl w:val="nil"/>
                  </w:tcBorders>
                  <w:vAlign w:val="center"/>
                </w:tcPr>
                <w:p w14:paraId="78FBCC9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1E4E2E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1487" w:type="pct"/>
                  <w:tcBorders>
                    <w:tl2br w:val="nil"/>
                    <w:tr2bl w:val="nil"/>
                  </w:tcBorders>
                  <w:vAlign w:val="center"/>
                </w:tcPr>
                <w:p w14:paraId="3C0EB43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按照本条要求执行。</w:t>
                  </w:r>
                </w:p>
              </w:tc>
              <w:tc>
                <w:tcPr>
                  <w:tcW w:w="211" w:type="pct"/>
                  <w:tcBorders>
                    <w:tl2br w:val="nil"/>
                    <w:tr2bl w:val="nil"/>
                  </w:tcBorders>
                  <w:vAlign w:val="center"/>
                </w:tcPr>
                <w:p w14:paraId="18A78A7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EDCF5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19" w:hRule="atLeast"/>
              </w:trPr>
              <w:tc>
                <w:tcPr>
                  <w:tcW w:w="229" w:type="pct"/>
                  <w:vMerge w:val="continue"/>
                  <w:tcBorders>
                    <w:tl2br w:val="nil"/>
                    <w:tr2bl w:val="nil"/>
                  </w:tcBorders>
                  <w:vAlign w:val="center"/>
                </w:tcPr>
                <w:p w14:paraId="2A0C7AF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2373727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在常温常压下易爆、易燃及排出有毒气体的危险废物应进行预处理，使之稳定后贮存，否则应按易爆、易燃危</w:t>
                  </w:r>
                  <w:r>
                    <w:rPr>
                      <w:rFonts w:hint="eastAsia" w:ascii="宋体" w:hAnsi="宋体" w:eastAsia="宋体" w:cs="宋体"/>
                      <w:color w:val="000000" w:themeColor="text1"/>
                      <w:spacing w:val="4"/>
                      <w:sz w:val="18"/>
                      <w:szCs w:val="18"/>
                      <w14:textFill>
                        <w14:solidFill>
                          <w14:schemeClr w14:val="tx1"/>
                        </w14:solidFill>
                      </w14:textFill>
                    </w:rPr>
                    <w:t>险品贮存</w:t>
                  </w:r>
                </w:p>
              </w:tc>
              <w:tc>
                <w:tcPr>
                  <w:tcW w:w="1487" w:type="pct"/>
                  <w:tcBorders>
                    <w:tl2br w:val="nil"/>
                    <w:tr2bl w:val="nil"/>
                  </w:tcBorders>
                  <w:vAlign w:val="center"/>
                </w:tcPr>
                <w:p w14:paraId="00B36E0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常温常压下无易爆、</w:t>
                  </w:r>
                  <w:r>
                    <w:rPr>
                      <w:rFonts w:hint="eastAsia" w:ascii="宋体" w:hAnsi="宋体" w:eastAsia="宋体" w:cs="宋体"/>
                      <w:color w:val="000000" w:themeColor="text1"/>
                      <w:spacing w:val="6"/>
                      <w:sz w:val="18"/>
                      <w:szCs w:val="18"/>
                      <w14:textFill>
                        <w14:solidFill>
                          <w14:schemeClr w14:val="tx1"/>
                        </w14:solidFill>
                      </w14:textFill>
                    </w:rPr>
                    <w:t>易燃及排出有毒气</w:t>
                  </w:r>
                  <w:r>
                    <w:rPr>
                      <w:rFonts w:hint="eastAsia" w:ascii="宋体" w:hAnsi="宋体" w:eastAsia="宋体" w:cs="宋体"/>
                      <w:color w:val="000000" w:themeColor="text1"/>
                      <w:spacing w:val="7"/>
                      <w:sz w:val="18"/>
                      <w:szCs w:val="18"/>
                      <w14:textFill>
                        <w14:solidFill>
                          <w14:schemeClr w14:val="tx1"/>
                        </w14:solidFill>
                      </w14:textFill>
                    </w:rPr>
                    <w:t>体的危险废物。</w:t>
                  </w:r>
                </w:p>
              </w:tc>
              <w:tc>
                <w:tcPr>
                  <w:tcW w:w="211" w:type="pct"/>
                  <w:tcBorders>
                    <w:tl2br w:val="nil"/>
                    <w:tr2bl w:val="nil"/>
                  </w:tcBorders>
                  <w:vAlign w:val="center"/>
                </w:tcPr>
                <w:p w14:paraId="3D3DFC96">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DFE7CCA">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94" w:hRule="atLeast"/>
              </w:trPr>
              <w:tc>
                <w:tcPr>
                  <w:tcW w:w="229" w:type="pct"/>
                  <w:vMerge w:val="continue"/>
                  <w:tcBorders>
                    <w:tl2br w:val="nil"/>
                    <w:tr2bl w:val="nil"/>
                  </w:tcBorders>
                  <w:vAlign w:val="center"/>
                </w:tcPr>
                <w:p w14:paraId="49508DE7">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3046933B">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危险废物贮存除应满足环境保护相关要求外，还应执行国家安全生产、职业健康、交通运输、消防等法律法规</w:t>
                  </w:r>
                  <w:r>
                    <w:rPr>
                      <w:rFonts w:hint="eastAsia" w:ascii="宋体" w:hAnsi="宋体" w:eastAsia="宋体" w:cs="宋体"/>
                      <w:color w:val="000000" w:themeColor="text1"/>
                      <w:spacing w:val="7"/>
                      <w:sz w:val="18"/>
                      <w:szCs w:val="18"/>
                      <w14:textFill>
                        <w14:solidFill>
                          <w14:schemeClr w14:val="tx1"/>
                        </w14:solidFill>
                      </w14:textFill>
                    </w:rPr>
                    <w:t>和标准的相关要求。</w:t>
                  </w:r>
                </w:p>
              </w:tc>
              <w:tc>
                <w:tcPr>
                  <w:tcW w:w="1487" w:type="pct"/>
                  <w:tcBorders>
                    <w:tl2br w:val="nil"/>
                    <w:tr2bl w:val="nil"/>
                  </w:tcBorders>
                  <w:vAlign w:val="center"/>
                </w:tcPr>
                <w:p w14:paraId="109BCEE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按国家安全生产、职</w:t>
                  </w:r>
                  <w:r>
                    <w:rPr>
                      <w:rFonts w:hint="eastAsia" w:ascii="宋体" w:hAnsi="宋体" w:eastAsia="宋体" w:cs="宋体"/>
                      <w:color w:val="000000" w:themeColor="text1"/>
                      <w:spacing w:val="7"/>
                      <w:sz w:val="18"/>
                      <w:szCs w:val="18"/>
                      <w14:textFill>
                        <w14:solidFill>
                          <w14:schemeClr w14:val="tx1"/>
                        </w14:solidFill>
                      </w14:textFill>
                    </w:rPr>
                    <w:t>业健康、交通运输、</w:t>
                  </w:r>
                  <w:r>
                    <w:rPr>
                      <w:rFonts w:hint="eastAsia" w:ascii="宋体" w:hAnsi="宋体" w:eastAsia="宋体" w:cs="宋体"/>
                      <w:color w:val="000000" w:themeColor="text1"/>
                      <w:spacing w:val="8"/>
                      <w:sz w:val="18"/>
                      <w:szCs w:val="18"/>
                      <w14:textFill>
                        <w14:solidFill>
                          <w14:schemeClr w14:val="tx1"/>
                        </w14:solidFill>
                      </w14:textFill>
                    </w:rPr>
                    <w:t>消防等法律法规和标准的相关要求执</w:t>
                  </w:r>
                  <w:r>
                    <w:rPr>
                      <w:rFonts w:hint="eastAsia" w:ascii="宋体" w:hAnsi="宋体" w:eastAsia="宋体" w:cs="宋体"/>
                      <w:color w:val="000000" w:themeColor="text1"/>
                      <w:spacing w:val="-2"/>
                      <w:sz w:val="18"/>
                      <w:szCs w:val="18"/>
                      <w14:textFill>
                        <w14:solidFill>
                          <w14:schemeClr w14:val="tx1"/>
                        </w14:solidFill>
                      </w14:textFill>
                    </w:rPr>
                    <w:t>行。</w:t>
                  </w:r>
                </w:p>
              </w:tc>
              <w:tc>
                <w:tcPr>
                  <w:tcW w:w="211" w:type="pct"/>
                  <w:tcBorders>
                    <w:tl2br w:val="nil"/>
                    <w:tr2bl w:val="nil"/>
                  </w:tcBorders>
                  <w:vAlign w:val="center"/>
                </w:tcPr>
                <w:p w14:paraId="0FFE811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B1B4909">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7C452828">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76F9A52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2094"/>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二、贮存设施选址要求</w:t>
                  </w:r>
                </w:p>
              </w:tc>
            </w:tr>
            <w:tr w14:paraId="692ECBD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615" w:hRule="atLeast"/>
              </w:trPr>
              <w:tc>
                <w:tcPr>
                  <w:tcW w:w="229" w:type="pct"/>
                  <w:vMerge w:val="continue"/>
                  <w:tcBorders>
                    <w:tl2br w:val="nil"/>
                    <w:tr2bl w:val="nil"/>
                  </w:tcBorders>
                  <w:vAlign w:val="center"/>
                </w:tcPr>
                <w:p w14:paraId="090244AC">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338DA43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贮存设施选址应满足生态环境保护法</w:t>
                  </w:r>
                  <w:r>
                    <w:rPr>
                      <w:rFonts w:hint="eastAsia" w:ascii="宋体" w:hAnsi="宋体" w:eastAsia="宋体" w:cs="宋体"/>
                      <w:color w:val="000000" w:themeColor="text1"/>
                      <w:spacing w:val="8"/>
                      <w:sz w:val="18"/>
                      <w:szCs w:val="18"/>
                      <w14:textFill>
                        <w14:solidFill>
                          <w14:schemeClr w14:val="tx1"/>
                        </w14:solidFill>
                      </w14:textFill>
                    </w:rPr>
                    <w:t>律法规、规划和“三线一单”生态环境</w:t>
                  </w:r>
                  <w:r>
                    <w:rPr>
                      <w:rFonts w:hint="eastAsia" w:ascii="宋体" w:hAnsi="宋体" w:eastAsia="宋体" w:cs="宋体"/>
                      <w:color w:val="000000" w:themeColor="text1"/>
                      <w:spacing w:val="9"/>
                      <w:sz w:val="18"/>
                      <w:szCs w:val="18"/>
                      <w14:textFill>
                        <w14:solidFill>
                          <w14:schemeClr w14:val="tx1"/>
                        </w14:solidFill>
                      </w14:textFill>
                    </w:rPr>
                    <w:t>分区管控的要求，建设项目应依法进</w:t>
                  </w:r>
                  <w:r>
                    <w:rPr>
                      <w:rFonts w:hint="eastAsia" w:ascii="宋体" w:hAnsi="宋体" w:eastAsia="宋体" w:cs="宋体"/>
                      <w:color w:val="000000" w:themeColor="text1"/>
                      <w:spacing w:val="8"/>
                      <w:sz w:val="18"/>
                      <w:szCs w:val="18"/>
                      <w14:textFill>
                        <w14:solidFill>
                          <w14:schemeClr w14:val="tx1"/>
                        </w14:solidFill>
                      </w14:textFill>
                    </w:rPr>
                    <w:t>行环境影响评价</w:t>
                  </w:r>
                </w:p>
              </w:tc>
              <w:tc>
                <w:tcPr>
                  <w:tcW w:w="1487" w:type="pct"/>
                  <w:tcBorders>
                    <w:tl2br w:val="nil"/>
                    <w:tr2bl w:val="nil"/>
                  </w:tcBorders>
                  <w:vAlign w:val="center"/>
                </w:tcPr>
                <w:p w14:paraId="1F371E8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本项目符合生态环</w:t>
                  </w:r>
                  <w:r>
                    <w:rPr>
                      <w:rFonts w:hint="eastAsia" w:ascii="宋体" w:hAnsi="宋体" w:eastAsia="宋体" w:cs="宋体"/>
                      <w:color w:val="000000" w:themeColor="text1"/>
                      <w:spacing w:val="-2"/>
                      <w:sz w:val="18"/>
                      <w:szCs w:val="18"/>
                      <w14:textFill>
                        <w14:solidFill>
                          <w14:schemeClr w14:val="tx1"/>
                        </w14:solidFill>
                      </w14:textFill>
                    </w:rPr>
                    <w:t>境保护法律法规、规</w:t>
                  </w:r>
                  <w:r>
                    <w:rPr>
                      <w:rFonts w:hint="eastAsia" w:ascii="宋体" w:hAnsi="宋体" w:eastAsia="宋体" w:cs="宋体"/>
                      <w:color w:val="000000" w:themeColor="text1"/>
                      <w:spacing w:val="9"/>
                      <w:sz w:val="18"/>
                      <w:szCs w:val="18"/>
                      <w14:textFill>
                        <w14:solidFill>
                          <w14:schemeClr w14:val="tx1"/>
                        </w14:solidFill>
                      </w14:textFill>
                    </w:rPr>
                    <w:t>划以及省市三线一</w:t>
                  </w:r>
                  <w:r>
                    <w:rPr>
                      <w:rFonts w:hint="eastAsia" w:ascii="宋体" w:hAnsi="宋体" w:eastAsia="宋体" w:cs="宋体"/>
                      <w:color w:val="000000" w:themeColor="text1"/>
                      <w:spacing w:val="4"/>
                      <w:sz w:val="18"/>
                      <w:szCs w:val="18"/>
                      <w14:textFill>
                        <w14:solidFill>
                          <w14:schemeClr w14:val="tx1"/>
                        </w14:solidFill>
                      </w14:textFill>
                    </w:rPr>
                    <w:t>单要求。</w:t>
                  </w:r>
                </w:p>
              </w:tc>
              <w:tc>
                <w:tcPr>
                  <w:tcW w:w="211" w:type="pct"/>
                  <w:tcBorders>
                    <w:tl2br w:val="nil"/>
                    <w:tr2bl w:val="nil"/>
                  </w:tcBorders>
                  <w:vAlign w:val="center"/>
                </w:tcPr>
                <w:p w14:paraId="09D5259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143C9BA">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29" w:hRule="atLeast"/>
              </w:trPr>
              <w:tc>
                <w:tcPr>
                  <w:tcW w:w="229" w:type="pct"/>
                  <w:vMerge w:val="continue"/>
                  <w:tcBorders>
                    <w:tl2br w:val="nil"/>
                    <w:tr2bl w:val="nil"/>
                  </w:tcBorders>
                  <w:vAlign w:val="center"/>
                </w:tcPr>
                <w:p w14:paraId="14FD619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B7A3AD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集中贮存设施不应选在生态保护红线</w:t>
                  </w:r>
                  <w:r>
                    <w:rPr>
                      <w:rFonts w:hint="eastAsia" w:ascii="宋体" w:hAnsi="宋体" w:eastAsia="宋体" w:cs="宋体"/>
                      <w:color w:val="000000" w:themeColor="text1"/>
                      <w:spacing w:val="8"/>
                      <w:sz w:val="18"/>
                      <w:szCs w:val="18"/>
                      <w14:textFill>
                        <w14:solidFill>
                          <w14:schemeClr w14:val="tx1"/>
                        </w14:solidFill>
                      </w14:textFill>
                    </w:rPr>
                    <w:t>区域、永久基本农田和其他需要特别</w:t>
                  </w:r>
                  <w:r>
                    <w:rPr>
                      <w:rFonts w:hint="eastAsia" w:ascii="宋体" w:hAnsi="宋体" w:eastAsia="宋体" w:cs="宋体"/>
                      <w:color w:val="000000" w:themeColor="text1"/>
                      <w:spacing w:val="9"/>
                      <w:sz w:val="18"/>
                      <w:szCs w:val="18"/>
                      <w14:textFill>
                        <w14:solidFill>
                          <w14:schemeClr w14:val="tx1"/>
                        </w14:solidFill>
                      </w14:textFill>
                    </w:rPr>
                    <w:t>保护的区域内，不应建在溶洞区或易遭受洪水、滑坡、泥石流、潮汐等严</w:t>
                  </w:r>
                  <w:r>
                    <w:rPr>
                      <w:rFonts w:hint="eastAsia" w:ascii="宋体" w:hAnsi="宋体" w:eastAsia="宋体" w:cs="宋体"/>
                      <w:color w:val="000000" w:themeColor="text1"/>
                      <w:spacing w:val="8"/>
                      <w:sz w:val="18"/>
                      <w:szCs w:val="18"/>
                      <w14:textFill>
                        <w14:solidFill>
                          <w14:schemeClr w14:val="tx1"/>
                        </w14:solidFill>
                      </w14:textFill>
                    </w:rPr>
                    <w:t>重自然灾害影响的地区</w:t>
                  </w:r>
                </w:p>
              </w:tc>
              <w:tc>
                <w:tcPr>
                  <w:tcW w:w="1487" w:type="pct"/>
                  <w:vMerge w:val="restart"/>
                  <w:tcBorders>
                    <w:tl2br w:val="nil"/>
                    <w:tr2bl w:val="nil"/>
                  </w:tcBorders>
                  <w:vAlign w:val="center"/>
                </w:tcPr>
                <w:p w14:paraId="6CED316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9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本项目占地性质为</w:t>
                  </w:r>
                  <w:r>
                    <w:rPr>
                      <w:rFonts w:hint="eastAsia" w:ascii="宋体" w:hAnsi="宋体" w:eastAsia="宋体" w:cs="宋体"/>
                      <w:color w:val="000000" w:themeColor="text1"/>
                      <w:spacing w:val="-2"/>
                      <w:sz w:val="18"/>
                      <w:szCs w:val="18"/>
                      <w14:textFill>
                        <w14:solidFill>
                          <w14:schemeClr w14:val="tx1"/>
                        </w14:solidFill>
                      </w14:textFill>
                    </w:rPr>
                    <w:t>工业用地，不属于以</w:t>
                  </w:r>
                  <w:r>
                    <w:rPr>
                      <w:rFonts w:hint="eastAsia" w:ascii="宋体" w:hAnsi="宋体" w:eastAsia="宋体" w:cs="宋体"/>
                      <w:color w:val="000000" w:themeColor="text1"/>
                      <w:spacing w:val="14"/>
                      <w:sz w:val="18"/>
                      <w:szCs w:val="18"/>
                      <w14:textFill>
                        <w14:solidFill>
                          <w14:schemeClr w14:val="tx1"/>
                        </w14:solidFill>
                      </w14:textFill>
                    </w:rPr>
                    <w:t>上禁止建设区域。</w:t>
                  </w:r>
                </w:p>
              </w:tc>
              <w:tc>
                <w:tcPr>
                  <w:tcW w:w="211" w:type="pct"/>
                  <w:tcBorders>
                    <w:tl2br w:val="nil"/>
                    <w:tr2bl w:val="nil"/>
                  </w:tcBorders>
                  <w:vAlign w:val="center"/>
                </w:tcPr>
                <w:p w14:paraId="238219D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9EED95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94" w:hRule="atLeast"/>
              </w:trPr>
              <w:tc>
                <w:tcPr>
                  <w:tcW w:w="229" w:type="pct"/>
                  <w:vMerge w:val="continue"/>
                  <w:tcBorders>
                    <w:tl2br w:val="nil"/>
                    <w:tr2bl w:val="nil"/>
                  </w:tcBorders>
                  <w:vAlign w:val="center"/>
                </w:tcPr>
                <w:p w14:paraId="6FDBB24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EBB2FB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6"/>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贮存设施不应选在江河、湖泊、运河、</w:t>
                  </w:r>
                  <w:r>
                    <w:rPr>
                      <w:rFonts w:hint="eastAsia" w:ascii="宋体" w:hAnsi="宋体" w:eastAsia="宋体" w:cs="宋体"/>
                      <w:color w:val="000000" w:themeColor="text1"/>
                      <w:spacing w:val="9"/>
                      <w:sz w:val="18"/>
                      <w:szCs w:val="18"/>
                      <w14:textFill>
                        <w14:solidFill>
                          <w14:schemeClr w14:val="tx1"/>
                        </w14:solidFill>
                      </w14:textFill>
                    </w:rPr>
                    <w:t>渠道、水库及其最高水位线以下的滩地和岸坡，以及法律法规规定禁止贮</w:t>
                  </w:r>
                  <w:r>
                    <w:rPr>
                      <w:rFonts w:hint="eastAsia" w:ascii="宋体" w:hAnsi="宋体" w:eastAsia="宋体" w:cs="宋体"/>
                      <w:color w:val="000000" w:themeColor="text1"/>
                      <w:spacing w:val="8"/>
                      <w:sz w:val="18"/>
                      <w:szCs w:val="18"/>
                      <w14:textFill>
                        <w14:solidFill>
                          <w14:schemeClr w14:val="tx1"/>
                        </w14:solidFill>
                      </w14:textFill>
                    </w:rPr>
                    <w:t>存危险废物的其他地点。</w:t>
                  </w:r>
                </w:p>
              </w:tc>
              <w:tc>
                <w:tcPr>
                  <w:tcW w:w="1487" w:type="pct"/>
                  <w:vMerge w:val="continue"/>
                  <w:tcBorders>
                    <w:tl2br w:val="nil"/>
                    <w:tr2bl w:val="nil"/>
                  </w:tcBorders>
                  <w:vAlign w:val="center"/>
                </w:tcPr>
                <w:p w14:paraId="00DD4F23">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11" w:type="pct"/>
                  <w:tcBorders>
                    <w:tl2br w:val="nil"/>
                    <w:tr2bl w:val="nil"/>
                  </w:tcBorders>
                  <w:vAlign w:val="center"/>
                </w:tcPr>
                <w:p w14:paraId="59826E8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0B7AFE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2D208FD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22CD018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882"/>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三、贮存设施污染控制要求</w:t>
                  </w:r>
                </w:p>
              </w:tc>
            </w:tr>
            <w:tr w14:paraId="582B171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46C132D4">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4A23B7A7">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384"/>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一般规定</w:t>
                  </w:r>
                </w:p>
              </w:tc>
              <w:tc>
                <w:tcPr>
                  <w:tcW w:w="1487" w:type="pct"/>
                  <w:tcBorders>
                    <w:tl2br w:val="nil"/>
                    <w:tr2bl w:val="nil"/>
                  </w:tcBorders>
                  <w:vAlign w:val="center"/>
                </w:tcPr>
                <w:p w14:paraId="78D73D5F">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11" w:type="pct"/>
                  <w:tcBorders>
                    <w:tl2br w:val="nil"/>
                    <w:tr2bl w:val="nil"/>
                  </w:tcBorders>
                  <w:vAlign w:val="center"/>
                </w:tcPr>
                <w:p w14:paraId="0EF96404">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r>
            <w:tr w14:paraId="518C4CDA">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02" w:hRule="atLeast"/>
              </w:trPr>
              <w:tc>
                <w:tcPr>
                  <w:tcW w:w="229" w:type="pct"/>
                  <w:vMerge w:val="continue"/>
                  <w:tcBorders>
                    <w:tl2br w:val="nil"/>
                    <w:tr2bl w:val="nil"/>
                  </w:tcBorders>
                  <w:vAlign w:val="center"/>
                </w:tcPr>
                <w:p w14:paraId="50E61A88">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0E2DA00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32"/>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贮存设施应根据危险废物的形态、物</w:t>
                  </w:r>
                  <w:r>
                    <w:rPr>
                      <w:rFonts w:hint="eastAsia" w:ascii="宋体" w:hAnsi="宋体" w:eastAsia="宋体" w:cs="宋体"/>
                      <w:color w:val="000000" w:themeColor="text1"/>
                      <w:spacing w:val="10"/>
                      <w:sz w:val="18"/>
                      <w:szCs w:val="18"/>
                      <w14:textFill>
                        <w14:solidFill>
                          <w14:schemeClr w14:val="tx1"/>
                        </w14:solidFill>
                      </w14:textFill>
                    </w:rPr>
                    <w:t>理化学性质、包装形式和污染物迁移</w:t>
                  </w:r>
                  <w:r>
                    <w:rPr>
                      <w:rFonts w:hint="eastAsia" w:ascii="宋体" w:hAnsi="宋体" w:eastAsia="宋体" w:cs="宋体"/>
                      <w:color w:val="000000" w:themeColor="text1"/>
                      <w:spacing w:val="2"/>
                      <w:sz w:val="18"/>
                      <w:szCs w:val="18"/>
                      <w14:textFill>
                        <w14:solidFill>
                          <w14:schemeClr w14:val="tx1"/>
                        </w14:solidFill>
                      </w14:textFill>
                    </w:rPr>
                    <w:t>途径，采取必要的防风、防晒、防雨、</w:t>
                  </w:r>
                  <w:r>
                    <w:rPr>
                      <w:rFonts w:hint="eastAsia" w:ascii="宋体" w:hAnsi="宋体" w:eastAsia="宋体" w:cs="宋体"/>
                      <w:color w:val="000000" w:themeColor="text1"/>
                      <w:spacing w:val="10"/>
                      <w:sz w:val="18"/>
                      <w:szCs w:val="18"/>
                      <w14:textFill>
                        <w14:solidFill>
                          <w14:schemeClr w14:val="tx1"/>
                        </w14:solidFill>
                      </w14:textFill>
                    </w:rPr>
                    <w:t>防漏、防渗、防腐以及其他环境污染</w:t>
                  </w:r>
                  <w:r>
                    <w:rPr>
                      <w:rFonts w:hint="eastAsia" w:ascii="宋体" w:hAnsi="宋体" w:eastAsia="宋体" w:cs="宋体"/>
                      <w:color w:val="000000" w:themeColor="text1"/>
                      <w:spacing w:val="9"/>
                      <w:sz w:val="18"/>
                      <w:szCs w:val="18"/>
                      <w14:textFill>
                        <w14:solidFill>
                          <w14:schemeClr w14:val="tx1"/>
                        </w14:solidFill>
                      </w14:textFill>
                    </w:rPr>
                    <w:t>防治措施，不应露天堆放危险废物。</w:t>
                  </w:r>
                </w:p>
              </w:tc>
              <w:tc>
                <w:tcPr>
                  <w:tcW w:w="1487" w:type="pct"/>
                  <w:tcBorders>
                    <w:tl2br w:val="nil"/>
                    <w:tr2bl w:val="nil"/>
                  </w:tcBorders>
                  <w:vAlign w:val="center"/>
                </w:tcPr>
                <w:p w14:paraId="7CD88337">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27"/>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本项目危险废物均</w:t>
                  </w:r>
                  <w:r>
                    <w:rPr>
                      <w:rFonts w:hint="eastAsia" w:ascii="宋体" w:hAnsi="宋体" w:eastAsia="宋体" w:cs="宋体"/>
                      <w:color w:val="000000" w:themeColor="text1"/>
                      <w:spacing w:val="-2"/>
                      <w:sz w:val="18"/>
                      <w:szCs w:val="18"/>
                      <w14:textFill>
                        <w14:solidFill>
                          <w14:schemeClr w14:val="tx1"/>
                        </w14:solidFill>
                      </w14:textFill>
                    </w:rPr>
                    <w:t>暂存于室内，能够做</w:t>
                  </w:r>
                  <w:r>
                    <w:rPr>
                      <w:rFonts w:hint="eastAsia" w:ascii="宋体" w:hAnsi="宋体" w:eastAsia="宋体" w:cs="宋体"/>
                      <w:color w:val="000000" w:themeColor="text1"/>
                      <w:spacing w:val="-15"/>
                      <w:sz w:val="18"/>
                      <w:szCs w:val="18"/>
                      <w14:textFill>
                        <w14:solidFill>
                          <w14:schemeClr w14:val="tx1"/>
                        </w14:solidFill>
                      </w14:textFill>
                    </w:rPr>
                    <w:t>到防风、防晒、防雨、</w:t>
                  </w:r>
                  <w:r>
                    <w:rPr>
                      <w:rFonts w:hint="eastAsia" w:ascii="宋体" w:hAnsi="宋体" w:eastAsia="宋体" w:cs="宋体"/>
                      <w:color w:val="000000" w:themeColor="text1"/>
                      <w:spacing w:val="4"/>
                      <w:sz w:val="18"/>
                      <w:szCs w:val="18"/>
                      <w14:textFill>
                        <w14:solidFill>
                          <w14:schemeClr w14:val="tx1"/>
                        </w14:solidFill>
                      </w14:textFill>
                    </w:rPr>
                    <w:t>防漏、防渗、防腐。</w:t>
                  </w:r>
                </w:p>
              </w:tc>
              <w:tc>
                <w:tcPr>
                  <w:tcW w:w="211" w:type="pct"/>
                  <w:tcBorders>
                    <w:tl2br w:val="nil"/>
                    <w:tr2bl w:val="nil"/>
                  </w:tcBorders>
                  <w:vAlign w:val="center"/>
                </w:tcPr>
                <w:p w14:paraId="5E72416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89096E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35" w:hRule="atLeast"/>
              </w:trPr>
              <w:tc>
                <w:tcPr>
                  <w:tcW w:w="229" w:type="pct"/>
                  <w:vMerge w:val="continue"/>
                  <w:tcBorders>
                    <w:tl2br w:val="nil"/>
                    <w:tr2bl w:val="nil"/>
                  </w:tcBorders>
                  <w:vAlign w:val="center"/>
                </w:tcPr>
                <w:p w14:paraId="42DB9DF7">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0730E9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贮存设施应根据危险废物的类别、数量、形态、物理化学性质和污染防治等要求设置必要的贮存分区，避免不</w:t>
                  </w:r>
                  <w:r>
                    <w:rPr>
                      <w:rFonts w:hint="eastAsia" w:ascii="宋体" w:hAnsi="宋体" w:eastAsia="宋体" w:cs="宋体"/>
                      <w:color w:val="000000" w:themeColor="text1"/>
                      <w:spacing w:val="8"/>
                      <w:sz w:val="18"/>
                      <w:szCs w:val="18"/>
                      <w14:textFill>
                        <w14:solidFill>
                          <w14:schemeClr w14:val="tx1"/>
                        </w14:solidFill>
                      </w14:textFill>
                    </w:rPr>
                    <w:t>相容的危险废物接触、混合。</w:t>
                  </w:r>
                </w:p>
              </w:tc>
              <w:tc>
                <w:tcPr>
                  <w:tcW w:w="1487" w:type="pct"/>
                  <w:tcBorders>
                    <w:tl2br w:val="nil"/>
                    <w:tr2bl w:val="nil"/>
                  </w:tcBorders>
                  <w:vAlign w:val="center"/>
                </w:tcPr>
                <w:p w14:paraId="3B1347A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本项目各类危废分</w:t>
                  </w:r>
                  <w:r>
                    <w:rPr>
                      <w:rFonts w:hint="eastAsia" w:ascii="宋体" w:hAnsi="宋体" w:eastAsia="宋体" w:cs="宋体"/>
                      <w:color w:val="000000" w:themeColor="text1"/>
                      <w:spacing w:val="7"/>
                      <w:sz w:val="18"/>
                      <w:szCs w:val="18"/>
                      <w14:textFill>
                        <w14:solidFill>
                          <w14:schemeClr w14:val="tx1"/>
                        </w14:solidFill>
                      </w14:textFill>
                    </w:rPr>
                    <w:t>别收集，</w:t>
                  </w:r>
                  <w:r>
                    <w:rPr>
                      <w:rFonts w:hint="eastAsia" w:ascii="宋体" w:hAnsi="宋体" w:eastAsia="宋体" w:cs="宋体"/>
                      <w:color w:val="000000" w:themeColor="text1"/>
                      <w:spacing w:val="7"/>
                      <w:sz w:val="18"/>
                      <w:szCs w:val="18"/>
                      <w:highlight w:val="none"/>
                      <w14:textFill>
                        <w14:solidFill>
                          <w14:schemeClr w14:val="tx1"/>
                        </w14:solidFill>
                      </w14:textFill>
                    </w:rPr>
                    <w:t>分类贮存，</w:t>
                  </w:r>
                  <w:r>
                    <w:rPr>
                      <w:rFonts w:hint="eastAsia" w:ascii="宋体" w:hAnsi="宋体" w:eastAsia="宋体" w:cs="宋体"/>
                      <w:color w:val="000000" w:themeColor="text1"/>
                      <w:spacing w:val="8"/>
                      <w:sz w:val="18"/>
                      <w:szCs w:val="18"/>
                      <w:highlight w:val="none"/>
                      <w14:textFill>
                        <w14:solidFill>
                          <w14:schemeClr w14:val="tx1"/>
                        </w14:solidFill>
                      </w14:textFill>
                    </w:rPr>
                    <w:t>其中废铅</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酸</w:t>
                  </w:r>
                  <w:r>
                    <w:rPr>
                      <w:rFonts w:hint="eastAsia" w:ascii="宋体" w:hAnsi="宋体" w:eastAsia="宋体" w:cs="宋体"/>
                      <w:color w:val="000000" w:themeColor="text1"/>
                      <w:spacing w:val="8"/>
                      <w:sz w:val="18"/>
                      <w:szCs w:val="18"/>
                      <w:highlight w:val="none"/>
                      <w14:textFill>
                        <w14:solidFill>
                          <w14:schemeClr w14:val="tx1"/>
                        </w14:solidFill>
                      </w14:textFill>
                    </w:rPr>
                    <w:t>电池</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和动力蓄电池均</w:t>
                  </w:r>
                  <w:r>
                    <w:rPr>
                      <w:rFonts w:hint="eastAsia" w:ascii="宋体" w:hAnsi="宋体" w:eastAsia="宋体" w:cs="宋体"/>
                      <w:color w:val="000000" w:themeColor="text1"/>
                      <w:spacing w:val="8"/>
                      <w:sz w:val="18"/>
                      <w:szCs w:val="18"/>
                      <w:highlight w:val="none"/>
                      <w14:textFill>
                        <w14:solidFill>
                          <w14:schemeClr w14:val="tx1"/>
                        </w14:solidFill>
                      </w14:textFill>
                    </w:rPr>
                    <w:t>单独在</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相应的</w:t>
                  </w:r>
                  <w:r>
                    <w:rPr>
                      <w:rFonts w:hint="eastAsia" w:ascii="宋体" w:hAnsi="宋体" w:eastAsia="宋体" w:cs="宋体"/>
                      <w:color w:val="000000" w:themeColor="text1"/>
                      <w:spacing w:val="8"/>
                      <w:sz w:val="18"/>
                      <w:szCs w:val="18"/>
                      <w:highlight w:val="none"/>
                      <w14:textFill>
                        <w14:solidFill>
                          <w14:schemeClr w14:val="tx1"/>
                        </w14:solidFill>
                      </w14:textFill>
                    </w:rPr>
                    <w:t>废电池</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2"/>
                      <w:sz w:val="18"/>
                      <w:szCs w:val="18"/>
                      <w:highlight w:val="none"/>
                      <w14:textFill>
                        <w14:solidFill>
                          <w14:schemeClr w14:val="tx1"/>
                        </w14:solidFill>
                      </w14:textFill>
                    </w:rPr>
                    <w:t>内暂存，废电路</w:t>
                  </w:r>
                  <w:r>
                    <w:rPr>
                      <w:rFonts w:hint="eastAsia" w:ascii="宋体" w:hAnsi="宋体" w:eastAsia="宋体" w:cs="宋体"/>
                      <w:color w:val="000000" w:themeColor="text1"/>
                      <w:spacing w:val="8"/>
                      <w:sz w:val="18"/>
                      <w:szCs w:val="18"/>
                      <w:highlight w:val="none"/>
                      <w14:textFill>
                        <w14:solidFill>
                          <w14:schemeClr w14:val="tx1"/>
                        </w14:solidFill>
                      </w14:textFill>
                    </w:rPr>
                    <w:t>板在废电路板</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3"/>
                      <w:sz w:val="18"/>
                      <w:szCs w:val="18"/>
                      <w:highlight w:val="none"/>
                      <w14:textFill>
                        <w14:solidFill>
                          <w14:schemeClr w14:val="tx1"/>
                        </w14:solidFill>
                      </w14:textFill>
                    </w:rPr>
                    <w:t>内暂存，液态危险</w:t>
                  </w:r>
                  <w:r>
                    <w:rPr>
                      <w:rFonts w:hint="eastAsia" w:ascii="宋体" w:hAnsi="宋体" w:eastAsia="宋体" w:cs="宋体"/>
                      <w:color w:val="000000" w:themeColor="text1"/>
                      <w:spacing w:val="8"/>
                      <w:sz w:val="18"/>
                      <w:szCs w:val="18"/>
                      <w:highlight w:val="none"/>
                      <w14:textFill>
                        <w14:solidFill>
                          <w14:schemeClr w14:val="tx1"/>
                        </w14:solidFill>
                      </w14:textFill>
                    </w:rPr>
                    <w:t>废物在液态危废</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2"/>
                      <w:sz w:val="18"/>
                      <w:szCs w:val="18"/>
                      <w:highlight w:val="none"/>
                      <w14:textFill>
                        <w14:solidFill>
                          <w14:schemeClr w14:val="tx1"/>
                        </w14:solidFill>
                      </w14:textFill>
                    </w:rPr>
                    <w:t>内暂存，其他危</w:t>
                  </w:r>
                  <w:r>
                    <w:rPr>
                      <w:rFonts w:hint="eastAsia" w:ascii="宋体" w:hAnsi="宋体" w:eastAsia="宋体" w:cs="宋体"/>
                      <w:color w:val="000000" w:themeColor="text1"/>
                      <w:spacing w:val="7"/>
                      <w:sz w:val="18"/>
                      <w:szCs w:val="18"/>
                      <w:highlight w:val="none"/>
                      <w14:textFill>
                        <w14:solidFill>
                          <w14:schemeClr w14:val="tx1"/>
                        </w14:solidFill>
                      </w14:textFill>
                    </w:rPr>
                    <w:t>险废物在综合危废</w:t>
                  </w:r>
                  <w:r>
                    <w:rPr>
                      <w:rFonts w:hint="eastAsia" w:ascii="宋体" w:hAnsi="宋体" w:eastAsia="宋体" w:cs="宋体"/>
                      <w:color w:val="000000" w:themeColor="text1"/>
                      <w:spacing w:val="-3"/>
                      <w:sz w:val="18"/>
                      <w:szCs w:val="18"/>
                      <w:highlight w:val="none"/>
                      <w14:textFill>
                        <w14:solidFill>
                          <w14:schemeClr w14:val="tx1"/>
                        </w14:solidFill>
                      </w14:textFill>
                    </w:rPr>
                    <w:t>间内。</w:t>
                  </w:r>
                </w:p>
              </w:tc>
              <w:tc>
                <w:tcPr>
                  <w:tcW w:w="211" w:type="pct"/>
                  <w:tcBorders>
                    <w:tl2br w:val="nil"/>
                    <w:tr2bl w:val="nil"/>
                  </w:tcBorders>
                  <w:vAlign w:val="center"/>
                </w:tcPr>
                <w:p w14:paraId="2C7E8AF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BB8F5DA">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657" w:hRule="atLeast"/>
              </w:trPr>
              <w:tc>
                <w:tcPr>
                  <w:tcW w:w="229" w:type="pct"/>
                  <w:vMerge w:val="continue"/>
                  <w:tcBorders>
                    <w:tl2br w:val="nil"/>
                    <w:tr2bl w:val="nil"/>
                  </w:tcBorders>
                  <w:vAlign w:val="center"/>
                </w:tcPr>
                <w:p w14:paraId="1D85BBF7">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2D0C89B">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贮存设施或贮存分区内地面、墙面裙脚、堵截泄漏的围堰、接触危险废物</w:t>
                  </w:r>
                  <w:r>
                    <w:rPr>
                      <w:rFonts w:hint="eastAsia" w:ascii="宋体" w:hAnsi="宋体" w:eastAsia="宋体" w:cs="宋体"/>
                      <w:color w:val="000000" w:themeColor="text1"/>
                      <w:spacing w:val="8"/>
                      <w:sz w:val="18"/>
                      <w:szCs w:val="18"/>
                      <w14:textFill>
                        <w14:solidFill>
                          <w14:schemeClr w14:val="tx1"/>
                        </w14:solidFill>
                      </w14:textFill>
                    </w:rPr>
                    <w:t>的隔板和墙体等应采用坚固的材料建</w:t>
                  </w:r>
                  <w:r>
                    <w:rPr>
                      <w:rFonts w:hint="eastAsia" w:ascii="宋体" w:hAnsi="宋体" w:eastAsia="宋体" w:cs="宋体"/>
                      <w:color w:val="000000" w:themeColor="text1"/>
                      <w:spacing w:val="7"/>
                      <w:sz w:val="18"/>
                      <w:szCs w:val="18"/>
                      <w14:textFill>
                        <w14:solidFill>
                          <w14:schemeClr w14:val="tx1"/>
                        </w14:solidFill>
                      </w14:textFill>
                    </w:rPr>
                    <w:t>造，表面无裂缝。</w:t>
                  </w:r>
                </w:p>
              </w:tc>
              <w:tc>
                <w:tcPr>
                  <w:tcW w:w="1487" w:type="pct"/>
                  <w:tcBorders>
                    <w:tl2br w:val="nil"/>
                    <w:tr2bl w:val="nil"/>
                  </w:tcBorders>
                  <w:vAlign w:val="center"/>
                </w:tcPr>
                <w:p w14:paraId="7B1D3C54">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41"/>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本项目危废贮存间</w:t>
                  </w:r>
                  <w:r>
                    <w:rPr>
                      <w:rFonts w:hint="eastAsia" w:ascii="宋体" w:hAnsi="宋体" w:eastAsia="宋体" w:cs="宋体"/>
                      <w:color w:val="000000" w:themeColor="text1"/>
                      <w:spacing w:val="5"/>
                      <w:sz w:val="18"/>
                      <w:szCs w:val="18"/>
                      <w14:textFill>
                        <w14:solidFill>
                          <w14:schemeClr w14:val="tx1"/>
                        </w14:solidFill>
                      </w14:textFill>
                    </w:rPr>
                    <w:t>内地面、墙面裙脚、</w:t>
                  </w:r>
                  <w:r>
                    <w:rPr>
                      <w:rFonts w:hint="eastAsia" w:ascii="宋体" w:hAnsi="宋体" w:eastAsia="宋体" w:cs="宋体"/>
                      <w:color w:val="000000" w:themeColor="text1"/>
                      <w:spacing w:val="-2"/>
                      <w:sz w:val="18"/>
                      <w:szCs w:val="18"/>
                      <w14:textFill>
                        <w14:solidFill>
                          <w14:schemeClr w14:val="tx1"/>
                        </w14:solidFill>
                      </w14:textFill>
                    </w:rPr>
                    <w:t>集液槽、接触危险废</w:t>
                  </w:r>
                  <w:r>
                    <w:rPr>
                      <w:rFonts w:hint="eastAsia" w:ascii="宋体" w:hAnsi="宋体" w:eastAsia="宋体" w:cs="宋体"/>
                      <w:color w:val="000000" w:themeColor="text1"/>
                      <w:spacing w:val="16"/>
                      <w:sz w:val="18"/>
                      <w:szCs w:val="18"/>
                      <w14:textFill>
                        <w14:solidFill>
                          <w14:schemeClr w14:val="tx1"/>
                        </w14:solidFill>
                      </w14:textFill>
                    </w:rPr>
                    <w:t>物的隔板和墙体等均采用坚固的材料</w:t>
                  </w:r>
                  <w:r>
                    <w:rPr>
                      <w:rFonts w:hint="eastAsia" w:ascii="宋体" w:hAnsi="宋体" w:eastAsia="宋体" w:cs="宋体"/>
                      <w:color w:val="000000" w:themeColor="text1"/>
                      <w:spacing w:val="5"/>
                      <w:sz w:val="18"/>
                      <w:szCs w:val="18"/>
                      <w14:textFill>
                        <w14:solidFill>
                          <w14:schemeClr w14:val="tx1"/>
                        </w14:solidFill>
                      </w14:textFill>
                    </w:rPr>
                    <w:t>建造，表面无裂缝。</w:t>
                  </w:r>
                </w:p>
              </w:tc>
              <w:tc>
                <w:tcPr>
                  <w:tcW w:w="211" w:type="pct"/>
                  <w:tcBorders>
                    <w:tl2br w:val="nil"/>
                    <w:tr2bl w:val="nil"/>
                  </w:tcBorders>
                  <w:vAlign w:val="center"/>
                </w:tcPr>
                <w:p w14:paraId="07F3B2F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2E0E9109">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795" w:hRule="atLeast"/>
              </w:trPr>
              <w:tc>
                <w:tcPr>
                  <w:tcW w:w="229" w:type="pct"/>
                  <w:vMerge w:val="continue"/>
                  <w:tcBorders>
                    <w:tl2br w:val="nil"/>
                    <w:tr2bl w:val="nil"/>
                  </w:tcBorders>
                  <w:vAlign w:val="center"/>
                </w:tcPr>
                <w:p w14:paraId="47C636F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DB64CC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贮存设施地面与裙脚应采取表面防渗</w:t>
                  </w:r>
                  <w:r>
                    <w:rPr>
                      <w:rFonts w:hint="eastAsia" w:ascii="宋体" w:hAnsi="宋体" w:eastAsia="宋体" w:cs="宋体"/>
                      <w:color w:val="000000" w:themeColor="text1"/>
                      <w:spacing w:val="10"/>
                      <w:sz w:val="18"/>
                      <w:szCs w:val="18"/>
                      <w14:textFill>
                        <w14:solidFill>
                          <w14:schemeClr w14:val="tx1"/>
                        </w14:solidFill>
                      </w14:textFill>
                    </w:rPr>
                    <w:t>措施；表面防渗材料应与所接触的物</w:t>
                  </w:r>
                  <w:r>
                    <w:rPr>
                      <w:rFonts w:hint="eastAsia" w:ascii="宋体" w:hAnsi="宋体" w:eastAsia="宋体" w:cs="宋体"/>
                      <w:color w:val="000000" w:themeColor="text1"/>
                      <w:spacing w:val="2"/>
                      <w:sz w:val="18"/>
                      <w:szCs w:val="18"/>
                      <w14:textFill>
                        <w14:solidFill>
                          <w14:schemeClr w14:val="tx1"/>
                        </w14:solidFill>
                      </w14:textFill>
                    </w:rPr>
                    <w:t>料或污染物相容，可采用抗渗混凝土、</w:t>
                  </w:r>
                  <w:r>
                    <w:rPr>
                      <w:rFonts w:hint="eastAsia" w:ascii="宋体" w:hAnsi="宋体" w:eastAsia="宋体" w:cs="宋体"/>
                      <w:color w:val="000000" w:themeColor="text1"/>
                      <w:spacing w:val="10"/>
                      <w:sz w:val="18"/>
                      <w:szCs w:val="18"/>
                      <w14:textFill>
                        <w14:solidFill>
                          <w14:schemeClr w14:val="tx1"/>
                        </w14:solidFill>
                      </w14:textFill>
                    </w:rPr>
                    <w:t>高密度聚乙烯膜、钠基膨润土防水毯或其他防渗性能等效的材料。贮存的危险废物直接接触地面的，还应进行</w:t>
                  </w:r>
                  <w:r>
                    <w:rPr>
                      <w:rFonts w:hint="eastAsia" w:ascii="宋体" w:hAnsi="宋体" w:eastAsia="宋体" w:cs="宋体"/>
                      <w:color w:val="000000" w:themeColor="text1"/>
                      <w:spacing w:val="9"/>
                      <w:sz w:val="18"/>
                      <w:szCs w:val="18"/>
                      <w14:textFill>
                        <w14:solidFill>
                          <w14:schemeClr w14:val="tx1"/>
                        </w14:solidFill>
                      </w14:textFill>
                    </w:rPr>
                    <w:t>基础防渗，防渗层为至少1m厚黏土</w:t>
                  </w:r>
                  <w:r>
                    <w:rPr>
                      <w:rFonts w:hint="eastAsia" w:ascii="宋体" w:hAnsi="宋体" w:eastAsia="宋体" w:cs="宋体"/>
                      <w:color w:val="000000" w:themeColor="text1"/>
                      <w:spacing w:val="8"/>
                      <w:sz w:val="18"/>
                      <w:szCs w:val="18"/>
                      <w14:textFill>
                        <w14:solidFill>
                          <w14:schemeClr w14:val="tx1"/>
                        </w14:solidFill>
                      </w14:textFill>
                    </w:rPr>
                    <w:t>层（渗透系数不大于</w:t>
                  </w:r>
                  <w:r>
                    <w:rPr>
                      <w:rFonts w:hint="eastAsia" w:ascii="宋体" w:hAnsi="宋体" w:eastAsia="宋体" w:cs="宋体"/>
                      <w:color w:val="000000" w:themeColor="text1"/>
                      <w:spacing w:val="-21"/>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10</w:t>
                  </w:r>
                  <w:r>
                    <w:rPr>
                      <w:rFonts w:hint="eastAsia" w:ascii="宋体" w:hAnsi="宋体" w:eastAsia="宋体" w:cs="宋体"/>
                      <w:color w:val="000000" w:themeColor="text1"/>
                      <w:spacing w:val="8"/>
                      <w:sz w:val="18"/>
                      <w:szCs w:val="18"/>
                      <w:vertAlign w:val="superscript"/>
                      <w:lang w:val="en-US" w:eastAsia="zh-CN"/>
                      <w14:textFill>
                        <w14:solidFill>
                          <w14:schemeClr w14:val="tx1"/>
                        </w14:solidFill>
                      </w14:textFill>
                    </w:rPr>
                    <w:t>-7</w:t>
                  </w:r>
                  <w:r>
                    <w:rPr>
                      <w:rFonts w:hint="eastAsia" w:ascii="宋体" w:hAnsi="宋体" w:eastAsia="宋体" w:cs="宋体"/>
                      <w:color w:val="000000" w:themeColor="text1"/>
                      <w:sz w:val="18"/>
                      <w:szCs w:val="18"/>
                      <w14:textFill>
                        <w14:solidFill>
                          <w14:schemeClr w14:val="tx1"/>
                        </w14:solidFill>
                      </w14:textFill>
                    </w:rPr>
                    <w:t>cm</w:t>
                  </w:r>
                  <w:r>
                    <w:rPr>
                      <w:rFonts w:hint="eastAsia" w:ascii="宋体" w:hAnsi="宋体" w:eastAsia="宋体" w:cs="宋体"/>
                      <w:color w:val="000000" w:themeColor="text1"/>
                      <w:spacing w:val="8"/>
                      <w:sz w:val="18"/>
                      <w:szCs w:val="18"/>
                      <w14:textFill>
                        <w14:solidFill>
                          <w14:schemeClr w14:val="tx1"/>
                        </w14:solidFill>
                      </w14:textFill>
                    </w:rPr>
                    <w:t>/s</w:t>
                  </w:r>
                  <w:r>
                    <w:rPr>
                      <w:rFonts w:hint="eastAsia" w:ascii="宋体" w:hAnsi="宋体" w:eastAsia="宋体" w:cs="宋体"/>
                      <w:color w:val="000000" w:themeColor="text1"/>
                      <w:spacing w:val="19"/>
                      <w:sz w:val="18"/>
                      <w:szCs w:val="18"/>
                      <w14:textFill>
                        <w14:solidFill>
                          <w14:schemeClr w14:val="tx1"/>
                        </w14:solidFill>
                      </w14:textFill>
                    </w:rPr>
                    <w:t>），</w:t>
                  </w:r>
                  <w:r>
                    <w:rPr>
                      <w:rFonts w:hint="eastAsia" w:ascii="宋体" w:hAnsi="宋体" w:eastAsia="宋体" w:cs="宋体"/>
                      <w:color w:val="000000" w:themeColor="text1"/>
                      <w:spacing w:val="8"/>
                      <w:sz w:val="18"/>
                      <w:szCs w:val="18"/>
                      <w14:textFill>
                        <w14:solidFill>
                          <w14:schemeClr w14:val="tx1"/>
                        </w14:solidFill>
                      </w14:textFill>
                    </w:rPr>
                    <w:t>或至少</w:t>
                  </w:r>
                  <w:r>
                    <w:rPr>
                      <w:rFonts w:hint="eastAsia" w:ascii="宋体" w:hAnsi="宋体" w:eastAsia="宋体" w:cs="宋体"/>
                      <w:color w:val="000000" w:themeColor="text1"/>
                      <w:spacing w:val="-37"/>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mm</w:t>
                  </w:r>
                  <w:r>
                    <w:rPr>
                      <w:rFonts w:hint="eastAsia" w:ascii="宋体" w:hAnsi="宋体" w:eastAsia="宋体" w:cs="宋体"/>
                      <w:color w:val="000000" w:themeColor="text1"/>
                      <w:spacing w:val="17"/>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厚高密度聚乙烯膜等人工防渗材料（渗透系数不大于</w:t>
                  </w:r>
                  <w:r>
                    <w:rPr>
                      <w:rFonts w:hint="eastAsia" w:ascii="宋体" w:hAnsi="宋体" w:eastAsia="宋体" w:cs="宋体"/>
                      <w:color w:val="000000" w:themeColor="text1"/>
                      <w:spacing w:val="5"/>
                      <w:sz w:val="18"/>
                      <w:szCs w:val="18"/>
                      <w14:textFill>
                        <w14:solidFill>
                          <w14:schemeClr w14:val="tx1"/>
                        </w14:solidFill>
                      </w14:textFill>
                    </w:rPr>
                    <w:t>10</w:t>
                  </w:r>
                  <w:r>
                    <w:rPr>
                      <w:rFonts w:hint="eastAsia" w:ascii="宋体" w:hAnsi="宋体" w:eastAsia="宋体" w:cs="宋体"/>
                      <w:color w:val="000000" w:themeColor="text1"/>
                      <w:spacing w:val="5"/>
                      <w:sz w:val="18"/>
                      <w:szCs w:val="18"/>
                      <w:vertAlign w:val="superscript"/>
                      <w:lang w:val="en-US" w:eastAsia="zh-CN"/>
                      <w14:textFill>
                        <w14:solidFill>
                          <w14:schemeClr w14:val="tx1"/>
                        </w14:solidFill>
                      </w14:textFill>
                    </w:rPr>
                    <w:t>-10</w:t>
                  </w:r>
                  <w:r>
                    <w:rPr>
                      <w:rFonts w:hint="eastAsia" w:ascii="宋体" w:hAnsi="宋体" w:eastAsia="宋体" w:cs="宋体"/>
                      <w:color w:val="000000" w:themeColor="text1"/>
                      <w:sz w:val="18"/>
                      <w:szCs w:val="18"/>
                      <w14:textFill>
                        <w14:solidFill>
                          <w14:schemeClr w14:val="tx1"/>
                        </w14:solidFill>
                      </w14:textFill>
                    </w:rPr>
                    <w:t>cm</w:t>
                  </w:r>
                  <w:r>
                    <w:rPr>
                      <w:rFonts w:hint="eastAsia" w:ascii="宋体" w:hAnsi="宋体" w:eastAsia="宋体" w:cs="宋体"/>
                      <w:color w:val="000000" w:themeColor="text1"/>
                      <w:spacing w:val="5"/>
                      <w:sz w:val="18"/>
                      <w:szCs w:val="18"/>
                      <w14:textFill>
                        <w14:solidFill>
                          <w14:schemeClr w14:val="tx1"/>
                        </w14:solidFill>
                      </w14:textFill>
                    </w:rPr>
                    <w:t>/s</w:t>
                  </w:r>
                  <w:r>
                    <w:rPr>
                      <w:rFonts w:hint="eastAsia" w:ascii="宋体" w:hAnsi="宋体" w:eastAsia="宋体" w:cs="宋体"/>
                      <w:color w:val="000000" w:themeColor="text1"/>
                      <w:spacing w:val="21"/>
                      <w:sz w:val="18"/>
                      <w:szCs w:val="18"/>
                      <w14:textFill>
                        <w14:solidFill>
                          <w14:schemeClr w14:val="tx1"/>
                        </w14:solidFill>
                      </w14:textFill>
                    </w:rPr>
                    <w:t>），</w:t>
                  </w:r>
                  <w:r>
                    <w:rPr>
                      <w:rFonts w:hint="eastAsia" w:ascii="宋体" w:hAnsi="宋体" w:eastAsia="宋体" w:cs="宋体"/>
                      <w:color w:val="000000" w:themeColor="text1"/>
                      <w:spacing w:val="5"/>
                      <w:sz w:val="18"/>
                      <w:szCs w:val="18"/>
                      <w14:textFill>
                        <w14:solidFill>
                          <w14:schemeClr w14:val="tx1"/>
                        </w14:solidFill>
                      </w14:textFill>
                    </w:rPr>
                    <w:t>或其他防渗性能等效的</w:t>
                  </w:r>
                  <w:r>
                    <w:rPr>
                      <w:rFonts w:hint="eastAsia" w:ascii="宋体" w:hAnsi="宋体" w:eastAsia="宋体" w:cs="宋体"/>
                      <w:color w:val="000000" w:themeColor="text1"/>
                      <w:spacing w:val="3"/>
                      <w:sz w:val="18"/>
                      <w:szCs w:val="18"/>
                      <w14:textFill>
                        <w14:solidFill>
                          <w14:schemeClr w14:val="tx1"/>
                        </w14:solidFill>
                      </w14:textFill>
                    </w:rPr>
                    <w:t>材料。</w:t>
                  </w:r>
                </w:p>
              </w:tc>
              <w:tc>
                <w:tcPr>
                  <w:tcW w:w="1487" w:type="pct"/>
                  <w:tcBorders>
                    <w:tl2br w:val="nil"/>
                    <w:tr2bl w:val="nil"/>
                  </w:tcBorders>
                  <w:vAlign w:val="center"/>
                </w:tcPr>
                <w:p w14:paraId="3BD9FE1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77" w:rightChars="32"/>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危废</w:t>
                  </w:r>
                  <w:r>
                    <w:rPr>
                      <w:rFonts w:hint="eastAsia" w:cs="宋体"/>
                      <w:color w:val="000000" w:themeColor="text1"/>
                      <w:spacing w:val="8"/>
                      <w:sz w:val="18"/>
                      <w:szCs w:val="18"/>
                      <w:lang w:eastAsia="zh-CN"/>
                      <w14:textFill>
                        <w14:solidFill>
                          <w14:schemeClr w14:val="tx1"/>
                        </w14:solidFill>
                      </w14:textFill>
                    </w:rPr>
                    <w:t>暂存库</w:t>
                  </w:r>
                  <w:r>
                    <w:rPr>
                      <w:rFonts w:hint="eastAsia" w:ascii="宋体" w:hAnsi="宋体" w:eastAsia="宋体" w:cs="宋体"/>
                      <w:color w:val="000000" w:themeColor="text1"/>
                      <w:spacing w:val="8"/>
                      <w:sz w:val="18"/>
                      <w:szCs w:val="18"/>
                      <w14:textFill>
                        <w14:solidFill>
                          <w14:schemeClr w14:val="tx1"/>
                        </w14:solidFill>
                      </w14:textFill>
                    </w:rPr>
                    <w:t>按此要求建设，地面防</w:t>
                  </w:r>
                  <w:r>
                    <w:rPr>
                      <w:rFonts w:hint="eastAsia" w:ascii="宋体" w:hAnsi="宋体" w:eastAsia="宋体" w:cs="宋体"/>
                      <w:color w:val="000000" w:themeColor="text1"/>
                      <w:spacing w:val="-2"/>
                      <w:sz w:val="18"/>
                      <w:szCs w:val="18"/>
                      <w14:textFill>
                        <w14:solidFill>
                          <w14:schemeClr w14:val="tx1"/>
                        </w14:solidFill>
                      </w14:textFill>
                    </w:rPr>
                    <w:t>渗、裙脚防渗，防渗</w:t>
                  </w:r>
                  <w:r>
                    <w:rPr>
                      <w:rFonts w:hint="eastAsia" w:ascii="宋体" w:hAnsi="宋体" w:eastAsia="宋体" w:cs="宋体"/>
                      <w:color w:val="000000" w:themeColor="text1"/>
                      <w:spacing w:val="8"/>
                      <w:sz w:val="18"/>
                      <w:szCs w:val="18"/>
                      <w14:textFill>
                        <w14:solidFill>
                          <w14:schemeClr w14:val="tx1"/>
                        </w14:solidFill>
                      </w14:textFill>
                    </w:rPr>
                    <w:t>层为至少1米厚粘土</w:t>
                  </w:r>
                  <w:r>
                    <w:rPr>
                      <w:rFonts w:hint="eastAsia" w:ascii="宋体" w:hAnsi="宋体" w:eastAsia="宋体" w:cs="宋体"/>
                      <w:color w:val="000000" w:themeColor="text1"/>
                      <w:spacing w:val="7"/>
                      <w:sz w:val="18"/>
                      <w:szCs w:val="18"/>
                      <w14:textFill>
                        <w14:solidFill>
                          <w14:schemeClr w14:val="tx1"/>
                        </w14:solidFill>
                      </w14:textFill>
                    </w:rPr>
                    <w:t>层(渗透系数</w:t>
                  </w:r>
                  <w:r>
                    <w:rPr>
                      <w:rFonts w:hint="eastAsia" w:ascii="宋体" w:hAnsi="宋体" w:eastAsia="宋体" w:cs="宋体"/>
                      <w:color w:val="000000" w:themeColor="text1"/>
                      <w:spacing w:val="4"/>
                      <w:sz w:val="18"/>
                      <w:szCs w:val="18"/>
                      <w14:textFill>
                        <w14:solidFill>
                          <w14:schemeClr w14:val="tx1"/>
                        </w14:solidFill>
                      </w14:textFill>
                    </w:rPr>
                    <w:t>≤10</w:t>
                  </w:r>
                  <w:r>
                    <w:rPr>
                      <w:rFonts w:hint="eastAsia" w:ascii="宋体" w:hAnsi="宋体" w:eastAsia="宋体" w:cs="宋体"/>
                      <w:color w:val="000000" w:themeColor="text1"/>
                      <w:spacing w:val="4"/>
                      <w:sz w:val="18"/>
                      <w:szCs w:val="18"/>
                      <w:vertAlign w:val="superscript"/>
                      <w:lang w:val="en-US" w:eastAsia="zh-CN"/>
                      <w14:textFill>
                        <w14:solidFill>
                          <w14:schemeClr w14:val="tx1"/>
                        </w14:solidFill>
                      </w14:textFill>
                    </w:rPr>
                    <w:t>-7</w:t>
                  </w:r>
                  <w:r>
                    <w:rPr>
                      <w:rFonts w:hint="eastAsia" w:ascii="宋体" w:hAnsi="宋体" w:eastAsia="宋体" w:cs="宋体"/>
                      <w:color w:val="000000" w:themeColor="text1"/>
                      <w:sz w:val="18"/>
                      <w:szCs w:val="18"/>
                      <w14:textFill>
                        <w14:solidFill>
                          <w14:schemeClr w14:val="tx1"/>
                        </w14:solidFill>
                      </w14:textFill>
                    </w:rPr>
                    <w:t>cm</w:t>
                  </w:r>
                  <w:r>
                    <w:rPr>
                      <w:rFonts w:hint="eastAsia" w:ascii="宋体" w:hAnsi="宋体" w:eastAsia="宋体" w:cs="宋体"/>
                      <w:color w:val="000000" w:themeColor="text1"/>
                      <w:spacing w:val="4"/>
                      <w:sz w:val="18"/>
                      <w:szCs w:val="18"/>
                      <w14:textFill>
                        <w14:solidFill>
                          <w14:schemeClr w14:val="tx1"/>
                        </w14:solidFill>
                      </w14:textFill>
                    </w:rPr>
                    <w:t>/s)</w:t>
                  </w:r>
                  <w:r>
                    <w:rPr>
                      <w:rFonts w:hint="eastAsia" w:ascii="宋体" w:hAnsi="宋体" w:eastAsia="宋体" w:cs="宋体"/>
                      <w:color w:val="000000" w:themeColor="text1"/>
                      <w:spacing w:val="-18"/>
                      <w:sz w:val="18"/>
                      <w:szCs w:val="18"/>
                      <w14:textFill>
                        <w14:solidFill>
                          <w14:schemeClr w14:val="tx1"/>
                        </w14:solidFill>
                      </w14:textFill>
                    </w:rPr>
                    <w:t xml:space="preserve"> </w:t>
                  </w:r>
                  <w:r>
                    <w:rPr>
                      <w:rFonts w:hint="eastAsia" w:ascii="宋体" w:hAnsi="宋体" w:eastAsia="宋体" w:cs="宋体"/>
                      <w:color w:val="000000" w:themeColor="text1"/>
                      <w:spacing w:val="4"/>
                      <w:sz w:val="18"/>
                      <w:szCs w:val="18"/>
                      <w14:textFill>
                        <w14:solidFill>
                          <w14:schemeClr w14:val="tx1"/>
                        </w14:solidFill>
                      </w14:textFill>
                    </w:rPr>
                    <w:t>，或2</w:t>
                  </w:r>
                  <w:r>
                    <w:rPr>
                      <w:rFonts w:hint="eastAsia" w:ascii="宋体" w:hAnsi="宋体" w:eastAsia="宋体" w:cs="宋体"/>
                      <w:color w:val="000000" w:themeColor="text1"/>
                      <w:sz w:val="18"/>
                      <w:szCs w:val="18"/>
                      <w14:textFill>
                        <w14:solidFill>
                          <w14:schemeClr w14:val="tx1"/>
                        </w14:solidFill>
                      </w14:textFill>
                    </w:rPr>
                    <w:t>mm</w:t>
                  </w:r>
                  <w:r>
                    <w:rPr>
                      <w:rFonts w:hint="eastAsia" w:ascii="宋体" w:hAnsi="宋体" w:eastAsia="宋体" w:cs="宋体"/>
                      <w:color w:val="000000" w:themeColor="text1"/>
                      <w:spacing w:val="8"/>
                      <w:sz w:val="18"/>
                      <w:szCs w:val="18"/>
                      <w14:textFill>
                        <w14:solidFill>
                          <w14:schemeClr w14:val="tx1"/>
                        </w14:solidFill>
                      </w14:textFill>
                    </w:rPr>
                    <w:t>厚高密度聚乙烯或</w:t>
                  </w:r>
                  <w:r>
                    <w:rPr>
                      <w:rFonts w:hint="eastAsia" w:ascii="宋体" w:hAnsi="宋体" w:eastAsia="宋体" w:cs="宋体"/>
                      <w:color w:val="000000" w:themeColor="text1"/>
                      <w:spacing w:val="9"/>
                      <w:sz w:val="18"/>
                      <w:szCs w:val="18"/>
                      <w14:textFill>
                        <w14:solidFill>
                          <w14:schemeClr w14:val="tx1"/>
                        </w14:solidFill>
                      </w14:textFill>
                    </w:rPr>
                    <w:t>至少2</w:t>
                  </w:r>
                  <w:r>
                    <w:rPr>
                      <w:rFonts w:hint="eastAsia" w:ascii="宋体" w:hAnsi="宋体" w:eastAsia="宋体" w:cs="宋体"/>
                      <w:color w:val="000000" w:themeColor="text1"/>
                      <w:sz w:val="18"/>
                      <w:szCs w:val="18"/>
                      <w14:textFill>
                        <w14:solidFill>
                          <w14:schemeClr w14:val="tx1"/>
                        </w14:solidFill>
                      </w14:textFill>
                    </w:rPr>
                    <w:t>mm</w:t>
                  </w:r>
                  <w:r>
                    <w:rPr>
                      <w:rFonts w:hint="eastAsia" w:ascii="宋体" w:hAnsi="宋体" w:eastAsia="宋体" w:cs="宋体"/>
                      <w:color w:val="000000" w:themeColor="text1"/>
                      <w:spacing w:val="9"/>
                      <w:sz w:val="18"/>
                      <w:szCs w:val="18"/>
                      <w14:textFill>
                        <w14:solidFill>
                          <w14:schemeClr w14:val="tx1"/>
                        </w14:solidFill>
                      </w14:textFill>
                    </w:rPr>
                    <w:t>厚的其它</w:t>
                  </w:r>
                  <w:r>
                    <w:rPr>
                      <w:rFonts w:hint="eastAsia" w:ascii="宋体" w:hAnsi="宋体" w:eastAsia="宋体" w:cs="宋体"/>
                      <w:color w:val="000000" w:themeColor="text1"/>
                      <w:spacing w:val="-2"/>
                      <w:sz w:val="18"/>
                      <w:szCs w:val="18"/>
                      <w14:textFill>
                        <w14:solidFill>
                          <w14:schemeClr w14:val="tx1"/>
                        </w14:solidFill>
                      </w14:textFill>
                    </w:rPr>
                    <w:t>人工材料，渗透系数</w:t>
                  </w:r>
                  <w:r>
                    <w:rPr>
                      <w:rFonts w:hint="eastAsia" w:ascii="宋体" w:hAnsi="宋体" w:eastAsia="宋体" w:cs="宋体"/>
                      <w:color w:val="000000" w:themeColor="text1"/>
                      <w:spacing w:val="3"/>
                      <w:sz w:val="18"/>
                      <w:szCs w:val="18"/>
                      <w14:textFill>
                        <w14:solidFill>
                          <w14:schemeClr w14:val="tx1"/>
                        </w14:solidFill>
                      </w14:textFill>
                    </w:rPr>
                    <w:t>≤10</w:t>
                  </w:r>
                  <w:r>
                    <w:rPr>
                      <w:rFonts w:hint="eastAsia" w:ascii="宋体" w:hAnsi="宋体" w:eastAsia="宋体" w:cs="宋体"/>
                      <w:color w:val="000000" w:themeColor="text1"/>
                      <w:spacing w:val="3"/>
                      <w:sz w:val="18"/>
                      <w:szCs w:val="18"/>
                      <w:vertAlign w:val="superscript"/>
                      <w:lang w:val="en-US" w:eastAsia="zh-CN"/>
                      <w14:textFill>
                        <w14:solidFill>
                          <w14:schemeClr w14:val="tx1"/>
                        </w14:solidFill>
                      </w14:textFill>
                    </w:rPr>
                    <w:t>-10</w:t>
                  </w:r>
                  <w:r>
                    <w:rPr>
                      <w:rFonts w:hint="eastAsia" w:ascii="宋体" w:hAnsi="宋体" w:eastAsia="宋体" w:cs="宋体"/>
                      <w:color w:val="000000" w:themeColor="text1"/>
                      <w:sz w:val="18"/>
                      <w:szCs w:val="18"/>
                      <w14:textFill>
                        <w14:solidFill>
                          <w14:schemeClr w14:val="tx1"/>
                        </w14:solidFill>
                      </w14:textFill>
                    </w:rPr>
                    <w:t>cm</w:t>
                  </w:r>
                  <w:r>
                    <w:rPr>
                      <w:rFonts w:hint="eastAsia" w:ascii="宋体" w:hAnsi="宋体" w:eastAsia="宋体" w:cs="宋体"/>
                      <w:color w:val="000000" w:themeColor="text1"/>
                      <w:spacing w:val="3"/>
                      <w:sz w:val="18"/>
                      <w:szCs w:val="18"/>
                      <w14:textFill>
                        <w14:solidFill>
                          <w14:schemeClr w14:val="tx1"/>
                        </w14:solidFill>
                      </w14:textFill>
                    </w:rPr>
                    <w:t>/s</w:t>
                  </w:r>
                  <w:r>
                    <w:rPr>
                      <w:rFonts w:hint="eastAsia" w:ascii="宋体" w:hAnsi="宋体" w:eastAsia="宋体" w:cs="宋体"/>
                      <w:color w:val="000000" w:themeColor="text1"/>
                      <w:spacing w:val="-8"/>
                      <w:sz w:val="18"/>
                      <w:szCs w:val="18"/>
                      <w14:textFill>
                        <w14:solidFill>
                          <w14:schemeClr w14:val="tx1"/>
                        </w14:solidFill>
                      </w14:textFill>
                    </w:rPr>
                    <w:t xml:space="preserve"> </w:t>
                  </w:r>
                  <w:r>
                    <w:rPr>
                      <w:rFonts w:hint="eastAsia" w:ascii="宋体" w:hAnsi="宋体" w:eastAsia="宋体" w:cs="宋体"/>
                      <w:color w:val="000000" w:themeColor="text1"/>
                      <w:spacing w:val="3"/>
                      <w:sz w:val="18"/>
                      <w:szCs w:val="18"/>
                      <w14:textFill>
                        <w14:solidFill>
                          <w14:schemeClr w14:val="tx1"/>
                        </w14:solidFill>
                      </w14:textFill>
                    </w:rPr>
                    <w:t>。防腐采</w:t>
                  </w:r>
                  <w:r>
                    <w:rPr>
                      <w:rFonts w:hint="eastAsia" w:ascii="宋体" w:hAnsi="宋体" w:eastAsia="宋体" w:cs="宋体"/>
                      <w:color w:val="000000" w:themeColor="text1"/>
                      <w:spacing w:val="8"/>
                      <w:sz w:val="18"/>
                      <w:szCs w:val="18"/>
                      <w14:textFill>
                        <w14:solidFill>
                          <w14:schemeClr w14:val="tx1"/>
                        </w14:solidFill>
                      </w14:textFill>
                    </w:rPr>
                    <w:t>用混凝土垫层上设</w:t>
                  </w:r>
                  <w:r>
                    <w:rPr>
                      <w:rFonts w:hint="eastAsia" w:ascii="宋体" w:hAnsi="宋体" w:eastAsia="宋体" w:cs="宋体"/>
                      <w:color w:val="000000" w:themeColor="text1"/>
                      <w:spacing w:val="7"/>
                      <w:sz w:val="18"/>
                      <w:szCs w:val="18"/>
                      <w14:textFill>
                        <w14:solidFill>
                          <w14:schemeClr w14:val="tx1"/>
                        </w14:solidFill>
                      </w14:textFill>
                    </w:rPr>
                    <w:t>置0.2m环氧树脂砂</w:t>
                  </w:r>
                  <w:r>
                    <w:rPr>
                      <w:rFonts w:hint="eastAsia" w:ascii="宋体" w:hAnsi="宋体" w:eastAsia="宋体" w:cs="宋体"/>
                      <w:color w:val="000000" w:themeColor="text1"/>
                      <w:spacing w:val="1"/>
                      <w:sz w:val="18"/>
                      <w:szCs w:val="18"/>
                      <w14:textFill>
                        <w14:solidFill>
                          <w14:schemeClr w14:val="tx1"/>
                        </w14:solidFill>
                      </w14:textFill>
                    </w:rPr>
                    <w:t>浆层(环树脂、水泥、</w:t>
                  </w:r>
                  <w:r>
                    <w:rPr>
                      <w:rFonts w:hint="eastAsia" w:ascii="宋体" w:hAnsi="宋体" w:eastAsia="宋体" w:cs="宋体"/>
                      <w:color w:val="000000" w:themeColor="text1"/>
                      <w:spacing w:val="6"/>
                      <w:sz w:val="18"/>
                      <w:szCs w:val="18"/>
                      <w14:textFill>
                        <w14:solidFill>
                          <w14:schemeClr w14:val="tx1"/>
                        </w14:solidFill>
                      </w14:textFill>
                    </w:rPr>
                    <w:t>石英砂混合)。</w:t>
                  </w:r>
                </w:p>
              </w:tc>
              <w:tc>
                <w:tcPr>
                  <w:tcW w:w="211" w:type="pct"/>
                  <w:tcBorders>
                    <w:tl2br w:val="nil"/>
                    <w:tr2bl w:val="nil"/>
                  </w:tcBorders>
                  <w:vAlign w:val="center"/>
                </w:tcPr>
                <w:p w14:paraId="0778620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2D1BFF51">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710" w:hRule="atLeast"/>
              </w:trPr>
              <w:tc>
                <w:tcPr>
                  <w:tcW w:w="229" w:type="pct"/>
                  <w:vMerge w:val="continue"/>
                  <w:tcBorders>
                    <w:tl2br w:val="nil"/>
                    <w:tr2bl w:val="nil"/>
                  </w:tcBorders>
                  <w:vAlign w:val="center"/>
                </w:tcPr>
                <w:p w14:paraId="7847749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1DD6AD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同一贮存设施宜采用相同的防渗、防</w:t>
                  </w:r>
                  <w:r>
                    <w:rPr>
                      <w:rFonts w:hint="eastAsia" w:ascii="宋体" w:hAnsi="宋体" w:eastAsia="宋体" w:cs="宋体"/>
                      <w:color w:val="000000" w:themeColor="text1"/>
                      <w:spacing w:val="-2"/>
                      <w:sz w:val="18"/>
                      <w:szCs w:val="18"/>
                      <w14:textFill>
                        <w14:solidFill>
                          <w14:schemeClr w14:val="tx1"/>
                        </w14:solidFill>
                      </w14:textFill>
                    </w:rPr>
                    <w:t>腐工艺（包括防渗、防腐结构或材料</w:t>
                  </w:r>
                  <w:r>
                    <w:rPr>
                      <w:rFonts w:hint="eastAsia" w:ascii="宋体" w:hAnsi="宋体" w:eastAsia="宋体" w:cs="宋体"/>
                      <w:color w:val="000000" w:themeColor="text1"/>
                      <w:spacing w:val="-47"/>
                      <w:w w:val="89"/>
                      <w:sz w:val="18"/>
                      <w:szCs w:val="18"/>
                      <w14:textFill>
                        <w14:solidFill>
                          <w14:schemeClr w14:val="tx1"/>
                        </w14:solidFill>
                      </w14:textFill>
                    </w:rPr>
                    <w:t>），</w:t>
                  </w:r>
                  <w:r>
                    <w:rPr>
                      <w:rFonts w:hint="eastAsia" w:ascii="宋体" w:hAnsi="宋体" w:eastAsia="宋体" w:cs="宋体"/>
                      <w:color w:val="000000" w:themeColor="text1"/>
                      <w:spacing w:val="8"/>
                      <w:sz w:val="18"/>
                      <w:szCs w:val="18"/>
                      <w14:textFill>
                        <w14:solidFill>
                          <w14:schemeClr w14:val="tx1"/>
                        </w14:solidFill>
                      </w14:textFill>
                    </w:rPr>
                    <w:t>防渗、防腐材料应覆盖所有可能与废</w:t>
                  </w:r>
                  <w:r>
                    <w:rPr>
                      <w:rFonts w:hint="eastAsia" w:ascii="宋体" w:hAnsi="宋体" w:eastAsia="宋体" w:cs="宋体"/>
                      <w:color w:val="000000" w:themeColor="text1"/>
                      <w:spacing w:val="9"/>
                      <w:sz w:val="18"/>
                      <w:szCs w:val="18"/>
                      <w14:textFill>
                        <w14:solidFill>
                          <w14:schemeClr w14:val="tx1"/>
                        </w14:solidFill>
                      </w14:textFill>
                    </w:rPr>
                    <w:t>物及其渗滤液、渗漏液等接触的构筑物表面；采用不同防渗、防腐工艺应</w:t>
                  </w:r>
                  <w:r>
                    <w:rPr>
                      <w:rFonts w:hint="eastAsia" w:ascii="宋体" w:hAnsi="宋体" w:eastAsia="宋体" w:cs="宋体"/>
                      <w:color w:val="000000" w:themeColor="text1"/>
                      <w:spacing w:val="7"/>
                      <w:sz w:val="18"/>
                      <w:szCs w:val="18"/>
                      <w14:textFill>
                        <w14:solidFill>
                          <w14:schemeClr w14:val="tx1"/>
                        </w14:solidFill>
                      </w14:textFill>
                    </w:rPr>
                    <w:t>分别建设贮存分区。</w:t>
                  </w:r>
                </w:p>
              </w:tc>
              <w:tc>
                <w:tcPr>
                  <w:tcW w:w="1487" w:type="pct"/>
                  <w:tcBorders>
                    <w:tl2br w:val="nil"/>
                    <w:tr2bl w:val="nil"/>
                  </w:tcBorders>
                  <w:vAlign w:val="center"/>
                </w:tcPr>
                <w:p w14:paraId="3D84C10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41"/>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本项目危废间内采</w:t>
                  </w:r>
                  <w:r>
                    <w:rPr>
                      <w:rFonts w:hint="eastAsia" w:ascii="宋体" w:hAnsi="宋体" w:eastAsia="宋体" w:cs="宋体"/>
                      <w:color w:val="000000" w:themeColor="text1"/>
                      <w:spacing w:val="-2"/>
                      <w:sz w:val="18"/>
                      <w:szCs w:val="18"/>
                      <w14:textFill>
                        <w14:solidFill>
                          <w14:schemeClr w14:val="tx1"/>
                        </w14:solidFill>
                      </w14:textFill>
                    </w:rPr>
                    <w:t>用相同的防渗、防腐措施，危废贮存间内地面、墙面裙脚、集液槽、接触危险废物</w:t>
                  </w:r>
                  <w:r>
                    <w:rPr>
                      <w:rFonts w:hint="eastAsia" w:ascii="宋体" w:hAnsi="宋体" w:eastAsia="宋体" w:cs="宋体"/>
                      <w:color w:val="000000" w:themeColor="text1"/>
                      <w:spacing w:val="16"/>
                      <w:sz w:val="18"/>
                      <w:szCs w:val="18"/>
                      <w14:textFill>
                        <w14:solidFill>
                          <w14:schemeClr w14:val="tx1"/>
                        </w14:solidFill>
                      </w14:textFill>
                    </w:rPr>
                    <w:t>的隔板和墙体等均</w:t>
                  </w:r>
                  <w:r>
                    <w:rPr>
                      <w:rFonts w:hint="eastAsia" w:ascii="宋体" w:hAnsi="宋体" w:eastAsia="宋体" w:cs="宋体"/>
                      <w:color w:val="000000" w:themeColor="text1"/>
                      <w:spacing w:val="5"/>
                      <w:sz w:val="18"/>
                      <w:szCs w:val="18"/>
                      <w14:textFill>
                        <w14:solidFill>
                          <w14:schemeClr w14:val="tx1"/>
                        </w14:solidFill>
                      </w14:textFill>
                    </w:rPr>
                    <w:t>采取防渗防腐措施。</w:t>
                  </w:r>
                </w:p>
              </w:tc>
              <w:tc>
                <w:tcPr>
                  <w:tcW w:w="211" w:type="pct"/>
                  <w:tcBorders>
                    <w:tl2br w:val="nil"/>
                    <w:tr2bl w:val="nil"/>
                  </w:tcBorders>
                  <w:vAlign w:val="center"/>
                </w:tcPr>
                <w:p w14:paraId="63014A7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25606B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229" w:type="pct"/>
                  <w:vMerge w:val="continue"/>
                  <w:tcBorders>
                    <w:tl2br w:val="nil"/>
                    <w:tr2bl w:val="nil"/>
                  </w:tcBorders>
                  <w:vAlign w:val="center"/>
                </w:tcPr>
                <w:p w14:paraId="3655828B">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3AF60C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贮存设施应采取技术和管理措施防止</w:t>
                  </w:r>
                  <w:r>
                    <w:rPr>
                      <w:rFonts w:hint="eastAsia" w:ascii="宋体" w:hAnsi="宋体" w:eastAsia="宋体" w:cs="宋体"/>
                      <w:color w:val="000000" w:themeColor="text1"/>
                      <w:spacing w:val="6"/>
                      <w:sz w:val="18"/>
                      <w:szCs w:val="18"/>
                      <w14:textFill>
                        <w14:solidFill>
                          <w14:schemeClr w14:val="tx1"/>
                        </w14:solidFill>
                      </w14:textFill>
                    </w:rPr>
                    <w:t>无关人员进入。</w:t>
                  </w:r>
                </w:p>
              </w:tc>
              <w:tc>
                <w:tcPr>
                  <w:tcW w:w="1487" w:type="pct"/>
                  <w:tcBorders>
                    <w:tl2br w:val="nil"/>
                    <w:tr2bl w:val="nil"/>
                  </w:tcBorders>
                  <w:vAlign w:val="center"/>
                </w:tcPr>
                <w:p w14:paraId="36CCEE6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本项目危废贮存间平时为上锁紧闭状</w:t>
                  </w:r>
                  <w:r>
                    <w:rPr>
                      <w:rFonts w:hint="eastAsia" w:ascii="宋体" w:hAnsi="宋体" w:eastAsia="宋体" w:cs="宋体"/>
                      <w:color w:val="000000" w:themeColor="text1"/>
                      <w:spacing w:val="-2"/>
                      <w:sz w:val="18"/>
                      <w:szCs w:val="18"/>
                      <w14:textFill>
                        <w14:solidFill>
                          <w14:schemeClr w14:val="tx1"/>
                        </w14:solidFill>
                      </w14:textFill>
                    </w:rPr>
                    <w:t>态，仅在危废出入库</w:t>
                  </w:r>
                  <w:r>
                    <w:rPr>
                      <w:rFonts w:hint="eastAsia" w:ascii="宋体" w:hAnsi="宋体" w:eastAsia="宋体" w:cs="宋体"/>
                      <w:color w:val="000000" w:themeColor="text1"/>
                      <w:spacing w:val="6"/>
                      <w:sz w:val="18"/>
                      <w:szCs w:val="18"/>
                      <w14:textFill>
                        <w14:solidFill>
                          <w14:schemeClr w14:val="tx1"/>
                        </w14:solidFill>
                      </w14:textFill>
                    </w:rPr>
                    <w:t>期间打开</w:t>
                  </w:r>
                  <w:r>
                    <w:rPr>
                      <w:rFonts w:hint="eastAsia" w:ascii="宋体" w:hAnsi="宋体" w:eastAsia="宋体" w:cs="宋体"/>
                      <w:color w:val="000000" w:themeColor="text1"/>
                      <w:spacing w:val="5"/>
                      <w:sz w:val="18"/>
                      <w:szCs w:val="18"/>
                      <w14:textFill>
                        <w14:solidFill>
                          <w14:schemeClr w14:val="tx1"/>
                        </w14:solidFill>
                      </w14:textFill>
                    </w:rPr>
                    <w:t>。</w:t>
                  </w:r>
                </w:p>
              </w:tc>
              <w:tc>
                <w:tcPr>
                  <w:tcW w:w="211" w:type="pct"/>
                  <w:tcBorders>
                    <w:tl2br w:val="nil"/>
                    <w:tr2bl w:val="nil"/>
                  </w:tcBorders>
                  <w:vAlign w:val="center"/>
                </w:tcPr>
                <w:p w14:paraId="3D07DD5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C3A1C60">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16CAB5F1">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70C83F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487"/>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贮存库</w:t>
                  </w:r>
                </w:p>
              </w:tc>
              <w:tc>
                <w:tcPr>
                  <w:tcW w:w="1487" w:type="pct"/>
                  <w:tcBorders>
                    <w:tl2br w:val="nil"/>
                    <w:tr2bl w:val="nil"/>
                  </w:tcBorders>
                  <w:vAlign w:val="center"/>
                </w:tcPr>
                <w:p w14:paraId="67643F83">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11" w:type="pct"/>
                  <w:tcBorders>
                    <w:tl2br w:val="nil"/>
                    <w:tr2bl w:val="nil"/>
                  </w:tcBorders>
                  <w:vAlign w:val="center"/>
                </w:tcPr>
                <w:p w14:paraId="1A36CD5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r>
            <w:tr w14:paraId="10BD5DA4">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229" w:type="pct"/>
                  <w:vMerge w:val="continue"/>
                  <w:tcBorders>
                    <w:tl2br w:val="nil"/>
                    <w:tr2bl w:val="nil"/>
                  </w:tcBorders>
                  <w:vAlign w:val="center"/>
                </w:tcPr>
                <w:p w14:paraId="224FF7D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18A2F7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贮存库内不同贮存分区之间应采取隔离措施。隔离措施可根据危险废物特</w:t>
                  </w:r>
                  <w:r>
                    <w:rPr>
                      <w:rFonts w:hint="eastAsia" w:ascii="宋体" w:hAnsi="宋体" w:eastAsia="宋体" w:cs="宋体"/>
                      <w:color w:val="000000" w:themeColor="text1"/>
                      <w:spacing w:val="8"/>
                      <w:sz w:val="18"/>
                      <w:szCs w:val="18"/>
                      <w14:textFill>
                        <w14:solidFill>
                          <w14:schemeClr w14:val="tx1"/>
                        </w14:solidFill>
                      </w14:textFill>
                    </w:rPr>
                    <w:t>性采用过道、隔板或隔墙等方式。</w:t>
                  </w:r>
                </w:p>
              </w:tc>
              <w:tc>
                <w:tcPr>
                  <w:tcW w:w="1487" w:type="pct"/>
                  <w:tcBorders>
                    <w:tl2br w:val="nil"/>
                    <w:tr2bl w:val="nil"/>
                  </w:tcBorders>
                  <w:vAlign w:val="center"/>
                </w:tcPr>
                <w:p w14:paraId="33A8515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本项目各类危废分</w:t>
                  </w:r>
                  <w:r>
                    <w:rPr>
                      <w:rFonts w:hint="eastAsia" w:ascii="宋体" w:hAnsi="宋体" w:eastAsia="宋体" w:cs="宋体"/>
                      <w:color w:val="000000" w:themeColor="text1"/>
                      <w:spacing w:val="7"/>
                      <w:sz w:val="18"/>
                      <w:szCs w:val="18"/>
                      <w14:textFill>
                        <w14:solidFill>
                          <w14:schemeClr w14:val="tx1"/>
                        </w14:solidFill>
                      </w14:textFill>
                    </w:rPr>
                    <w:t>别收集，</w:t>
                  </w:r>
                  <w:r>
                    <w:rPr>
                      <w:rFonts w:hint="eastAsia" w:ascii="宋体" w:hAnsi="宋体" w:eastAsia="宋体" w:cs="宋体"/>
                      <w:color w:val="000000" w:themeColor="text1"/>
                      <w:spacing w:val="7"/>
                      <w:sz w:val="18"/>
                      <w:szCs w:val="18"/>
                      <w:highlight w:val="none"/>
                      <w14:textFill>
                        <w14:solidFill>
                          <w14:schemeClr w14:val="tx1"/>
                        </w14:solidFill>
                      </w14:textFill>
                    </w:rPr>
                    <w:t>分类贮存，</w:t>
                  </w:r>
                  <w:r>
                    <w:rPr>
                      <w:rFonts w:hint="eastAsia" w:ascii="宋体" w:hAnsi="宋体" w:eastAsia="宋体" w:cs="宋体"/>
                      <w:color w:val="000000" w:themeColor="text1"/>
                      <w:spacing w:val="8"/>
                      <w:sz w:val="18"/>
                      <w:szCs w:val="18"/>
                      <w:highlight w:val="none"/>
                      <w14:textFill>
                        <w14:solidFill>
                          <w14:schemeClr w14:val="tx1"/>
                        </w14:solidFill>
                      </w14:textFill>
                    </w:rPr>
                    <w:t>其中废铅</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酸</w:t>
                  </w:r>
                  <w:r>
                    <w:rPr>
                      <w:rFonts w:hint="eastAsia" w:ascii="宋体" w:hAnsi="宋体" w:eastAsia="宋体" w:cs="宋体"/>
                      <w:color w:val="000000" w:themeColor="text1"/>
                      <w:spacing w:val="8"/>
                      <w:sz w:val="18"/>
                      <w:szCs w:val="18"/>
                      <w:highlight w:val="none"/>
                      <w14:textFill>
                        <w14:solidFill>
                          <w14:schemeClr w14:val="tx1"/>
                        </w14:solidFill>
                      </w14:textFill>
                    </w:rPr>
                    <w:t>电池</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和动力蓄电池均</w:t>
                  </w:r>
                  <w:r>
                    <w:rPr>
                      <w:rFonts w:hint="eastAsia" w:ascii="宋体" w:hAnsi="宋体" w:eastAsia="宋体" w:cs="宋体"/>
                      <w:color w:val="000000" w:themeColor="text1"/>
                      <w:spacing w:val="8"/>
                      <w:sz w:val="18"/>
                      <w:szCs w:val="18"/>
                      <w:highlight w:val="none"/>
                      <w14:textFill>
                        <w14:solidFill>
                          <w14:schemeClr w14:val="tx1"/>
                        </w14:solidFill>
                      </w14:textFill>
                    </w:rPr>
                    <w:t>单独在</w:t>
                  </w: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相应的</w:t>
                  </w:r>
                  <w:r>
                    <w:rPr>
                      <w:rFonts w:hint="eastAsia" w:ascii="宋体" w:hAnsi="宋体" w:eastAsia="宋体" w:cs="宋体"/>
                      <w:color w:val="000000" w:themeColor="text1"/>
                      <w:spacing w:val="8"/>
                      <w:sz w:val="18"/>
                      <w:szCs w:val="18"/>
                      <w:highlight w:val="none"/>
                      <w14:textFill>
                        <w14:solidFill>
                          <w14:schemeClr w14:val="tx1"/>
                        </w14:solidFill>
                      </w14:textFill>
                    </w:rPr>
                    <w:t>废电池</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2"/>
                      <w:sz w:val="18"/>
                      <w:szCs w:val="18"/>
                      <w:highlight w:val="none"/>
                      <w14:textFill>
                        <w14:solidFill>
                          <w14:schemeClr w14:val="tx1"/>
                        </w14:solidFill>
                      </w14:textFill>
                    </w:rPr>
                    <w:t>内暂存，废电路</w:t>
                  </w:r>
                  <w:r>
                    <w:rPr>
                      <w:rFonts w:hint="eastAsia" w:ascii="宋体" w:hAnsi="宋体" w:eastAsia="宋体" w:cs="宋体"/>
                      <w:color w:val="000000" w:themeColor="text1"/>
                      <w:spacing w:val="8"/>
                      <w:sz w:val="18"/>
                      <w:szCs w:val="18"/>
                      <w:highlight w:val="none"/>
                      <w14:textFill>
                        <w14:solidFill>
                          <w14:schemeClr w14:val="tx1"/>
                        </w14:solidFill>
                      </w14:textFill>
                    </w:rPr>
                    <w:t>板在废电路板</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3"/>
                      <w:sz w:val="18"/>
                      <w:szCs w:val="18"/>
                      <w:highlight w:val="none"/>
                      <w14:textFill>
                        <w14:solidFill>
                          <w14:schemeClr w14:val="tx1"/>
                        </w14:solidFill>
                      </w14:textFill>
                    </w:rPr>
                    <w:t>内暂存，液态危险</w:t>
                  </w:r>
                  <w:r>
                    <w:rPr>
                      <w:rFonts w:hint="eastAsia" w:ascii="宋体" w:hAnsi="宋体" w:eastAsia="宋体" w:cs="宋体"/>
                      <w:color w:val="000000" w:themeColor="text1"/>
                      <w:spacing w:val="8"/>
                      <w:sz w:val="18"/>
                      <w:szCs w:val="18"/>
                      <w:highlight w:val="none"/>
                      <w14:textFill>
                        <w14:solidFill>
                          <w14:schemeClr w14:val="tx1"/>
                        </w14:solidFill>
                      </w14:textFill>
                    </w:rPr>
                    <w:t>废物在液态危废</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2"/>
                      <w:sz w:val="18"/>
                      <w:szCs w:val="18"/>
                      <w:highlight w:val="none"/>
                      <w14:textFill>
                        <w14:solidFill>
                          <w14:schemeClr w14:val="tx1"/>
                        </w14:solidFill>
                      </w14:textFill>
                    </w:rPr>
                    <w:t>内暂存，其他危</w:t>
                  </w:r>
                  <w:r>
                    <w:rPr>
                      <w:rFonts w:hint="eastAsia" w:ascii="宋体" w:hAnsi="宋体" w:eastAsia="宋体" w:cs="宋体"/>
                      <w:color w:val="000000" w:themeColor="text1"/>
                      <w:spacing w:val="7"/>
                      <w:sz w:val="18"/>
                      <w:szCs w:val="18"/>
                      <w:highlight w:val="none"/>
                      <w14:textFill>
                        <w14:solidFill>
                          <w14:schemeClr w14:val="tx1"/>
                        </w14:solidFill>
                      </w14:textFill>
                    </w:rPr>
                    <w:t>险废物在综合危废</w:t>
                  </w:r>
                  <w:r>
                    <w:rPr>
                      <w:rFonts w:hint="eastAsia" w:ascii="宋体" w:hAnsi="宋体" w:eastAsia="宋体" w:cs="宋体"/>
                      <w:color w:val="000000" w:themeColor="text1"/>
                      <w:spacing w:val="-3"/>
                      <w:sz w:val="18"/>
                      <w:szCs w:val="18"/>
                      <w:highlight w:val="none"/>
                      <w14:textFill>
                        <w14:solidFill>
                          <w14:schemeClr w14:val="tx1"/>
                        </w14:solidFill>
                      </w14:textFill>
                    </w:rPr>
                    <w:t>间内。</w:t>
                  </w:r>
                  <w:r>
                    <w:rPr>
                      <w:rFonts w:hint="eastAsia" w:ascii="宋体" w:hAnsi="宋体" w:eastAsia="宋体" w:cs="宋体"/>
                      <w:color w:val="000000" w:themeColor="text1"/>
                      <w:spacing w:val="7"/>
                      <w:sz w:val="18"/>
                      <w:szCs w:val="18"/>
                      <w:lang w:eastAsia="zh-CN"/>
                      <w14:textFill>
                        <w14:solidFill>
                          <w14:schemeClr w14:val="tx1"/>
                        </w14:solidFill>
                      </w14:textFill>
                    </w:rPr>
                    <w:t>。</w:t>
                  </w:r>
                </w:p>
              </w:tc>
              <w:tc>
                <w:tcPr>
                  <w:tcW w:w="211" w:type="pct"/>
                  <w:tcBorders>
                    <w:tl2br w:val="nil"/>
                    <w:tr2bl w:val="nil"/>
                  </w:tcBorders>
                  <w:vAlign w:val="center"/>
                </w:tcPr>
                <w:p w14:paraId="5BCE0A3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62501C4">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20" w:hRule="atLeast"/>
              </w:trPr>
              <w:tc>
                <w:tcPr>
                  <w:tcW w:w="229" w:type="pct"/>
                  <w:vMerge w:val="continue"/>
                  <w:tcBorders>
                    <w:tl2br w:val="nil"/>
                    <w:tr2bl w:val="nil"/>
                  </w:tcBorders>
                  <w:vAlign w:val="center"/>
                </w:tcPr>
                <w:p w14:paraId="0805847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18C20F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right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在贮存库内或通过贮存分区方式贮存液态危险废物的，应具有液体泄漏堵截设施，堵截设施最小容积不应低于对应贮存区域最大液态废物容器容积</w:t>
                  </w:r>
                  <w:r>
                    <w:rPr>
                      <w:rFonts w:hint="eastAsia" w:ascii="宋体" w:hAnsi="宋体" w:eastAsia="宋体" w:cs="宋体"/>
                      <w:color w:val="000000" w:themeColor="text1"/>
                      <w:spacing w:val="6"/>
                      <w:sz w:val="18"/>
                      <w:szCs w:val="18"/>
                      <w14:textFill>
                        <w14:solidFill>
                          <w14:schemeClr w14:val="tx1"/>
                        </w14:solidFill>
                      </w14:textFill>
                    </w:rPr>
                    <w:t>或液态废物总储量</w:t>
                  </w:r>
                  <w:r>
                    <w:rPr>
                      <w:rFonts w:hint="eastAsia" w:ascii="宋体" w:hAnsi="宋体" w:eastAsia="宋体" w:cs="宋体"/>
                      <w:color w:val="000000" w:themeColor="text1"/>
                      <w:spacing w:val="-10"/>
                      <w:sz w:val="18"/>
                      <w:szCs w:val="18"/>
                      <w14:textFill>
                        <w14:solidFill>
                          <w14:schemeClr w14:val="tx1"/>
                        </w14:solidFill>
                      </w14:textFill>
                    </w:rPr>
                    <w:t xml:space="preserve"> </w:t>
                  </w:r>
                  <w:r>
                    <w:rPr>
                      <w:rFonts w:hint="eastAsia" w:ascii="宋体" w:hAnsi="宋体" w:eastAsia="宋体" w:cs="宋体"/>
                      <w:color w:val="000000" w:themeColor="text1"/>
                      <w:spacing w:val="6"/>
                      <w:sz w:val="18"/>
                      <w:szCs w:val="18"/>
                      <w14:textFill>
                        <w14:solidFill>
                          <w14:schemeClr w14:val="tx1"/>
                        </w14:solidFill>
                      </w14:textFill>
                    </w:rPr>
                    <w:t>1/10（二者取较大</w:t>
                  </w:r>
                  <w:r>
                    <w:rPr>
                      <w:rFonts w:hint="eastAsia" w:ascii="宋体" w:hAnsi="宋体" w:eastAsia="宋体" w:cs="宋体"/>
                      <w:color w:val="000000" w:themeColor="text1"/>
                      <w:spacing w:val="8"/>
                      <w:sz w:val="18"/>
                      <w:szCs w:val="18"/>
                      <w14:textFill>
                        <w14:solidFill>
                          <w14:schemeClr w14:val="tx1"/>
                        </w14:solidFill>
                      </w14:textFill>
                    </w:rPr>
                    <w:t>者</w:t>
                  </w:r>
                  <w:r>
                    <w:rPr>
                      <w:rFonts w:hint="eastAsia" w:ascii="宋体" w:hAnsi="宋体" w:eastAsia="宋体" w:cs="宋体"/>
                      <w:color w:val="000000" w:themeColor="text1"/>
                      <w:spacing w:val="18"/>
                      <w:sz w:val="18"/>
                      <w:szCs w:val="18"/>
                      <w14:textFill>
                        <w14:solidFill>
                          <w14:schemeClr w14:val="tx1"/>
                        </w14:solidFill>
                      </w14:textFill>
                    </w:rPr>
                    <w:t>）；</w:t>
                  </w:r>
                  <w:r>
                    <w:rPr>
                      <w:rFonts w:hint="eastAsia" w:ascii="宋体" w:hAnsi="宋体" w:eastAsia="宋体" w:cs="宋体"/>
                      <w:color w:val="000000" w:themeColor="text1"/>
                      <w:spacing w:val="8"/>
                      <w:sz w:val="18"/>
                      <w:szCs w:val="18"/>
                      <w14:textFill>
                        <w14:solidFill>
                          <w14:schemeClr w14:val="tx1"/>
                        </w14:solidFill>
                      </w14:textFill>
                    </w:rPr>
                    <w:t>用于贮存可能产生渗滤液的危</w:t>
                  </w:r>
                  <w:r>
                    <w:rPr>
                      <w:rFonts w:hint="eastAsia" w:ascii="宋体" w:hAnsi="宋体" w:eastAsia="宋体" w:cs="宋体"/>
                      <w:color w:val="000000" w:themeColor="text1"/>
                      <w:spacing w:val="9"/>
                      <w:sz w:val="18"/>
                      <w:szCs w:val="18"/>
                      <w14:textFill>
                        <w14:solidFill>
                          <w14:schemeClr w14:val="tx1"/>
                        </w14:solidFill>
                      </w14:textFill>
                    </w:rPr>
                    <w:t>险废物的贮存库或贮存分区应设计渗滤液收集设施，收集设施容积应满足</w:t>
                  </w:r>
                  <w:r>
                    <w:rPr>
                      <w:rFonts w:hint="eastAsia" w:ascii="宋体" w:hAnsi="宋体" w:eastAsia="宋体" w:cs="宋体"/>
                      <w:color w:val="000000" w:themeColor="text1"/>
                      <w:spacing w:val="7"/>
                      <w:sz w:val="18"/>
                      <w:szCs w:val="18"/>
                      <w14:textFill>
                        <w14:solidFill>
                          <w14:schemeClr w14:val="tx1"/>
                        </w14:solidFill>
                      </w14:textFill>
                    </w:rPr>
                    <w:t>渗滤液的收集要求。</w:t>
                  </w:r>
                </w:p>
              </w:tc>
              <w:tc>
                <w:tcPr>
                  <w:tcW w:w="1487" w:type="pct"/>
                  <w:tcBorders>
                    <w:tl2br w:val="nil"/>
                    <w:tr2bl w:val="nil"/>
                  </w:tcBorders>
                  <w:vAlign w:val="center"/>
                </w:tcPr>
                <w:p w14:paraId="277A4C4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液</w:t>
                  </w:r>
                  <w:r>
                    <w:rPr>
                      <w:rFonts w:hint="eastAsia" w:ascii="宋体" w:hAnsi="宋体" w:eastAsia="宋体" w:cs="宋体"/>
                      <w:color w:val="000000" w:themeColor="text1"/>
                      <w:spacing w:val="8"/>
                      <w:sz w:val="18"/>
                      <w:szCs w:val="18"/>
                      <w:highlight w:val="none"/>
                      <w14:textFill>
                        <w14:solidFill>
                          <w14:schemeClr w14:val="tx1"/>
                        </w14:solidFill>
                      </w14:textFill>
                    </w:rPr>
                    <w:t>态废物</w:t>
                  </w:r>
                  <w:r>
                    <w:rPr>
                      <w:rFonts w:hint="eastAsia" w:cs="宋体"/>
                      <w:color w:val="000000" w:themeColor="text1"/>
                      <w:spacing w:val="8"/>
                      <w:sz w:val="18"/>
                      <w:szCs w:val="18"/>
                      <w:highlight w:val="none"/>
                      <w:lang w:eastAsia="zh-CN"/>
                      <w14:textFill>
                        <w14:solidFill>
                          <w14:schemeClr w14:val="tx1"/>
                        </w14:solidFill>
                      </w14:textFill>
                    </w:rPr>
                    <w:t>暂存库</w:t>
                  </w:r>
                  <w:r>
                    <w:rPr>
                      <w:rFonts w:hint="eastAsia" w:ascii="宋体" w:hAnsi="宋体" w:eastAsia="宋体" w:cs="宋体"/>
                      <w:color w:val="000000" w:themeColor="text1"/>
                      <w:spacing w:val="8"/>
                      <w:sz w:val="18"/>
                      <w:szCs w:val="18"/>
                      <w:highlight w:val="none"/>
                      <w14:textFill>
                        <w14:solidFill>
                          <w14:schemeClr w14:val="tx1"/>
                        </w14:solidFill>
                      </w14:textFill>
                    </w:rPr>
                    <w:t>内设置导流沟和集液</w:t>
                  </w:r>
                  <w:r>
                    <w:rPr>
                      <w:rFonts w:hint="eastAsia" w:ascii="宋体" w:hAnsi="宋体" w:eastAsia="宋体" w:cs="宋体"/>
                      <w:color w:val="000000" w:themeColor="text1"/>
                      <w:spacing w:val="-2"/>
                      <w:sz w:val="18"/>
                      <w:szCs w:val="18"/>
                      <w:highlight w:val="none"/>
                      <w14:textFill>
                        <w14:solidFill>
                          <w14:schemeClr w14:val="tx1"/>
                        </w14:solidFill>
                      </w14:textFill>
                    </w:rPr>
                    <w:t>池，收集泄漏的液态危险废物</w:t>
                  </w:r>
                  <w:r>
                    <w:rPr>
                      <w:rFonts w:hint="eastAsia" w:ascii="宋体" w:hAnsi="宋体" w:eastAsia="宋体" w:cs="宋体"/>
                      <w:color w:val="000000" w:themeColor="text1"/>
                      <w:spacing w:val="-2"/>
                      <w:sz w:val="18"/>
                      <w:szCs w:val="18"/>
                      <w:highlight w:val="none"/>
                      <w:lang w:eastAsia="zh-CN"/>
                      <w14:textFill>
                        <w14:solidFill>
                          <w14:schemeClr w14:val="tx1"/>
                        </w14:solidFill>
                      </w14:textFill>
                    </w:rPr>
                    <w:t>。</w:t>
                  </w:r>
                  <w:r>
                    <w:rPr>
                      <w:rFonts w:hint="eastAsia" w:ascii="宋体" w:hAnsi="宋体" w:eastAsia="宋体" w:cs="宋体"/>
                      <w:color w:val="000000" w:themeColor="text1"/>
                      <w:spacing w:val="-2"/>
                      <w:sz w:val="18"/>
                      <w:szCs w:val="18"/>
                      <w:highlight w:val="none"/>
                      <w:lang w:val="en-US" w:eastAsia="zh-CN"/>
                      <w14:textFill>
                        <w14:solidFill>
                          <w14:schemeClr w14:val="tx1"/>
                        </w14:solidFill>
                      </w14:textFill>
                    </w:rPr>
                    <w:t>收集容积满足标准要求</w:t>
                  </w:r>
                </w:p>
              </w:tc>
              <w:tc>
                <w:tcPr>
                  <w:tcW w:w="211" w:type="pct"/>
                  <w:tcBorders>
                    <w:tl2br w:val="nil"/>
                    <w:tr2bl w:val="nil"/>
                  </w:tcBorders>
                  <w:vAlign w:val="center"/>
                </w:tcPr>
                <w:p w14:paraId="63AF5146">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27F477A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229" w:type="pct"/>
                  <w:vMerge w:val="continue"/>
                  <w:tcBorders>
                    <w:tl2br w:val="nil"/>
                    <w:tr2bl w:val="nil"/>
                  </w:tcBorders>
                  <w:vAlign w:val="center"/>
                </w:tcPr>
                <w:p w14:paraId="4C69E98B">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350D7A40">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03"/>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贮存易产生粉尘、</w:t>
                  </w:r>
                  <w:r>
                    <w:rPr>
                      <w:rFonts w:hint="eastAsia" w:ascii="宋体" w:hAnsi="宋体" w:eastAsia="宋体" w:cs="宋体"/>
                      <w:color w:val="000000" w:themeColor="text1"/>
                      <w:sz w:val="18"/>
                      <w:szCs w:val="18"/>
                      <w14:textFill>
                        <w14:solidFill>
                          <w14:schemeClr w14:val="tx1"/>
                        </w14:solidFill>
                      </w14:textFill>
                    </w:rPr>
                    <w:t>VOCs</w:t>
                  </w:r>
                  <w:r>
                    <w:rPr>
                      <w:rFonts w:hint="eastAsia" w:ascii="宋体" w:hAnsi="宋体" w:eastAsia="宋体" w:cs="宋体"/>
                      <w:color w:val="000000" w:themeColor="text1"/>
                      <w:spacing w:val="-18"/>
                      <w:sz w:val="18"/>
                      <w:szCs w:val="18"/>
                      <w14:textFill>
                        <w14:solidFill>
                          <w14:schemeClr w14:val="tx1"/>
                        </w14:solidFill>
                      </w14:textFill>
                    </w:rPr>
                    <w:t xml:space="preserve"> </w:t>
                  </w:r>
                  <w:r>
                    <w:rPr>
                      <w:rFonts w:hint="eastAsia" w:ascii="宋体" w:hAnsi="宋体" w:eastAsia="宋体" w:cs="宋体"/>
                      <w:color w:val="000000" w:themeColor="text1"/>
                      <w:spacing w:val="3"/>
                      <w:sz w:val="18"/>
                      <w:szCs w:val="18"/>
                      <w14:textFill>
                        <w14:solidFill>
                          <w14:schemeClr w14:val="tx1"/>
                        </w14:solidFill>
                      </w14:textFill>
                    </w:rPr>
                    <w:t>、酸雾、有毒</w:t>
                  </w:r>
                  <w:r>
                    <w:rPr>
                      <w:rFonts w:hint="eastAsia" w:ascii="宋体" w:hAnsi="宋体" w:eastAsia="宋体" w:cs="宋体"/>
                      <w:color w:val="000000" w:themeColor="text1"/>
                      <w:spacing w:val="9"/>
                      <w:sz w:val="18"/>
                      <w:szCs w:val="18"/>
                      <w14:textFill>
                        <w14:solidFill>
                          <w14:schemeClr w14:val="tx1"/>
                        </w14:solidFill>
                      </w14:textFill>
                    </w:rPr>
                    <w:t>有害大气污染物和刺激性气味气体的危险废物贮存库，应设置气体收集装置和气体净化设施；气体净化设施的</w:t>
                  </w:r>
                  <w:r>
                    <w:rPr>
                      <w:rFonts w:hint="eastAsia" w:ascii="宋体" w:hAnsi="宋体" w:eastAsia="宋体" w:cs="宋体"/>
                      <w:color w:val="000000" w:themeColor="text1"/>
                      <w:spacing w:val="7"/>
                      <w:sz w:val="18"/>
                      <w:szCs w:val="18"/>
                      <w14:textFill>
                        <w14:solidFill>
                          <w14:schemeClr w14:val="tx1"/>
                        </w14:solidFill>
                      </w14:textFill>
                    </w:rPr>
                    <w:t xml:space="preserve">排气筒高度应符合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7"/>
                      <w:sz w:val="18"/>
                      <w:szCs w:val="18"/>
                      <w14:textFill>
                        <w14:solidFill>
                          <w14:schemeClr w14:val="tx1"/>
                        </w14:solidFill>
                      </w14:textFill>
                    </w:rPr>
                    <w:t>16297要求。</w:t>
                  </w:r>
                </w:p>
              </w:tc>
              <w:tc>
                <w:tcPr>
                  <w:tcW w:w="1487" w:type="pct"/>
                  <w:tcBorders>
                    <w:tl2br w:val="nil"/>
                    <w:tr2bl w:val="nil"/>
                  </w:tcBorders>
                  <w:vAlign w:val="center"/>
                </w:tcPr>
                <w:p w14:paraId="6DE8503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详见大气专章5.2.3</w:t>
                  </w:r>
                </w:p>
              </w:tc>
              <w:tc>
                <w:tcPr>
                  <w:tcW w:w="211" w:type="pct"/>
                  <w:tcBorders>
                    <w:tl2br w:val="nil"/>
                    <w:tr2bl w:val="nil"/>
                  </w:tcBorders>
                  <w:vAlign w:val="center"/>
                </w:tcPr>
                <w:p w14:paraId="663321C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246B17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445AD115">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05B1E30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691"/>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四、容器和包装物污染控制要求</w:t>
                  </w:r>
                </w:p>
              </w:tc>
            </w:tr>
            <w:tr w14:paraId="6F1586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77" w:hRule="atLeast"/>
              </w:trPr>
              <w:tc>
                <w:tcPr>
                  <w:tcW w:w="229" w:type="pct"/>
                  <w:vMerge w:val="continue"/>
                  <w:tcBorders>
                    <w:tl2br w:val="nil"/>
                    <w:tr2bl w:val="nil"/>
                  </w:tcBorders>
                  <w:vAlign w:val="center"/>
                </w:tcPr>
                <w:p w14:paraId="7962A9E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F1D1D3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容器和包装物材质、内衬应与盛装的</w:t>
                  </w:r>
                  <w:r>
                    <w:rPr>
                      <w:rFonts w:hint="eastAsia" w:ascii="宋体" w:hAnsi="宋体" w:eastAsia="宋体" w:cs="宋体"/>
                      <w:color w:val="000000" w:themeColor="text1"/>
                      <w:spacing w:val="6"/>
                      <w:sz w:val="18"/>
                      <w:szCs w:val="18"/>
                      <w14:textFill>
                        <w14:solidFill>
                          <w14:schemeClr w14:val="tx1"/>
                        </w14:solidFill>
                      </w14:textFill>
                    </w:rPr>
                    <w:t>危险废物相容。</w:t>
                  </w:r>
                </w:p>
              </w:tc>
              <w:tc>
                <w:tcPr>
                  <w:tcW w:w="1487" w:type="pct"/>
                  <w:tcBorders>
                    <w:tl2br w:val="nil"/>
                    <w:tr2bl w:val="nil"/>
                  </w:tcBorders>
                  <w:vAlign w:val="center"/>
                </w:tcPr>
                <w:p w14:paraId="6025AFF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9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本项目液态危险废</w:t>
                  </w:r>
                  <w:r>
                    <w:rPr>
                      <w:rFonts w:hint="eastAsia" w:ascii="宋体" w:hAnsi="宋体" w:eastAsia="宋体" w:cs="宋体"/>
                      <w:color w:val="000000" w:themeColor="text1"/>
                      <w:spacing w:val="-2"/>
                      <w:sz w:val="18"/>
                      <w:szCs w:val="18"/>
                      <w14:textFill>
                        <w14:solidFill>
                          <w14:schemeClr w14:val="tx1"/>
                        </w14:solidFill>
                      </w14:textFill>
                    </w:rPr>
                    <w:t>物采用密闭桶装，危</w:t>
                  </w:r>
                  <w:r>
                    <w:rPr>
                      <w:rFonts w:hint="eastAsia" w:ascii="宋体" w:hAnsi="宋体" w:eastAsia="宋体" w:cs="宋体"/>
                      <w:color w:val="000000" w:themeColor="text1"/>
                      <w:spacing w:val="16"/>
                      <w:sz w:val="18"/>
                      <w:szCs w:val="18"/>
                      <w14:textFill>
                        <w14:solidFill>
                          <w14:schemeClr w14:val="tx1"/>
                        </w14:solidFill>
                      </w14:textFill>
                    </w:rPr>
                    <w:t>废包装物与盛装的</w:t>
                  </w:r>
                  <w:r>
                    <w:rPr>
                      <w:rFonts w:hint="eastAsia" w:ascii="宋体" w:hAnsi="宋体" w:eastAsia="宋体" w:cs="宋体"/>
                      <w:color w:val="000000" w:themeColor="text1"/>
                      <w:spacing w:val="7"/>
                      <w:sz w:val="18"/>
                      <w:szCs w:val="18"/>
                      <w14:textFill>
                        <w14:solidFill>
                          <w14:schemeClr w14:val="tx1"/>
                        </w14:solidFill>
                      </w14:textFill>
                    </w:rPr>
                    <w:t>危险废物相容</w:t>
                  </w:r>
                </w:p>
              </w:tc>
              <w:tc>
                <w:tcPr>
                  <w:tcW w:w="211" w:type="pct"/>
                  <w:tcBorders>
                    <w:tl2br w:val="nil"/>
                    <w:tr2bl w:val="nil"/>
                  </w:tcBorders>
                  <w:vAlign w:val="center"/>
                </w:tcPr>
                <w:p w14:paraId="7D7FCB53">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p w14:paraId="342723D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56D926B">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670" w:hRule="atLeast"/>
              </w:trPr>
              <w:tc>
                <w:tcPr>
                  <w:tcW w:w="229" w:type="pct"/>
                  <w:vMerge w:val="continue"/>
                  <w:tcBorders>
                    <w:tl2br w:val="nil"/>
                    <w:tr2bl w:val="nil"/>
                  </w:tcBorders>
                  <w:vAlign w:val="center"/>
                </w:tcPr>
                <w:p w14:paraId="6EA838C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D3F424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针对不同类别、形态、物理化学性质</w:t>
                  </w:r>
                  <w:r>
                    <w:rPr>
                      <w:rFonts w:hint="eastAsia" w:ascii="宋体" w:hAnsi="宋体" w:eastAsia="宋体" w:cs="宋体"/>
                      <w:color w:val="000000" w:themeColor="text1"/>
                      <w:spacing w:val="8"/>
                      <w:sz w:val="18"/>
                      <w:szCs w:val="18"/>
                      <w14:textFill>
                        <w14:solidFill>
                          <w14:schemeClr w14:val="tx1"/>
                        </w14:solidFill>
                      </w14:textFill>
                    </w:rPr>
                    <w:t>的危险废物，其容器和包装物应满足</w:t>
                  </w:r>
                  <w:r>
                    <w:rPr>
                      <w:rFonts w:hint="eastAsia" w:ascii="宋体" w:hAnsi="宋体" w:eastAsia="宋体" w:cs="宋体"/>
                      <w:color w:val="000000" w:themeColor="text1"/>
                      <w:spacing w:val="9"/>
                      <w:sz w:val="18"/>
                      <w:szCs w:val="18"/>
                      <w14:textFill>
                        <w14:solidFill>
                          <w14:schemeClr w14:val="tx1"/>
                        </w14:solidFill>
                      </w14:textFill>
                    </w:rPr>
                    <w:t>相应的防渗、防漏、防腐和强度等要</w:t>
                  </w:r>
                  <w:r>
                    <w:rPr>
                      <w:rFonts w:hint="eastAsia" w:ascii="宋体" w:hAnsi="宋体" w:eastAsia="宋体" w:cs="宋体"/>
                      <w:color w:val="000000" w:themeColor="text1"/>
                      <w:spacing w:val="-1"/>
                      <w:sz w:val="18"/>
                      <w:szCs w:val="18"/>
                      <w14:textFill>
                        <w14:solidFill>
                          <w14:schemeClr w14:val="tx1"/>
                        </w14:solidFill>
                      </w14:textFill>
                    </w:rPr>
                    <w:t>求。</w:t>
                  </w:r>
                </w:p>
              </w:tc>
              <w:tc>
                <w:tcPr>
                  <w:tcW w:w="1487" w:type="pct"/>
                  <w:tcBorders>
                    <w:tl2br w:val="nil"/>
                    <w:tr2bl w:val="nil"/>
                  </w:tcBorders>
                  <w:vAlign w:val="center"/>
                </w:tcPr>
                <w:p w14:paraId="54B6381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本项目废油液、废有</w:t>
                  </w:r>
                  <w:r>
                    <w:rPr>
                      <w:rFonts w:hint="eastAsia" w:ascii="宋体" w:hAnsi="宋体" w:eastAsia="宋体" w:cs="宋体"/>
                      <w:color w:val="000000" w:themeColor="text1"/>
                      <w:spacing w:val="8"/>
                      <w:sz w:val="18"/>
                      <w:szCs w:val="18"/>
                      <w14:textFill>
                        <w14:solidFill>
                          <w14:schemeClr w14:val="tx1"/>
                        </w14:solidFill>
                      </w14:textFill>
                    </w:rPr>
                    <w:t>机溶剂等液态危险</w:t>
                  </w:r>
                  <w:r>
                    <w:rPr>
                      <w:rFonts w:hint="eastAsia" w:ascii="宋体" w:hAnsi="宋体" w:eastAsia="宋体" w:cs="宋体"/>
                      <w:color w:val="000000" w:themeColor="text1"/>
                      <w:spacing w:val="-2"/>
                      <w:sz w:val="18"/>
                      <w:szCs w:val="18"/>
                      <w14:textFill>
                        <w14:solidFill>
                          <w14:schemeClr w14:val="tx1"/>
                        </w14:solidFill>
                      </w14:textFill>
                    </w:rPr>
                    <w:t>废物均密闭桶装；其</w:t>
                  </w:r>
                  <w:r>
                    <w:rPr>
                      <w:rFonts w:hint="eastAsia" w:ascii="宋体" w:hAnsi="宋体" w:eastAsia="宋体" w:cs="宋体"/>
                      <w:color w:val="000000" w:themeColor="text1"/>
                      <w:spacing w:val="8"/>
                      <w:sz w:val="18"/>
                      <w:szCs w:val="18"/>
                      <w14:textFill>
                        <w14:solidFill>
                          <w14:schemeClr w14:val="tx1"/>
                        </w14:solidFill>
                      </w14:textFill>
                    </w:rPr>
                    <w:t>他危险废物集装箱</w:t>
                  </w:r>
                  <w:r>
                    <w:rPr>
                      <w:rFonts w:hint="eastAsia" w:ascii="宋体" w:hAnsi="宋体" w:eastAsia="宋体" w:cs="宋体"/>
                      <w:color w:val="000000" w:themeColor="text1"/>
                      <w:spacing w:val="4"/>
                      <w:sz w:val="18"/>
                      <w:szCs w:val="18"/>
                      <w14:textFill>
                        <w14:solidFill>
                          <w14:schemeClr w14:val="tx1"/>
                        </w14:solidFill>
                      </w14:textFill>
                    </w:rPr>
                    <w:t>内暂存，采取防渗、</w:t>
                  </w:r>
                  <w:r>
                    <w:rPr>
                      <w:rFonts w:hint="eastAsia" w:ascii="宋体" w:hAnsi="宋体" w:eastAsia="宋体" w:cs="宋体"/>
                      <w:color w:val="000000" w:themeColor="text1"/>
                      <w:spacing w:val="-3"/>
                      <w:sz w:val="18"/>
                      <w:szCs w:val="18"/>
                      <w14:textFill>
                        <w14:solidFill>
                          <w14:schemeClr w14:val="tx1"/>
                        </w14:solidFill>
                      </w14:textFill>
                    </w:rPr>
                    <w:t>防腐措施，强度满足</w:t>
                  </w:r>
                  <w:r>
                    <w:rPr>
                      <w:rFonts w:hint="eastAsia" w:ascii="宋体" w:hAnsi="宋体" w:eastAsia="宋体" w:cs="宋体"/>
                      <w:color w:val="000000" w:themeColor="text1"/>
                      <w:spacing w:val="4"/>
                      <w:sz w:val="18"/>
                      <w:szCs w:val="18"/>
                      <w14:textFill>
                        <w14:solidFill>
                          <w14:schemeClr w14:val="tx1"/>
                        </w14:solidFill>
                      </w14:textFill>
                    </w:rPr>
                    <w:t>要求</w:t>
                  </w:r>
                  <w:r>
                    <w:rPr>
                      <w:rFonts w:hint="eastAsia" w:ascii="宋体" w:hAnsi="宋体" w:eastAsia="宋体" w:cs="宋体"/>
                      <w:color w:val="000000" w:themeColor="text1"/>
                      <w:spacing w:val="4"/>
                      <w:sz w:val="18"/>
                      <w:szCs w:val="18"/>
                      <w:lang w:eastAsia="zh-CN"/>
                      <w14:textFill>
                        <w14:solidFill>
                          <w14:schemeClr w14:val="tx1"/>
                        </w14:solidFill>
                      </w14:textFill>
                    </w:rPr>
                    <w:t>。</w:t>
                  </w:r>
                </w:p>
              </w:tc>
              <w:tc>
                <w:tcPr>
                  <w:tcW w:w="211" w:type="pct"/>
                  <w:tcBorders>
                    <w:tl2br w:val="nil"/>
                    <w:tr2bl w:val="nil"/>
                  </w:tcBorders>
                  <w:vAlign w:val="center"/>
                </w:tcPr>
                <w:p w14:paraId="368CE51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16D3614">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3" w:hRule="atLeast"/>
              </w:trPr>
              <w:tc>
                <w:tcPr>
                  <w:tcW w:w="229" w:type="pct"/>
                  <w:vMerge w:val="continue"/>
                  <w:tcBorders>
                    <w:tl2br w:val="nil"/>
                    <w:tr2bl w:val="nil"/>
                  </w:tcBorders>
                  <w:vAlign w:val="center"/>
                </w:tcPr>
                <w:p w14:paraId="70F8D6F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46A036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3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硬质容器和包装物及其支护结构堆叠</w:t>
                  </w:r>
                  <w:r>
                    <w:rPr>
                      <w:rFonts w:hint="eastAsia" w:ascii="宋体" w:hAnsi="宋体" w:eastAsia="宋体" w:cs="宋体"/>
                      <w:color w:val="000000" w:themeColor="text1"/>
                      <w:spacing w:val="2"/>
                      <w:sz w:val="18"/>
                      <w:szCs w:val="18"/>
                      <w14:textFill>
                        <w14:solidFill>
                          <w14:schemeClr w14:val="tx1"/>
                        </w14:solidFill>
                      </w14:textFill>
                    </w:rPr>
                    <w:t>码放时不应有明显变形，无破损泄漏。</w:t>
                  </w:r>
                </w:p>
              </w:tc>
              <w:tc>
                <w:tcPr>
                  <w:tcW w:w="1487" w:type="pct"/>
                  <w:vMerge w:val="restart"/>
                  <w:tcBorders>
                    <w:tl2br w:val="nil"/>
                    <w:tr2bl w:val="nil"/>
                  </w:tcBorders>
                  <w:vAlign w:val="center"/>
                </w:tcPr>
                <w:p w14:paraId="7848BD84">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p w14:paraId="1FE53854">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按此条执行</w:t>
                  </w:r>
                  <w:r>
                    <w:rPr>
                      <w:rFonts w:hint="eastAsia" w:ascii="宋体" w:hAnsi="宋体" w:eastAsia="宋体" w:cs="宋体"/>
                      <w:color w:val="000000" w:themeColor="text1"/>
                      <w:spacing w:val="8"/>
                      <w:sz w:val="18"/>
                      <w:szCs w:val="18"/>
                      <w14:textFill>
                        <w14:solidFill>
                          <w14:schemeClr w14:val="tx1"/>
                        </w14:solidFill>
                      </w14:textFill>
                    </w:rPr>
                    <w:t>。</w:t>
                  </w:r>
                </w:p>
              </w:tc>
              <w:tc>
                <w:tcPr>
                  <w:tcW w:w="211" w:type="pct"/>
                  <w:tcBorders>
                    <w:tl2br w:val="nil"/>
                    <w:tr2bl w:val="nil"/>
                  </w:tcBorders>
                  <w:vAlign w:val="center"/>
                </w:tcPr>
                <w:p w14:paraId="3126E35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560FAA8">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14" w:hRule="atLeast"/>
              </w:trPr>
              <w:tc>
                <w:tcPr>
                  <w:tcW w:w="229" w:type="pct"/>
                  <w:vMerge w:val="continue"/>
                  <w:tcBorders>
                    <w:tl2br w:val="nil"/>
                    <w:tr2bl w:val="nil"/>
                  </w:tcBorders>
                  <w:vAlign w:val="center"/>
                </w:tcPr>
                <w:p w14:paraId="24D0763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4336324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性容器和包装物堆叠码放时应封口</w:t>
                  </w:r>
                  <w:r>
                    <w:rPr>
                      <w:rFonts w:hint="eastAsia" w:ascii="宋体" w:hAnsi="宋体" w:eastAsia="宋体" w:cs="宋体"/>
                      <w:color w:val="000000" w:themeColor="text1"/>
                      <w:spacing w:val="7"/>
                      <w:sz w:val="18"/>
                      <w:szCs w:val="18"/>
                      <w14:textFill>
                        <w14:solidFill>
                          <w14:schemeClr w14:val="tx1"/>
                        </w14:solidFill>
                      </w14:textFill>
                    </w:rPr>
                    <w:t>严密，无破损泄漏。</w:t>
                  </w:r>
                </w:p>
              </w:tc>
              <w:tc>
                <w:tcPr>
                  <w:tcW w:w="1487" w:type="pct"/>
                  <w:vMerge w:val="continue"/>
                  <w:tcBorders>
                    <w:tl2br w:val="nil"/>
                    <w:tr2bl w:val="nil"/>
                  </w:tcBorders>
                  <w:vAlign w:val="center"/>
                </w:tcPr>
                <w:p w14:paraId="38F520B1">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11" w:type="pct"/>
                  <w:tcBorders>
                    <w:tl2br w:val="nil"/>
                    <w:tr2bl w:val="nil"/>
                  </w:tcBorders>
                  <w:vAlign w:val="center"/>
                </w:tcPr>
                <w:p w14:paraId="790D574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7A23B5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79" w:hRule="atLeast"/>
              </w:trPr>
              <w:tc>
                <w:tcPr>
                  <w:tcW w:w="229" w:type="pct"/>
                  <w:vMerge w:val="continue"/>
                  <w:tcBorders>
                    <w:tl2br w:val="nil"/>
                    <w:tr2bl w:val="nil"/>
                  </w:tcBorders>
                  <w:vAlign w:val="center"/>
                </w:tcPr>
                <w:p w14:paraId="5400B104">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52BCE2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使用容器盛装液态、半固态危险废物</w:t>
                  </w:r>
                  <w:r>
                    <w:rPr>
                      <w:rFonts w:hint="eastAsia" w:ascii="宋体" w:hAnsi="宋体" w:eastAsia="宋体" w:cs="宋体"/>
                      <w:color w:val="000000" w:themeColor="text1"/>
                      <w:spacing w:val="10"/>
                      <w:sz w:val="18"/>
                      <w:szCs w:val="18"/>
                      <w14:textFill>
                        <w14:solidFill>
                          <w14:schemeClr w14:val="tx1"/>
                        </w14:solidFill>
                      </w14:textFill>
                    </w:rPr>
                    <w:t>时，容器内部应留有适当的空间，以</w:t>
                  </w:r>
                  <w:r>
                    <w:rPr>
                      <w:rFonts w:hint="eastAsia" w:ascii="宋体" w:hAnsi="宋体" w:eastAsia="宋体" w:cs="宋体"/>
                      <w:color w:val="000000" w:themeColor="text1"/>
                      <w:spacing w:val="9"/>
                      <w:sz w:val="18"/>
                      <w:szCs w:val="18"/>
                      <w14:textFill>
                        <w14:solidFill>
                          <w14:schemeClr w14:val="tx1"/>
                        </w14:solidFill>
                      </w14:textFill>
                    </w:rPr>
                    <w:t>适应因温度变化等可能引发的收缩和膨胀，防止其导致容器渗漏或永久变</w:t>
                  </w:r>
                  <w:r>
                    <w:rPr>
                      <w:rFonts w:hint="eastAsia" w:ascii="宋体" w:hAnsi="宋体" w:eastAsia="宋体" w:cs="宋体"/>
                      <w:color w:val="000000" w:themeColor="text1"/>
                      <w:spacing w:val="-1"/>
                      <w:sz w:val="18"/>
                      <w:szCs w:val="18"/>
                      <w14:textFill>
                        <w14:solidFill>
                          <w14:schemeClr w14:val="tx1"/>
                        </w14:solidFill>
                      </w14:textFill>
                    </w:rPr>
                    <w:t>形。</w:t>
                  </w:r>
                </w:p>
              </w:tc>
              <w:tc>
                <w:tcPr>
                  <w:tcW w:w="1487" w:type="pct"/>
                  <w:vMerge w:val="continue"/>
                  <w:tcBorders>
                    <w:tl2br w:val="nil"/>
                    <w:tr2bl w:val="nil"/>
                  </w:tcBorders>
                  <w:vAlign w:val="center"/>
                </w:tcPr>
                <w:p w14:paraId="6635DD8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211" w:type="pct"/>
                  <w:tcBorders>
                    <w:tl2br w:val="nil"/>
                    <w:tr2bl w:val="nil"/>
                  </w:tcBorders>
                  <w:vAlign w:val="center"/>
                </w:tcPr>
                <w:p w14:paraId="2AA2581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4EA59B73">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4152F610">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E4222D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容器和包装物外表面应保持清洁。</w:t>
                  </w:r>
                </w:p>
              </w:tc>
              <w:tc>
                <w:tcPr>
                  <w:tcW w:w="1487" w:type="pct"/>
                  <w:tcBorders>
                    <w:tl2br w:val="nil"/>
                    <w:tr2bl w:val="nil"/>
                  </w:tcBorders>
                  <w:vAlign w:val="center"/>
                </w:tcPr>
                <w:p w14:paraId="031CF51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按此条执行</w:t>
                  </w:r>
                  <w:r>
                    <w:rPr>
                      <w:rFonts w:hint="eastAsia" w:ascii="宋体" w:hAnsi="宋体" w:eastAsia="宋体" w:cs="宋体"/>
                      <w:color w:val="000000" w:themeColor="text1"/>
                      <w:spacing w:val="8"/>
                      <w:sz w:val="18"/>
                      <w:szCs w:val="18"/>
                      <w14:textFill>
                        <w14:solidFill>
                          <w14:schemeClr w14:val="tx1"/>
                        </w14:solidFill>
                      </w14:textFill>
                    </w:rPr>
                    <w:t>。</w:t>
                  </w:r>
                </w:p>
              </w:tc>
              <w:tc>
                <w:tcPr>
                  <w:tcW w:w="211" w:type="pct"/>
                  <w:tcBorders>
                    <w:tl2br w:val="nil"/>
                    <w:tr2bl w:val="nil"/>
                  </w:tcBorders>
                  <w:vAlign w:val="center"/>
                </w:tcPr>
                <w:p w14:paraId="6F7B650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46C1B8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8" w:hRule="atLeast"/>
              </w:trPr>
              <w:tc>
                <w:tcPr>
                  <w:tcW w:w="229" w:type="pct"/>
                  <w:vMerge w:val="continue"/>
                  <w:tcBorders>
                    <w:tl2br w:val="nil"/>
                    <w:tr2bl w:val="nil"/>
                  </w:tcBorders>
                  <w:vAlign w:val="center"/>
                </w:tcPr>
                <w:p w14:paraId="2ABA9D3F">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02AA739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886"/>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五、贮存过程污染控制要求</w:t>
                  </w:r>
                </w:p>
              </w:tc>
            </w:tr>
            <w:tr w14:paraId="5F184E0D">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75" w:hRule="atLeast"/>
              </w:trPr>
              <w:tc>
                <w:tcPr>
                  <w:tcW w:w="229" w:type="pct"/>
                  <w:vMerge w:val="continue"/>
                  <w:tcBorders>
                    <w:tl2br w:val="nil"/>
                    <w:tr2bl w:val="nil"/>
                  </w:tcBorders>
                  <w:vAlign w:val="center"/>
                </w:tcPr>
                <w:p w14:paraId="6D99D3A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F2978F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在常温常压下不易水解、不易挥发的</w:t>
                  </w:r>
                  <w:r>
                    <w:rPr>
                      <w:rFonts w:hint="eastAsia" w:ascii="宋体" w:hAnsi="宋体" w:eastAsia="宋体" w:cs="宋体"/>
                      <w:color w:val="000000" w:themeColor="text1"/>
                      <w:spacing w:val="8"/>
                      <w:sz w:val="18"/>
                      <w:szCs w:val="18"/>
                      <w14:textFill>
                        <w14:solidFill>
                          <w14:schemeClr w14:val="tx1"/>
                        </w14:solidFill>
                      </w14:textFill>
                    </w:rPr>
                    <w:t>固态危险废物可分类堆放贮存，其他固态危险废物应装入容器或包装物内</w:t>
                  </w:r>
                  <w:r>
                    <w:rPr>
                      <w:rFonts w:hint="eastAsia" w:ascii="宋体" w:hAnsi="宋体" w:eastAsia="宋体" w:cs="宋体"/>
                      <w:color w:val="000000" w:themeColor="text1"/>
                      <w:spacing w:val="2"/>
                      <w:sz w:val="18"/>
                      <w:szCs w:val="18"/>
                      <w14:textFill>
                        <w14:solidFill>
                          <w14:schemeClr w14:val="tx1"/>
                        </w14:solidFill>
                      </w14:textFill>
                    </w:rPr>
                    <w:t>贮存。</w:t>
                  </w:r>
                </w:p>
              </w:tc>
              <w:tc>
                <w:tcPr>
                  <w:tcW w:w="1487" w:type="pct"/>
                  <w:tcBorders>
                    <w:tl2br w:val="nil"/>
                    <w:tr2bl w:val="nil"/>
                  </w:tcBorders>
                  <w:vAlign w:val="center"/>
                </w:tcPr>
                <w:p w14:paraId="69003E5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本项目废油液、废有</w:t>
                  </w:r>
                  <w:r>
                    <w:rPr>
                      <w:rFonts w:hint="eastAsia" w:ascii="宋体" w:hAnsi="宋体" w:eastAsia="宋体" w:cs="宋体"/>
                      <w:color w:val="000000" w:themeColor="text1"/>
                      <w:spacing w:val="8"/>
                      <w:sz w:val="18"/>
                      <w:szCs w:val="18"/>
                      <w14:textFill>
                        <w14:solidFill>
                          <w14:schemeClr w14:val="tx1"/>
                        </w14:solidFill>
                      </w14:textFill>
                    </w:rPr>
                    <w:t>机溶剂等液态危险废物均密闭桶装</w:t>
                  </w:r>
                  <w:r>
                    <w:rPr>
                      <w:rFonts w:hint="eastAsia" w:ascii="宋体" w:hAnsi="宋体" w:eastAsia="宋体" w:cs="宋体"/>
                      <w:color w:val="000000" w:themeColor="text1"/>
                      <w:spacing w:val="8"/>
                      <w:sz w:val="18"/>
                      <w:szCs w:val="18"/>
                      <w:lang w:eastAsia="zh-CN"/>
                      <w14:textFill>
                        <w14:solidFill>
                          <w14:schemeClr w14:val="tx1"/>
                        </w14:solidFill>
                      </w14:textFill>
                    </w:rPr>
                    <w:t>。</w:t>
                  </w:r>
                </w:p>
              </w:tc>
              <w:tc>
                <w:tcPr>
                  <w:tcW w:w="211" w:type="pct"/>
                  <w:tcBorders>
                    <w:tl2br w:val="nil"/>
                    <w:tr2bl w:val="nil"/>
                  </w:tcBorders>
                  <w:vAlign w:val="center"/>
                </w:tcPr>
                <w:p w14:paraId="6BA8637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35E7DFC">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229" w:type="pct"/>
                  <w:vMerge w:val="continue"/>
                  <w:tcBorders>
                    <w:tl2br w:val="nil"/>
                    <w:tr2bl w:val="nil"/>
                  </w:tcBorders>
                  <w:vAlign w:val="center"/>
                </w:tcPr>
                <w:p w14:paraId="44525241">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E07488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液态危险废物应装入容器内贮存或</w:t>
                  </w:r>
                  <w:r>
                    <w:rPr>
                      <w:rFonts w:hint="eastAsia" w:ascii="宋体" w:hAnsi="宋体" w:eastAsia="宋体" w:cs="宋体"/>
                      <w:color w:val="000000" w:themeColor="text1"/>
                      <w:spacing w:val="8"/>
                      <w:sz w:val="18"/>
                      <w:szCs w:val="18"/>
                      <w14:textFill>
                        <w14:solidFill>
                          <w14:schemeClr w14:val="tx1"/>
                        </w14:solidFill>
                      </w14:textFill>
                    </w:rPr>
                    <w:t>直接采用贮存池、贮存罐区贮存。</w:t>
                  </w:r>
                </w:p>
              </w:tc>
              <w:tc>
                <w:tcPr>
                  <w:tcW w:w="1487" w:type="pct"/>
                  <w:tcBorders>
                    <w:tl2br w:val="nil"/>
                    <w:tr2bl w:val="nil"/>
                  </w:tcBorders>
                  <w:vAlign w:val="center"/>
                </w:tcPr>
                <w:p w14:paraId="0CC50D2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2" w:right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本项目液态危废采</w:t>
                  </w:r>
                  <w:r>
                    <w:rPr>
                      <w:rFonts w:hint="eastAsia" w:ascii="宋体" w:hAnsi="宋体" w:eastAsia="宋体" w:cs="宋体"/>
                      <w:color w:val="000000" w:themeColor="text1"/>
                      <w:spacing w:val="7"/>
                      <w:sz w:val="18"/>
                      <w:szCs w:val="18"/>
                      <w14:textFill>
                        <w14:solidFill>
                          <w14:schemeClr w14:val="tx1"/>
                        </w14:solidFill>
                      </w14:textFill>
                    </w:rPr>
                    <w:t>用桶装形式存储。</w:t>
                  </w:r>
                </w:p>
              </w:tc>
              <w:tc>
                <w:tcPr>
                  <w:tcW w:w="211" w:type="pct"/>
                  <w:tcBorders>
                    <w:tl2br w:val="nil"/>
                    <w:tr2bl w:val="nil"/>
                  </w:tcBorders>
                  <w:vAlign w:val="center"/>
                </w:tcPr>
                <w:p w14:paraId="72E88CF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EF0ADD3">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229" w:type="pct"/>
                  <w:vMerge w:val="continue"/>
                  <w:tcBorders>
                    <w:tl2br w:val="nil"/>
                    <w:tr2bl w:val="nil"/>
                  </w:tcBorders>
                  <w:vAlign w:val="center"/>
                </w:tcPr>
                <w:p w14:paraId="673B243B">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8C26671">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半固态危险废物应装入容器或包装袋</w:t>
                  </w:r>
                  <w:r>
                    <w:rPr>
                      <w:rFonts w:hint="eastAsia" w:ascii="宋体" w:hAnsi="宋体" w:eastAsia="宋体" w:cs="宋体"/>
                      <w:color w:val="000000" w:themeColor="text1"/>
                      <w:spacing w:val="6"/>
                      <w:sz w:val="18"/>
                      <w:szCs w:val="18"/>
                      <w14:textFill>
                        <w14:solidFill>
                          <w14:schemeClr w14:val="tx1"/>
                        </w14:solidFill>
                      </w14:textFill>
                    </w:rPr>
                    <w:t>内贮存，或直接采用贮存池贮存。</w:t>
                  </w:r>
                </w:p>
              </w:tc>
              <w:tc>
                <w:tcPr>
                  <w:tcW w:w="1487" w:type="pct"/>
                  <w:tcBorders>
                    <w:tl2br w:val="nil"/>
                    <w:tr2bl w:val="nil"/>
                  </w:tcBorders>
                  <w:vAlign w:val="center"/>
                </w:tcPr>
                <w:p w14:paraId="730FE8E2">
                  <w:pPr>
                    <w:pStyle w:val="119"/>
                    <w:keepNext w:val="0"/>
                    <w:keepLines w:val="0"/>
                    <w:pageBreakBefore w:val="0"/>
                    <w:widowControl/>
                    <w:tabs>
                      <w:tab w:val="left" w:pos="2100"/>
                    </w:tabs>
                    <w:kinsoku/>
                    <w:wordWrap/>
                    <w:overflowPunct w:val="0"/>
                    <w:topLinePunct w:val="0"/>
                    <w:autoSpaceDE w:val="0"/>
                    <w:autoSpaceDN w:val="0"/>
                    <w:bidi w:val="0"/>
                    <w:adjustRightInd w:val="0"/>
                    <w:snapToGrid w:val="0"/>
                    <w:spacing w:line="240" w:lineRule="atLeast"/>
                    <w:ind w:right="-355" w:rightChars="-14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本项目无半固态危</w:t>
                  </w:r>
                  <w:r>
                    <w:rPr>
                      <w:rFonts w:hint="eastAsia" w:ascii="宋体" w:hAnsi="宋体" w:eastAsia="宋体" w:cs="宋体"/>
                      <w:color w:val="000000" w:themeColor="text1"/>
                      <w:spacing w:val="2"/>
                      <w:sz w:val="18"/>
                      <w:szCs w:val="18"/>
                      <w14:textFill>
                        <w14:solidFill>
                          <w14:schemeClr w14:val="tx1"/>
                        </w14:solidFill>
                      </w14:textFill>
                    </w:rPr>
                    <w:t>险废物。</w:t>
                  </w:r>
                </w:p>
              </w:tc>
              <w:tc>
                <w:tcPr>
                  <w:tcW w:w="211" w:type="pct"/>
                  <w:tcBorders>
                    <w:tl2br w:val="nil"/>
                    <w:tr2bl w:val="nil"/>
                  </w:tcBorders>
                  <w:vAlign w:val="center"/>
                </w:tcPr>
                <w:p w14:paraId="121C9B2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614C6F1C">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229" w:type="pct"/>
                  <w:vMerge w:val="continue"/>
                  <w:tcBorders>
                    <w:tl2br w:val="nil"/>
                    <w:tr2bl w:val="nil"/>
                  </w:tcBorders>
                  <w:vAlign w:val="center"/>
                </w:tcPr>
                <w:p w14:paraId="57693FE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22A2418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具有热塑性的危险废物应装入容器或</w:t>
                  </w:r>
                  <w:r>
                    <w:rPr>
                      <w:rFonts w:hint="eastAsia" w:ascii="宋体" w:hAnsi="宋体" w:eastAsia="宋体" w:cs="宋体"/>
                      <w:color w:val="000000" w:themeColor="text1"/>
                      <w:spacing w:val="7"/>
                      <w:sz w:val="18"/>
                      <w:szCs w:val="18"/>
                      <w14:textFill>
                        <w14:solidFill>
                          <w14:schemeClr w14:val="tx1"/>
                        </w14:solidFill>
                      </w14:textFill>
                    </w:rPr>
                    <w:t>包装袋内进行贮存。</w:t>
                  </w:r>
                </w:p>
              </w:tc>
              <w:tc>
                <w:tcPr>
                  <w:tcW w:w="1487" w:type="pct"/>
                  <w:tcBorders>
                    <w:tl2br w:val="nil"/>
                    <w:tr2bl w:val="nil"/>
                  </w:tcBorders>
                  <w:vAlign w:val="center"/>
                </w:tcPr>
                <w:p w14:paraId="5ED9A34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27" w:rightChars="-53"/>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本项目无热塑性危</w:t>
                  </w:r>
                  <w:r>
                    <w:rPr>
                      <w:rFonts w:hint="eastAsia" w:ascii="宋体" w:hAnsi="宋体" w:eastAsia="宋体" w:cs="宋体"/>
                      <w:color w:val="000000" w:themeColor="text1"/>
                      <w:spacing w:val="2"/>
                      <w:sz w:val="18"/>
                      <w:szCs w:val="18"/>
                      <w14:textFill>
                        <w14:solidFill>
                          <w14:schemeClr w14:val="tx1"/>
                        </w14:solidFill>
                      </w14:textFill>
                    </w:rPr>
                    <w:t>险废物。</w:t>
                  </w:r>
                </w:p>
              </w:tc>
              <w:tc>
                <w:tcPr>
                  <w:tcW w:w="211" w:type="pct"/>
                  <w:tcBorders>
                    <w:tl2br w:val="nil"/>
                    <w:tr2bl w:val="nil"/>
                  </w:tcBorders>
                  <w:vAlign w:val="center"/>
                </w:tcPr>
                <w:p w14:paraId="51D2E3C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1F2215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68" w:hRule="atLeast"/>
              </w:trPr>
              <w:tc>
                <w:tcPr>
                  <w:tcW w:w="229" w:type="pct"/>
                  <w:vMerge w:val="continue"/>
                  <w:tcBorders>
                    <w:tl2br w:val="nil"/>
                    <w:tr2bl w:val="nil"/>
                  </w:tcBorders>
                  <w:vAlign w:val="center"/>
                </w:tcPr>
                <w:p w14:paraId="12FE2063">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73783D35">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易产生粉尘、</w:t>
                  </w:r>
                  <w:r>
                    <w:rPr>
                      <w:rFonts w:hint="eastAsia" w:ascii="宋体" w:hAnsi="宋体" w:eastAsia="宋体" w:cs="宋体"/>
                      <w:color w:val="000000" w:themeColor="text1"/>
                      <w:sz w:val="18"/>
                      <w:szCs w:val="18"/>
                      <w14:textFill>
                        <w14:solidFill>
                          <w14:schemeClr w14:val="tx1"/>
                        </w14:solidFill>
                      </w14:textFill>
                    </w:rPr>
                    <w:t>VOCs</w:t>
                  </w:r>
                  <w:r>
                    <w:rPr>
                      <w:rFonts w:hint="eastAsia" w:ascii="宋体" w:hAnsi="宋体" w:eastAsia="宋体" w:cs="宋体"/>
                      <w:color w:val="000000" w:themeColor="text1"/>
                      <w:spacing w:val="-17"/>
                      <w:sz w:val="18"/>
                      <w:szCs w:val="18"/>
                      <w14:textFill>
                        <w14:solidFill>
                          <w14:schemeClr w14:val="tx1"/>
                        </w14:solidFill>
                      </w14:textFill>
                    </w:rPr>
                    <w:t xml:space="preserve"> </w:t>
                  </w:r>
                  <w:r>
                    <w:rPr>
                      <w:rFonts w:hint="eastAsia" w:ascii="宋体" w:hAnsi="宋体" w:eastAsia="宋体" w:cs="宋体"/>
                      <w:color w:val="000000" w:themeColor="text1"/>
                      <w:spacing w:val="2"/>
                      <w:sz w:val="18"/>
                      <w:szCs w:val="18"/>
                      <w14:textFill>
                        <w14:solidFill>
                          <w14:schemeClr w14:val="tx1"/>
                        </w14:solidFill>
                      </w14:textFill>
                    </w:rPr>
                    <w:t>、酸雾、有毒有害</w:t>
                  </w:r>
                  <w:r>
                    <w:rPr>
                      <w:rFonts w:hint="eastAsia" w:ascii="宋体" w:hAnsi="宋体" w:eastAsia="宋体" w:cs="宋体"/>
                      <w:color w:val="000000" w:themeColor="text1"/>
                      <w:spacing w:val="9"/>
                      <w:sz w:val="18"/>
                      <w:szCs w:val="18"/>
                      <w14:textFill>
                        <w14:solidFill>
                          <w14:schemeClr w14:val="tx1"/>
                        </w14:solidFill>
                      </w14:textFill>
                    </w:rPr>
                    <w:t>大气污染物和刺激性气味气体的危险废物应装入闭口容器或包装物内贮</w:t>
                  </w:r>
                  <w:r>
                    <w:rPr>
                      <w:rFonts w:hint="eastAsia" w:ascii="宋体" w:hAnsi="宋体" w:eastAsia="宋体" w:cs="宋体"/>
                      <w:color w:val="000000" w:themeColor="text1"/>
                      <w:sz w:val="18"/>
                      <w:szCs w:val="18"/>
                      <w14:textFill>
                        <w14:solidFill>
                          <w14:schemeClr w14:val="tx1"/>
                        </w14:solidFill>
                      </w14:textFill>
                    </w:rPr>
                    <w:t>存。</w:t>
                  </w:r>
                </w:p>
              </w:tc>
              <w:tc>
                <w:tcPr>
                  <w:tcW w:w="1487" w:type="pct"/>
                  <w:tcBorders>
                    <w:tl2br w:val="nil"/>
                    <w:tr2bl w:val="nil"/>
                  </w:tcBorders>
                  <w:vAlign w:val="center"/>
                </w:tcPr>
                <w:p w14:paraId="52C3F7F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本项目废油液、废有</w:t>
                  </w:r>
                  <w:r>
                    <w:rPr>
                      <w:rFonts w:hint="eastAsia" w:ascii="宋体" w:hAnsi="宋体" w:eastAsia="宋体" w:cs="宋体"/>
                      <w:color w:val="000000" w:themeColor="text1"/>
                      <w:spacing w:val="8"/>
                      <w:sz w:val="18"/>
                      <w:szCs w:val="18"/>
                      <w14:textFill>
                        <w14:solidFill>
                          <w14:schemeClr w14:val="tx1"/>
                        </w14:solidFill>
                      </w14:textFill>
                    </w:rPr>
                    <w:t>机溶剂等液态危险废物均密闭桶装</w:t>
                  </w:r>
                  <w:r>
                    <w:rPr>
                      <w:rFonts w:hint="eastAsia" w:ascii="宋体" w:hAnsi="宋体" w:eastAsia="宋体" w:cs="宋体"/>
                      <w:color w:val="000000" w:themeColor="text1"/>
                      <w:spacing w:val="8"/>
                      <w:sz w:val="18"/>
                      <w:szCs w:val="18"/>
                      <w:lang w:eastAsia="zh-CN"/>
                      <w14:textFill>
                        <w14:solidFill>
                          <w14:schemeClr w14:val="tx1"/>
                        </w14:solidFill>
                      </w14:textFill>
                    </w:rPr>
                    <w:t>。</w:t>
                  </w:r>
                </w:p>
              </w:tc>
              <w:tc>
                <w:tcPr>
                  <w:tcW w:w="211" w:type="pct"/>
                  <w:tcBorders>
                    <w:tl2br w:val="nil"/>
                    <w:tr2bl w:val="nil"/>
                  </w:tcBorders>
                  <w:vAlign w:val="center"/>
                </w:tcPr>
                <w:p w14:paraId="2E1DDA75">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6119A4E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84" w:hRule="atLeast"/>
              </w:trPr>
              <w:tc>
                <w:tcPr>
                  <w:tcW w:w="229" w:type="pct"/>
                  <w:vMerge w:val="continue"/>
                  <w:tcBorders>
                    <w:tl2br w:val="nil"/>
                    <w:tr2bl w:val="nil"/>
                  </w:tcBorders>
                  <w:vAlign w:val="center"/>
                </w:tcPr>
                <w:p w14:paraId="1B5C48F0">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3368552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3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危险废物贮存过程中易产生粉尘等无</w:t>
                  </w:r>
                  <w:r>
                    <w:rPr>
                      <w:rFonts w:hint="eastAsia" w:ascii="宋体" w:hAnsi="宋体" w:eastAsia="宋体" w:cs="宋体"/>
                      <w:color w:val="000000" w:themeColor="text1"/>
                      <w:spacing w:val="2"/>
                      <w:sz w:val="18"/>
                      <w:szCs w:val="18"/>
                      <w14:textFill>
                        <w14:solidFill>
                          <w14:schemeClr w14:val="tx1"/>
                        </w14:solidFill>
                      </w14:textFill>
                    </w:rPr>
                    <w:t>组织排放的，应采取抑尘等有效措施。</w:t>
                  </w:r>
                </w:p>
              </w:tc>
              <w:tc>
                <w:tcPr>
                  <w:tcW w:w="1487" w:type="pct"/>
                  <w:tcBorders>
                    <w:tl2br w:val="nil"/>
                    <w:tr2bl w:val="nil"/>
                  </w:tcBorders>
                  <w:vAlign w:val="center"/>
                </w:tcPr>
                <w:p w14:paraId="3E2451E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不涉及。</w:t>
                  </w:r>
                </w:p>
              </w:tc>
              <w:tc>
                <w:tcPr>
                  <w:tcW w:w="211" w:type="pct"/>
                  <w:tcBorders>
                    <w:tl2br w:val="nil"/>
                    <w:tr2bl w:val="nil"/>
                  </w:tcBorders>
                  <w:vAlign w:val="center"/>
                </w:tcPr>
                <w:p w14:paraId="3ECEABC4">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1A12CF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8" w:hRule="atLeast"/>
              </w:trPr>
              <w:tc>
                <w:tcPr>
                  <w:tcW w:w="229" w:type="pct"/>
                  <w:vMerge w:val="continue"/>
                  <w:tcBorders>
                    <w:tl2br w:val="nil"/>
                    <w:tr2bl w:val="nil"/>
                  </w:tcBorders>
                  <w:vAlign w:val="center"/>
                </w:tcPr>
                <w:p w14:paraId="4E1EBBE4">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3D92A8A4">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673"/>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六、贮存设施运行环境管理要求</w:t>
                  </w:r>
                </w:p>
              </w:tc>
            </w:tr>
            <w:tr w14:paraId="30D77DBF">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37" w:hRule="atLeast"/>
              </w:trPr>
              <w:tc>
                <w:tcPr>
                  <w:tcW w:w="229" w:type="pct"/>
                  <w:vMerge w:val="continue"/>
                  <w:tcBorders>
                    <w:tl2br w:val="nil"/>
                    <w:tr2bl w:val="nil"/>
                  </w:tcBorders>
                  <w:vAlign w:val="center"/>
                </w:tcPr>
                <w:p w14:paraId="02BE445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EEC883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3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危险废物存入贮存设施前应对危险废物类别和特性与危险废物标签等危险废物识别标志的一致性进行核验，不</w:t>
                  </w:r>
                  <w:r>
                    <w:rPr>
                      <w:rFonts w:hint="eastAsia" w:ascii="宋体" w:hAnsi="宋体" w:eastAsia="宋体" w:cs="宋体"/>
                      <w:color w:val="000000" w:themeColor="text1"/>
                      <w:spacing w:val="2"/>
                      <w:sz w:val="18"/>
                      <w:szCs w:val="18"/>
                      <w14:textFill>
                        <w14:solidFill>
                          <w14:schemeClr w14:val="tx1"/>
                        </w14:solidFill>
                      </w14:textFill>
                    </w:rPr>
                    <w:t>一致的或类别、特性不明的不应存入。</w:t>
                  </w:r>
                </w:p>
              </w:tc>
              <w:tc>
                <w:tcPr>
                  <w:tcW w:w="1487" w:type="pct"/>
                  <w:tcBorders>
                    <w:tl2br w:val="nil"/>
                    <w:tr2bl w:val="nil"/>
                  </w:tcBorders>
                  <w:vAlign w:val="center"/>
                </w:tcPr>
                <w:p w14:paraId="4ED4DCE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按照此条规定执行。</w:t>
                  </w:r>
                </w:p>
              </w:tc>
              <w:tc>
                <w:tcPr>
                  <w:tcW w:w="211" w:type="pct"/>
                  <w:tcBorders>
                    <w:tl2br w:val="nil"/>
                    <w:tr2bl w:val="nil"/>
                  </w:tcBorders>
                  <w:vAlign w:val="center"/>
                </w:tcPr>
                <w:p w14:paraId="1ECBE92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21E0FA4">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09" w:hRule="atLeast"/>
              </w:trPr>
              <w:tc>
                <w:tcPr>
                  <w:tcW w:w="229" w:type="pct"/>
                  <w:vMerge w:val="continue"/>
                  <w:tcBorders>
                    <w:tl2br w:val="nil"/>
                    <w:tr2bl w:val="nil"/>
                  </w:tcBorders>
                  <w:vAlign w:val="center"/>
                </w:tcPr>
                <w:p w14:paraId="0E488E54">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433A65F8">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应定期检查危险废物的贮存状况，及</w:t>
                  </w:r>
                  <w:r>
                    <w:rPr>
                      <w:rFonts w:hint="eastAsia" w:ascii="宋体" w:hAnsi="宋体" w:eastAsia="宋体" w:cs="宋体"/>
                      <w:color w:val="000000" w:themeColor="text1"/>
                      <w:spacing w:val="8"/>
                      <w:sz w:val="18"/>
                      <w:szCs w:val="18"/>
                      <w14:textFill>
                        <w14:solidFill>
                          <w14:schemeClr w14:val="tx1"/>
                        </w14:solidFill>
                      </w14:textFill>
                    </w:rPr>
                    <w:t>时清理贮存设施地面，更换破损泄漏的危险废物贮存容器和包装物，保证</w:t>
                  </w:r>
                  <w:r>
                    <w:rPr>
                      <w:rFonts w:hint="eastAsia" w:ascii="宋体" w:hAnsi="宋体" w:eastAsia="宋体" w:cs="宋体"/>
                      <w:color w:val="000000" w:themeColor="text1"/>
                      <w:spacing w:val="9"/>
                      <w:sz w:val="18"/>
                      <w:szCs w:val="18"/>
                      <w14:textFill>
                        <w14:solidFill>
                          <w14:schemeClr w14:val="tx1"/>
                        </w14:solidFill>
                      </w14:textFill>
                    </w:rPr>
                    <w:t>堆存危险废物的防雨、防风、防扬尘</w:t>
                  </w:r>
                  <w:r>
                    <w:rPr>
                      <w:rFonts w:hint="eastAsia" w:ascii="宋体" w:hAnsi="宋体" w:eastAsia="宋体" w:cs="宋体"/>
                      <w:color w:val="000000" w:themeColor="text1"/>
                      <w:spacing w:val="8"/>
                      <w:sz w:val="18"/>
                      <w:szCs w:val="18"/>
                      <w14:textFill>
                        <w14:solidFill>
                          <w14:schemeClr w14:val="tx1"/>
                        </w14:solidFill>
                      </w14:textFill>
                    </w:rPr>
                    <w:t>等设施功能完好</w:t>
                  </w:r>
                  <w:r>
                    <w:rPr>
                      <w:rFonts w:hint="eastAsia" w:ascii="宋体" w:hAnsi="宋体" w:eastAsia="宋体" w:cs="宋体"/>
                      <w:color w:val="000000" w:themeColor="text1"/>
                      <w:spacing w:val="8"/>
                      <w:sz w:val="18"/>
                      <w:szCs w:val="18"/>
                      <w:lang w:eastAsia="zh-CN"/>
                      <w14:textFill>
                        <w14:solidFill>
                          <w14:schemeClr w14:val="tx1"/>
                        </w14:solidFill>
                      </w14:textFill>
                    </w:rPr>
                    <w:t>。</w:t>
                  </w:r>
                </w:p>
              </w:tc>
              <w:tc>
                <w:tcPr>
                  <w:tcW w:w="1487" w:type="pct"/>
                  <w:tcBorders>
                    <w:tl2br w:val="nil"/>
                    <w:tr2bl w:val="nil"/>
                  </w:tcBorders>
                  <w:vAlign w:val="center"/>
                </w:tcPr>
                <w:p w14:paraId="61EA06B5">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p w14:paraId="5E7E779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按照此条规定执行。</w:t>
                  </w:r>
                </w:p>
              </w:tc>
              <w:tc>
                <w:tcPr>
                  <w:tcW w:w="211" w:type="pct"/>
                  <w:tcBorders>
                    <w:tl2br w:val="nil"/>
                    <w:tr2bl w:val="nil"/>
                  </w:tcBorders>
                  <w:vAlign w:val="center"/>
                </w:tcPr>
                <w:p w14:paraId="1526EEF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6762B88">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853" w:hRule="atLeast"/>
              </w:trPr>
              <w:tc>
                <w:tcPr>
                  <w:tcW w:w="229" w:type="pct"/>
                  <w:vMerge w:val="continue"/>
                  <w:tcBorders>
                    <w:tl2br w:val="nil"/>
                    <w:tr2bl w:val="nil"/>
                  </w:tcBorders>
                  <w:vAlign w:val="center"/>
                </w:tcPr>
                <w:p w14:paraId="50C53C65">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DFE5817">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作业设备及车辆等结束作业离开贮存设施时，应对其残留的危险废物进行清理，清理的废物或清洗废水应收集</w:t>
                  </w:r>
                  <w:r>
                    <w:rPr>
                      <w:rFonts w:hint="eastAsia" w:ascii="宋体" w:hAnsi="宋体" w:eastAsia="宋体" w:cs="宋体"/>
                      <w:color w:val="000000" w:themeColor="text1"/>
                      <w:spacing w:val="1"/>
                      <w:sz w:val="18"/>
                      <w:szCs w:val="18"/>
                      <w14:textFill>
                        <w14:solidFill>
                          <w14:schemeClr w14:val="tx1"/>
                        </w14:solidFill>
                      </w14:textFill>
                    </w:rPr>
                    <w:t>处理。</w:t>
                  </w:r>
                </w:p>
              </w:tc>
              <w:tc>
                <w:tcPr>
                  <w:tcW w:w="1487" w:type="pct"/>
                  <w:tcBorders>
                    <w:tl2br w:val="nil"/>
                    <w:tr2bl w:val="nil"/>
                  </w:tcBorders>
                  <w:vAlign w:val="center"/>
                </w:tcPr>
                <w:p w14:paraId="6A937DB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2" w:rightChars="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本项目危险废物采用带盖桶密闭存储后人工运至本危废</w:t>
                  </w:r>
                  <w:r>
                    <w:rPr>
                      <w:rFonts w:hint="eastAsia" w:ascii="宋体" w:hAnsi="宋体" w:eastAsia="宋体" w:cs="宋体"/>
                      <w:color w:val="000000" w:themeColor="text1"/>
                      <w:spacing w:val="5"/>
                      <w:sz w:val="18"/>
                      <w:szCs w:val="18"/>
                      <w14:textFill>
                        <w14:solidFill>
                          <w14:schemeClr w14:val="tx1"/>
                        </w14:solidFill>
                      </w14:textFill>
                    </w:rPr>
                    <w:t>间内，无需清理。</w:t>
                  </w:r>
                </w:p>
              </w:tc>
              <w:tc>
                <w:tcPr>
                  <w:tcW w:w="211" w:type="pct"/>
                  <w:tcBorders>
                    <w:tl2br w:val="nil"/>
                    <w:tr2bl w:val="nil"/>
                  </w:tcBorders>
                  <w:vAlign w:val="center"/>
                </w:tcPr>
                <w:p w14:paraId="76C9769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2ECBF9BB">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97" w:hRule="atLeast"/>
              </w:trPr>
              <w:tc>
                <w:tcPr>
                  <w:tcW w:w="229" w:type="pct"/>
                  <w:vMerge w:val="continue"/>
                  <w:tcBorders>
                    <w:tl2br w:val="nil"/>
                    <w:tr2bl w:val="nil"/>
                  </w:tcBorders>
                  <w:vAlign w:val="center"/>
                </w:tcPr>
                <w:p w14:paraId="7CCA2233">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2B5CBD9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贮存设施运行期间，应按国家有关标准和规定建立危险废物管理台账并保</w:t>
                  </w:r>
                  <w:r>
                    <w:rPr>
                      <w:rFonts w:hint="eastAsia" w:ascii="宋体" w:hAnsi="宋体" w:eastAsia="宋体" w:cs="宋体"/>
                      <w:color w:val="000000" w:themeColor="text1"/>
                      <w:sz w:val="18"/>
                      <w:szCs w:val="18"/>
                      <w14:textFill>
                        <w14:solidFill>
                          <w14:schemeClr w14:val="tx1"/>
                        </w14:solidFill>
                      </w14:textFill>
                    </w:rPr>
                    <w:t>存。</w:t>
                  </w:r>
                </w:p>
              </w:tc>
              <w:tc>
                <w:tcPr>
                  <w:tcW w:w="1487" w:type="pct"/>
                  <w:tcBorders>
                    <w:tl2br w:val="nil"/>
                    <w:tr2bl w:val="nil"/>
                  </w:tcBorders>
                  <w:vAlign w:val="center"/>
                </w:tcPr>
                <w:p w14:paraId="456FB3E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按照此条规定执行</w:t>
                  </w:r>
                  <w:r>
                    <w:rPr>
                      <w:rFonts w:hint="eastAsia" w:ascii="宋体" w:hAnsi="宋体" w:eastAsia="宋体" w:cs="宋体"/>
                      <w:color w:val="000000" w:themeColor="text1"/>
                      <w:spacing w:val="8"/>
                      <w:sz w:val="18"/>
                      <w:szCs w:val="18"/>
                      <w:lang w:eastAsia="zh-CN"/>
                      <w14:textFill>
                        <w14:solidFill>
                          <w14:schemeClr w14:val="tx1"/>
                        </w14:solidFill>
                      </w14:textFill>
                    </w:rPr>
                    <w:t>。</w:t>
                  </w:r>
                </w:p>
              </w:tc>
              <w:tc>
                <w:tcPr>
                  <w:tcW w:w="211" w:type="pct"/>
                  <w:tcBorders>
                    <w:tl2br w:val="nil"/>
                    <w:tr2bl w:val="nil"/>
                  </w:tcBorders>
                  <w:vAlign w:val="center"/>
                </w:tcPr>
                <w:p w14:paraId="14AE444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7E73651">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76" w:hRule="atLeast"/>
              </w:trPr>
              <w:tc>
                <w:tcPr>
                  <w:tcW w:w="229" w:type="pct"/>
                  <w:vMerge w:val="continue"/>
                  <w:tcBorders>
                    <w:tl2br w:val="nil"/>
                    <w:tr2bl w:val="nil"/>
                  </w:tcBorders>
                  <w:vAlign w:val="center"/>
                </w:tcPr>
                <w:p w14:paraId="00E69A25">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322BB63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贮存设施所有者或运营者应建立贮存设施环境管理制度、管理人员岗位职</w:t>
                  </w:r>
                  <w:r>
                    <w:rPr>
                      <w:rFonts w:hint="eastAsia" w:ascii="宋体" w:hAnsi="宋体" w:eastAsia="宋体" w:cs="宋体"/>
                      <w:color w:val="000000" w:themeColor="text1"/>
                      <w:spacing w:val="8"/>
                      <w:sz w:val="18"/>
                      <w:szCs w:val="18"/>
                      <w14:textFill>
                        <w14:solidFill>
                          <w14:schemeClr w14:val="tx1"/>
                        </w14:solidFill>
                      </w14:textFill>
                    </w:rPr>
                    <w:t>责制度、设施运行操作制度、人员岗</w:t>
                  </w:r>
                  <w:r>
                    <w:rPr>
                      <w:rFonts w:hint="eastAsia" w:ascii="宋体" w:hAnsi="宋体" w:eastAsia="宋体" w:cs="宋体"/>
                      <w:color w:val="000000" w:themeColor="text1"/>
                      <w:spacing w:val="7"/>
                      <w:sz w:val="18"/>
                      <w:szCs w:val="18"/>
                      <w14:textFill>
                        <w14:solidFill>
                          <w14:schemeClr w14:val="tx1"/>
                        </w14:solidFill>
                      </w14:textFill>
                    </w:rPr>
                    <w:t>位培训制度等。</w:t>
                  </w:r>
                </w:p>
              </w:tc>
              <w:tc>
                <w:tcPr>
                  <w:tcW w:w="1487" w:type="pct"/>
                  <w:tcBorders>
                    <w:tl2br w:val="nil"/>
                    <w:tr2bl w:val="nil"/>
                  </w:tcBorders>
                  <w:vAlign w:val="center"/>
                </w:tcPr>
                <w:p w14:paraId="138C923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按照此条规定执行。</w:t>
                  </w:r>
                </w:p>
              </w:tc>
              <w:tc>
                <w:tcPr>
                  <w:tcW w:w="211" w:type="pct"/>
                  <w:tcBorders>
                    <w:tl2br w:val="nil"/>
                    <w:tr2bl w:val="nil"/>
                  </w:tcBorders>
                  <w:vAlign w:val="center"/>
                </w:tcPr>
                <w:p w14:paraId="45D3F93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5C40E63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69" w:hRule="atLeast"/>
              </w:trPr>
              <w:tc>
                <w:tcPr>
                  <w:tcW w:w="229" w:type="pct"/>
                  <w:vMerge w:val="continue"/>
                  <w:tcBorders>
                    <w:tl2br w:val="nil"/>
                    <w:tr2bl w:val="nil"/>
                  </w:tcBorders>
                  <w:vAlign w:val="center"/>
                </w:tcPr>
                <w:p w14:paraId="4F596DB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2DD4067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贮存设施所有者或运营者应依据国家</w:t>
                  </w:r>
                  <w:r>
                    <w:rPr>
                      <w:rFonts w:hint="eastAsia" w:ascii="宋体" w:hAnsi="宋体" w:eastAsia="宋体" w:cs="宋体"/>
                      <w:color w:val="000000" w:themeColor="text1"/>
                      <w:spacing w:val="8"/>
                      <w:sz w:val="18"/>
                      <w:szCs w:val="18"/>
                      <w14:textFill>
                        <w14:solidFill>
                          <w14:schemeClr w14:val="tx1"/>
                        </w14:solidFill>
                      </w14:textFill>
                    </w:rPr>
                    <w:t>土壤和地下水污染防治的有关规定</w:t>
                  </w:r>
                  <w:r>
                    <w:rPr>
                      <w:rFonts w:hint="eastAsia" w:ascii="宋体" w:hAnsi="宋体" w:eastAsia="宋体" w:cs="宋体"/>
                      <w:color w:val="000000" w:themeColor="text1"/>
                      <w:spacing w:val="9"/>
                      <w:sz w:val="18"/>
                      <w:szCs w:val="18"/>
                      <w14:textFill>
                        <w14:solidFill>
                          <w14:schemeClr w14:val="tx1"/>
                        </w14:solidFill>
                      </w14:textFill>
                    </w:rPr>
                    <w:t>结合贮存设施特点建立土壤和地下水污染隐患排查制度，并定期开展隐患排查；发现隐患应及时采取措施消除</w:t>
                  </w:r>
                  <w:r>
                    <w:rPr>
                      <w:rFonts w:hint="eastAsia" w:ascii="宋体" w:hAnsi="宋体" w:eastAsia="宋体" w:cs="宋体"/>
                      <w:color w:val="000000" w:themeColor="text1"/>
                      <w:spacing w:val="6"/>
                      <w:sz w:val="18"/>
                      <w:szCs w:val="18"/>
                      <w14:textFill>
                        <w14:solidFill>
                          <w14:schemeClr w14:val="tx1"/>
                        </w14:solidFill>
                      </w14:textFill>
                    </w:rPr>
                    <w:t>隐患，并建立档案。</w:t>
                  </w:r>
                </w:p>
              </w:tc>
              <w:tc>
                <w:tcPr>
                  <w:tcW w:w="1487" w:type="pct"/>
                  <w:tcBorders>
                    <w:tl2br w:val="nil"/>
                    <w:tr2bl w:val="nil"/>
                  </w:tcBorders>
                  <w:vAlign w:val="center"/>
                </w:tcPr>
                <w:p w14:paraId="46E0846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5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按规定建立土壤隐</w:t>
                  </w:r>
                  <w:r>
                    <w:rPr>
                      <w:rFonts w:hint="eastAsia" w:ascii="宋体" w:hAnsi="宋体" w:eastAsia="宋体" w:cs="宋体"/>
                      <w:color w:val="000000" w:themeColor="text1"/>
                      <w:spacing w:val="6"/>
                      <w:sz w:val="18"/>
                      <w:szCs w:val="18"/>
                      <w14:textFill>
                        <w14:solidFill>
                          <w14:schemeClr w14:val="tx1"/>
                        </w14:solidFill>
                      </w14:textFill>
                    </w:rPr>
                    <w:t>患排查制度</w:t>
                  </w:r>
                </w:p>
              </w:tc>
              <w:tc>
                <w:tcPr>
                  <w:tcW w:w="211" w:type="pct"/>
                  <w:tcBorders>
                    <w:tl2br w:val="nil"/>
                    <w:tr2bl w:val="nil"/>
                  </w:tcBorders>
                  <w:vAlign w:val="center"/>
                </w:tcPr>
                <w:p w14:paraId="7D8FC68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959752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05" w:hRule="atLeast"/>
              </w:trPr>
              <w:tc>
                <w:tcPr>
                  <w:tcW w:w="229" w:type="pct"/>
                  <w:vMerge w:val="continue"/>
                  <w:tcBorders>
                    <w:tl2br w:val="nil"/>
                    <w:tr2bl w:val="nil"/>
                  </w:tcBorders>
                  <w:vAlign w:val="center"/>
                </w:tcPr>
                <w:p w14:paraId="0749EA61">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A1D3EF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贮存设施所有者或运营者应建立贮存</w:t>
                  </w:r>
                  <w:r>
                    <w:rPr>
                      <w:rFonts w:hint="eastAsia" w:ascii="宋体" w:hAnsi="宋体" w:eastAsia="宋体" w:cs="宋体"/>
                      <w:color w:val="000000" w:themeColor="text1"/>
                      <w:spacing w:val="9"/>
                      <w:sz w:val="18"/>
                      <w:szCs w:val="18"/>
                      <w:lang w:val="en-US" w:eastAsia="zh-CN"/>
                      <w14:textFill>
                        <w14:solidFill>
                          <w14:schemeClr w14:val="tx1"/>
                        </w14:solidFill>
                      </w14:textFill>
                    </w:rPr>
                    <w:t>设</w:t>
                  </w:r>
                  <w:r>
                    <w:rPr>
                      <w:rFonts w:hint="eastAsia" w:ascii="宋体" w:hAnsi="宋体" w:eastAsia="宋体" w:cs="宋体"/>
                      <w:color w:val="000000" w:themeColor="text1"/>
                      <w:spacing w:val="9"/>
                      <w:sz w:val="18"/>
                      <w:szCs w:val="18"/>
                      <w14:textFill>
                        <w14:solidFill>
                          <w14:schemeClr w14:val="tx1"/>
                        </w14:solidFill>
                      </w14:textFill>
                    </w:rPr>
                    <w:t>施全部档案，包括设计、施工、验</w:t>
                  </w:r>
                  <w:r>
                    <w:rPr>
                      <w:rFonts w:hint="eastAsia" w:ascii="宋体" w:hAnsi="宋体" w:eastAsia="宋体" w:cs="宋体"/>
                      <w:color w:val="000000" w:themeColor="text1"/>
                      <w:spacing w:val="8"/>
                      <w:sz w:val="18"/>
                      <w:szCs w:val="18"/>
                      <w14:textFill>
                        <w14:solidFill>
                          <w14:schemeClr w14:val="tx1"/>
                        </w14:solidFill>
                      </w14:textFill>
                    </w:rPr>
                    <w:t>收、运行、监测和环境应急等，应按国家有关档案管理的法律法规进行整</w:t>
                  </w:r>
                  <w:r>
                    <w:rPr>
                      <w:rFonts w:hint="eastAsia" w:ascii="宋体" w:hAnsi="宋体" w:eastAsia="宋体" w:cs="宋体"/>
                      <w:color w:val="000000" w:themeColor="text1"/>
                      <w:spacing w:val="5"/>
                      <w:sz w:val="18"/>
                      <w:szCs w:val="18"/>
                      <w14:textFill>
                        <w14:solidFill>
                          <w14:schemeClr w14:val="tx1"/>
                        </w14:solidFill>
                      </w14:textFill>
                    </w:rPr>
                    <w:t>理和归档。</w:t>
                  </w:r>
                </w:p>
              </w:tc>
              <w:tc>
                <w:tcPr>
                  <w:tcW w:w="1487" w:type="pct"/>
                  <w:tcBorders>
                    <w:tl2br w:val="nil"/>
                    <w:tr2bl w:val="nil"/>
                  </w:tcBorders>
                  <w:vAlign w:val="center"/>
                </w:tcPr>
                <w:p w14:paraId="79054E8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按照此条规定执行</w:t>
                  </w:r>
                </w:p>
              </w:tc>
              <w:tc>
                <w:tcPr>
                  <w:tcW w:w="211" w:type="pct"/>
                  <w:tcBorders>
                    <w:tl2br w:val="nil"/>
                    <w:tr2bl w:val="nil"/>
                  </w:tcBorders>
                  <w:vAlign w:val="center"/>
                </w:tcPr>
                <w:p w14:paraId="12DD491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2B09D2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174D2B9E">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3264DB9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2196"/>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七、污染物控制要求</w:t>
                  </w:r>
                </w:p>
              </w:tc>
            </w:tr>
            <w:tr w14:paraId="741A163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852" w:hRule="atLeast"/>
              </w:trPr>
              <w:tc>
                <w:tcPr>
                  <w:tcW w:w="229" w:type="pct"/>
                  <w:vMerge w:val="continue"/>
                  <w:tcBorders>
                    <w:tl2br w:val="nil"/>
                    <w:tr2bl w:val="nil"/>
                  </w:tcBorders>
                  <w:vAlign w:val="center"/>
                </w:tcPr>
                <w:p w14:paraId="386A635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494486D3">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6"/>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贮存设施产生的废水（包括贮存设施、</w:t>
                  </w:r>
                  <w:r>
                    <w:rPr>
                      <w:rFonts w:hint="eastAsia" w:ascii="宋体" w:hAnsi="宋体" w:eastAsia="宋体" w:cs="宋体"/>
                      <w:color w:val="000000" w:themeColor="text1"/>
                      <w:spacing w:val="9"/>
                      <w:sz w:val="18"/>
                      <w:szCs w:val="18"/>
                      <w14:textFill>
                        <w14:solidFill>
                          <w14:schemeClr w14:val="tx1"/>
                        </w14:solidFill>
                      </w14:textFill>
                    </w:rPr>
                    <w:t>作业设备、车辆等清洗废水，贮存</w:t>
                  </w:r>
                  <w:r>
                    <w:rPr>
                      <w:rFonts w:hint="eastAsia" w:ascii="宋体" w:hAnsi="宋体" w:eastAsia="宋体" w:cs="宋体"/>
                      <w:color w:val="000000" w:themeColor="text1"/>
                      <w:spacing w:val="8"/>
                      <w:sz w:val="18"/>
                      <w:szCs w:val="18"/>
                      <w14:textFill>
                        <w14:solidFill>
                          <w14:schemeClr w14:val="tx1"/>
                        </w14:solidFill>
                      </w14:textFill>
                    </w:rPr>
                    <w:t>区积存雨水，贮存事故废水等）应进</w:t>
                  </w:r>
                  <w:r>
                    <w:rPr>
                      <w:rFonts w:hint="eastAsia" w:ascii="宋体" w:hAnsi="宋体" w:eastAsia="宋体" w:cs="宋体"/>
                      <w:color w:val="000000" w:themeColor="text1"/>
                      <w:spacing w:val="2"/>
                      <w:sz w:val="18"/>
                      <w:szCs w:val="18"/>
                      <w14:textFill>
                        <w14:solidFill>
                          <w14:schemeClr w14:val="tx1"/>
                        </w14:solidFill>
                      </w14:textFill>
                    </w:rPr>
                    <w:t>行收集处理，废水排放应符合</w:t>
                  </w:r>
                  <w:r>
                    <w:rPr>
                      <w:rFonts w:hint="eastAsia" w:ascii="宋体" w:hAnsi="宋体" w:eastAsia="宋体" w:cs="宋体"/>
                      <w:color w:val="000000" w:themeColor="text1"/>
                      <w:spacing w:val="-37"/>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2"/>
                      <w:sz w:val="18"/>
                      <w:szCs w:val="18"/>
                      <w14:textFill>
                        <w14:solidFill>
                          <w14:schemeClr w14:val="tx1"/>
                        </w14:solidFill>
                      </w14:textFill>
                    </w:rPr>
                    <w:t>8978</w:t>
                  </w:r>
                  <w:r>
                    <w:rPr>
                      <w:rFonts w:hint="eastAsia" w:ascii="宋体" w:hAnsi="宋体" w:eastAsia="宋体" w:cs="宋体"/>
                      <w:color w:val="000000" w:themeColor="text1"/>
                      <w:spacing w:val="7"/>
                      <w:sz w:val="18"/>
                      <w:szCs w:val="18"/>
                      <w14:textFill>
                        <w14:solidFill>
                          <w14:schemeClr w14:val="tx1"/>
                        </w14:solidFill>
                      </w14:textFill>
                    </w:rPr>
                    <w:t>规定的要求</w:t>
                  </w:r>
                </w:p>
              </w:tc>
              <w:tc>
                <w:tcPr>
                  <w:tcW w:w="1487" w:type="pct"/>
                  <w:tcBorders>
                    <w:tl2br w:val="nil"/>
                    <w:tr2bl w:val="nil"/>
                  </w:tcBorders>
                  <w:vAlign w:val="center"/>
                </w:tcPr>
                <w:p w14:paraId="24F0DBD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w:t>
                  </w:r>
                  <w:r>
                    <w:rPr>
                      <w:rFonts w:hint="eastAsia" w:ascii="宋体" w:hAnsi="宋体" w:eastAsia="宋体" w:cs="宋体"/>
                      <w:color w:val="000000" w:themeColor="text1"/>
                      <w:spacing w:val="8"/>
                      <w:sz w:val="18"/>
                      <w:szCs w:val="18"/>
                      <w:lang w:val="en-US" w:eastAsia="zh-CN"/>
                      <w14:textFill>
                        <w14:solidFill>
                          <w14:schemeClr w14:val="tx1"/>
                        </w14:solidFill>
                      </w14:textFill>
                    </w:rPr>
                    <w:t>贮存设施无废水产生</w:t>
                  </w:r>
                </w:p>
              </w:tc>
              <w:tc>
                <w:tcPr>
                  <w:tcW w:w="211" w:type="pct"/>
                  <w:tcBorders>
                    <w:tl2br w:val="nil"/>
                    <w:tr2bl w:val="nil"/>
                  </w:tcBorders>
                  <w:vAlign w:val="center"/>
                </w:tcPr>
                <w:p w14:paraId="0C8C0D0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4B91CB33">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28" w:hRule="atLeast"/>
              </w:trPr>
              <w:tc>
                <w:tcPr>
                  <w:tcW w:w="229" w:type="pct"/>
                  <w:vMerge w:val="continue"/>
                  <w:tcBorders>
                    <w:tl2br w:val="nil"/>
                    <w:tr2bl w:val="nil"/>
                  </w:tcBorders>
                  <w:vAlign w:val="center"/>
                </w:tcPr>
                <w:p w14:paraId="1743F9E0">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023A7A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6"/>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贮存设施产生的废气（含无组织废气）</w:t>
                  </w:r>
                  <w:r>
                    <w:rPr>
                      <w:rFonts w:hint="eastAsia" w:ascii="宋体" w:hAnsi="宋体" w:eastAsia="宋体" w:cs="宋体"/>
                      <w:color w:val="000000" w:themeColor="text1"/>
                      <w:spacing w:val="5"/>
                      <w:sz w:val="18"/>
                      <w:szCs w:val="18"/>
                      <w14:textFill>
                        <w14:solidFill>
                          <w14:schemeClr w14:val="tx1"/>
                        </w14:solidFill>
                      </w14:textFill>
                    </w:rPr>
                    <w:t>的排放应符合</w:t>
                  </w:r>
                  <w:r>
                    <w:rPr>
                      <w:rFonts w:hint="eastAsia" w:ascii="宋体" w:hAnsi="宋体" w:eastAsia="宋体" w:cs="宋体"/>
                      <w:color w:val="000000" w:themeColor="text1"/>
                      <w:spacing w:val="-24"/>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5"/>
                      <w:sz w:val="18"/>
                      <w:szCs w:val="18"/>
                      <w14:textFill>
                        <w14:solidFill>
                          <w14:schemeClr w14:val="tx1"/>
                        </w14:solidFill>
                      </w14:textFill>
                    </w:rPr>
                    <w:t>16297 和</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5"/>
                      <w:sz w:val="18"/>
                      <w:szCs w:val="18"/>
                      <w14:textFill>
                        <w14:solidFill>
                          <w14:schemeClr w14:val="tx1"/>
                        </w14:solidFill>
                      </w14:textFill>
                    </w:rPr>
                    <w:t>37822</w:t>
                  </w:r>
                  <w:r>
                    <w:rPr>
                      <w:rFonts w:hint="eastAsia" w:ascii="宋体" w:hAnsi="宋体" w:eastAsia="宋体" w:cs="宋体"/>
                      <w:color w:val="000000" w:themeColor="text1"/>
                      <w:spacing w:val="6"/>
                      <w:sz w:val="18"/>
                      <w:szCs w:val="18"/>
                      <w14:textFill>
                        <w14:solidFill>
                          <w14:schemeClr w14:val="tx1"/>
                        </w14:solidFill>
                      </w14:textFill>
                    </w:rPr>
                    <w:t>规定的要求。</w:t>
                  </w:r>
                </w:p>
              </w:tc>
              <w:tc>
                <w:tcPr>
                  <w:tcW w:w="1487" w:type="pct"/>
                  <w:tcBorders>
                    <w:tl2br w:val="nil"/>
                    <w:tr2bl w:val="nil"/>
                  </w:tcBorders>
                  <w:vAlign w:val="center"/>
                </w:tcPr>
                <w:p w14:paraId="19D9D44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本项目危废间废气</w:t>
                  </w:r>
                  <w:r>
                    <w:rPr>
                      <w:rFonts w:hint="eastAsia" w:ascii="宋体" w:hAnsi="宋体" w:eastAsia="宋体" w:cs="宋体"/>
                      <w:color w:val="000000" w:themeColor="text1"/>
                      <w:spacing w:val="7"/>
                      <w:sz w:val="18"/>
                      <w:szCs w:val="18"/>
                      <w14:textFill>
                        <w14:solidFill>
                          <w14:schemeClr w14:val="tx1"/>
                        </w14:solidFill>
                      </w14:textFill>
                    </w:rPr>
                    <w:t>能够满足</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7"/>
                      <w:sz w:val="18"/>
                      <w:szCs w:val="18"/>
                      <w14:textFill>
                        <w14:solidFill>
                          <w14:schemeClr w14:val="tx1"/>
                        </w14:solidFill>
                      </w14:textFill>
                    </w:rPr>
                    <w:t>16297和</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7"/>
                      <w:sz w:val="18"/>
                      <w:szCs w:val="18"/>
                      <w14:textFill>
                        <w14:solidFill>
                          <w14:schemeClr w14:val="tx1"/>
                        </w14:solidFill>
                      </w14:textFill>
                    </w:rPr>
                    <w:t>37822规定的</w:t>
                  </w:r>
                  <w:r>
                    <w:rPr>
                      <w:rFonts w:hint="eastAsia" w:ascii="宋体" w:hAnsi="宋体" w:eastAsia="宋体" w:cs="宋体"/>
                      <w:color w:val="000000" w:themeColor="text1"/>
                      <w:spacing w:val="4"/>
                      <w:sz w:val="18"/>
                      <w:szCs w:val="18"/>
                      <w14:textFill>
                        <w14:solidFill>
                          <w14:schemeClr w14:val="tx1"/>
                        </w14:solidFill>
                      </w14:textFill>
                    </w:rPr>
                    <w:t>要求</w:t>
                  </w:r>
                </w:p>
              </w:tc>
              <w:tc>
                <w:tcPr>
                  <w:tcW w:w="211" w:type="pct"/>
                  <w:tcBorders>
                    <w:tl2br w:val="nil"/>
                    <w:tr2bl w:val="nil"/>
                  </w:tcBorders>
                  <w:vAlign w:val="center"/>
                </w:tcPr>
                <w:p w14:paraId="4EC9D115">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4B5C138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49" w:hRule="atLeast"/>
              </w:trPr>
              <w:tc>
                <w:tcPr>
                  <w:tcW w:w="229" w:type="pct"/>
                  <w:vMerge w:val="continue"/>
                  <w:tcBorders>
                    <w:tl2br w:val="nil"/>
                    <w:tr2bl w:val="nil"/>
                  </w:tcBorders>
                  <w:vAlign w:val="center"/>
                </w:tcPr>
                <w:p w14:paraId="0A6CDF61">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9E3969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22"/>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贮存设施产生的恶臭气体的排放应符</w:t>
                  </w:r>
                </w:p>
                <w:p w14:paraId="573CD033">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606"/>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合</w:t>
                  </w:r>
                  <w:r>
                    <w:rPr>
                      <w:rFonts w:hint="eastAsia" w:ascii="宋体" w:hAnsi="宋体" w:eastAsia="宋体" w:cs="宋体"/>
                      <w:color w:val="000000" w:themeColor="text1"/>
                      <w:spacing w:val="-37"/>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14554 规定的要求。</w:t>
                  </w:r>
                </w:p>
              </w:tc>
              <w:tc>
                <w:tcPr>
                  <w:tcW w:w="1487" w:type="pct"/>
                  <w:tcBorders>
                    <w:tl2br w:val="nil"/>
                    <w:tr2bl w:val="nil"/>
                  </w:tcBorders>
                  <w:vAlign w:val="center"/>
                </w:tcPr>
                <w:p w14:paraId="552DB28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本项目无恶臭气体</w:t>
                  </w:r>
                  <w:r>
                    <w:rPr>
                      <w:rFonts w:hint="eastAsia" w:ascii="宋体" w:hAnsi="宋体" w:eastAsia="宋体" w:cs="宋体"/>
                      <w:color w:val="000000" w:themeColor="text1"/>
                      <w:spacing w:val="3"/>
                      <w:sz w:val="18"/>
                      <w:szCs w:val="18"/>
                      <w14:textFill>
                        <w14:solidFill>
                          <w14:schemeClr w14:val="tx1"/>
                        </w14:solidFill>
                      </w14:textFill>
                    </w:rPr>
                    <w:t>产生。</w:t>
                  </w:r>
                </w:p>
              </w:tc>
              <w:tc>
                <w:tcPr>
                  <w:tcW w:w="211" w:type="pct"/>
                  <w:tcBorders>
                    <w:tl2br w:val="nil"/>
                    <w:tr2bl w:val="nil"/>
                  </w:tcBorders>
                  <w:vAlign w:val="center"/>
                </w:tcPr>
                <w:p w14:paraId="6DE26F3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4C7E66A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83" w:hRule="atLeast"/>
              </w:trPr>
              <w:tc>
                <w:tcPr>
                  <w:tcW w:w="229" w:type="pct"/>
                  <w:vMerge w:val="continue"/>
                  <w:tcBorders>
                    <w:tl2br w:val="nil"/>
                    <w:tr2bl w:val="nil"/>
                  </w:tcBorders>
                  <w:vAlign w:val="center"/>
                </w:tcPr>
                <w:p w14:paraId="372F311C">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36C51065">
                  <w:pPr>
                    <w:pStyle w:val="119"/>
                    <w:keepNext w:val="0"/>
                    <w:keepLines w:val="0"/>
                    <w:pageBreakBefore w:val="0"/>
                    <w:widowControl/>
                    <w:tabs>
                      <w:tab w:val="left" w:pos="3780"/>
                    </w:tabs>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贮存设施内产生以及清理的固体废物应按固体废物分类管理要求妥善处</w:t>
                  </w:r>
                  <w:r>
                    <w:rPr>
                      <w:rFonts w:hint="eastAsia" w:ascii="宋体" w:hAnsi="宋体" w:eastAsia="宋体" w:cs="宋体"/>
                      <w:color w:val="000000" w:themeColor="text1"/>
                      <w:spacing w:val="-1"/>
                      <w:sz w:val="18"/>
                      <w:szCs w:val="18"/>
                      <w14:textFill>
                        <w14:solidFill>
                          <w14:schemeClr w14:val="tx1"/>
                        </w14:solidFill>
                      </w14:textFill>
                    </w:rPr>
                    <w:t>理。</w:t>
                  </w:r>
                </w:p>
              </w:tc>
              <w:tc>
                <w:tcPr>
                  <w:tcW w:w="1487" w:type="pct"/>
                  <w:tcBorders>
                    <w:tl2br w:val="nil"/>
                    <w:tr2bl w:val="nil"/>
                  </w:tcBorders>
                  <w:vAlign w:val="center"/>
                </w:tcPr>
                <w:p w14:paraId="61DEDFC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本项目暂存的各种危废分类收集分类</w:t>
                  </w:r>
                  <w:r>
                    <w:rPr>
                      <w:rFonts w:hint="eastAsia" w:ascii="宋体" w:hAnsi="宋体" w:eastAsia="宋体" w:cs="宋体"/>
                      <w:color w:val="000000" w:themeColor="text1"/>
                      <w:spacing w:val="5"/>
                      <w:sz w:val="18"/>
                      <w:szCs w:val="18"/>
                      <w14:textFill>
                        <w14:solidFill>
                          <w14:schemeClr w14:val="tx1"/>
                        </w14:solidFill>
                      </w14:textFill>
                    </w:rPr>
                    <w:t>存储</w:t>
                  </w:r>
                </w:p>
              </w:tc>
              <w:tc>
                <w:tcPr>
                  <w:tcW w:w="211" w:type="pct"/>
                  <w:tcBorders>
                    <w:tl2br w:val="nil"/>
                    <w:tr2bl w:val="nil"/>
                  </w:tcBorders>
                  <w:vAlign w:val="center"/>
                </w:tcPr>
                <w:p w14:paraId="3EF2506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33944DF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03" w:hRule="atLeast"/>
              </w:trPr>
              <w:tc>
                <w:tcPr>
                  <w:tcW w:w="229" w:type="pct"/>
                  <w:vMerge w:val="continue"/>
                  <w:tcBorders>
                    <w:tl2br w:val="nil"/>
                    <w:tr2bl w:val="nil"/>
                  </w:tcBorders>
                  <w:vAlign w:val="center"/>
                </w:tcPr>
                <w:p w14:paraId="787A5CE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375DAA7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贮存设施排放的环境噪声应符合</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12348规定的要求。</w:t>
                  </w:r>
                </w:p>
              </w:tc>
              <w:tc>
                <w:tcPr>
                  <w:tcW w:w="1487" w:type="pct"/>
                  <w:tcBorders>
                    <w:tl2br w:val="nil"/>
                    <w:tr2bl w:val="nil"/>
                  </w:tcBorders>
                  <w:vAlign w:val="center"/>
                </w:tcPr>
                <w:p w14:paraId="22BF12C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根据预测，贮存间厂</w:t>
                  </w:r>
                  <w:r>
                    <w:rPr>
                      <w:rFonts w:hint="eastAsia" w:ascii="宋体" w:hAnsi="宋体" w:eastAsia="宋体" w:cs="宋体"/>
                      <w:color w:val="000000" w:themeColor="text1"/>
                      <w:spacing w:val="7"/>
                      <w:sz w:val="18"/>
                      <w:szCs w:val="18"/>
                      <w14:textFill>
                        <w14:solidFill>
                          <w14:schemeClr w14:val="tx1"/>
                        </w14:solidFill>
                      </w14:textFill>
                    </w:rPr>
                    <w:t>界噪声能够满足</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12348要求</w:t>
                  </w:r>
                </w:p>
              </w:tc>
              <w:tc>
                <w:tcPr>
                  <w:tcW w:w="211" w:type="pct"/>
                  <w:tcBorders>
                    <w:tl2br w:val="nil"/>
                    <w:tr2bl w:val="nil"/>
                  </w:tcBorders>
                  <w:vAlign w:val="center"/>
                </w:tcPr>
                <w:p w14:paraId="58FA3B44">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BA972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7E63FF16">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5C6CAA22">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2307"/>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九、环境监测要求</w:t>
                  </w:r>
                </w:p>
              </w:tc>
            </w:tr>
            <w:tr w14:paraId="2EBA840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62" w:hRule="atLeast"/>
              </w:trPr>
              <w:tc>
                <w:tcPr>
                  <w:tcW w:w="229" w:type="pct"/>
                  <w:vMerge w:val="continue"/>
                  <w:tcBorders>
                    <w:tl2br w:val="nil"/>
                    <w:tr2bl w:val="nil"/>
                  </w:tcBorders>
                  <w:vAlign w:val="center"/>
                </w:tcPr>
                <w:p w14:paraId="16B81ED8">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25E261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贮存设施的环境监测应纳入主体设施</w:t>
                  </w:r>
                  <w:r>
                    <w:rPr>
                      <w:rFonts w:hint="eastAsia" w:ascii="宋体" w:hAnsi="宋体" w:eastAsia="宋体" w:cs="宋体"/>
                      <w:color w:val="000000" w:themeColor="text1"/>
                      <w:spacing w:val="5"/>
                      <w:sz w:val="18"/>
                      <w:szCs w:val="18"/>
                      <w14:textFill>
                        <w14:solidFill>
                          <w14:schemeClr w14:val="tx1"/>
                        </w14:solidFill>
                      </w14:textFill>
                    </w:rPr>
                    <w:t>的环境监测计划。</w:t>
                  </w:r>
                </w:p>
              </w:tc>
              <w:tc>
                <w:tcPr>
                  <w:tcW w:w="1487" w:type="pct"/>
                  <w:tcBorders>
                    <w:tl2br w:val="nil"/>
                    <w:tr2bl w:val="nil"/>
                  </w:tcBorders>
                  <w:vAlign w:val="center"/>
                </w:tcPr>
                <w:p w14:paraId="2F2F7016">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贮存设施的环境监测纳入主体设施的环境监测计划</w:t>
                  </w:r>
                </w:p>
              </w:tc>
              <w:tc>
                <w:tcPr>
                  <w:tcW w:w="211" w:type="pct"/>
                  <w:tcBorders>
                    <w:tl2br w:val="nil"/>
                    <w:tr2bl w:val="nil"/>
                  </w:tcBorders>
                  <w:vAlign w:val="center"/>
                </w:tcPr>
                <w:p w14:paraId="535288F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F683349">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14" w:hRule="atLeast"/>
              </w:trPr>
              <w:tc>
                <w:tcPr>
                  <w:tcW w:w="229" w:type="pct"/>
                  <w:vMerge w:val="continue"/>
                  <w:tcBorders>
                    <w:tl2br w:val="nil"/>
                    <w:tr2bl w:val="nil"/>
                  </w:tcBorders>
                  <w:vAlign w:val="center"/>
                </w:tcPr>
                <w:p w14:paraId="2749F7C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057A528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3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贮存设施所有者或运营者应依据《大</w:t>
                  </w:r>
                  <w:r>
                    <w:rPr>
                      <w:rFonts w:hint="eastAsia" w:ascii="宋体" w:hAnsi="宋体" w:eastAsia="宋体" w:cs="宋体"/>
                      <w:color w:val="000000" w:themeColor="text1"/>
                      <w:spacing w:val="-1"/>
                      <w:sz w:val="18"/>
                      <w:szCs w:val="18"/>
                      <w14:textFill>
                        <w14:solidFill>
                          <w14:schemeClr w14:val="tx1"/>
                        </w14:solidFill>
                      </w14:textFill>
                    </w:rPr>
                    <w:t>气污染防治法》《水污染防治法》《土</w:t>
                  </w:r>
                  <w:r>
                    <w:rPr>
                      <w:rFonts w:hint="eastAsia" w:ascii="宋体" w:hAnsi="宋体" w:eastAsia="宋体" w:cs="宋体"/>
                      <w:color w:val="000000" w:themeColor="text1"/>
                      <w:spacing w:val="10"/>
                      <w:sz w:val="18"/>
                      <w:szCs w:val="18"/>
                      <w14:textFill>
                        <w14:solidFill>
                          <w14:schemeClr w14:val="tx1"/>
                        </w14:solidFill>
                      </w14:textFill>
                    </w:rPr>
                    <w:t>壤污染防治法》等有关法律、《排污</w:t>
                  </w:r>
                  <w:r>
                    <w:rPr>
                      <w:rFonts w:hint="eastAsia" w:ascii="宋体" w:hAnsi="宋体" w:eastAsia="宋体" w:cs="宋体"/>
                      <w:color w:val="000000" w:themeColor="text1"/>
                      <w:spacing w:val="4"/>
                      <w:sz w:val="18"/>
                      <w:szCs w:val="18"/>
                      <w14:textFill>
                        <w14:solidFill>
                          <w14:schemeClr w14:val="tx1"/>
                        </w14:solidFill>
                      </w14:textFill>
                    </w:rPr>
                    <w:t>许可管理条例》等行政法规和</w:t>
                  </w:r>
                  <w:r>
                    <w:rPr>
                      <w:rFonts w:hint="eastAsia" w:ascii="宋体" w:hAnsi="宋体" w:eastAsia="宋体" w:cs="宋体"/>
                      <w:color w:val="000000" w:themeColor="text1"/>
                      <w:spacing w:val="-38"/>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4"/>
                      <w:sz w:val="18"/>
                      <w:szCs w:val="18"/>
                      <w14:textFill>
                        <w14:solidFill>
                          <w14:schemeClr w14:val="tx1"/>
                        </w14:solidFill>
                      </w14:textFill>
                    </w:rPr>
                    <w:t>819、</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6"/>
                      <w:sz w:val="18"/>
                      <w:szCs w:val="18"/>
                      <w14:textFill>
                        <w14:solidFill>
                          <w14:schemeClr w14:val="tx1"/>
                        </w14:solidFill>
                      </w14:textFill>
                    </w:rPr>
                    <w:t>1250等规定制订监测方案，对贮存</w:t>
                  </w:r>
                  <w:r>
                    <w:rPr>
                      <w:rFonts w:hint="eastAsia" w:ascii="宋体" w:hAnsi="宋体" w:eastAsia="宋体" w:cs="宋体"/>
                      <w:color w:val="000000" w:themeColor="text1"/>
                      <w:spacing w:val="9"/>
                      <w:sz w:val="18"/>
                      <w:szCs w:val="18"/>
                      <w14:textFill>
                        <w14:solidFill>
                          <w14:schemeClr w14:val="tx1"/>
                        </w14:solidFill>
                      </w14:textFill>
                    </w:rPr>
                    <w:t>设施污染物排放状况开展自行监测，</w:t>
                  </w:r>
                  <w:r>
                    <w:rPr>
                      <w:rFonts w:hint="eastAsia" w:ascii="宋体" w:hAnsi="宋体" w:eastAsia="宋体" w:cs="宋体"/>
                      <w:color w:val="000000" w:themeColor="text1"/>
                      <w:spacing w:val="4"/>
                      <w:sz w:val="18"/>
                      <w:szCs w:val="18"/>
                      <w14:textFill>
                        <w14:solidFill>
                          <w14:schemeClr w14:val="tx1"/>
                        </w14:solidFill>
                      </w14:textFill>
                    </w:rPr>
                    <w:t>保存原始监测记录，并公布监测结果。</w:t>
                  </w:r>
                </w:p>
              </w:tc>
              <w:tc>
                <w:tcPr>
                  <w:tcW w:w="1487" w:type="pct"/>
                  <w:tcBorders>
                    <w:tl2br w:val="nil"/>
                    <w:tr2bl w:val="nil"/>
                  </w:tcBorders>
                  <w:vAlign w:val="center"/>
                </w:tcPr>
                <w:p w14:paraId="5B693C1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企业按要求开展自</w:t>
                  </w:r>
                  <w:r>
                    <w:rPr>
                      <w:rFonts w:hint="eastAsia" w:ascii="宋体" w:hAnsi="宋体" w:eastAsia="宋体" w:cs="宋体"/>
                      <w:color w:val="000000" w:themeColor="text1"/>
                      <w:spacing w:val="-2"/>
                      <w:sz w:val="18"/>
                      <w:szCs w:val="18"/>
                      <w14:textFill>
                        <w14:solidFill>
                          <w14:schemeClr w14:val="tx1"/>
                        </w14:solidFill>
                      </w14:textFill>
                    </w:rPr>
                    <w:t>行监测，并公布监测</w:t>
                  </w:r>
                  <w:r>
                    <w:rPr>
                      <w:rFonts w:hint="eastAsia" w:ascii="宋体" w:hAnsi="宋体" w:eastAsia="宋体" w:cs="宋体"/>
                      <w:color w:val="000000" w:themeColor="text1"/>
                      <w:spacing w:val="2"/>
                      <w:sz w:val="18"/>
                      <w:szCs w:val="18"/>
                      <w14:textFill>
                        <w14:solidFill>
                          <w14:schemeClr w14:val="tx1"/>
                        </w14:solidFill>
                      </w14:textFill>
                    </w:rPr>
                    <w:t>结果</w:t>
                  </w:r>
                </w:p>
              </w:tc>
              <w:tc>
                <w:tcPr>
                  <w:tcW w:w="211" w:type="pct"/>
                  <w:tcBorders>
                    <w:tl2br w:val="nil"/>
                    <w:tr2bl w:val="nil"/>
                  </w:tcBorders>
                  <w:vAlign w:val="center"/>
                </w:tcPr>
                <w:p w14:paraId="26503D2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036FF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89" w:hRule="atLeast"/>
              </w:trPr>
              <w:tc>
                <w:tcPr>
                  <w:tcW w:w="229" w:type="pct"/>
                  <w:vMerge w:val="continue"/>
                  <w:tcBorders>
                    <w:tl2br w:val="nil"/>
                    <w:tr2bl w:val="nil"/>
                  </w:tcBorders>
                  <w:vAlign w:val="center"/>
                </w:tcPr>
                <w:p w14:paraId="44D783B0">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F3CDC98">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贮存设施废水污染物排放的监测方法和监测指标应符合国家相关标准要</w:t>
                  </w:r>
                  <w:r>
                    <w:rPr>
                      <w:rFonts w:hint="eastAsia" w:ascii="宋体" w:hAnsi="宋体" w:eastAsia="宋体" w:cs="宋体"/>
                      <w:color w:val="000000" w:themeColor="text1"/>
                      <w:spacing w:val="-1"/>
                      <w:sz w:val="18"/>
                      <w:szCs w:val="18"/>
                      <w14:textFill>
                        <w14:solidFill>
                          <w14:schemeClr w14:val="tx1"/>
                        </w14:solidFill>
                      </w14:textFill>
                    </w:rPr>
                    <w:t>求。</w:t>
                  </w:r>
                </w:p>
              </w:tc>
              <w:tc>
                <w:tcPr>
                  <w:tcW w:w="1487" w:type="pct"/>
                  <w:tcBorders>
                    <w:tl2br w:val="nil"/>
                    <w:tr2bl w:val="nil"/>
                  </w:tcBorders>
                  <w:vAlign w:val="center"/>
                </w:tcPr>
                <w:p w14:paraId="7FA1EFF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本项目贮存设施</w:t>
                  </w:r>
                  <w:r>
                    <w:rPr>
                      <w:rFonts w:hint="eastAsia" w:ascii="宋体" w:hAnsi="宋体" w:eastAsia="宋体" w:cs="宋体"/>
                      <w:color w:val="000000" w:themeColor="text1"/>
                      <w:spacing w:val="8"/>
                      <w:sz w:val="18"/>
                      <w:szCs w:val="18"/>
                      <w:lang w:val="en-US" w:eastAsia="zh-CN"/>
                      <w14:textFill>
                        <w14:solidFill>
                          <w14:schemeClr w14:val="tx1"/>
                        </w14:solidFill>
                      </w14:textFill>
                    </w:rPr>
                    <w:t>无废水产生</w:t>
                  </w:r>
                </w:p>
              </w:tc>
              <w:tc>
                <w:tcPr>
                  <w:tcW w:w="211" w:type="pct"/>
                  <w:tcBorders>
                    <w:tl2br w:val="nil"/>
                    <w:tr2bl w:val="nil"/>
                  </w:tcBorders>
                  <w:vAlign w:val="center"/>
                </w:tcPr>
                <w:p w14:paraId="7DCA6E4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9A62F1A">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34" w:hRule="atLeast"/>
              </w:trPr>
              <w:tc>
                <w:tcPr>
                  <w:tcW w:w="229" w:type="pct"/>
                  <w:vMerge w:val="continue"/>
                  <w:tcBorders>
                    <w:tl2br w:val="nil"/>
                    <w:tr2bl w:val="nil"/>
                  </w:tcBorders>
                  <w:vAlign w:val="center"/>
                </w:tcPr>
                <w:p w14:paraId="7578DFEE">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22C7B6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8"/>
                      <w:sz w:val="18"/>
                      <w:szCs w:val="18"/>
                      <w14:textFill>
                        <w14:solidFill>
                          <w14:schemeClr w14:val="tx1"/>
                        </w14:solidFill>
                      </w14:textFill>
                    </w:rPr>
                    <w:t>1259规定的危险废物环境重点监</w:t>
                  </w:r>
                  <w:r>
                    <w:rPr>
                      <w:rFonts w:hint="eastAsia" w:ascii="宋体" w:hAnsi="宋体" w:eastAsia="宋体" w:cs="宋体"/>
                      <w:color w:val="000000" w:themeColor="text1"/>
                      <w:spacing w:val="9"/>
                      <w:sz w:val="18"/>
                      <w:szCs w:val="18"/>
                      <w14:textFill>
                        <w14:solidFill>
                          <w14:schemeClr w14:val="tx1"/>
                        </w14:solidFill>
                      </w14:textFill>
                    </w:rPr>
                    <w:t>管单位贮存设施地下水环境监测点布</w:t>
                  </w:r>
                  <w:r>
                    <w:rPr>
                      <w:rFonts w:hint="eastAsia" w:ascii="宋体" w:hAnsi="宋体" w:eastAsia="宋体" w:cs="宋体"/>
                      <w:color w:val="000000" w:themeColor="text1"/>
                      <w:spacing w:val="8"/>
                      <w:sz w:val="18"/>
                      <w:szCs w:val="18"/>
                      <w14:textFill>
                        <w14:solidFill>
                          <w14:schemeClr w14:val="tx1"/>
                        </w14:solidFill>
                      </w14:textFill>
                    </w:rPr>
                    <w:t>设应符合</w:t>
                  </w:r>
                  <w:r>
                    <w:rPr>
                      <w:rFonts w:hint="eastAsia" w:ascii="宋体" w:hAnsi="宋体" w:eastAsia="宋体" w:cs="宋体"/>
                      <w:color w:val="000000" w:themeColor="text1"/>
                      <w:spacing w:val="-40"/>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8"/>
                      <w:sz w:val="18"/>
                      <w:szCs w:val="18"/>
                      <w14:textFill>
                        <w14:solidFill>
                          <w14:schemeClr w14:val="tx1"/>
                        </w14:solidFill>
                      </w14:textFill>
                    </w:rPr>
                    <w:t>164要求，监测因子应根</w:t>
                  </w:r>
                  <w:r>
                    <w:rPr>
                      <w:rFonts w:hint="eastAsia" w:ascii="宋体" w:hAnsi="宋体" w:eastAsia="宋体" w:cs="宋体"/>
                      <w:color w:val="000000" w:themeColor="text1"/>
                      <w:spacing w:val="9"/>
                      <w:sz w:val="18"/>
                      <w:szCs w:val="18"/>
                      <w14:textFill>
                        <w14:solidFill>
                          <w14:schemeClr w14:val="tx1"/>
                        </w14:solidFill>
                      </w14:textFill>
                    </w:rPr>
                    <w:t>据贮存废物的特性选择具有代表性且</w:t>
                  </w:r>
                  <w:r>
                    <w:rPr>
                      <w:rFonts w:hint="eastAsia" w:ascii="宋体" w:hAnsi="宋体" w:eastAsia="宋体" w:cs="宋体"/>
                      <w:color w:val="000000" w:themeColor="text1"/>
                      <w:spacing w:val="8"/>
                      <w:sz w:val="18"/>
                      <w:szCs w:val="18"/>
                      <w14:textFill>
                        <w14:solidFill>
                          <w14:schemeClr w14:val="tx1"/>
                        </w14:solidFill>
                      </w14:textFill>
                    </w:rPr>
                    <w:t>能表征危险废物特性的指标，地下水</w:t>
                  </w:r>
                  <w:r>
                    <w:rPr>
                      <w:rFonts w:hint="eastAsia" w:ascii="宋体" w:hAnsi="宋体" w:eastAsia="宋体" w:cs="宋体"/>
                      <w:color w:val="000000" w:themeColor="text1"/>
                      <w:spacing w:val="6"/>
                      <w:sz w:val="18"/>
                      <w:szCs w:val="18"/>
                      <w14:textFill>
                        <w14:solidFill>
                          <w14:schemeClr w14:val="tx1"/>
                        </w14:solidFill>
                      </w14:textFill>
                    </w:rPr>
                    <w:t>监测因子分析方法按</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/T14848 执</w:t>
                  </w:r>
                  <w:r>
                    <w:rPr>
                      <w:rFonts w:hint="eastAsia" w:ascii="宋体" w:hAnsi="宋体" w:eastAsia="宋体" w:cs="宋体"/>
                      <w:color w:val="000000" w:themeColor="text1"/>
                      <w:spacing w:val="-2"/>
                      <w:sz w:val="18"/>
                      <w:szCs w:val="18"/>
                      <w14:textFill>
                        <w14:solidFill>
                          <w14:schemeClr w14:val="tx1"/>
                        </w14:solidFill>
                      </w14:textFill>
                    </w:rPr>
                    <w:t>行。</w:t>
                  </w:r>
                </w:p>
              </w:tc>
              <w:tc>
                <w:tcPr>
                  <w:tcW w:w="1487" w:type="pct"/>
                  <w:tcBorders>
                    <w:tl2br w:val="nil"/>
                    <w:tr2bl w:val="nil"/>
                  </w:tcBorders>
                  <w:vAlign w:val="center"/>
                </w:tcPr>
                <w:p w14:paraId="15E8B54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本项目按相关要求执行</w:t>
                  </w:r>
                </w:p>
              </w:tc>
              <w:tc>
                <w:tcPr>
                  <w:tcW w:w="211" w:type="pct"/>
                  <w:tcBorders>
                    <w:tl2br w:val="nil"/>
                    <w:tr2bl w:val="nil"/>
                  </w:tcBorders>
                  <w:vAlign w:val="center"/>
                </w:tcPr>
                <w:p w14:paraId="34388BAB">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4066ABBD">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49" w:hRule="atLeast"/>
              </w:trPr>
              <w:tc>
                <w:tcPr>
                  <w:tcW w:w="229" w:type="pct"/>
                  <w:vMerge w:val="continue"/>
                  <w:tcBorders>
                    <w:tl2br w:val="nil"/>
                    <w:tr2bl w:val="nil"/>
                  </w:tcBorders>
                  <w:vAlign w:val="center"/>
                </w:tcPr>
                <w:p w14:paraId="369F26A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E067B9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配有收集净化系统的贮存设施大气污</w:t>
                  </w:r>
                  <w:r>
                    <w:rPr>
                      <w:rFonts w:hint="eastAsia" w:ascii="宋体" w:hAnsi="宋体" w:eastAsia="宋体" w:cs="宋体"/>
                      <w:color w:val="000000" w:themeColor="text1"/>
                      <w:spacing w:val="6"/>
                      <w:sz w:val="18"/>
                      <w:szCs w:val="18"/>
                      <w14:textFill>
                        <w14:solidFill>
                          <w14:schemeClr w14:val="tx1"/>
                        </w14:solidFill>
                      </w14:textFill>
                    </w:rPr>
                    <w:t>染物排放的监测采样应</w:t>
                  </w:r>
                  <w:r>
                    <w:rPr>
                      <w:rFonts w:hint="eastAsia" w:ascii="宋体" w:hAnsi="宋体" w:eastAsia="宋体" w:cs="宋体"/>
                      <w:color w:val="000000" w:themeColor="text1"/>
                      <w:spacing w:val="-32"/>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6"/>
                      <w:sz w:val="18"/>
                      <w:szCs w:val="18"/>
                      <w14:textFill>
                        <w14:solidFill>
                          <w14:schemeClr w14:val="tx1"/>
                        </w14:solidFill>
                      </w14:textFill>
                    </w:rPr>
                    <w:t>/T16157、</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4"/>
                      <w:sz w:val="18"/>
                      <w:szCs w:val="18"/>
                      <w14:textFill>
                        <w14:solidFill>
                          <w14:schemeClr w14:val="tx1"/>
                        </w14:solidFill>
                      </w14:textFill>
                    </w:rPr>
                    <w:t>/T397、</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4"/>
                      <w:sz w:val="18"/>
                      <w:szCs w:val="18"/>
                      <w14:textFill>
                        <w14:solidFill>
                          <w14:schemeClr w14:val="tx1"/>
                        </w14:solidFill>
                      </w14:textFill>
                    </w:rPr>
                    <w:t>732的规定执行。</w:t>
                  </w:r>
                </w:p>
              </w:tc>
              <w:tc>
                <w:tcPr>
                  <w:tcW w:w="1487" w:type="pct"/>
                  <w:tcBorders>
                    <w:tl2br w:val="nil"/>
                    <w:tr2bl w:val="nil"/>
                  </w:tcBorders>
                  <w:vAlign w:val="center"/>
                </w:tcPr>
                <w:p w14:paraId="2F75AAA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pacing w:val="8"/>
                      <w:sz w:val="18"/>
                      <w:szCs w:val="18"/>
                      <w:highlight w:val="none"/>
                      <w:lang w:val="en-US" w:eastAsia="zh-CN"/>
                      <w14:textFill>
                        <w14:solidFill>
                          <w14:schemeClr w14:val="tx1"/>
                        </w14:solidFill>
                      </w14:textFill>
                    </w:rPr>
                    <w:t>本项目贮存设施不设置净化装置</w:t>
                  </w:r>
                </w:p>
              </w:tc>
              <w:tc>
                <w:tcPr>
                  <w:tcW w:w="211" w:type="pct"/>
                  <w:tcBorders>
                    <w:tl2br w:val="nil"/>
                    <w:tr2bl w:val="nil"/>
                  </w:tcBorders>
                  <w:vAlign w:val="center"/>
                </w:tcPr>
                <w:p w14:paraId="2945DDA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407B9D0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45" w:hRule="atLeast"/>
              </w:trPr>
              <w:tc>
                <w:tcPr>
                  <w:tcW w:w="229" w:type="pct"/>
                  <w:vMerge w:val="continue"/>
                  <w:tcBorders>
                    <w:tl2br w:val="nil"/>
                    <w:tr2bl w:val="nil"/>
                  </w:tcBorders>
                  <w:vAlign w:val="center"/>
                </w:tcPr>
                <w:p w14:paraId="2C62385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755E399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贮存设施无组织气体排放监测因子应根据贮存废物的特性选择具有代表性且能表征危险废物特性的指标；采样</w:t>
                  </w:r>
                  <w:r>
                    <w:rPr>
                      <w:rFonts w:hint="eastAsia" w:ascii="宋体" w:hAnsi="宋体" w:eastAsia="宋体" w:cs="宋体"/>
                      <w:color w:val="000000" w:themeColor="text1"/>
                      <w:spacing w:val="6"/>
                      <w:sz w:val="18"/>
                      <w:szCs w:val="18"/>
                      <w14:textFill>
                        <w14:solidFill>
                          <w14:schemeClr w14:val="tx1"/>
                        </w14:solidFill>
                      </w14:textFill>
                    </w:rPr>
                    <w:t>点布设、采样及监测方法可按</w:t>
                  </w:r>
                  <w:r>
                    <w:rPr>
                      <w:rFonts w:hint="eastAsia" w:ascii="宋体" w:hAnsi="宋体" w:eastAsia="宋体" w:cs="宋体"/>
                      <w:color w:val="000000" w:themeColor="text1"/>
                      <w:spacing w:val="-35"/>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6"/>
                      <w:sz w:val="18"/>
                      <w:szCs w:val="18"/>
                      <w14:textFill>
                        <w14:solidFill>
                          <w14:schemeClr w14:val="tx1"/>
                        </w14:solidFill>
                      </w14:textFill>
                    </w:rPr>
                    <w:t>/T55</w:t>
                  </w:r>
                  <w:r>
                    <w:rPr>
                      <w:rFonts w:hint="eastAsia" w:ascii="宋体" w:hAnsi="宋体" w:eastAsia="宋体" w:cs="宋体"/>
                      <w:color w:val="000000" w:themeColor="text1"/>
                      <w:spacing w:val="7"/>
                      <w:sz w:val="18"/>
                      <w:szCs w:val="18"/>
                      <w14:textFill>
                        <w14:solidFill>
                          <w14:schemeClr w14:val="tx1"/>
                        </w14:solidFill>
                      </w14:textFill>
                    </w:rPr>
                    <w:t>的规定执行，</w:t>
                  </w:r>
                  <w:r>
                    <w:rPr>
                      <w:rFonts w:hint="eastAsia" w:ascii="宋体" w:hAnsi="宋体" w:eastAsia="宋体" w:cs="宋体"/>
                      <w:color w:val="000000" w:themeColor="text1"/>
                      <w:sz w:val="18"/>
                      <w:szCs w:val="18"/>
                      <w14:textFill>
                        <w14:solidFill>
                          <w14:schemeClr w14:val="tx1"/>
                        </w14:solidFill>
                      </w14:textFill>
                    </w:rPr>
                    <w:t>VOCs</w:t>
                  </w:r>
                  <w:r>
                    <w:rPr>
                      <w:rFonts w:hint="eastAsia" w:ascii="宋体" w:hAnsi="宋体" w:eastAsia="宋体" w:cs="宋体"/>
                      <w:color w:val="000000" w:themeColor="text1"/>
                      <w:spacing w:val="7"/>
                      <w:sz w:val="18"/>
                      <w:szCs w:val="18"/>
                      <w14:textFill>
                        <w14:solidFill>
                          <w14:schemeClr w14:val="tx1"/>
                        </w14:solidFill>
                      </w14:textFill>
                    </w:rPr>
                    <w:t>的无组织排放监</w:t>
                  </w:r>
                  <w:r>
                    <w:rPr>
                      <w:rFonts w:hint="eastAsia" w:ascii="宋体" w:hAnsi="宋体" w:eastAsia="宋体" w:cs="宋体"/>
                      <w:color w:val="000000" w:themeColor="text1"/>
                      <w:spacing w:val="5"/>
                      <w:sz w:val="18"/>
                      <w:szCs w:val="18"/>
                      <w14:textFill>
                        <w14:solidFill>
                          <w14:schemeClr w14:val="tx1"/>
                        </w14:solidFill>
                      </w14:textFill>
                    </w:rPr>
                    <w:t>测还应符合</w:t>
                  </w:r>
                  <w:r>
                    <w:rPr>
                      <w:rFonts w:hint="eastAsia" w:ascii="宋体" w:hAnsi="宋体" w:eastAsia="宋体" w:cs="宋体"/>
                      <w:color w:val="000000" w:themeColor="text1"/>
                      <w:spacing w:val="-31"/>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5"/>
                      <w:sz w:val="18"/>
                      <w:szCs w:val="18"/>
                      <w14:textFill>
                        <w14:solidFill>
                          <w14:schemeClr w14:val="tx1"/>
                        </w14:solidFill>
                      </w14:textFill>
                    </w:rPr>
                    <w:t>37822的规定</w:t>
                  </w:r>
                  <w:r>
                    <w:rPr>
                      <w:rFonts w:hint="eastAsia" w:ascii="宋体" w:hAnsi="宋体" w:eastAsia="宋体" w:cs="宋体"/>
                      <w:color w:val="000000" w:themeColor="text1"/>
                      <w:spacing w:val="5"/>
                      <w:sz w:val="18"/>
                      <w:szCs w:val="18"/>
                      <w:lang w:eastAsia="zh-CN"/>
                      <w14:textFill>
                        <w14:solidFill>
                          <w14:schemeClr w14:val="tx1"/>
                        </w14:solidFill>
                      </w14:textFill>
                    </w:rPr>
                    <w:t>。</w:t>
                  </w:r>
                </w:p>
              </w:tc>
              <w:tc>
                <w:tcPr>
                  <w:tcW w:w="1487" w:type="pct"/>
                  <w:tcBorders>
                    <w:tl2br w:val="nil"/>
                    <w:tr2bl w:val="nil"/>
                  </w:tcBorders>
                  <w:vAlign w:val="center"/>
                </w:tcPr>
                <w:p w14:paraId="6594025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废油液及废有机溶剂存储过程主要污</w:t>
                  </w:r>
                  <w:r>
                    <w:rPr>
                      <w:rFonts w:hint="eastAsia" w:ascii="宋体" w:hAnsi="宋体" w:eastAsia="宋体" w:cs="宋体"/>
                      <w:color w:val="000000" w:themeColor="text1"/>
                      <w:spacing w:val="7"/>
                      <w:sz w:val="18"/>
                      <w:szCs w:val="18"/>
                      <w14:textFill>
                        <w14:solidFill>
                          <w14:schemeClr w14:val="tx1"/>
                        </w14:solidFill>
                      </w14:textFill>
                    </w:rPr>
                    <w:t>染物为非甲烷总烃，</w:t>
                  </w:r>
                  <w:r>
                    <w:rPr>
                      <w:rFonts w:hint="eastAsia" w:ascii="宋体" w:hAnsi="宋体" w:eastAsia="宋体" w:cs="宋体"/>
                      <w:color w:val="000000" w:themeColor="text1"/>
                      <w:spacing w:val="6"/>
                      <w:sz w:val="18"/>
                      <w:szCs w:val="18"/>
                      <w:lang w:val="en-US" w:eastAsia="zh-CN"/>
                      <w14:textFill>
                        <w14:solidFill>
                          <w14:schemeClr w14:val="tx1"/>
                        </w14:solidFill>
                      </w14:textFill>
                    </w:rPr>
                    <w:t>按要求监测同时执行</w:t>
                  </w:r>
                  <w:r>
                    <w:rPr>
                      <w:rFonts w:hint="eastAsia" w:ascii="宋体" w:hAnsi="宋体" w:eastAsia="宋体" w:cs="宋体"/>
                      <w:color w:val="000000" w:themeColor="text1"/>
                      <w:spacing w:val="-31"/>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5"/>
                      <w:sz w:val="18"/>
                      <w:szCs w:val="18"/>
                      <w14:textFill>
                        <w14:solidFill>
                          <w14:schemeClr w14:val="tx1"/>
                        </w14:solidFill>
                      </w14:textFill>
                    </w:rPr>
                    <w:t>37822的规定</w:t>
                  </w:r>
                  <w:r>
                    <w:rPr>
                      <w:rFonts w:hint="eastAsia" w:ascii="宋体" w:hAnsi="宋体" w:eastAsia="宋体" w:cs="宋体"/>
                      <w:color w:val="000000" w:themeColor="text1"/>
                      <w:spacing w:val="6"/>
                      <w:sz w:val="18"/>
                      <w:szCs w:val="18"/>
                      <w:lang w:val="en-US" w:eastAsia="zh-CN"/>
                      <w14:textFill>
                        <w14:solidFill>
                          <w14:schemeClr w14:val="tx1"/>
                        </w14:solidFill>
                      </w14:textFill>
                    </w:rPr>
                    <w:t>。</w:t>
                  </w:r>
                </w:p>
              </w:tc>
              <w:tc>
                <w:tcPr>
                  <w:tcW w:w="211" w:type="pct"/>
                  <w:tcBorders>
                    <w:tl2br w:val="nil"/>
                    <w:tr2bl w:val="nil"/>
                  </w:tcBorders>
                  <w:vAlign w:val="center"/>
                </w:tcPr>
                <w:p w14:paraId="78380218">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4686F93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14" w:hRule="atLeast"/>
              </w:trPr>
              <w:tc>
                <w:tcPr>
                  <w:tcW w:w="229" w:type="pct"/>
                  <w:vMerge w:val="continue"/>
                  <w:tcBorders>
                    <w:tl2br w:val="nil"/>
                    <w:tr2bl w:val="nil"/>
                  </w:tcBorders>
                  <w:vAlign w:val="center"/>
                </w:tcPr>
                <w:p w14:paraId="08FFB886">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82E6060">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22" w:right="-557" w:rightChars="-232"/>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贮存设施恶臭气体的排放监测应符合</w:t>
                  </w:r>
                  <w:r>
                    <w:rPr>
                      <w:rFonts w:hint="eastAsia" w:ascii="宋体" w:hAnsi="宋体" w:eastAsia="宋体" w:cs="宋体"/>
                      <w:color w:val="000000" w:themeColor="text1"/>
                      <w:sz w:val="18"/>
                      <w:szCs w:val="18"/>
                      <w14:textFill>
                        <w14:solidFill>
                          <w14:schemeClr w14:val="tx1"/>
                        </w14:solidFill>
                      </w14:textFill>
                    </w:rPr>
                    <w:t>GB</w:t>
                  </w:r>
                  <w:r>
                    <w:rPr>
                      <w:rFonts w:hint="eastAsia" w:ascii="宋体" w:hAnsi="宋体" w:eastAsia="宋体" w:cs="宋体"/>
                      <w:color w:val="000000" w:themeColor="text1"/>
                      <w:spacing w:val="3"/>
                      <w:sz w:val="18"/>
                      <w:szCs w:val="18"/>
                      <w14:textFill>
                        <w14:solidFill>
                          <w14:schemeClr w14:val="tx1"/>
                        </w14:solidFill>
                      </w14:textFill>
                    </w:rPr>
                    <w:t>14554</w:t>
                  </w:r>
                  <w:r>
                    <w:rPr>
                      <w:rFonts w:hint="eastAsia" w:ascii="宋体" w:hAnsi="宋体" w:eastAsia="宋体" w:cs="宋体"/>
                      <w:color w:val="000000" w:themeColor="text1"/>
                      <w:spacing w:val="-19"/>
                      <w:sz w:val="18"/>
                      <w:szCs w:val="18"/>
                      <w14:textFill>
                        <w14:solidFill>
                          <w14:schemeClr w14:val="tx1"/>
                        </w14:solidFill>
                      </w14:textFill>
                    </w:rPr>
                    <w:t xml:space="preserve"> </w:t>
                  </w:r>
                  <w:r>
                    <w:rPr>
                      <w:rFonts w:hint="eastAsia" w:ascii="宋体" w:hAnsi="宋体" w:eastAsia="宋体" w:cs="宋体"/>
                      <w:color w:val="000000" w:themeColor="text1"/>
                      <w:spacing w:val="3"/>
                      <w:sz w:val="18"/>
                      <w:szCs w:val="18"/>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3"/>
                      <w:sz w:val="18"/>
                      <w:szCs w:val="18"/>
                      <w14:textFill>
                        <w14:solidFill>
                          <w14:schemeClr w14:val="tx1"/>
                        </w14:solidFill>
                      </w14:textFill>
                    </w:rPr>
                    <w:t>905的规定。</w:t>
                  </w:r>
                </w:p>
              </w:tc>
              <w:tc>
                <w:tcPr>
                  <w:tcW w:w="1487" w:type="pct"/>
                  <w:tcBorders>
                    <w:tl2br w:val="nil"/>
                    <w:tr2bl w:val="nil"/>
                  </w:tcBorders>
                  <w:vAlign w:val="center"/>
                </w:tcPr>
                <w:p w14:paraId="5AFB68F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5"/>
                      <w:sz w:val="18"/>
                      <w:szCs w:val="18"/>
                      <w14:textFill>
                        <w14:solidFill>
                          <w14:schemeClr w14:val="tx1"/>
                        </w14:solidFill>
                      </w14:textFill>
                    </w:rPr>
                    <w:t>不涉及</w:t>
                  </w:r>
                </w:p>
              </w:tc>
              <w:tc>
                <w:tcPr>
                  <w:tcW w:w="211" w:type="pct"/>
                  <w:tcBorders>
                    <w:tl2br w:val="nil"/>
                    <w:tr2bl w:val="nil"/>
                  </w:tcBorders>
                  <w:vAlign w:val="center"/>
                </w:tcPr>
                <w:p w14:paraId="5420147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19AEE4D">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7" w:hRule="atLeast"/>
              </w:trPr>
              <w:tc>
                <w:tcPr>
                  <w:tcW w:w="229" w:type="pct"/>
                  <w:vMerge w:val="continue"/>
                  <w:tcBorders>
                    <w:tl2br w:val="nil"/>
                    <w:tr2bl w:val="nil"/>
                  </w:tcBorders>
                  <w:vAlign w:val="center"/>
                </w:tcPr>
                <w:p w14:paraId="2F66281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4770" w:type="pct"/>
                  <w:gridSpan w:val="3"/>
                  <w:tcBorders>
                    <w:tl2br w:val="nil"/>
                    <w:tr2bl w:val="nil"/>
                  </w:tcBorders>
                  <w:vAlign w:val="center"/>
                </w:tcPr>
                <w:p w14:paraId="27DE711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2303"/>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十、环境应急要求</w:t>
                  </w:r>
                </w:p>
              </w:tc>
            </w:tr>
            <w:tr w14:paraId="502C8F8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08" w:hRule="atLeast"/>
              </w:trPr>
              <w:tc>
                <w:tcPr>
                  <w:tcW w:w="229" w:type="pct"/>
                  <w:vMerge w:val="continue"/>
                  <w:tcBorders>
                    <w:tl2br w:val="nil"/>
                    <w:tr2bl w:val="nil"/>
                  </w:tcBorders>
                  <w:vAlign w:val="center"/>
                </w:tcPr>
                <w:p w14:paraId="4B9C4E3C">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421F035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贮存设施所有者或运营者应按照国家有关规定编制突发环境事件应急预案，定期开展必要的培训和环境应急</w:t>
                  </w:r>
                  <w:r>
                    <w:rPr>
                      <w:rFonts w:hint="eastAsia" w:ascii="宋体" w:hAnsi="宋体" w:eastAsia="宋体" w:cs="宋体"/>
                      <w:color w:val="000000" w:themeColor="text1"/>
                      <w:spacing w:val="8"/>
                      <w:sz w:val="18"/>
                      <w:szCs w:val="18"/>
                      <w14:textFill>
                        <w14:solidFill>
                          <w14:schemeClr w14:val="tx1"/>
                        </w14:solidFill>
                      </w14:textFill>
                    </w:rPr>
                    <w:t>演练，并做好培训、演练记录。</w:t>
                  </w:r>
                </w:p>
              </w:tc>
              <w:tc>
                <w:tcPr>
                  <w:tcW w:w="1487" w:type="pct"/>
                  <w:tcBorders>
                    <w:tl2br w:val="nil"/>
                    <w:tr2bl w:val="nil"/>
                  </w:tcBorders>
                  <w:vAlign w:val="center"/>
                </w:tcPr>
                <w:p w14:paraId="1ACE7F5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本项目按照要求制定突发环境事件应</w:t>
                  </w:r>
                  <w:r>
                    <w:rPr>
                      <w:rFonts w:hint="eastAsia" w:ascii="宋体" w:hAnsi="宋体" w:eastAsia="宋体" w:cs="宋体"/>
                      <w:color w:val="000000" w:themeColor="text1"/>
                      <w:spacing w:val="-2"/>
                      <w:sz w:val="18"/>
                      <w:szCs w:val="18"/>
                      <w14:textFill>
                        <w14:solidFill>
                          <w14:schemeClr w14:val="tx1"/>
                        </w14:solidFill>
                      </w14:textFill>
                    </w:rPr>
                    <w:t>急预案，并定期开展</w:t>
                  </w:r>
                  <w:r>
                    <w:rPr>
                      <w:rFonts w:hint="eastAsia" w:ascii="宋体" w:hAnsi="宋体" w:eastAsia="宋体" w:cs="宋体"/>
                      <w:color w:val="000000" w:themeColor="text1"/>
                      <w:spacing w:val="4"/>
                      <w:sz w:val="18"/>
                      <w:szCs w:val="18"/>
                      <w14:textFill>
                        <w14:solidFill>
                          <w14:schemeClr w14:val="tx1"/>
                        </w14:solidFill>
                      </w14:textFill>
                    </w:rPr>
                    <w:t>演练</w:t>
                  </w:r>
                </w:p>
              </w:tc>
              <w:tc>
                <w:tcPr>
                  <w:tcW w:w="211" w:type="pct"/>
                  <w:tcBorders>
                    <w:tl2br w:val="nil"/>
                    <w:tr2bl w:val="nil"/>
                  </w:tcBorders>
                  <w:vAlign w:val="center"/>
                </w:tcPr>
                <w:p w14:paraId="02AF27C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2028A43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40" w:hRule="atLeast"/>
              </w:trPr>
              <w:tc>
                <w:tcPr>
                  <w:tcW w:w="229" w:type="pct"/>
                  <w:vMerge w:val="continue"/>
                  <w:tcBorders>
                    <w:tl2br w:val="nil"/>
                    <w:tr2bl w:val="nil"/>
                  </w:tcBorders>
                  <w:vAlign w:val="center"/>
                </w:tcPr>
                <w:p w14:paraId="6F87115A">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4879B47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10" w:right="130"/>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贮存设施所有者或运营者应配备满足其突发环境事件应急要求的应急人</w:t>
                  </w:r>
                  <w:r>
                    <w:rPr>
                      <w:rFonts w:hint="eastAsia" w:ascii="宋体" w:hAnsi="宋体" w:eastAsia="宋体" w:cs="宋体"/>
                      <w:color w:val="000000" w:themeColor="text1"/>
                      <w:spacing w:val="8"/>
                      <w:sz w:val="18"/>
                      <w:szCs w:val="18"/>
                      <w14:textFill>
                        <w14:solidFill>
                          <w14:schemeClr w14:val="tx1"/>
                        </w14:solidFill>
                      </w14:textFill>
                    </w:rPr>
                    <w:t>员、装备和物资，并应设置应急照明</w:t>
                  </w:r>
                  <w:r>
                    <w:rPr>
                      <w:rFonts w:hint="eastAsia" w:ascii="宋体" w:hAnsi="宋体" w:eastAsia="宋体" w:cs="宋体"/>
                      <w:color w:val="000000" w:themeColor="text1"/>
                      <w:spacing w:val="1"/>
                      <w:sz w:val="18"/>
                      <w:szCs w:val="18"/>
                      <w14:textFill>
                        <w14:solidFill>
                          <w14:schemeClr w14:val="tx1"/>
                        </w14:solidFill>
                      </w14:textFill>
                    </w:rPr>
                    <w:t>系统。</w:t>
                  </w:r>
                </w:p>
              </w:tc>
              <w:tc>
                <w:tcPr>
                  <w:tcW w:w="1487" w:type="pct"/>
                  <w:tcBorders>
                    <w:tl2br w:val="nil"/>
                    <w:tr2bl w:val="nil"/>
                  </w:tcBorders>
                  <w:vAlign w:val="center"/>
                </w:tcPr>
                <w:p w14:paraId="016CF9F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98"/>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本项目按照要求配</w:t>
                  </w:r>
                  <w:r>
                    <w:rPr>
                      <w:rFonts w:hint="eastAsia" w:ascii="宋体" w:hAnsi="宋体" w:eastAsia="宋体" w:cs="宋体"/>
                      <w:color w:val="000000" w:themeColor="text1"/>
                      <w:spacing w:val="16"/>
                      <w:sz w:val="18"/>
                      <w:szCs w:val="18"/>
                      <w14:textFill>
                        <w14:solidFill>
                          <w14:schemeClr w14:val="tx1"/>
                        </w14:solidFill>
                      </w14:textFill>
                    </w:rPr>
                    <w:t>备应急人员装配和</w:t>
                  </w:r>
                  <w:r>
                    <w:rPr>
                      <w:rFonts w:hint="eastAsia" w:ascii="宋体" w:hAnsi="宋体" w:eastAsia="宋体" w:cs="宋体"/>
                      <w:color w:val="000000" w:themeColor="text1"/>
                      <w:spacing w:val="-2"/>
                      <w:sz w:val="18"/>
                      <w:szCs w:val="18"/>
                      <w14:textFill>
                        <w14:solidFill>
                          <w14:schemeClr w14:val="tx1"/>
                        </w14:solidFill>
                      </w14:textFill>
                    </w:rPr>
                    <w:t>物资，设有照明系统</w:t>
                  </w:r>
                </w:p>
              </w:tc>
              <w:tc>
                <w:tcPr>
                  <w:tcW w:w="211" w:type="pct"/>
                  <w:tcBorders>
                    <w:tl2br w:val="nil"/>
                    <w:tr2bl w:val="nil"/>
                  </w:tcBorders>
                  <w:vAlign w:val="center"/>
                </w:tcPr>
                <w:p w14:paraId="0D485BD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0C6FE6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14" w:hRule="atLeast"/>
              </w:trPr>
              <w:tc>
                <w:tcPr>
                  <w:tcW w:w="229" w:type="pct"/>
                  <w:vMerge w:val="continue"/>
                  <w:tcBorders>
                    <w:tl2br w:val="nil"/>
                    <w:tr2bl w:val="nil"/>
                  </w:tcBorders>
                  <w:vAlign w:val="center"/>
                </w:tcPr>
                <w:p w14:paraId="406A5170">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10EA9BD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相关部门发布自然灾害或恶劣天气预警后，贮存设施所有者或运营者应启动相应防控措施，若有必要可将危险废物转移至其他具有防护条件的地点</w:t>
                  </w:r>
                  <w:r>
                    <w:rPr>
                      <w:rFonts w:hint="eastAsia" w:ascii="宋体" w:hAnsi="宋体" w:eastAsia="宋体" w:cs="宋体"/>
                      <w:color w:val="000000" w:themeColor="text1"/>
                      <w:spacing w:val="4"/>
                      <w:sz w:val="18"/>
                      <w:szCs w:val="18"/>
                      <w14:textFill>
                        <w14:solidFill>
                          <w14:schemeClr w14:val="tx1"/>
                        </w14:solidFill>
                      </w14:textFill>
                    </w:rPr>
                    <w:t>贮存</w:t>
                  </w:r>
                </w:p>
              </w:tc>
              <w:tc>
                <w:tcPr>
                  <w:tcW w:w="1487" w:type="pct"/>
                  <w:tcBorders>
                    <w:tl2br w:val="nil"/>
                    <w:tr2bl w:val="nil"/>
                  </w:tcBorders>
                  <w:vAlign w:val="center"/>
                </w:tcPr>
                <w:p w14:paraId="1123FE1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按照此条规定执行</w:t>
                  </w:r>
                </w:p>
              </w:tc>
              <w:tc>
                <w:tcPr>
                  <w:tcW w:w="211" w:type="pct"/>
                  <w:tcBorders>
                    <w:tl2br w:val="nil"/>
                    <w:tr2bl w:val="nil"/>
                  </w:tcBorders>
                  <w:vAlign w:val="center"/>
                </w:tcPr>
                <w:p w14:paraId="1DDDFD4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B86FFE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78" w:hRule="atLeast"/>
              </w:trPr>
              <w:tc>
                <w:tcPr>
                  <w:tcW w:w="229" w:type="pct"/>
                  <w:vMerge w:val="restart"/>
                  <w:tcBorders>
                    <w:tl2br w:val="nil"/>
                    <w:tr2bl w:val="nil"/>
                  </w:tcBorders>
                  <w:vAlign w:val="center"/>
                </w:tcPr>
                <w:p w14:paraId="15C6EC0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5"/>
                      <w:sz w:val="18"/>
                      <w:szCs w:val="18"/>
                      <w14:textFill>
                        <w14:solidFill>
                          <w14:schemeClr w14:val="tx1"/>
                        </w14:solidFill>
                      </w14:textFill>
                    </w:rPr>
                    <w:t>《危险</w:t>
                  </w:r>
                  <w:r>
                    <w:rPr>
                      <w:rFonts w:hint="eastAsia" w:ascii="宋体" w:hAnsi="宋体" w:eastAsia="宋体" w:cs="宋体"/>
                      <w:color w:val="000000" w:themeColor="text1"/>
                      <w:spacing w:val="7"/>
                      <w:sz w:val="18"/>
                      <w:szCs w:val="18"/>
                      <w14:textFill>
                        <w14:solidFill>
                          <w14:schemeClr w14:val="tx1"/>
                        </w14:solidFill>
                      </w14:textFill>
                    </w:rPr>
                    <w:t>废物收</w:t>
                  </w:r>
                  <w:r>
                    <w:rPr>
                      <w:rFonts w:hint="eastAsia" w:ascii="宋体" w:hAnsi="宋体" w:eastAsia="宋体" w:cs="宋体"/>
                      <w:color w:val="000000" w:themeColor="text1"/>
                      <w:spacing w:val="6"/>
                      <w:sz w:val="18"/>
                      <w:szCs w:val="18"/>
                      <w14:textFill>
                        <w14:solidFill>
                          <w14:schemeClr w14:val="tx1"/>
                        </w14:solidFill>
                      </w14:textFill>
                    </w:rPr>
                    <w:t>集、贮</w:t>
                  </w:r>
                  <w:r>
                    <w:rPr>
                      <w:rFonts w:hint="eastAsia" w:ascii="宋体" w:hAnsi="宋体" w:eastAsia="宋体" w:cs="宋体"/>
                      <w:color w:val="000000" w:themeColor="text1"/>
                      <w:spacing w:val="7"/>
                      <w:sz w:val="18"/>
                      <w:szCs w:val="18"/>
                      <w14:textFill>
                        <w14:solidFill>
                          <w14:schemeClr w14:val="tx1"/>
                        </w14:solidFill>
                      </w14:textFill>
                    </w:rPr>
                    <w:t>存运输</w:t>
                  </w:r>
                </w:p>
                <w:p w14:paraId="5ACF47B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技术规</w:t>
                  </w:r>
                  <w:r>
                    <w:rPr>
                      <w:rFonts w:hint="eastAsia" w:ascii="宋体" w:hAnsi="宋体" w:eastAsia="宋体" w:cs="宋体"/>
                      <w:color w:val="000000" w:themeColor="text1"/>
                      <w:spacing w:val="-3"/>
                      <w:sz w:val="18"/>
                      <w:szCs w:val="18"/>
                      <w14:textFill>
                        <w14:solidFill>
                          <w14:schemeClr w14:val="tx1"/>
                        </w14:solidFill>
                      </w14:textFill>
                    </w:rPr>
                    <w:t>范》</w:t>
                  </w:r>
                </w:p>
                <w:p w14:paraId="5DEEEF1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HJ</w:t>
                  </w:r>
                  <w:r>
                    <w:rPr>
                      <w:rFonts w:hint="eastAsia" w:ascii="宋体" w:hAnsi="宋体" w:eastAsia="宋体" w:cs="宋体"/>
                      <w:color w:val="000000" w:themeColor="text1"/>
                      <w:spacing w:val="7"/>
                      <w:sz w:val="18"/>
                      <w:szCs w:val="18"/>
                      <w14:textFill>
                        <w14:solidFill>
                          <w14:schemeClr w14:val="tx1"/>
                        </w14:solidFill>
                      </w14:textFill>
                    </w:rPr>
                    <w:t>2025</w:t>
                  </w:r>
                  <w:r>
                    <w:rPr>
                      <w:rFonts w:hint="eastAsia" w:ascii="宋体" w:hAnsi="宋体" w:eastAsia="宋体" w:cs="宋体"/>
                      <w:color w:val="000000" w:themeColor="text1"/>
                      <w:spacing w:val="3"/>
                      <w:sz w:val="18"/>
                      <w:szCs w:val="18"/>
                      <w14:textFill>
                        <w14:solidFill>
                          <w14:schemeClr w14:val="tx1"/>
                        </w14:solidFill>
                      </w14:textFill>
                    </w:rPr>
                    <w:t>-2012</w:t>
                  </w:r>
                </w:p>
              </w:tc>
              <w:tc>
                <w:tcPr>
                  <w:tcW w:w="4559" w:type="pct"/>
                  <w:gridSpan w:val="2"/>
                  <w:tcBorders>
                    <w:tl2br w:val="nil"/>
                    <w:tr2bl w:val="nil"/>
                  </w:tcBorders>
                  <w:vAlign w:val="center"/>
                </w:tcPr>
                <w:p w14:paraId="66E5AFFA">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2392"/>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一般要求</w:t>
                  </w:r>
                </w:p>
              </w:tc>
              <w:tc>
                <w:tcPr>
                  <w:tcW w:w="211" w:type="pct"/>
                  <w:tcBorders>
                    <w:tl2br w:val="nil"/>
                    <w:tr2bl w:val="nil"/>
                  </w:tcBorders>
                  <w:vAlign w:val="center"/>
                </w:tcPr>
                <w:p w14:paraId="28C58B6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r>
            <w:tr w14:paraId="078714A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678" w:hRule="atLeast"/>
              </w:trPr>
              <w:tc>
                <w:tcPr>
                  <w:tcW w:w="229" w:type="pct"/>
                  <w:vMerge w:val="continue"/>
                  <w:tcBorders>
                    <w:tl2br w:val="nil"/>
                    <w:tr2bl w:val="nil"/>
                  </w:tcBorders>
                  <w:vAlign w:val="center"/>
                </w:tcPr>
                <w:p w14:paraId="050F4B7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53F97D69">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从事危险废物收集、贮存、运输经营活动的单位应具有危险废物经营许可</w:t>
                  </w:r>
                  <w:r>
                    <w:rPr>
                      <w:rFonts w:hint="eastAsia" w:ascii="宋体" w:hAnsi="宋体" w:eastAsia="宋体" w:cs="宋体"/>
                      <w:color w:val="000000" w:themeColor="text1"/>
                      <w:spacing w:val="4"/>
                      <w:sz w:val="18"/>
                      <w:szCs w:val="18"/>
                      <w14:textFill>
                        <w14:solidFill>
                          <w14:schemeClr w14:val="tx1"/>
                        </w14:solidFill>
                      </w14:textFill>
                    </w:rPr>
                    <w:t>证。在收集、贮存、运输危险废物时，</w:t>
                  </w:r>
                  <w:r>
                    <w:rPr>
                      <w:rFonts w:hint="eastAsia" w:ascii="宋体" w:hAnsi="宋体" w:eastAsia="宋体" w:cs="宋体"/>
                      <w:color w:val="000000" w:themeColor="text1"/>
                      <w:spacing w:val="9"/>
                      <w:sz w:val="18"/>
                      <w:szCs w:val="18"/>
                      <w14:textFill>
                        <w14:solidFill>
                          <w14:schemeClr w14:val="tx1"/>
                        </w14:solidFill>
                      </w14:textFill>
                    </w:rPr>
                    <w:t>应根据危险废物收集、贮存、处置经</w:t>
                  </w:r>
                  <w:r>
                    <w:rPr>
                      <w:rFonts w:hint="eastAsia" w:ascii="宋体" w:hAnsi="宋体" w:eastAsia="宋体" w:cs="宋体"/>
                      <w:color w:val="000000" w:themeColor="text1"/>
                      <w:spacing w:val="8"/>
                      <w:sz w:val="18"/>
                      <w:szCs w:val="18"/>
                      <w14:textFill>
                        <w14:solidFill>
                          <w14:schemeClr w14:val="tx1"/>
                        </w14:solidFill>
                      </w14:textFill>
                    </w:rPr>
                    <w:t>营许可证核发的有关规定建立相应的</w:t>
                  </w:r>
                  <w:r>
                    <w:rPr>
                      <w:rFonts w:hint="eastAsia" w:ascii="宋体" w:hAnsi="宋体" w:eastAsia="宋体" w:cs="宋体"/>
                      <w:color w:val="000000" w:themeColor="text1"/>
                      <w:spacing w:val="9"/>
                      <w:sz w:val="18"/>
                      <w:szCs w:val="18"/>
                      <w14:textFill>
                        <w14:solidFill>
                          <w14:schemeClr w14:val="tx1"/>
                        </w14:solidFill>
                      </w14:textFill>
                    </w:rPr>
                    <w:t>规章制度和污染防治措施，包括危险</w:t>
                  </w:r>
                  <w:r>
                    <w:rPr>
                      <w:rFonts w:hint="eastAsia" w:ascii="宋体" w:hAnsi="宋体" w:eastAsia="宋体" w:cs="宋体"/>
                      <w:color w:val="000000" w:themeColor="text1"/>
                      <w:spacing w:val="8"/>
                      <w:sz w:val="18"/>
                      <w:szCs w:val="18"/>
                      <w14:textFill>
                        <w14:solidFill>
                          <w14:schemeClr w14:val="tx1"/>
                        </w14:solidFill>
                      </w14:textFill>
                    </w:rPr>
                    <w:t>废物分析管理制度、安全管理制度、</w:t>
                  </w:r>
                  <w:r>
                    <w:rPr>
                      <w:rFonts w:hint="eastAsia" w:ascii="宋体" w:hAnsi="宋体" w:eastAsia="宋体" w:cs="宋体"/>
                      <w:color w:val="000000" w:themeColor="text1"/>
                      <w:spacing w:val="7"/>
                      <w:sz w:val="18"/>
                      <w:szCs w:val="18"/>
                      <w14:textFill>
                        <w14:solidFill>
                          <w14:schemeClr w14:val="tx1"/>
                        </w14:solidFill>
                      </w14:textFill>
                    </w:rPr>
                    <w:t>污染防治措施等。</w:t>
                  </w:r>
                </w:p>
              </w:tc>
              <w:tc>
                <w:tcPr>
                  <w:tcW w:w="1487" w:type="pct"/>
                  <w:tcBorders>
                    <w:tl2br w:val="nil"/>
                    <w:tr2bl w:val="nil"/>
                  </w:tcBorders>
                  <w:vAlign w:val="center"/>
                </w:tcPr>
                <w:p w14:paraId="31080D3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本项目收集、贮存废</w:t>
                  </w:r>
                  <w:r>
                    <w:rPr>
                      <w:rFonts w:hint="eastAsia" w:ascii="宋体" w:hAnsi="宋体" w:eastAsia="宋体" w:cs="宋体"/>
                      <w:color w:val="000000" w:themeColor="text1"/>
                      <w:spacing w:val="8"/>
                      <w:sz w:val="18"/>
                      <w:szCs w:val="18"/>
                      <w14:textFill>
                        <w14:solidFill>
                          <w14:schemeClr w14:val="tx1"/>
                        </w14:solidFill>
                      </w14:textFill>
                    </w:rPr>
                    <w:t>铅蓄电池和废电路</w:t>
                  </w:r>
                  <w:r>
                    <w:rPr>
                      <w:rFonts w:hint="eastAsia" w:ascii="宋体" w:hAnsi="宋体" w:eastAsia="宋体" w:cs="宋体"/>
                      <w:color w:val="000000" w:themeColor="text1"/>
                      <w:spacing w:val="-2"/>
                      <w:sz w:val="18"/>
                      <w:szCs w:val="18"/>
                      <w14:textFill>
                        <w14:solidFill>
                          <w14:schemeClr w14:val="tx1"/>
                        </w14:solidFill>
                      </w14:textFill>
                    </w:rPr>
                    <w:t>板，运营时根据经营</w:t>
                  </w:r>
                  <w:r>
                    <w:rPr>
                      <w:rFonts w:hint="eastAsia" w:ascii="宋体" w:hAnsi="宋体" w:eastAsia="宋体" w:cs="宋体"/>
                      <w:color w:val="000000" w:themeColor="text1"/>
                      <w:spacing w:val="8"/>
                      <w:sz w:val="18"/>
                      <w:szCs w:val="18"/>
                      <w14:textFill>
                        <w14:solidFill>
                          <w14:schemeClr w14:val="tx1"/>
                        </w14:solidFill>
                      </w14:textFill>
                    </w:rPr>
                    <w:t>许可证核发的有关规定建立相应的规</w:t>
                  </w:r>
                  <w:r>
                    <w:rPr>
                      <w:rFonts w:hint="eastAsia" w:ascii="宋体" w:hAnsi="宋体" w:eastAsia="宋体" w:cs="宋体"/>
                      <w:color w:val="000000" w:themeColor="text1"/>
                      <w:spacing w:val="7"/>
                      <w:sz w:val="18"/>
                      <w:szCs w:val="18"/>
                      <w14:textFill>
                        <w14:solidFill>
                          <w14:schemeClr w14:val="tx1"/>
                        </w14:solidFill>
                      </w14:textFill>
                    </w:rPr>
                    <w:t>章制度和污染防治</w:t>
                  </w:r>
                  <w:r>
                    <w:rPr>
                      <w:rFonts w:hint="eastAsia" w:ascii="宋体" w:hAnsi="宋体" w:eastAsia="宋体" w:cs="宋体"/>
                      <w:color w:val="000000" w:themeColor="text1"/>
                      <w:spacing w:val="-2"/>
                      <w:sz w:val="18"/>
                      <w:szCs w:val="18"/>
                      <w14:textFill>
                        <w14:solidFill>
                          <w14:schemeClr w14:val="tx1"/>
                        </w14:solidFill>
                      </w14:textFill>
                    </w:rPr>
                    <w:t>措施，包括危险废物分析管理制度、安全管理制度、污染防治</w:t>
                  </w:r>
                  <w:r>
                    <w:rPr>
                      <w:rFonts w:hint="eastAsia" w:ascii="宋体" w:hAnsi="宋体" w:eastAsia="宋体" w:cs="宋体"/>
                      <w:color w:val="000000" w:themeColor="text1"/>
                      <w:spacing w:val="5"/>
                      <w:sz w:val="18"/>
                      <w:szCs w:val="18"/>
                      <w14:textFill>
                        <w14:solidFill>
                          <w14:schemeClr w14:val="tx1"/>
                        </w14:solidFill>
                      </w14:textFill>
                    </w:rPr>
                    <w:t>措施等。</w:t>
                  </w:r>
                </w:p>
              </w:tc>
              <w:tc>
                <w:tcPr>
                  <w:tcW w:w="211" w:type="pct"/>
                  <w:tcBorders>
                    <w:tl2br w:val="nil"/>
                    <w:tr2bl w:val="nil"/>
                  </w:tcBorders>
                  <w:vAlign w:val="center"/>
                </w:tcPr>
                <w:p w14:paraId="28CF586B">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1C0D0923">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10" w:hRule="atLeast"/>
              </w:trPr>
              <w:tc>
                <w:tcPr>
                  <w:tcW w:w="229" w:type="pct"/>
                  <w:vMerge w:val="continue"/>
                  <w:tcBorders>
                    <w:tl2br w:val="nil"/>
                    <w:tr2bl w:val="nil"/>
                  </w:tcBorders>
                  <w:vAlign w:val="center"/>
                </w:tcPr>
                <w:p w14:paraId="2096CC3E">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618BA6A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pacing w:val="9"/>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危险废物收集、贮存、运输单位应编</w:t>
                  </w:r>
                  <w:r>
                    <w:rPr>
                      <w:rFonts w:hint="eastAsia" w:ascii="宋体" w:hAnsi="宋体" w:eastAsia="宋体" w:cs="宋体"/>
                      <w:color w:val="000000" w:themeColor="text1"/>
                      <w:spacing w:val="-2"/>
                      <w:sz w:val="18"/>
                      <w:szCs w:val="18"/>
                      <w14:textFill>
                        <w14:solidFill>
                          <w14:schemeClr w14:val="tx1"/>
                        </w14:solidFill>
                      </w14:textFill>
                    </w:rPr>
                    <w:t>制应急预案。应急预案编制可参照《危</w:t>
                  </w:r>
                  <w:r>
                    <w:rPr>
                      <w:rFonts w:hint="eastAsia" w:ascii="宋体" w:hAnsi="宋体" w:eastAsia="宋体" w:cs="宋体"/>
                      <w:color w:val="000000" w:themeColor="text1"/>
                      <w:spacing w:val="1"/>
                      <w:sz w:val="18"/>
                      <w:szCs w:val="18"/>
                      <w14:textFill>
                        <w14:solidFill>
                          <w14:schemeClr w14:val="tx1"/>
                        </w14:solidFill>
                      </w14:textFill>
                    </w:rPr>
                    <w:t>险废物经营单位编制应急预案指南》，</w:t>
                  </w:r>
                  <w:r>
                    <w:rPr>
                      <w:rFonts w:hint="eastAsia" w:ascii="宋体" w:hAnsi="宋体" w:eastAsia="宋体" w:cs="宋体"/>
                      <w:color w:val="000000" w:themeColor="text1"/>
                      <w:spacing w:val="9"/>
                      <w:sz w:val="18"/>
                      <w:szCs w:val="18"/>
                      <w14:textFill>
                        <w14:solidFill>
                          <w14:schemeClr w14:val="tx1"/>
                        </w14:solidFill>
                      </w14:textFill>
                    </w:rPr>
                    <w:t>设计运输的相关内容还应符合交通行政主管部门的有关规定。针对危险废物收集、贮存、运输过程中的事故易</w:t>
                  </w:r>
                  <w:r>
                    <w:rPr>
                      <w:rFonts w:hint="eastAsia" w:ascii="宋体" w:hAnsi="宋体" w:eastAsia="宋体" w:cs="宋体"/>
                      <w:color w:val="000000" w:themeColor="text1"/>
                      <w:spacing w:val="8"/>
                      <w:sz w:val="18"/>
                      <w:szCs w:val="18"/>
                      <w14:textFill>
                        <w14:solidFill>
                          <w14:schemeClr w14:val="tx1"/>
                        </w14:solidFill>
                      </w14:textFill>
                    </w:rPr>
                    <w:t>发环节应定期组织应急演练。</w:t>
                  </w:r>
                </w:p>
              </w:tc>
              <w:tc>
                <w:tcPr>
                  <w:tcW w:w="1487" w:type="pct"/>
                  <w:tcBorders>
                    <w:tl2br w:val="nil"/>
                    <w:tr2bl w:val="nil"/>
                  </w:tcBorders>
                  <w:vAlign w:val="center"/>
                </w:tcPr>
                <w:p w14:paraId="07A7B64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本项目建成后按要求编制突发环境事</w:t>
                  </w:r>
                  <w:r>
                    <w:rPr>
                      <w:rFonts w:hint="eastAsia" w:ascii="宋体" w:hAnsi="宋体" w:eastAsia="宋体" w:cs="宋体"/>
                      <w:color w:val="000000" w:themeColor="text1"/>
                      <w:spacing w:val="-2"/>
                      <w:sz w:val="18"/>
                      <w:szCs w:val="18"/>
                      <w14:textFill>
                        <w14:solidFill>
                          <w14:schemeClr w14:val="tx1"/>
                        </w14:solidFill>
                      </w14:textFill>
                    </w:rPr>
                    <w:t>件应急预案，并按规</w:t>
                  </w:r>
                  <w:r>
                    <w:rPr>
                      <w:rFonts w:hint="eastAsia" w:ascii="宋体" w:hAnsi="宋体" w:eastAsia="宋体" w:cs="宋体"/>
                      <w:color w:val="000000" w:themeColor="text1"/>
                      <w:spacing w:val="8"/>
                      <w:sz w:val="18"/>
                      <w:szCs w:val="18"/>
                      <w14:textFill>
                        <w14:solidFill>
                          <w14:schemeClr w14:val="tx1"/>
                        </w14:solidFill>
                      </w14:textFill>
                    </w:rPr>
                    <w:t>定定期组织应急演</w:t>
                  </w:r>
                  <w:r>
                    <w:rPr>
                      <w:rFonts w:hint="eastAsia" w:ascii="宋体" w:hAnsi="宋体" w:eastAsia="宋体" w:cs="宋体"/>
                      <w:color w:val="000000" w:themeColor="text1"/>
                      <w:sz w:val="18"/>
                      <w:szCs w:val="18"/>
                      <w14:textFill>
                        <w14:solidFill>
                          <w14:schemeClr w14:val="tx1"/>
                        </w14:solidFill>
                      </w14:textFill>
                    </w:rPr>
                    <w:t>练</w:t>
                  </w:r>
                </w:p>
              </w:tc>
              <w:tc>
                <w:tcPr>
                  <w:tcW w:w="211" w:type="pct"/>
                  <w:tcBorders>
                    <w:tl2br w:val="nil"/>
                    <w:tr2bl w:val="nil"/>
                  </w:tcBorders>
                  <w:vAlign w:val="center"/>
                </w:tcPr>
                <w:p w14:paraId="64C1D32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0E86FB4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10" w:hRule="atLeast"/>
              </w:trPr>
              <w:tc>
                <w:tcPr>
                  <w:tcW w:w="229" w:type="pct"/>
                  <w:vMerge w:val="continue"/>
                  <w:tcBorders>
                    <w:tl2br w:val="nil"/>
                    <w:tr2bl w:val="nil"/>
                  </w:tcBorders>
                  <w:vAlign w:val="center"/>
                </w:tcPr>
                <w:p w14:paraId="65AF75A9">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vAlign w:val="center"/>
                </w:tcPr>
                <w:p w14:paraId="709BDDC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pacing w:val="-2"/>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危险废物收集、贮存、运输过程中一旦发生意外事故，收集、贮存、运输单位及相关部门应根据风险程度采取如下措施：设立事故警戒线，启动应</w:t>
                  </w:r>
                  <w:r>
                    <w:rPr>
                      <w:rFonts w:hint="eastAsia" w:ascii="宋体" w:hAnsi="宋体" w:eastAsia="宋体" w:cs="宋体"/>
                      <w:color w:val="000000" w:themeColor="text1"/>
                      <w:spacing w:val="8"/>
                      <w:sz w:val="18"/>
                      <w:szCs w:val="18"/>
                      <w14:textFill>
                        <w14:solidFill>
                          <w14:schemeClr w14:val="tx1"/>
                        </w14:solidFill>
                      </w14:textFill>
                    </w:rPr>
                    <w:t>急预案，并按《环境保护行政主管部</w:t>
                  </w:r>
                  <w:r>
                    <w:rPr>
                      <w:rFonts w:hint="eastAsia" w:ascii="宋体" w:hAnsi="宋体" w:eastAsia="宋体" w:cs="宋体"/>
                      <w:color w:val="000000" w:themeColor="text1"/>
                      <w:spacing w:val="7"/>
                      <w:sz w:val="18"/>
                      <w:szCs w:val="18"/>
                      <w14:textFill>
                        <w14:solidFill>
                          <w14:schemeClr w14:val="tx1"/>
                        </w14:solidFill>
                      </w14:textFill>
                    </w:rPr>
                    <w:t>门突发环境事件信息报告办法（试行）》（环发〔2006〕50号）要求进</w:t>
                  </w:r>
                  <w:r>
                    <w:rPr>
                      <w:rFonts w:hint="eastAsia" w:ascii="宋体" w:hAnsi="宋体" w:eastAsia="宋体" w:cs="宋体"/>
                      <w:color w:val="000000" w:themeColor="text1"/>
                      <w:spacing w:val="9"/>
                      <w:sz w:val="18"/>
                      <w:szCs w:val="18"/>
                      <w14:textFill>
                        <w14:solidFill>
                          <w14:schemeClr w14:val="tx1"/>
                        </w14:solidFill>
                      </w14:textFill>
                    </w:rPr>
                    <w:t>行报告。若造成事故的危险废物具有</w:t>
                  </w:r>
                  <w:r>
                    <w:rPr>
                      <w:rFonts w:hint="eastAsia" w:ascii="宋体" w:hAnsi="宋体" w:eastAsia="宋体" w:cs="宋体"/>
                      <w:color w:val="000000" w:themeColor="text1"/>
                      <w:spacing w:val="4"/>
                      <w:sz w:val="18"/>
                      <w:szCs w:val="18"/>
                      <w14:textFill>
                        <w14:solidFill>
                          <w14:schemeClr w14:val="tx1"/>
                        </w14:solidFill>
                      </w14:textFill>
                    </w:rPr>
                    <w:t>剧毒性、易燃性、爆炸性或高传染性，</w:t>
                  </w:r>
                  <w:r>
                    <w:rPr>
                      <w:rFonts w:hint="eastAsia" w:ascii="宋体" w:hAnsi="宋体" w:eastAsia="宋体" w:cs="宋体"/>
                      <w:color w:val="000000" w:themeColor="text1"/>
                      <w:spacing w:val="8"/>
                      <w:sz w:val="18"/>
                      <w:szCs w:val="18"/>
                      <w14:textFill>
                        <w14:solidFill>
                          <w14:schemeClr w14:val="tx1"/>
                        </w14:solidFill>
                      </w14:textFill>
                    </w:rPr>
                    <w:t>应立即疏散人群，并请求环境保护、</w:t>
                  </w:r>
                  <w:r>
                    <w:rPr>
                      <w:rFonts w:hint="eastAsia" w:ascii="宋体" w:hAnsi="宋体" w:eastAsia="宋体" w:cs="宋体"/>
                      <w:color w:val="000000" w:themeColor="text1"/>
                      <w:spacing w:val="4"/>
                      <w:sz w:val="18"/>
                      <w:szCs w:val="18"/>
                      <w14:textFill>
                        <w14:solidFill>
                          <w14:schemeClr w14:val="tx1"/>
                        </w14:solidFill>
                      </w14:textFill>
                    </w:rPr>
                    <w:t>消防、医疗、公安的等相关部门支援。</w:t>
                  </w:r>
                  <w:r>
                    <w:rPr>
                      <w:rFonts w:hint="eastAsia" w:ascii="宋体" w:hAnsi="宋体" w:eastAsia="宋体" w:cs="宋体"/>
                      <w:color w:val="000000" w:themeColor="text1"/>
                      <w:spacing w:val="9"/>
                      <w:sz w:val="18"/>
                      <w:szCs w:val="18"/>
                      <w14:textFill>
                        <w14:solidFill>
                          <w14:schemeClr w14:val="tx1"/>
                        </w14:solidFill>
                      </w14:textFill>
                    </w:rPr>
                    <w:t>对事故现场受到污染的土壤和水体等</w:t>
                  </w:r>
                  <w:r>
                    <w:rPr>
                      <w:rFonts w:hint="eastAsia" w:ascii="宋体" w:hAnsi="宋体" w:eastAsia="宋体" w:cs="宋体"/>
                      <w:color w:val="000000" w:themeColor="text1"/>
                      <w:spacing w:val="8"/>
                      <w:sz w:val="18"/>
                      <w:szCs w:val="18"/>
                      <w14:textFill>
                        <w14:solidFill>
                          <w14:schemeClr w14:val="tx1"/>
                        </w14:solidFill>
                      </w14:textFill>
                    </w:rPr>
                    <w:t>环境介质应进行相应的清理和修复。</w:t>
                  </w:r>
                  <w:r>
                    <w:rPr>
                      <w:rFonts w:hint="eastAsia" w:ascii="宋体" w:hAnsi="宋体" w:eastAsia="宋体" w:cs="宋体"/>
                      <w:color w:val="000000" w:themeColor="text1"/>
                      <w:spacing w:val="9"/>
                      <w:sz w:val="18"/>
                      <w:szCs w:val="18"/>
                      <w14:textFill>
                        <w14:solidFill>
                          <w14:schemeClr w14:val="tx1"/>
                        </w14:solidFill>
                      </w14:textFill>
                    </w:rPr>
                    <w:t>清理过程中产生的所有废物均应按危</w:t>
                  </w:r>
                  <w:r>
                    <w:rPr>
                      <w:rFonts w:hint="eastAsia" w:ascii="宋体" w:hAnsi="宋体" w:eastAsia="宋体" w:cs="宋体"/>
                      <w:color w:val="000000" w:themeColor="text1"/>
                      <w:spacing w:val="8"/>
                      <w:sz w:val="18"/>
                      <w:szCs w:val="18"/>
                      <w14:textFill>
                        <w14:solidFill>
                          <w14:schemeClr w14:val="tx1"/>
                        </w14:solidFill>
                      </w14:textFill>
                    </w:rPr>
                    <w:t>险废物进行管理和处置。进入现场清</w:t>
                  </w:r>
                  <w:r>
                    <w:rPr>
                      <w:rFonts w:hint="eastAsia" w:ascii="宋体" w:hAnsi="宋体" w:eastAsia="宋体" w:cs="宋体"/>
                      <w:color w:val="000000" w:themeColor="text1"/>
                      <w:spacing w:val="9"/>
                      <w:sz w:val="18"/>
                      <w:szCs w:val="18"/>
                      <w14:textFill>
                        <w14:solidFill>
                          <w14:schemeClr w14:val="tx1"/>
                        </w14:solidFill>
                      </w14:textFill>
                    </w:rPr>
                    <w:t>理和包装危险废物的人员应受过专业培训，穿着防护服，并佩戴相应的防</w:t>
                  </w:r>
                  <w:r>
                    <w:rPr>
                      <w:rFonts w:hint="eastAsia" w:ascii="宋体" w:hAnsi="宋体" w:eastAsia="宋体" w:cs="宋体"/>
                      <w:color w:val="000000" w:themeColor="text1"/>
                      <w:spacing w:val="4"/>
                      <w:sz w:val="18"/>
                      <w:szCs w:val="18"/>
                      <w14:textFill>
                        <w14:solidFill>
                          <w14:schemeClr w14:val="tx1"/>
                        </w14:solidFill>
                      </w14:textFill>
                    </w:rPr>
                    <w:t>护用具。</w:t>
                  </w:r>
                </w:p>
              </w:tc>
              <w:tc>
                <w:tcPr>
                  <w:tcW w:w="1487" w:type="pct"/>
                  <w:tcBorders>
                    <w:tl2br w:val="nil"/>
                    <w:tr2bl w:val="nil"/>
                  </w:tcBorders>
                  <w:vAlign w:val="center"/>
                </w:tcPr>
                <w:p w14:paraId="0B7B54DF">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8"/>
                    <w:jc w:val="center"/>
                    <w:textAlignment w:val="baseline"/>
                    <w:rPr>
                      <w:rFonts w:hint="eastAsia" w:ascii="宋体" w:hAnsi="宋体" w:eastAsia="宋体" w:cs="宋体"/>
                      <w:color w:val="000000" w:themeColor="text1"/>
                      <w:spacing w:val="8"/>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一旦发生风险事故，</w:t>
                  </w:r>
                  <w:r>
                    <w:rPr>
                      <w:rFonts w:hint="eastAsia" w:ascii="宋体" w:hAnsi="宋体" w:eastAsia="宋体" w:cs="宋体"/>
                      <w:color w:val="000000" w:themeColor="text1"/>
                      <w:spacing w:val="8"/>
                      <w:sz w:val="18"/>
                      <w:szCs w:val="18"/>
                      <w14:textFill>
                        <w14:solidFill>
                          <w14:schemeClr w14:val="tx1"/>
                        </w14:solidFill>
                      </w14:textFill>
                    </w:rPr>
                    <w:t>严格按照该条要求</w:t>
                  </w:r>
                  <w:r>
                    <w:rPr>
                      <w:rFonts w:hint="eastAsia" w:ascii="宋体" w:hAnsi="宋体" w:eastAsia="宋体" w:cs="宋体"/>
                      <w:color w:val="000000" w:themeColor="text1"/>
                      <w:spacing w:val="3"/>
                      <w:sz w:val="18"/>
                      <w:szCs w:val="18"/>
                      <w14:textFill>
                        <w14:solidFill>
                          <w14:schemeClr w14:val="tx1"/>
                        </w14:solidFill>
                      </w14:textFill>
                    </w:rPr>
                    <w:t>执行。</w:t>
                  </w:r>
                </w:p>
              </w:tc>
              <w:tc>
                <w:tcPr>
                  <w:tcW w:w="211" w:type="pct"/>
                  <w:tcBorders>
                    <w:tl2br w:val="nil"/>
                    <w:tr2bl w:val="nil"/>
                  </w:tcBorders>
                  <w:vAlign w:val="center"/>
                </w:tcPr>
                <w:p w14:paraId="7484D585">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pacing w:val="3"/>
                      <w:sz w:val="18"/>
                      <w:szCs w:val="18"/>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AB82811">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10" w:hRule="atLeast"/>
              </w:trPr>
              <w:tc>
                <w:tcPr>
                  <w:tcW w:w="229" w:type="pct"/>
                  <w:vMerge w:val="continue"/>
                  <w:tcBorders>
                    <w:tl2br w:val="nil"/>
                    <w:tr2bl w:val="nil"/>
                  </w:tcBorders>
                  <w:vAlign w:val="center"/>
                </w:tcPr>
                <w:p w14:paraId="66BD8CA8">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shd w:val="clear" w:color="auto" w:fill="auto"/>
                  <w:vAlign w:val="center"/>
                </w:tcPr>
                <w:p w14:paraId="62EC264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8"/>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危险废物收集、贮存、运输时应按腐蚀性、毒性、易燃性、反应性和感染</w:t>
                  </w:r>
                  <w:r>
                    <w:rPr>
                      <w:rFonts w:hint="eastAsia" w:ascii="宋体" w:hAnsi="宋体" w:eastAsia="宋体" w:cs="宋体"/>
                      <w:color w:val="000000" w:themeColor="text1"/>
                      <w:spacing w:val="8"/>
                      <w:sz w:val="18"/>
                      <w:szCs w:val="18"/>
                      <w14:textFill>
                        <w14:solidFill>
                          <w14:schemeClr w14:val="tx1"/>
                        </w14:solidFill>
                      </w14:textFill>
                    </w:rPr>
                    <w:t>性等危险特性对危险废物进行分类、包装并设置相应的标志及标签。</w:t>
                  </w:r>
                </w:p>
              </w:tc>
              <w:tc>
                <w:tcPr>
                  <w:tcW w:w="1487" w:type="pct"/>
                  <w:tcBorders>
                    <w:tl2br w:val="nil"/>
                    <w:tr2bl w:val="nil"/>
                  </w:tcBorders>
                  <w:shd w:val="clear" w:color="auto" w:fill="auto"/>
                  <w:vAlign w:val="center"/>
                </w:tcPr>
                <w:p w14:paraId="33BD5EB4">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本项目各危险废物</w:t>
                  </w:r>
                  <w:r>
                    <w:rPr>
                      <w:rFonts w:hint="eastAsia" w:ascii="宋体" w:hAnsi="宋体" w:eastAsia="宋体" w:cs="宋体"/>
                      <w:color w:val="000000" w:themeColor="text1"/>
                      <w:spacing w:val="-1"/>
                      <w:sz w:val="18"/>
                      <w:szCs w:val="18"/>
                      <w14:textFill>
                        <w14:solidFill>
                          <w14:schemeClr w14:val="tx1"/>
                        </w14:solidFill>
                      </w14:textFill>
                    </w:rPr>
                    <w:t>分类包装、收集，并</w:t>
                  </w:r>
                  <w:r>
                    <w:rPr>
                      <w:rFonts w:hint="eastAsia" w:ascii="宋体" w:hAnsi="宋体" w:eastAsia="宋体" w:cs="宋体"/>
                      <w:color w:val="000000" w:themeColor="text1"/>
                      <w:spacing w:val="8"/>
                      <w:sz w:val="18"/>
                      <w:szCs w:val="18"/>
                      <w14:textFill>
                        <w14:solidFill>
                          <w14:schemeClr w14:val="tx1"/>
                        </w14:solidFill>
                      </w14:textFill>
                    </w:rPr>
                    <w:t>设置了相应的标志</w:t>
                  </w:r>
                  <w:r>
                    <w:rPr>
                      <w:rFonts w:hint="eastAsia" w:ascii="宋体" w:hAnsi="宋体" w:eastAsia="宋体" w:cs="宋体"/>
                      <w:color w:val="000000" w:themeColor="text1"/>
                      <w:spacing w:val="4"/>
                      <w:sz w:val="18"/>
                      <w:szCs w:val="18"/>
                      <w14:textFill>
                        <w14:solidFill>
                          <w14:schemeClr w14:val="tx1"/>
                        </w14:solidFill>
                      </w14:textFill>
                    </w:rPr>
                    <w:t>和标签。</w:t>
                  </w:r>
                </w:p>
              </w:tc>
              <w:tc>
                <w:tcPr>
                  <w:tcW w:w="211" w:type="pct"/>
                  <w:tcBorders>
                    <w:tl2br w:val="nil"/>
                    <w:tr2bl w:val="nil"/>
                  </w:tcBorders>
                  <w:shd w:val="clear" w:color="auto" w:fill="auto"/>
                  <w:vAlign w:val="center"/>
                </w:tcPr>
                <w:p w14:paraId="71648D3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5D9D6E31">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10" w:hRule="atLeast"/>
              </w:trPr>
              <w:tc>
                <w:tcPr>
                  <w:tcW w:w="229" w:type="pct"/>
                  <w:vMerge w:val="continue"/>
                  <w:tcBorders>
                    <w:tl2br w:val="nil"/>
                    <w:tr2bl w:val="nil"/>
                  </w:tcBorders>
                  <w:vAlign w:val="center"/>
                </w:tcPr>
                <w:p w14:paraId="5D3CBD97">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shd w:val="clear" w:color="auto" w:fill="auto"/>
                  <w:vAlign w:val="center"/>
                </w:tcPr>
                <w:p w14:paraId="5E082214">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贮存危险废物时应按危险废物的种类和特性进行分区贮存，每个贮存区域</w:t>
                  </w:r>
                  <w:r>
                    <w:rPr>
                      <w:rFonts w:hint="eastAsia" w:ascii="宋体" w:hAnsi="宋体" w:eastAsia="宋体" w:cs="宋体"/>
                      <w:color w:val="000000" w:themeColor="text1"/>
                      <w:spacing w:val="7"/>
                      <w:sz w:val="18"/>
                      <w:szCs w:val="18"/>
                      <w14:textFill>
                        <w14:solidFill>
                          <w14:schemeClr w14:val="tx1"/>
                        </w14:solidFill>
                      </w14:textFill>
                    </w:rPr>
                    <w:t>之间宜设置挡墙间隔。</w:t>
                  </w:r>
                </w:p>
              </w:tc>
              <w:tc>
                <w:tcPr>
                  <w:tcW w:w="1487" w:type="pct"/>
                  <w:tcBorders>
                    <w:tl2br w:val="nil"/>
                    <w:tr2bl w:val="nil"/>
                  </w:tcBorders>
                  <w:shd w:val="clear" w:color="auto" w:fill="auto"/>
                  <w:vAlign w:val="center"/>
                </w:tcPr>
                <w:p w14:paraId="4FE779C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本项目危废贮存间</w:t>
                  </w:r>
                  <w:r>
                    <w:rPr>
                      <w:rFonts w:hint="eastAsia" w:ascii="宋体" w:hAnsi="宋体" w:eastAsia="宋体" w:cs="宋体"/>
                      <w:color w:val="000000" w:themeColor="text1"/>
                      <w:spacing w:val="-2"/>
                      <w:sz w:val="18"/>
                      <w:szCs w:val="18"/>
                      <w14:textFill>
                        <w14:solidFill>
                          <w14:schemeClr w14:val="tx1"/>
                        </w14:solidFill>
                      </w14:textFill>
                    </w:rPr>
                    <w:t>设置暂存区，采用过</w:t>
                  </w:r>
                  <w:r>
                    <w:rPr>
                      <w:rFonts w:hint="eastAsia" w:ascii="宋体" w:hAnsi="宋体" w:eastAsia="宋体" w:cs="宋体"/>
                      <w:color w:val="000000" w:themeColor="text1"/>
                      <w:spacing w:val="8"/>
                      <w:sz w:val="18"/>
                      <w:szCs w:val="18"/>
                      <w14:textFill>
                        <w14:solidFill>
                          <w14:schemeClr w14:val="tx1"/>
                        </w14:solidFill>
                      </w14:textFill>
                    </w:rPr>
                    <w:t>道方式分区</w:t>
                  </w:r>
                </w:p>
              </w:tc>
              <w:tc>
                <w:tcPr>
                  <w:tcW w:w="211" w:type="pct"/>
                  <w:tcBorders>
                    <w:tl2br w:val="nil"/>
                    <w:tr2bl w:val="nil"/>
                  </w:tcBorders>
                  <w:shd w:val="clear" w:color="auto" w:fill="auto"/>
                  <w:vAlign w:val="center"/>
                </w:tcPr>
                <w:p w14:paraId="05E68518">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7C08CB61">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10" w:hRule="atLeast"/>
              </w:trPr>
              <w:tc>
                <w:tcPr>
                  <w:tcW w:w="229" w:type="pct"/>
                  <w:vMerge w:val="continue"/>
                  <w:tcBorders>
                    <w:tl2br w:val="nil"/>
                    <w:tr2bl w:val="nil"/>
                  </w:tcBorders>
                  <w:vAlign w:val="center"/>
                </w:tcPr>
                <w:p w14:paraId="218DB85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shd w:val="clear" w:color="auto" w:fill="auto"/>
                  <w:vAlign w:val="center"/>
                </w:tcPr>
                <w:p w14:paraId="5DFC00CB">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危险废物贮存单位应建立危险废物贮</w:t>
                  </w:r>
                  <w:r>
                    <w:rPr>
                      <w:rFonts w:hint="eastAsia" w:ascii="宋体" w:hAnsi="宋体" w:eastAsia="宋体" w:cs="宋体"/>
                      <w:color w:val="000000" w:themeColor="text1"/>
                      <w:spacing w:val="6"/>
                      <w:sz w:val="18"/>
                      <w:szCs w:val="18"/>
                      <w14:textFill>
                        <w14:solidFill>
                          <w14:schemeClr w14:val="tx1"/>
                        </w14:solidFill>
                      </w14:textFill>
                    </w:rPr>
                    <w:t>存台帐制度。</w:t>
                  </w:r>
                </w:p>
              </w:tc>
              <w:tc>
                <w:tcPr>
                  <w:tcW w:w="1487" w:type="pct"/>
                  <w:tcBorders>
                    <w:tl2br w:val="nil"/>
                    <w:tr2bl w:val="nil"/>
                  </w:tcBorders>
                  <w:shd w:val="clear" w:color="auto" w:fill="auto"/>
                  <w:vAlign w:val="center"/>
                </w:tcPr>
                <w:p w14:paraId="3AB8761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58" w:rightChars="0"/>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严格按要求设立台</w:t>
                  </w:r>
                  <w:r>
                    <w:rPr>
                      <w:rFonts w:hint="eastAsia" w:ascii="宋体" w:hAnsi="宋体" w:eastAsia="宋体" w:cs="宋体"/>
                      <w:color w:val="000000" w:themeColor="text1"/>
                      <w:spacing w:val="5"/>
                      <w:sz w:val="18"/>
                      <w:szCs w:val="18"/>
                      <w14:textFill>
                        <w14:solidFill>
                          <w14:schemeClr w14:val="tx1"/>
                        </w14:solidFill>
                      </w14:textFill>
                    </w:rPr>
                    <w:t>账制度</w:t>
                  </w:r>
                </w:p>
              </w:tc>
              <w:tc>
                <w:tcPr>
                  <w:tcW w:w="211" w:type="pct"/>
                  <w:tcBorders>
                    <w:tl2br w:val="nil"/>
                    <w:tr2bl w:val="nil"/>
                  </w:tcBorders>
                  <w:shd w:val="clear" w:color="auto" w:fill="auto"/>
                  <w:vAlign w:val="center"/>
                </w:tcPr>
                <w:p w14:paraId="2A78A22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r w14:paraId="541B850C">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10" w:hRule="atLeast"/>
              </w:trPr>
              <w:tc>
                <w:tcPr>
                  <w:tcW w:w="229" w:type="pct"/>
                  <w:vMerge w:val="continue"/>
                  <w:tcBorders>
                    <w:tl2br w:val="nil"/>
                    <w:tr2bl w:val="nil"/>
                  </w:tcBorders>
                  <w:vAlign w:val="center"/>
                </w:tcPr>
                <w:p w14:paraId="49409661">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14:textFill>
                        <w14:solidFill>
                          <w14:schemeClr w14:val="tx1"/>
                        </w14:solidFill>
                      </w14:textFill>
                    </w:rPr>
                  </w:pPr>
                </w:p>
              </w:tc>
              <w:tc>
                <w:tcPr>
                  <w:tcW w:w="3071" w:type="pct"/>
                  <w:tcBorders>
                    <w:tl2br w:val="nil"/>
                    <w:tr2bl w:val="nil"/>
                  </w:tcBorders>
                  <w:shd w:val="clear" w:color="auto" w:fill="auto"/>
                  <w:vAlign w:val="center"/>
                </w:tcPr>
                <w:p w14:paraId="5D7AD72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危险废物贮存设施应根据贮存的危废</w:t>
                  </w:r>
                  <w:r>
                    <w:rPr>
                      <w:rFonts w:hint="eastAsia" w:ascii="宋体" w:hAnsi="宋体" w:eastAsia="宋体" w:cs="宋体"/>
                      <w:color w:val="000000" w:themeColor="text1"/>
                      <w:spacing w:val="8"/>
                      <w:sz w:val="18"/>
                      <w:szCs w:val="18"/>
                      <w14:textFill>
                        <w14:solidFill>
                          <w14:schemeClr w14:val="tx1"/>
                        </w14:solidFill>
                      </w14:textFill>
                    </w:rPr>
                    <w:t>种类和特性设置标志。</w:t>
                  </w:r>
                </w:p>
              </w:tc>
              <w:tc>
                <w:tcPr>
                  <w:tcW w:w="1487" w:type="pct"/>
                  <w:tcBorders>
                    <w:tl2br w:val="nil"/>
                    <w:tr2bl w:val="nil"/>
                  </w:tcBorders>
                  <w:shd w:val="clear" w:color="auto" w:fill="auto"/>
                  <w:vAlign w:val="center"/>
                </w:tcPr>
                <w:p w14:paraId="2D3486F4">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66" w:rightChars="0"/>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严格按要求设相应</w:t>
                  </w:r>
                  <w:r>
                    <w:rPr>
                      <w:rFonts w:hint="eastAsia" w:ascii="宋体" w:hAnsi="宋体" w:eastAsia="宋体" w:cs="宋体"/>
                      <w:color w:val="000000" w:themeColor="text1"/>
                      <w:spacing w:val="4"/>
                      <w:sz w:val="18"/>
                      <w:szCs w:val="18"/>
                      <w14:textFill>
                        <w14:solidFill>
                          <w14:schemeClr w14:val="tx1"/>
                        </w14:solidFill>
                      </w14:textFill>
                    </w:rPr>
                    <w:t>标志</w:t>
                  </w:r>
                </w:p>
              </w:tc>
              <w:tc>
                <w:tcPr>
                  <w:tcW w:w="211" w:type="pct"/>
                  <w:tcBorders>
                    <w:tl2br w:val="nil"/>
                    <w:tr2bl w:val="nil"/>
                  </w:tcBorders>
                  <w:shd w:val="clear" w:color="auto" w:fill="auto"/>
                  <w:vAlign w:val="center"/>
                </w:tcPr>
                <w:p w14:paraId="1C10D33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snapToGrid w:val="0"/>
                      <w:color w:val="000000" w:themeColor="text1"/>
                      <w:kern w:val="0"/>
                      <w:sz w:val="18"/>
                      <w:szCs w:val="18"/>
                      <w:lang w:val="en-US" w:eastAsia="en-US" w:bidi="ar-SA"/>
                      <w14:textFill>
                        <w14:solidFill>
                          <w14:schemeClr w14:val="tx1"/>
                        </w14:solidFill>
                      </w14:textFill>
                    </w:rPr>
                  </w:pPr>
                  <w:r>
                    <w:rPr>
                      <w:rFonts w:hint="eastAsia" w:ascii="宋体" w:hAnsi="宋体" w:eastAsia="宋体" w:cs="宋体"/>
                      <w:color w:val="000000" w:themeColor="text1"/>
                      <w:spacing w:val="3"/>
                      <w:sz w:val="18"/>
                      <w:szCs w:val="18"/>
                      <w14:textFill>
                        <w14:solidFill>
                          <w14:schemeClr w14:val="tx1"/>
                        </w14:solidFill>
                      </w14:textFill>
                    </w:rPr>
                    <w:t>符合</w:t>
                  </w:r>
                </w:p>
              </w:tc>
            </w:tr>
          </w:tbl>
          <w:p w14:paraId="0501B707">
            <w:pPr>
              <w:pStyle w:val="119"/>
              <w:spacing w:before="78" w:line="359" w:lineRule="auto"/>
              <w:ind w:left="112" w:right="4" w:firstLine="489"/>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w:t>
            </w:r>
            <w:r>
              <w:rPr>
                <w:rFonts w:ascii="Times New Roman" w:hAnsi="Times New Roman" w:eastAsia="Times New Roman" w:cs="Times New Roman"/>
                <w:color w:val="000000" w:themeColor="text1"/>
                <w:spacing w:val="-2"/>
                <w:sz w:val="24"/>
                <w:szCs w:val="24"/>
                <w14:textFill>
                  <w14:solidFill>
                    <w14:schemeClr w14:val="tx1"/>
                  </w14:solidFill>
                </w14:textFill>
              </w:rPr>
              <w:t>8</w:t>
            </w:r>
            <w:r>
              <w:rPr>
                <w:color w:val="000000" w:themeColor="text1"/>
                <w:spacing w:val="-2"/>
                <w:sz w:val="24"/>
                <w:szCs w:val="24"/>
                <w14:textFill>
                  <w14:solidFill>
                    <w14:schemeClr w14:val="tx1"/>
                  </w14:solidFill>
                </w14:textFill>
              </w:rPr>
              <w:t>）与《废铅酸蓄电池处理污染控制技术规范》（</w:t>
            </w:r>
            <w:r>
              <w:rPr>
                <w:rFonts w:ascii="Times New Roman" w:hAnsi="Times New Roman" w:eastAsia="Times New Roman" w:cs="Times New Roman"/>
                <w:color w:val="000000" w:themeColor="text1"/>
                <w:spacing w:val="-2"/>
                <w:sz w:val="24"/>
                <w:szCs w:val="24"/>
                <w14:textFill>
                  <w14:solidFill>
                    <w14:schemeClr w14:val="tx1"/>
                  </w14:solidFill>
                </w14:textFill>
              </w:rPr>
              <w:t>HJ519-2020</w:t>
            </w:r>
            <w:r>
              <w:rPr>
                <w:color w:val="000000" w:themeColor="text1"/>
                <w:spacing w:val="-2"/>
                <w:sz w:val="24"/>
                <w:szCs w:val="24"/>
                <w14:textFill>
                  <w14:solidFill>
                    <w14:schemeClr w14:val="tx1"/>
                  </w14:solidFill>
                </w14:textFill>
              </w:rPr>
              <w:t>）</w:t>
            </w:r>
            <w:r>
              <w:rPr>
                <w:color w:val="000000" w:themeColor="text1"/>
                <w:spacing w:val="-3"/>
                <w:sz w:val="24"/>
                <w:szCs w:val="24"/>
                <w14:textFill>
                  <w14:solidFill>
                    <w14:schemeClr w14:val="tx1"/>
                  </w14:solidFill>
                </w14:textFill>
              </w:rPr>
              <w:t>符合性分析</w:t>
            </w:r>
          </w:p>
          <w:p w14:paraId="06C45390">
            <w:pPr>
              <w:pStyle w:val="119"/>
              <w:spacing w:line="360" w:lineRule="auto"/>
              <w:ind w:left="112" w:right="4" w:firstLine="479"/>
              <w:rPr>
                <w:b/>
                <w:bCs/>
                <w:color w:val="000000" w:themeColor="text1"/>
                <w:spacing w:val="-2"/>
                <w:sz w:val="21"/>
                <w:szCs w:val="21"/>
                <w14:textFill>
                  <w14:solidFill>
                    <w14:schemeClr w14:val="tx1"/>
                  </w14:solidFill>
                </w14:textFill>
              </w:rPr>
            </w:pPr>
            <w:r>
              <w:rPr>
                <w:color w:val="000000" w:themeColor="text1"/>
                <w:spacing w:val="-5"/>
                <w:sz w:val="24"/>
                <w:szCs w:val="24"/>
                <w14:textFill>
                  <w14:solidFill>
                    <w14:schemeClr w14:val="tx1"/>
                  </w14:solidFill>
                </w14:textFill>
              </w:rPr>
              <w:t>本项目与《废铅酸蓄电池处理污染控制技术规范》（</w:t>
            </w:r>
            <w:r>
              <w:rPr>
                <w:rFonts w:ascii="Times New Roman" w:hAnsi="Times New Roman" w:eastAsia="Times New Roman" w:cs="Times New Roman"/>
                <w:color w:val="000000" w:themeColor="text1"/>
                <w:spacing w:val="-5"/>
                <w:sz w:val="24"/>
                <w:szCs w:val="24"/>
                <w14:textFill>
                  <w14:solidFill>
                    <w14:schemeClr w14:val="tx1"/>
                  </w14:solidFill>
                </w14:textFill>
              </w:rPr>
              <w:t>HJ519-2020</w:t>
            </w:r>
            <w:r>
              <w:rPr>
                <w:color w:val="000000" w:themeColor="text1"/>
                <w:spacing w:val="-5"/>
                <w:sz w:val="24"/>
                <w:szCs w:val="24"/>
                <w14:textFill>
                  <w14:solidFill>
                    <w14:schemeClr w14:val="tx1"/>
                  </w14:solidFill>
                </w14:textFill>
              </w:rPr>
              <w:t>）</w:t>
            </w:r>
            <w:r>
              <w:rPr>
                <w:color w:val="000000" w:themeColor="text1"/>
                <w:spacing w:val="-4"/>
                <w:sz w:val="24"/>
                <w:szCs w:val="24"/>
                <w14:textFill>
                  <w14:solidFill>
                    <w14:schemeClr w14:val="tx1"/>
                  </w14:solidFill>
                </w14:textFill>
              </w:rPr>
              <w:t>符合性分析详见表</w:t>
            </w:r>
            <w:r>
              <w:rPr>
                <w:color w:val="000000" w:themeColor="text1"/>
                <w:spacing w:val="-26"/>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4"/>
                <w:sz w:val="24"/>
                <w:szCs w:val="24"/>
                <w14:textFill>
                  <w14:solidFill>
                    <w14:schemeClr w14:val="tx1"/>
                  </w14:solidFill>
                </w14:textFill>
              </w:rPr>
              <w:t>1-9</w:t>
            </w:r>
            <w:r>
              <w:rPr>
                <w:color w:val="000000" w:themeColor="text1"/>
                <w:spacing w:val="-4"/>
                <w:sz w:val="24"/>
                <w:szCs w:val="24"/>
                <w14:textFill>
                  <w14:solidFill>
                    <w14:schemeClr w14:val="tx1"/>
                  </w14:solidFill>
                </w14:textFill>
              </w:rPr>
              <w:t>。</w:t>
            </w:r>
          </w:p>
          <w:p w14:paraId="05C7D654">
            <w:pPr>
              <w:pStyle w:val="119"/>
              <w:spacing w:before="273" w:line="219" w:lineRule="auto"/>
              <w:ind w:left="183" w:firstLine="1655" w:firstLineChars="800"/>
              <w:rPr>
                <w:b/>
                <w:bCs/>
                <w:color w:val="000000" w:themeColor="text1"/>
                <w:spacing w:val="-4"/>
                <w:sz w:val="21"/>
                <w:szCs w:val="21"/>
                <w14:textFill>
                  <w14:solidFill>
                    <w14:schemeClr w14:val="tx1"/>
                  </w14:solidFill>
                </w14:textFill>
              </w:rPr>
            </w:pPr>
            <w:r>
              <w:rPr>
                <w:b/>
                <w:bCs/>
                <w:color w:val="000000" w:themeColor="text1"/>
                <w:spacing w:val="-2"/>
                <w:sz w:val="21"/>
                <w:szCs w:val="21"/>
                <w14:textFill>
                  <w14:solidFill>
                    <w14:schemeClr w14:val="tx1"/>
                  </w14:solidFill>
                </w14:textFill>
              </w:rPr>
              <w:t>表</w:t>
            </w:r>
            <w:r>
              <w:rPr>
                <w:color w:val="000000" w:themeColor="text1"/>
                <w:spacing w:val="-33"/>
                <w:sz w:val="21"/>
                <w:szCs w:val="21"/>
                <w14:textFill>
                  <w14:solidFill>
                    <w14:schemeClr w14:val="tx1"/>
                  </w14:solidFill>
                </w14:textFill>
              </w:rPr>
              <w:t xml:space="preserve"> </w:t>
            </w:r>
            <w:r>
              <w:rPr>
                <w:rFonts w:ascii="Times New Roman" w:hAnsi="Times New Roman" w:eastAsia="Times New Roman" w:cs="Times New Roman"/>
                <w:b/>
                <w:bCs/>
                <w:color w:val="000000" w:themeColor="text1"/>
                <w:spacing w:val="-2"/>
                <w:sz w:val="21"/>
                <w:szCs w:val="21"/>
                <w14:textFill>
                  <w14:solidFill>
                    <w14:schemeClr w14:val="tx1"/>
                  </w14:solidFill>
                </w14:textFill>
              </w:rPr>
              <w:t xml:space="preserve">1-9  </w:t>
            </w:r>
            <w:r>
              <w:rPr>
                <w:b/>
                <w:bCs/>
                <w:color w:val="000000" w:themeColor="text1"/>
                <w:spacing w:val="-2"/>
                <w:sz w:val="21"/>
                <w:szCs w:val="21"/>
                <w14:textFill>
                  <w14:solidFill>
                    <w14:schemeClr w14:val="tx1"/>
                  </w14:solidFill>
                </w14:textFill>
              </w:rPr>
              <w:t>与《废铅酸蓄电池处理污染控制技术规范》（</w:t>
            </w:r>
            <w:r>
              <w:rPr>
                <w:rFonts w:ascii="Times New Roman" w:hAnsi="Times New Roman" w:eastAsia="Times New Roman" w:cs="Times New Roman"/>
                <w:b/>
                <w:bCs/>
                <w:color w:val="000000" w:themeColor="text1"/>
                <w:spacing w:val="-2"/>
                <w:sz w:val="21"/>
                <w:szCs w:val="21"/>
                <w14:textFill>
                  <w14:solidFill>
                    <w14:schemeClr w14:val="tx1"/>
                  </w14:solidFill>
                </w14:textFill>
              </w:rPr>
              <w:t>HJ519-2020</w:t>
            </w:r>
            <w:r>
              <w:rPr>
                <w:b/>
                <w:bCs/>
                <w:color w:val="000000" w:themeColor="text1"/>
                <w:spacing w:val="-2"/>
                <w:sz w:val="21"/>
                <w:szCs w:val="21"/>
                <w14:textFill>
                  <w14:solidFill>
                    <w14:schemeClr w14:val="tx1"/>
                  </w14:solidFill>
                </w14:textFill>
              </w:rPr>
              <w:t>）</w:t>
            </w:r>
            <w:r>
              <w:rPr>
                <w:b/>
                <w:bCs/>
                <w:color w:val="000000" w:themeColor="text1"/>
                <w:spacing w:val="-4"/>
                <w:sz w:val="21"/>
                <w:szCs w:val="21"/>
                <w14:textFill>
                  <w14:solidFill>
                    <w14:schemeClr w14:val="tx1"/>
                  </w14:solidFill>
                </w14:textFill>
              </w:rPr>
              <w:t>符合性分析表</w:t>
            </w:r>
          </w:p>
          <w:tbl>
            <w:tblPr>
              <w:tblStyle w:val="108"/>
              <w:tblW w:w="4999"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Layout w:type="fixed"/>
              <w:tblCellMar>
                <w:top w:w="0" w:type="dxa"/>
                <w:left w:w="0" w:type="dxa"/>
                <w:bottom w:w="0" w:type="dxa"/>
                <w:right w:w="0" w:type="dxa"/>
              </w:tblCellMar>
            </w:tblPr>
            <w:tblGrid>
              <w:gridCol w:w="1999"/>
              <w:gridCol w:w="6351"/>
              <w:gridCol w:w="3983"/>
              <w:gridCol w:w="1512"/>
            </w:tblGrid>
            <w:tr w14:paraId="4FB7F56F">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00" w:hRule="atLeast"/>
              </w:trPr>
              <w:tc>
                <w:tcPr>
                  <w:tcW w:w="3015" w:type="pct"/>
                  <w:gridSpan w:val="2"/>
                  <w:tcBorders>
                    <w:tl2br w:val="nil"/>
                    <w:tr2bl w:val="nil"/>
                  </w:tcBorders>
                  <w:vAlign w:val="center"/>
                </w:tcPr>
                <w:p w14:paraId="4AC9400A">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866"/>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相关要求</w:t>
                  </w:r>
                </w:p>
              </w:tc>
              <w:tc>
                <w:tcPr>
                  <w:tcW w:w="1438" w:type="pct"/>
                  <w:tcBorders>
                    <w:tl2br w:val="nil"/>
                    <w:tr2bl w:val="nil"/>
                  </w:tcBorders>
                  <w:vAlign w:val="center"/>
                </w:tcPr>
                <w:p w14:paraId="79E08D2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798"/>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项目情况</w:t>
                  </w:r>
                </w:p>
              </w:tc>
              <w:tc>
                <w:tcPr>
                  <w:tcW w:w="546" w:type="pct"/>
                  <w:tcBorders>
                    <w:tl2br w:val="nil"/>
                    <w:tr2bl w:val="nil"/>
                  </w:tcBorders>
                  <w:vAlign w:val="center"/>
                </w:tcPr>
                <w:p w14:paraId="253100D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w:t>
                  </w:r>
                  <w:r>
                    <w:rPr>
                      <w:rFonts w:hint="eastAsia" w:ascii="宋体" w:hAnsi="宋体" w:eastAsia="宋体" w:cs="宋体"/>
                      <w:color w:val="000000" w:themeColor="text1"/>
                      <w:spacing w:val="8"/>
                      <w:sz w:val="18"/>
                      <w:szCs w:val="18"/>
                      <w:u w:val="none" w:color="auto"/>
                      <w14:textFill>
                        <w14:solidFill>
                          <w14:schemeClr w14:val="tx1"/>
                        </w14:solidFill>
                      </w14:textFill>
                    </w:rPr>
                    <w:t>合</w:t>
                  </w:r>
                  <w:r>
                    <w:rPr>
                      <w:rFonts w:hint="eastAsia" w:ascii="宋体" w:hAnsi="宋体" w:eastAsia="宋体" w:cs="宋体"/>
                      <w:color w:val="000000" w:themeColor="text1"/>
                      <w:spacing w:val="-37"/>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8"/>
                      <w:sz w:val="18"/>
                      <w:szCs w:val="18"/>
                      <w:u w:val="none" w:color="auto"/>
                      <w14:textFill>
                        <w14:solidFill>
                          <w14:schemeClr w14:val="tx1"/>
                        </w14:solidFill>
                      </w14:textFill>
                    </w:rPr>
                    <w:t>性</w:t>
                  </w:r>
                </w:p>
              </w:tc>
            </w:tr>
            <w:tr w14:paraId="63D1DB0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14" w:hRule="atLeast"/>
              </w:trPr>
              <w:tc>
                <w:tcPr>
                  <w:tcW w:w="722" w:type="pct"/>
                  <w:vMerge w:val="restart"/>
                  <w:tcBorders>
                    <w:tl2br w:val="nil"/>
                    <w:tr2bl w:val="nil"/>
                  </w:tcBorders>
                  <w:vAlign w:val="center"/>
                </w:tcPr>
                <w:p w14:paraId="68A877F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 w:rightChars="0"/>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5"/>
                      <w:sz w:val="18"/>
                      <w:szCs w:val="18"/>
                      <w:u w:val="none" w:color="auto"/>
                      <w14:textFill>
                        <w14:solidFill>
                          <w14:schemeClr w14:val="tx1"/>
                        </w14:solidFill>
                      </w14:textFill>
                    </w:rPr>
                    <w:t>《废铅</w:t>
                  </w:r>
                  <w:r>
                    <w:rPr>
                      <w:rFonts w:hint="eastAsia" w:ascii="宋体" w:hAnsi="宋体" w:eastAsia="宋体" w:cs="宋体"/>
                      <w:color w:val="000000" w:themeColor="text1"/>
                      <w:spacing w:val="7"/>
                      <w:sz w:val="18"/>
                      <w:szCs w:val="18"/>
                      <w:u w:val="none" w:color="auto"/>
                      <w14:textFill>
                        <w14:solidFill>
                          <w14:schemeClr w14:val="tx1"/>
                        </w14:solidFill>
                      </w14:textFill>
                    </w:rPr>
                    <w:t>酸蓄电池处理污染控制技术</w:t>
                  </w:r>
                  <w:r>
                    <w:rPr>
                      <w:rFonts w:hint="eastAsia" w:ascii="宋体" w:hAnsi="宋体" w:eastAsia="宋体" w:cs="宋体"/>
                      <w:color w:val="000000" w:themeColor="text1"/>
                      <w:spacing w:val="3"/>
                      <w:sz w:val="18"/>
                      <w:szCs w:val="18"/>
                      <w:u w:val="none" w:color="auto"/>
                      <w14:textFill>
                        <w14:solidFill>
                          <w14:schemeClr w14:val="tx1"/>
                        </w14:solidFill>
                      </w14:textFill>
                    </w:rPr>
                    <w:t>规范》</w:t>
                  </w:r>
                  <w:r>
                    <w:rPr>
                      <w:rFonts w:hint="eastAsia" w:ascii="宋体" w:hAnsi="宋体" w:eastAsia="宋体" w:cs="宋体"/>
                      <w:color w:val="000000" w:themeColor="text1"/>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w:t>
                  </w:r>
                  <w:r>
                    <w:rPr>
                      <w:rFonts w:hint="eastAsia" w:ascii="宋体" w:hAnsi="宋体" w:eastAsia="宋体" w:cs="宋体"/>
                      <w:color w:val="000000" w:themeColor="text1"/>
                      <w:sz w:val="18"/>
                      <w:szCs w:val="18"/>
                      <w:u w:val="none" w:color="auto"/>
                      <w14:textFill>
                        <w14:solidFill>
                          <w14:schemeClr w14:val="tx1"/>
                        </w14:solidFill>
                      </w14:textFill>
                    </w:rPr>
                    <w:t>HJ</w:t>
                  </w:r>
                  <w:r>
                    <w:rPr>
                      <w:rFonts w:hint="eastAsia" w:ascii="宋体" w:hAnsi="宋体" w:eastAsia="宋体" w:cs="宋体"/>
                      <w:color w:val="000000" w:themeColor="text1"/>
                      <w:spacing w:val="4"/>
                      <w:sz w:val="18"/>
                      <w:szCs w:val="18"/>
                      <w:u w:val="none" w:color="auto"/>
                      <w14:textFill>
                        <w14:solidFill>
                          <w14:schemeClr w14:val="tx1"/>
                        </w14:solidFill>
                      </w14:textFill>
                    </w:rPr>
                    <w:t>51</w:t>
                  </w:r>
                  <w:r>
                    <w:rPr>
                      <w:rFonts w:hint="eastAsia" w:ascii="宋体" w:hAnsi="宋体" w:eastAsia="宋体" w:cs="宋体"/>
                      <w:color w:val="000000" w:themeColor="text1"/>
                      <w:spacing w:val="2"/>
                      <w:sz w:val="18"/>
                      <w:szCs w:val="18"/>
                      <w:u w:val="none" w:color="auto"/>
                      <w14:textFill>
                        <w14:solidFill>
                          <w14:schemeClr w14:val="tx1"/>
                        </w14:solidFill>
                      </w14:textFill>
                    </w:rPr>
                    <w:t>9-2020）</w:t>
                  </w:r>
                </w:p>
              </w:tc>
              <w:tc>
                <w:tcPr>
                  <w:tcW w:w="2292" w:type="pct"/>
                  <w:tcBorders>
                    <w:tl2br w:val="nil"/>
                    <w:tr2bl w:val="nil"/>
                  </w:tcBorders>
                  <w:vAlign w:val="center"/>
                </w:tcPr>
                <w:p w14:paraId="5C86AEAB">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6"/>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从事废铅蓄电池收集、贮存的企业，</w:t>
                  </w:r>
                  <w:r>
                    <w:rPr>
                      <w:rFonts w:hint="eastAsia" w:ascii="宋体" w:hAnsi="宋体" w:eastAsia="宋体" w:cs="宋体"/>
                      <w:color w:val="000000" w:themeColor="text1"/>
                      <w:spacing w:val="8"/>
                      <w:sz w:val="18"/>
                      <w:szCs w:val="18"/>
                      <w:u w:val="none" w:color="auto"/>
                      <w14:textFill>
                        <w14:solidFill>
                          <w14:schemeClr w14:val="tx1"/>
                        </w14:solidFill>
                      </w14:textFill>
                    </w:rPr>
                    <w:t>应依法获得危险废物经营许可证；</w:t>
                  </w:r>
                  <w:r>
                    <w:rPr>
                      <w:rFonts w:hint="eastAsia" w:ascii="宋体" w:hAnsi="宋体" w:eastAsia="宋体" w:cs="宋体"/>
                      <w:color w:val="000000" w:themeColor="text1"/>
                      <w:spacing w:val="9"/>
                      <w:sz w:val="18"/>
                      <w:szCs w:val="18"/>
                      <w:u w:val="none" w:color="auto"/>
                      <w14:textFill>
                        <w14:solidFill>
                          <w14:schemeClr w14:val="tx1"/>
                        </w14:solidFill>
                      </w14:textFill>
                    </w:rPr>
                    <w:t>禁止无经营许可证或者不按照经营</w:t>
                  </w:r>
                  <w:r>
                    <w:rPr>
                      <w:rFonts w:hint="eastAsia" w:ascii="宋体" w:hAnsi="宋体" w:eastAsia="宋体" w:cs="宋体"/>
                      <w:color w:val="000000" w:themeColor="text1"/>
                      <w:spacing w:val="8"/>
                      <w:sz w:val="18"/>
                      <w:szCs w:val="18"/>
                      <w:u w:val="none" w:color="auto"/>
                      <w14:textFill>
                        <w14:solidFill>
                          <w14:schemeClr w14:val="tx1"/>
                        </w14:solidFill>
                      </w14:textFill>
                    </w:rPr>
                    <w:t>许可证规定从事废铅蓄电池收集、贮存经营活动</w:t>
                  </w:r>
                  <w:r>
                    <w:rPr>
                      <w:rFonts w:hint="eastAsia" w:ascii="宋体" w:hAnsi="宋体" w:eastAsia="宋体" w:cs="宋体"/>
                      <w:color w:val="000000" w:themeColor="text1"/>
                      <w:spacing w:val="8"/>
                      <w:sz w:val="18"/>
                      <w:szCs w:val="18"/>
                      <w:u w:val="none" w:color="auto"/>
                      <w:lang w:eastAsia="zh-CN"/>
                      <w14:textFill>
                        <w14:solidFill>
                          <w14:schemeClr w14:val="tx1"/>
                        </w14:solidFill>
                      </w14:textFill>
                    </w:rPr>
                    <w:t>。</w:t>
                  </w:r>
                </w:p>
              </w:tc>
              <w:tc>
                <w:tcPr>
                  <w:tcW w:w="1438" w:type="pct"/>
                  <w:tcBorders>
                    <w:tl2br w:val="nil"/>
                    <w:tr2bl w:val="nil"/>
                  </w:tcBorders>
                  <w:vAlign w:val="center"/>
                </w:tcPr>
                <w:p w14:paraId="1E43EFD4">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本项目取得危险废物经</w:t>
                  </w:r>
                  <w:r>
                    <w:rPr>
                      <w:rFonts w:hint="eastAsia" w:ascii="宋体" w:hAnsi="宋体" w:eastAsia="宋体" w:cs="宋体"/>
                      <w:color w:val="000000" w:themeColor="text1"/>
                      <w:spacing w:val="8"/>
                      <w:sz w:val="18"/>
                      <w:szCs w:val="18"/>
                      <w:u w:val="none" w:color="auto"/>
                      <w14:textFill>
                        <w14:solidFill>
                          <w14:schemeClr w14:val="tx1"/>
                        </w14:solidFill>
                      </w14:textFill>
                    </w:rPr>
                    <w:t>营许可证后才可从事废铅蓄电池收集、贮存</w:t>
                  </w:r>
                  <w:r>
                    <w:rPr>
                      <w:rFonts w:hint="eastAsia" w:ascii="宋体" w:hAnsi="宋体" w:eastAsia="宋体" w:cs="宋体"/>
                      <w:color w:val="000000" w:themeColor="text1"/>
                      <w:spacing w:val="8"/>
                      <w:sz w:val="18"/>
                      <w:szCs w:val="18"/>
                      <w:u w:val="none" w:color="auto"/>
                      <w:lang w:eastAsia="zh-CN"/>
                      <w14:textFill>
                        <w14:solidFill>
                          <w14:schemeClr w14:val="tx1"/>
                        </w14:solidFill>
                      </w14:textFill>
                    </w:rPr>
                    <w:t>。</w:t>
                  </w:r>
                </w:p>
              </w:tc>
              <w:tc>
                <w:tcPr>
                  <w:tcW w:w="546" w:type="pct"/>
                  <w:tcBorders>
                    <w:tl2br w:val="nil"/>
                    <w:tr2bl w:val="nil"/>
                  </w:tcBorders>
                  <w:vAlign w:val="center"/>
                </w:tcPr>
                <w:p w14:paraId="12E25B2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w:t>
                  </w:r>
                  <w:r>
                    <w:rPr>
                      <w:rFonts w:hint="eastAsia" w:ascii="宋体" w:hAnsi="宋体" w:eastAsia="宋体" w:cs="宋体"/>
                      <w:color w:val="000000" w:themeColor="text1"/>
                      <w:spacing w:val="8"/>
                      <w:sz w:val="18"/>
                      <w:szCs w:val="18"/>
                      <w:u w:val="none" w:color="auto"/>
                      <w14:textFill>
                        <w14:solidFill>
                          <w14:schemeClr w14:val="tx1"/>
                        </w14:solidFill>
                      </w14:textFill>
                    </w:rPr>
                    <w:t>合</w:t>
                  </w:r>
                </w:p>
              </w:tc>
            </w:tr>
            <w:tr w14:paraId="64C0E3C8">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683" w:hRule="atLeast"/>
              </w:trPr>
              <w:tc>
                <w:tcPr>
                  <w:tcW w:w="722" w:type="pct"/>
                  <w:vMerge w:val="continue"/>
                  <w:tcBorders>
                    <w:tl2br w:val="nil"/>
                    <w:tr2bl w:val="nil"/>
                  </w:tcBorders>
                  <w:vAlign w:val="center"/>
                </w:tcPr>
                <w:p w14:paraId="56A17545">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679E496A">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收集、运输、贮存废铅蓄电池的容</w:t>
                  </w:r>
                  <w:r>
                    <w:rPr>
                      <w:rFonts w:hint="eastAsia" w:ascii="宋体" w:hAnsi="宋体" w:eastAsia="宋体" w:cs="宋体"/>
                      <w:color w:val="000000" w:themeColor="text1"/>
                      <w:spacing w:val="9"/>
                      <w:sz w:val="18"/>
                      <w:szCs w:val="18"/>
                      <w:u w:val="none" w:color="auto"/>
                      <w14:textFill>
                        <w14:solidFill>
                          <w14:schemeClr w14:val="tx1"/>
                        </w14:solidFill>
                      </w14:textFill>
                    </w:rPr>
                    <w:t>器或托盘，应根据废铅蓄电池的特性设计，不易破损、变形，其所用材料能有效的防治渗漏、扩散，并耐酸腐蚀。装有废铅蓄电池的容器</w:t>
                  </w:r>
                  <w:r>
                    <w:rPr>
                      <w:rFonts w:hint="eastAsia" w:ascii="宋体" w:hAnsi="宋体" w:eastAsia="宋体" w:cs="宋体"/>
                      <w:color w:val="000000" w:themeColor="text1"/>
                      <w:spacing w:val="8"/>
                      <w:sz w:val="18"/>
                      <w:szCs w:val="18"/>
                      <w:u w:val="none" w:color="auto"/>
                      <w14:textFill>
                        <w14:solidFill>
                          <w14:schemeClr w14:val="tx1"/>
                        </w14:solidFill>
                      </w14:textFill>
                    </w:rPr>
                    <w:t>或托盘必须粘贴复核</w:t>
                  </w: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8"/>
                      <w:sz w:val="18"/>
                      <w:szCs w:val="18"/>
                      <w:u w:val="none" w:color="auto"/>
                      <w14:textFill>
                        <w14:solidFill>
                          <w14:schemeClr w14:val="tx1"/>
                        </w14:solidFill>
                      </w14:textFill>
                    </w:rPr>
                    <w:t>18597要求</w:t>
                  </w:r>
                  <w:r>
                    <w:rPr>
                      <w:rFonts w:hint="eastAsia" w:ascii="宋体" w:hAnsi="宋体" w:eastAsia="宋体" w:cs="宋体"/>
                      <w:color w:val="000000" w:themeColor="text1"/>
                      <w:spacing w:val="6"/>
                      <w:sz w:val="18"/>
                      <w:szCs w:val="18"/>
                      <w:u w:val="none" w:color="auto"/>
                      <w14:textFill>
                        <w14:solidFill>
                          <w14:schemeClr w14:val="tx1"/>
                        </w14:solidFill>
                      </w14:textFill>
                    </w:rPr>
                    <w:t>的危险废物标签</w:t>
                  </w:r>
                  <w:r>
                    <w:rPr>
                      <w:rFonts w:hint="eastAsia" w:ascii="宋体" w:hAnsi="宋体" w:eastAsia="宋体" w:cs="宋体"/>
                      <w:color w:val="000000" w:themeColor="text1"/>
                      <w:spacing w:val="6"/>
                      <w:sz w:val="18"/>
                      <w:szCs w:val="18"/>
                      <w:u w:val="none" w:color="auto"/>
                      <w:lang w:eastAsia="zh-CN"/>
                      <w14:textFill>
                        <w14:solidFill>
                          <w14:schemeClr w14:val="tx1"/>
                        </w14:solidFill>
                      </w14:textFill>
                    </w:rPr>
                    <w:t>。</w:t>
                  </w:r>
                </w:p>
              </w:tc>
              <w:tc>
                <w:tcPr>
                  <w:tcW w:w="1438" w:type="pct"/>
                  <w:tcBorders>
                    <w:tl2br w:val="nil"/>
                    <w:tr2bl w:val="nil"/>
                  </w:tcBorders>
                  <w:vAlign w:val="center"/>
                </w:tcPr>
                <w:p w14:paraId="0B699CF3">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8"/>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11"/>
                      <w:sz w:val="18"/>
                      <w:szCs w:val="18"/>
                      <w:u w:val="none" w:color="auto"/>
                      <w14:textFill>
                        <w14:solidFill>
                          <w14:schemeClr w14:val="tx1"/>
                        </w14:solidFill>
                      </w14:textFill>
                    </w:rPr>
                    <w:t>本工程采用专业</w:t>
                  </w:r>
                  <w:r>
                    <w:rPr>
                      <w:rFonts w:hint="eastAsia" w:ascii="宋体" w:hAnsi="宋体" w:eastAsia="宋体" w:cs="宋体"/>
                      <w:color w:val="000000" w:themeColor="text1"/>
                      <w:sz w:val="18"/>
                      <w:szCs w:val="18"/>
                      <w:u w:val="none" w:color="auto"/>
                      <w14:textFill>
                        <w14:solidFill>
                          <w14:schemeClr w14:val="tx1"/>
                        </w14:solidFill>
                      </w14:textFill>
                    </w:rPr>
                    <w:t>PVC</w:t>
                  </w:r>
                  <w:r>
                    <w:rPr>
                      <w:rFonts w:hint="eastAsia" w:ascii="宋体" w:hAnsi="宋体" w:eastAsia="宋体" w:cs="宋体"/>
                      <w:color w:val="000000" w:themeColor="text1"/>
                      <w:spacing w:val="11"/>
                      <w:sz w:val="18"/>
                      <w:szCs w:val="18"/>
                      <w:u w:val="none" w:color="auto"/>
                      <w14:textFill>
                        <w14:solidFill>
                          <w14:schemeClr w14:val="tx1"/>
                        </w14:solidFill>
                      </w14:textFill>
                    </w:rPr>
                    <w:t>周</w:t>
                  </w:r>
                  <w:r>
                    <w:rPr>
                      <w:rFonts w:hint="eastAsia" w:ascii="宋体" w:hAnsi="宋体" w:eastAsia="宋体" w:cs="宋体"/>
                      <w:color w:val="000000" w:themeColor="text1"/>
                      <w:spacing w:val="9"/>
                      <w:sz w:val="18"/>
                      <w:szCs w:val="18"/>
                      <w:u w:val="none" w:color="auto"/>
                      <w14:textFill>
                        <w14:solidFill>
                          <w14:schemeClr w14:val="tx1"/>
                        </w14:solidFill>
                      </w14:textFill>
                    </w:rPr>
                    <w:t>转箱（防酸、防渗）、设防酸、防渗塑料托盘进行废铅酸蓄电池的暂</w:t>
                  </w:r>
                  <w:r>
                    <w:rPr>
                      <w:rFonts w:hint="eastAsia" w:ascii="宋体" w:hAnsi="宋体" w:eastAsia="宋体" w:cs="宋体"/>
                      <w:color w:val="000000" w:themeColor="text1"/>
                      <w:spacing w:val="8"/>
                      <w:sz w:val="18"/>
                      <w:szCs w:val="18"/>
                      <w:u w:val="none" w:color="auto"/>
                      <w14:textFill>
                        <w14:solidFill>
                          <w14:schemeClr w14:val="tx1"/>
                        </w14:solidFill>
                      </w14:textFill>
                    </w:rPr>
                    <w:t>存，并按要求贴标签。</w:t>
                  </w:r>
                </w:p>
              </w:tc>
              <w:tc>
                <w:tcPr>
                  <w:tcW w:w="546" w:type="pct"/>
                  <w:tcBorders>
                    <w:tl2br w:val="nil"/>
                    <w:tr2bl w:val="nil"/>
                  </w:tcBorders>
                  <w:vAlign w:val="center"/>
                </w:tcPr>
                <w:p w14:paraId="4F55E26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符合</w:t>
                  </w:r>
                </w:p>
              </w:tc>
            </w:tr>
            <w:tr w14:paraId="511D308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83" w:hRule="atLeast"/>
              </w:trPr>
              <w:tc>
                <w:tcPr>
                  <w:tcW w:w="722" w:type="pct"/>
                  <w:vMerge w:val="continue"/>
                  <w:tcBorders>
                    <w:tl2br w:val="nil"/>
                    <w:tr2bl w:val="nil"/>
                  </w:tcBorders>
                  <w:vAlign w:val="center"/>
                </w:tcPr>
                <w:p w14:paraId="6FED70A7">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264E71E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废铅蓄电池收集、贮存企业应建立废铅蓄电池收集处理数据信息管理系统，如实记录、贮存、转移废铅</w:t>
                  </w:r>
                  <w:r>
                    <w:rPr>
                      <w:rFonts w:hint="eastAsia" w:ascii="宋体" w:hAnsi="宋体" w:eastAsia="宋体" w:cs="宋体"/>
                      <w:color w:val="000000" w:themeColor="text1"/>
                      <w:spacing w:val="3"/>
                      <w:sz w:val="18"/>
                      <w:szCs w:val="18"/>
                      <w:u w:val="none" w:color="auto"/>
                      <w14:textFill>
                        <w14:solidFill>
                          <w14:schemeClr w14:val="tx1"/>
                        </w14:solidFill>
                      </w14:textFill>
                    </w:rPr>
                    <w:t>蓄电池的重量、来源、去向等信息，</w:t>
                  </w:r>
                  <w:r>
                    <w:rPr>
                      <w:rFonts w:hint="eastAsia" w:ascii="宋体" w:hAnsi="宋体" w:eastAsia="宋体" w:cs="宋体"/>
                      <w:color w:val="000000" w:themeColor="text1"/>
                      <w:spacing w:val="9"/>
                      <w:sz w:val="18"/>
                      <w:szCs w:val="18"/>
                      <w:u w:val="none" w:color="auto"/>
                      <w14:textFill>
                        <w14:solidFill>
                          <w14:schemeClr w14:val="tx1"/>
                        </w14:solidFill>
                      </w14:textFill>
                    </w:rPr>
                    <w:t>并实现与全国固体废物管理信息系</w:t>
                  </w:r>
                  <w:r>
                    <w:rPr>
                      <w:rFonts w:hint="eastAsia" w:ascii="宋体" w:hAnsi="宋体" w:eastAsia="宋体" w:cs="宋体"/>
                      <w:color w:val="000000" w:themeColor="text1"/>
                      <w:spacing w:val="6"/>
                      <w:sz w:val="18"/>
                      <w:szCs w:val="18"/>
                      <w:u w:val="none" w:color="auto"/>
                      <w14:textFill>
                        <w14:solidFill>
                          <w14:schemeClr w14:val="tx1"/>
                        </w14:solidFill>
                      </w14:textFill>
                    </w:rPr>
                    <w:t>统的数据对接。</w:t>
                  </w:r>
                </w:p>
              </w:tc>
              <w:tc>
                <w:tcPr>
                  <w:tcW w:w="1438" w:type="pct"/>
                  <w:tcBorders>
                    <w:tl2br w:val="nil"/>
                    <w:tr2bl w:val="nil"/>
                  </w:tcBorders>
                  <w:vAlign w:val="center"/>
                </w:tcPr>
                <w:p w14:paraId="2C84611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运营期按该条要求建立收集处理数据信息管理</w:t>
                  </w:r>
                  <w:r>
                    <w:rPr>
                      <w:rFonts w:hint="eastAsia" w:ascii="宋体" w:hAnsi="宋体" w:eastAsia="宋体" w:cs="宋体"/>
                      <w:color w:val="000000" w:themeColor="text1"/>
                      <w:spacing w:val="2"/>
                      <w:sz w:val="18"/>
                      <w:szCs w:val="18"/>
                      <w:u w:val="none" w:color="auto"/>
                      <w14:textFill>
                        <w14:solidFill>
                          <w14:schemeClr w14:val="tx1"/>
                        </w14:solidFill>
                      </w14:textFill>
                    </w:rPr>
                    <w:t>系统</w:t>
                  </w:r>
                  <w:r>
                    <w:rPr>
                      <w:rFonts w:hint="eastAsia" w:cs="宋体"/>
                      <w:color w:val="000000" w:themeColor="text1"/>
                      <w:spacing w:val="2"/>
                      <w:sz w:val="18"/>
                      <w:szCs w:val="18"/>
                      <w:u w:val="none" w:color="auto"/>
                      <w:lang w:eastAsia="zh-CN"/>
                      <w14:textFill>
                        <w14:solidFill>
                          <w14:schemeClr w14:val="tx1"/>
                        </w14:solidFill>
                      </w14:textFill>
                    </w:rPr>
                    <w:t>。</w:t>
                  </w:r>
                </w:p>
              </w:tc>
              <w:tc>
                <w:tcPr>
                  <w:tcW w:w="546" w:type="pct"/>
                  <w:tcBorders>
                    <w:tl2br w:val="nil"/>
                    <w:tr2bl w:val="nil"/>
                  </w:tcBorders>
                  <w:vAlign w:val="center"/>
                </w:tcPr>
                <w:p w14:paraId="3857DF5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符合</w:t>
                  </w:r>
                </w:p>
              </w:tc>
            </w:tr>
            <w:tr w14:paraId="452C05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53" w:hRule="atLeast"/>
              </w:trPr>
              <w:tc>
                <w:tcPr>
                  <w:tcW w:w="722" w:type="pct"/>
                  <w:vMerge w:val="continue"/>
                  <w:tcBorders>
                    <w:tl2br w:val="nil"/>
                    <w:tr2bl w:val="nil"/>
                  </w:tcBorders>
                  <w:vAlign w:val="center"/>
                </w:tcPr>
                <w:p w14:paraId="77FD9A81">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08C342A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5"/>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禁止在收集、运输和贮存过程中擅</w:t>
                  </w:r>
                  <w:r>
                    <w:rPr>
                      <w:rFonts w:hint="eastAsia" w:ascii="宋体" w:hAnsi="宋体" w:eastAsia="宋体" w:cs="宋体"/>
                      <w:color w:val="000000" w:themeColor="text1"/>
                      <w:spacing w:val="6"/>
                      <w:sz w:val="18"/>
                      <w:szCs w:val="18"/>
                      <w:u w:val="none" w:color="auto"/>
                      <w14:textFill>
                        <w14:solidFill>
                          <w14:schemeClr w14:val="tx1"/>
                        </w14:solidFill>
                      </w14:textFill>
                    </w:rPr>
                    <w:t>自拆解、破碎、丢弃废铅蓄电池；</w:t>
                  </w:r>
                  <w:r>
                    <w:rPr>
                      <w:rFonts w:hint="eastAsia" w:ascii="宋体" w:hAnsi="宋体" w:eastAsia="宋体" w:cs="宋体"/>
                      <w:color w:val="000000" w:themeColor="text1"/>
                      <w:spacing w:val="9"/>
                      <w:sz w:val="18"/>
                      <w:szCs w:val="18"/>
                      <w:u w:val="none" w:color="auto"/>
                      <w14:textFill>
                        <w14:solidFill>
                          <w14:schemeClr w14:val="tx1"/>
                        </w14:solidFill>
                      </w14:textFill>
                    </w:rPr>
                    <w:t>禁止倾倒含铅酸性电解质</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1438" w:type="pct"/>
                  <w:tcBorders>
                    <w:tl2br w:val="nil"/>
                    <w:tr2bl w:val="nil"/>
                  </w:tcBorders>
                  <w:vAlign w:val="center"/>
                </w:tcPr>
                <w:p w14:paraId="274140E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本工程仅对废铅蓄电池</w:t>
                  </w:r>
                  <w:r>
                    <w:rPr>
                      <w:rFonts w:hint="eastAsia" w:ascii="宋体" w:hAnsi="宋体" w:eastAsia="宋体" w:cs="宋体"/>
                      <w:color w:val="000000" w:themeColor="text1"/>
                      <w:spacing w:val="8"/>
                      <w:sz w:val="18"/>
                      <w:szCs w:val="18"/>
                      <w:u w:val="none" w:color="auto"/>
                      <w14:textFill>
                        <w14:solidFill>
                          <w14:schemeClr w14:val="tx1"/>
                        </w14:solidFill>
                      </w14:textFill>
                    </w:rPr>
                    <w:t>收集贮存，不拆解、破</w:t>
                  </w:r>
                  <w:r>
                    <w:rPr>
                      <w:rFonts w:hint="eastAsia" w:ascii="宋体" w:hAnsi="宋体" w:eastAsia="宋体" w:cs="宋体"/>
                      <w:color w:val="000000" w:themeColor="text1"/>
                      <w:spacing w:val="9"/>
                      <w:sz w:val="18"/>
                      <w:szCs w:val="18"/>
                      <w:u w:val="none" w:color="auto"/>
                      <w14:textFill>
                        <w14:solidFill>
                          <w14:schemeClr w14:val="tx1"/>
                        </w14:solidFill>
                      </w14:textFill>
                    </w:rPr>
                    <w:t>碎、丢弃；不会倾倒含</w:t>
                  </w:r>
                  <w:r>
                    <w:rPr>
                      <w:rFonts w:hint="eastAsia" w:ascii="宋体" w:hAnsi="宋体" w:eastAsia="宋体" w:cs="宋体"/>
                      <w:color w:val="000000" w:themeColor="text1"/>
                      <w:spacing w:val="8"/>
                      <w:sz w:val="18"/>
                      <w:szCs w:val="18"/>
                      <w:u w:val="none" w:color="auto"/>
                      <w14:textFill>
                        <w14:solidFill>
                          <w14:schemeClr w14:val="tx1"/>
                        </w14:solidFill>
                      </w14:textFill>
                    </w:rPr>
                    <w:t>铅酸性电解质</w:t>
                  </w:r>
                  <w:r>
                    <w:rPr>
                      <w:rFonts w:hint="eastAsia" w:ascii="宋体" w:hAnsi="宋体" w:eastAsia="宋体" w:cs="宋体"/>
                      <w:color w:val="000000" w:themeColor="text1"/>
                      <w:spacing w:val="8"/>
                      <w:sz w:val="18"/>
                      <w:szCs w:val="18"/>
                      <w:u w:val="none" w:color="auto"/>
                      <w:lang w:eastAsia="zh-CN"/>
                      <w14:textFill>
                        <w14:solidFill>
                          <w14:schemeClr w14:val="tx1"/>
                        </w14:solidFill>
                      </w14:textFill>
                    </w:rPr>
                    <w:t>。</w:t>
                  </w:r>
                </w:p>
              </w:tc>
              <w:tc>
                <w:tcPr>
                  <w:tcW w:w="546" w:type="pct"/>
                  <w:tcBorders>
                    <w:tl2br w:val="nil"/>
                    <w:tr2bl w:val="nil"/>
                  </w:tcBorders>
                  <w:vAlign w:val="center"/>
                </w:tcPr>
                <w:p w14:paraId="5E350CCB">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符合</w:t>
                  </w:r>
                </w:p>
              </w:tc>
            </w:tr>
            <w:tr w14:paraId="506B68C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01" w:hRule="atLeast"/>
              </w:trPr>
              <w:tc>
                <w:tcPr>
                  <w:tcW w:w="722" w:type="pct"/>
                  <w:vMerge w:val="continue"/>
                  <w:tcBorders>
                    <w:tl2br w:val="nil"/>
                    <w:tr2bl w:val="nil"/>
                  </w:tcBorders>
                  <w:vAlign w:val="center"/>
                </w:tcPr>
                <w:p w14:paraId="13FB03A8">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7CEE53F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15"/>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废铅蓄电池收集、运输、贮存过程除应满足环境保护相关要求外，还</w:t>
                  </w:r>
                  <w:r>
                    <w:rPr>
                      <w:rFonts w:hint="eastAsia" w:ascii="宋体" w:hAnsi="宋体" w:eastAsia="宋体" w:cs="宋体"/>
                      <w:color w:val="000000" w:themeColor="text1"/>
                      <w:spacing w:val="8"/>
                      <w:sz w:val="18"/>
                      <w:szCs w:val="18"/>
                      <w:u w:val="none" w:color="auto"/>
                      <w14:textFill>
                        <w14:solidFill>
                          <w14:schemeClr w14:val="tx1"/>
                        </w14:solidFill>
                      </w14:textFill>
                    </w:rPr>
                    <w:t>应符合国家安全生产、职业健康、</w:t>
                  </w:r>
                  <w:r>
                    <w:rPr>
                      <w:rFonts w:hint="eastAsia" w:ascii="宋体" w:hAnsi="宋体" w:eastAsia="宋体" w:cs="宋体"/>
                      <w:color w:val="000000" w:themeColor="text1"/>
                      <w:spacing w:val="9"/>
                      <w:sz w:val="18"/>
                      <w:szCs w:val="18"/>
                      <w:u w:val="none" w:color="auto"/>
                      <w14:textFill>
                        <w14:solidFill>
                          <w14:schemeClr w14:val="tx1"/>
                        </w14:solidFill>
                      </w14:textFill>
                    </w:rPr>
                    <w:t>交通运输、消防等法规标准的相关</w:t>
                  </w:r>
                  <w:r>
                    <w:rPr>
                      <w:rFonts w:hint="eastAsia" w:ascii="宋体" w:hAnsi="宋体" w:eastAsia="宋体" w:cs="宋体"/>
                      <w:color w:val="000000" w:themeColor="text1"/>
                      <w:spacing w:val="2"/>
                      <w:sz w:val="18"/>
                      <w:szCs w:val="18"/>
                      <w:u w:val="none" w:color="auto"/>
                      <w14:textFill>
                        <w14:solidFill>
                          <w14:schemeClr w14:val="tx1"/>
                        </w14:solidFill>
                      </w14:textFill>
                    </w:rPr>
                    <w:t>要求。</w:t>
                  </w:r>
                </w:p>
              </w:tc>
              <w:tc>
                <w:tcPr>
                  <w:tcW w:w="1438" w:type="pct"/>
                  <w:tcBorders>
                    <w:tl2br w:val="nil"/>
                    <w:tr2bl w:val="nil"/>
                  </w:tcBorders>
                  <w:vAlign w:val="center"/>
                </w:tcPr>
                <w:p w14:paraId="7139B4E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项目建设应满足环境保护、国家安全生产、职</w:t>
                  </w:r>
                  <w:r>
                    <w:rPr>
                      <w:rFonts w:hint="eastAsia" w:ascii="宋体" w:hAnsi="宋体" w:eastAsia="宋体" w:cs="宋体"/>
                      <w:color w:val="000000" w:themeColor="text1"/>
                      <w:spacing w:val="9"/>
                      <w:sz w:val="18"/>
                      <w:szCs w:val="18"/>
                      <w:u w:val="none" w:color="auto"/>
                      <w14:textFill>
                        <w14:solidFill>
                          <w14:schemeClr w14:val="tx1"/>
                        </w14:solidFill>
                      </w14:textFill>
                    </w:rPr>
                    <w:t>业健康、交通运输、消</w:t>
                  </w:r>
                  <w:r>
                    <w:rPr>
                      <w:rFonts w:hint="eastAsia" w:ascii="宋体" w:hAnsi="宋体" w:eastAsia="宋体" w:cs="宋体"/>
                      <w:color w:val="000000" w:themeColor="text1"/>
                      <w:spacing w:val="7"/>
                      <w:sz w:val="18"/>
                      <w:szCs w:val="18"/>
                      <w:u w:val="none" w:color="auto"/>
                      <w14:textFill>
                        <w14:solidFill>
                          <w14:schemeClr w14:val="tx1"/>
                        </w14:solidFill>
                      </w14:textFill>
                    </w:rPr>
                    <w:t>防等法规标准的相关要</w:t>
                  </w:r>
                  <w:r>
                    <w:rPr>
                      <w:rFonts w:hint="eastAsia" w:ascii="宋体" w:hAnsi="宋体" w:eastAsia="宋体" w:cs="宋体"/>
                      <w:color w:val="000000" w:themeColor="text1"/>
                      <w:sz w:val="18"/>
                      <w:szCs w:val="18"/>
                      <w:u w:val="none" w:color="auto"/>
                      <w14:textFill>
                        <w14:solidFill>
                          <w14:schemeClr w14:val="tx1"/>
                        </w14:solidFill>
                      </w14:textFill>
                    </w:rPr>
                    <w:t>求</w:t>
                  </w:r>
                  <w:r>
                    <w:rPr>
                      <w:rFonts w:hint="eastAsia" w:ascii="宋体" w:hAnsi="宋体" w:eastAsia="宋体" w:cs="宋体"/>
                      <w:color w:val="000000" w:themeColor="text1"/>
                      <w:sz w:val="18"/>
                      <w:szCs w:val="18"/>
                      <w:u w:val="none" w:color="auto"/>
                      <w:lang w:eastAsia="zh-CN"/>
                      <w14:textFill>
                        <w14:solidFill>
                          <w14:schemeClr w14:val="tx1"/>
                        </w14:solidFill>
                      </w14:textFill>
                    </w:rPr>
                    <w:t>。</w:t>
                  </w:r>
                </w:p>
              </w:tc>
              <w:tc>
                <w:tcPr>
                  <w:tcW w:w="546" w:type="pct"/>
                  <w:tcBorders>
                    <w:tl2br w:val="nil"/>
                    <w:tr2bl w:val="nil"/>
                  </w:tcBorders>
                  <w:vAlign w:val="center"/>
                </w:tcPr>
                <w:p w14:paraId="040B67F6">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符合</w:t>
                  </w:r>
                </w:p>
              </w:tc>
            </w:tr>
            <w:tr w14:paraId="0DC67249">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45" w:hRule="atLeast"/>
              </w:trPr>
              <w:tc>
                <w:tcPr>
                  <w:tcW w:w="722" w:type="pct"/>
                  <w:vMerge w:val="continue"/>
                  <w:tcBorders>
                    <w:tl2br w:val="nil"/>
                    <w:tr2bl w:val="nil"/>
                  </w:tcBorders>
                  <w:vAlign w:val="center"/>
                </w:tcPr>
                <w:p w14:paraId="4B7B5756">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1456B7C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基于废铅蓄电池收集过程的特殊性及其环境风险，分为收集网点暂存</w:t>
                  </w:r>
                  <w:r>
                    <w:rPr>
                      <w:rFonts w:hint="eastAsia" w:ascii="宋体" w:hAnsi="宋体" w:eastAsia="宋体" w:cs="宋体"/>
                      <w:color w:val="000000" w:themeColor="text1"/>
                      <w:spacing w:val="10"/>
                      <w:sz w:val="18"/>
                      <w:szCs w:val="18"/>
                      <w:u w:val="none" w:color="auto"/>
                      <w14:textFill>
                        <w14:solidFill>
                          <w14:schemeClr w14:val="tx1"/>
                        </w14:solidFill>
                      </w14:textFill>
                    </w:rPr>
                    <w:t>和集中转运点贮存两种方式。</w:t>
                  </w:r>
                </w:p>
              </w:tc>
              <w:tc>
                <w:tcPr>
                  <w:tcW w:w="1438" w:type="pct"/>
                  <w:tcBorders>
                    <w:tl2br w:val="nil"/>
                    <w:tr2bl w:val="nil"/>
                  </w:tcBorders>
                  <w:vAlign w:val="center"/>
                </w:tcPr>
                <w:p w14:paraId="70EAF93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本项目属于集中转运点</w:t>
                  </w:r>
                  <w:r>
                    <w:rPr>
                      <w:rFonts w:hint="eastAsia" w:ascii="宋体" w:hAnsi="宋体" w:eastAsia="宋体" w:cs="宋体"/>
                      <w:color w:val="000000" w:themeColor="text1"/>
                      <w:spacing w:val="13"/>
                      <w:sz w:val="18"/>
                      <w:szCs w:val="18"/>
                      <w:u w:val="none" w:color="auto"/>
                      <w14:textFill>
                        <w14:solidFill>
                          <w14:schemeClr w14:val="tx1"/>
                        </w14:solidFill>
                      </w14:textFill>
                    </w:rPr>
                    <w:t>贮存。</w:t>
                  </w:r>
                </w:p>
              </w:tc>
              <w:tc>
                <w:tcPr>
                  <w:tcW w:w="546" w:type="pct"/>
                  <w:tcBorders>
                    <w:tl2br w:val="nil"/>
                    <w:tr2bl w:val="nil"/>
                  </w:tcBorders>
                  <w:vAlign w:val="center"/>
                </w:tcPr>
                <w:p w14:paraId="3AD9C1F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19"/>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p w14:paraId="7C2AED3D">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19"/>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w:t>
                  </w:r>
                </w:p>
              </w:tc>
            </w:tr>
            <w:tr w14:paraId="034AC510">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05" w:hRule="atLeast"/>
              </w:trPr>
              <w:tc>
                <w:tcPr>
                  <w:tcW w:w="722" w:type="pct"/>
                  <w:vMerge w:val="continue"/>
                  <w:tcBorders>
                    <w:tl2br w:val="nil"/>
                    <w:tr2bl w:val="nil"/>
                  </w:tcBorders>
                  <w:vAlign w:val="center"/>
                </w:tcPr>
                <w:p w14:paraId="166789C3">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09B7343C">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集中转运点贮存时间最长不超过1年，贮存规模应小于贮存场所的设</w:t>
                  </w:r>
                  <w:r>
                    <w:rPr>
                      <w:rFonts w:hint="eastAsia" w:ascii="宋体" w:hAnsi="宋体" w:eastAsia="宋体" w:cs="宋体"/>
                      <w:color w:val="000000" w:themeColor="text1"/>
                      <w:spacing w:val="6"/>
                      <w:sz w:val="18"/>
                      <w:szCs w:val="18"/>
                      <w:u w:val="none" w:color="auto"/>
                      <w14:textFill>
                        <w14:solidFill>
                          <w14:schemeClr w14:val="tx1"/>
                        </w14:solidFill>
                      </w14:textFill>
                    </w:rPr>
                    <w:t>计容量</w:t>
                  </w:r>
                  <w:r>
                    <w:rPr>
                      <w:rFonts w:hint="eastAsia" w:ascii="宋体" w:hAnsi="宋体" w:eastAsia="宋体" w:cs="宋体"/>
                      <w:color w:val="000000" w:themeColor="text1"/>
                      <w:spacing w:val="6"/>
                      <w:sz w:val="18"/>
                      <w:szCs w:val="18"/>
                      <w:u w:val="none" w:color="auto"/>
                      <w:lang w:eastAsia="zh-CN"/>
                      <w14:textFill>
                        <w14:solidFill>
                          <w14:schemeClr w14:val="tx1"/>
                        </w14:solidFill>
                      </w14:textFill>
                    </w:rPr>
                    <w:t>。</w:t>
                  </w:r>
                </w:p>
              </w:tc>
              <w:tc>
                <w:tcPr>
                  <w:tcW w:w="1438" w:type="pct"/>
                  <w:tcBorders>
                    <w:tl2br w:val="nil"/>
                    <w:tr2bl w:val="nil"/>
                  </w:tcBorders>
                  <w:vAlign w:val="center"/>
                </w:tcPr>
                <w:p w14:paraId="4BD29C4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本项目</w:t>
                  </w:r>
                  <w:r>
                    <w:rPr>
                      <w:rFonts w:hint="eastAsia" w:cs="宋体"/>
                      <w:color w:val="000000" w:themeColor="text1"/>
                      <w:spacing w:val="8"/>
                      <w:sz w:val="18"/>
                      <w:szCs w:val="18"/>
                      <w:u w:val="none" w:color="auto"/>
                      <w:lang w:val="en-US" w:eastAsia="zh-CN"/>
                      <w14:textFill>
                        <w14:solidFill>
                          <w14:schemeClr w14:val="tx1"/>
                        </w14:solidFill>
                      </w14:textFill>
                    </w:rPr>
                    <w:t>危废贮存时间均小于1年，其中破损的废铅酸蓄电池暂存时间小于1天</w:t>
                  </w:r>
                  <w:r>
                    <w:rPr>
                      <w:rFonts w:hint="eastAsia" w:ascii="宋体" w:hAnsi="宋体" w:eastAsia="宋体" w:cs="宋体"/>
                      <w:color w:val="000000" w:themeColor="text1"/>
                      <w:spacing w:val="9"/>
                      <w:sz w:val="18"/>
                      <w:szCs w:val="18"/>
                      <w:u w:val="none" w:color="auto"/>
                      <w14:textFill>
                        <w14:solidFill>
                          <w14:schemeClr w14:val="tx1"/>
                        </w14:solidFill>
                      </w14:textFill>
                    </w:rPr>
                    <w:t>，贮存规模</w:t>
                  </w:r>
                  <w:r>
                    <w:rPr>
                      <w:rFonts w:hint="eastAsia" w:cs="宋体"/>
                      <w:color w:val="000000" w:themeColor="text1"/>
                      <w:spacing w:val="9"/>
                      <w:sz w:val="18"/>
                      <w:szCs w:val="18"/>
                      <w:u w:val="none" w:color="auto"/>
                      <w:lang w:val="en-US" w:eastAsia="zh-CN"/>
                      <w14:textFill>
                        <w14:solidFill>
                          <w14:schemeClr w14:val="tx1"/>
                        </w14:solidFill>
                      </w14:textFill>
                    </w:rPr>
                    <w:t>均</w:t>
                  </w:r>
                  <w:r>
                    <w:rPr>
                      <w:rFonts w:hint="eastAsia" w:ascii="宋体" w:hAnsi="宋体" w:eastAsia="宋体" w:cs="宋体"/>
                      <w:color w:val="000000" w:themeColor="text1"/>
                      <w:spacing w:val="8"/>
                      <w:sz w:val="18"/>
                      <w:szCs w:val="18"/>
                      <w:u w:val="none" w:color="auto"/>
                      <w14:textFill>
                        <w14:solidFill>
                          <w14:schemeClr w14:val="tx1"/>
                        </w14:solidFill>
                      </w14:textFill>
                    </w:rPr>
                    <w:t>小于贮存场所的设计容</w:t>
                  </w:r>
                  <w:r>
                    <w:rPr>
                      <w:rFonts w:hint="eastAsia" w:ascii="宋体" w:hAnsi="宋体" w:eastAsia="宋体" w:cs="宋体"/>
                      <w:color w:val="000000" w:themeColor="text1"/>
                      <w:sz w:val="18"/>
                      <w:szCs w:val="18"/>
                      <w:u w:val="none" w:color="auto"/>
                      <w14:textFill>
                        <w14:solidFill>
                          <w14:schemeClr w14:val="tx1"/>
                        </w14:solidFill>
                      </w14:textFill>
                    </w:rPr>
                    <w:t>量</w:t>
                  </w:r>
                  <w:r>
                    <w:rPr>
                      <w:rFonts w:hint="eastAsia" w:cs="宋体"/>
                      <w:color w:val="000000" w:themeColor="text1"/>
                      <w:sz w:val="18"/>
                      <w:szCs w:val="18"/>
                      <w:u w:val="none" w:color="auto"/>
                      <w:lang w:eastAsia="zh-CN"/>
                      <w14:textFill>
                        <w14:solidFill>
                          <w14:schemeClr w14:val="tx1"/>
                        </w14:solidFill>
                      </w14:textFill>
                    </w:rPr>
                    <w:t>。</w:t>
                  </w:r>
                </w:p>
              </w:tc>
              <w:tc>
                <w:tcPr>
                  <w:tcW w:w="546" w:type="pct"/>
                  <w:tcBorders>
                    <w:tl2br w:val="nil"/>
                    <w:tr2bl w:val="nil"/>
                  </w:tcBorders>
                  <w:vAlign w:val="center"/>
                </w:tcPr>
                <w:p w14:paraId="34AC07F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符合</w:t>
                  </w:r>
                </w:p>
              </w:tc>
            </w:tr>
            <w:tr w14:paraId="57EE4E2D">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525" w:hRule="atLeast"/>
              </w:trPr>
              <w:tc>
                <w:tcPr>
                  <w:tcW w:w="722" w:type="pct"/>
                  <w:vMerge w:val="continue"/>
                  <w:tcBorders>
                    <w:tl2br w:val="nil"/>
                    <w:tr2bl w:val="nil"/>
                  </w:tcBorders>
                  <w:vAlign w:val="center"/>
                </w:tcPr>
                <w:p w14:paraId="1027FB9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4C4A9D0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pacing w:val="-2"/>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废铅蓄电池集中转运点贮存设施应开展环境影响评价，并参照</w:t>
                  </w: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8"/>
                      <w:sz w:val="18"/>
                      <w:szCs w:val="18"/>
                      <w:u w:val="none" w:color="auto"/>
                      <w14:textFill>
                        <w14:solidFill>
                          <w14:schemeClr w14:val="tx1"/>
                        </w14:solidFill>
                      </w14:textFill>
                    </w:rPr>
                    <w:t>18597的有关要求进行建设和管</w:t>
                  </w:r>
                  <w:r>
                    <w:rPr>
                      <w:rFonts w:hint="eastAsia" w:ascii="宋体" w:hAnsi="宋体" w:eastAsia="宋体" w:cs="宋体"/>
                      <w:color w:val="000000" w:themeColor="text1"/>
                      <w:spacing w:val="4"/>
                      <w:sz w:val="18"/>
                      <w:szCs w:val="18"/>
                      <w:u w:val="none" w:color="auto"/>
                      <w14:textFill>
                        <w14:solidFill>
                          <w14:schemeClr w14:val="tx1"/>
                        </w14:solidFill>
                      </w14:textFill>
                    </w:rPr>
                    <w:t>理，符合以下要求：a）应防雨，必</w:t>
                  </w:r>
                  <w:r>
                    <w:rPr>
                      <w:rFonts w:hint="eastAsia" w:ascii="宋体" w:hAnsi="宋体" w:eastAsia="宋体" w:cs="宋体"/>
                      <w:color w:val="000000" w:themeColor="text1"/>
                      <w:spacing w:val="3"/>
                      <w:sz w:val="18"/>
                      <w:szCs w:val="18"/>
                      <w:u w:val="none" w:color="auto"/>
                      <w14:textFill>
                        <w14:solidFill>
                          <w14:schemeClr w14:val="tx1"/>
                        </w14:solidFill>
                      </w14:textFill>
                    </w:rPr>
                    <w:t>须远离其他水源和热源。b）面积不</w:t>
                  </w:r>
                  <w:r>
                    <w:rPr>
                      <w:rFonts w:hint="eastAsia" w:ascii="宋体" w:hAnsi="宋体" w:eastAsia="宋体" w:cs="宋体"/>
                      <w:color w:val="000000" w:themeColor="text1"/>
                      <w:spacing w:val="6"/>
                      <w:sz w:val="18"/>
                      <w:szCs w:val="18"/>
                      <w:u w:val="none" w:color="auto"/>
                      <w14:textFill>
                        <w14:solidFill>
                          <w14:schemeClr w14:val="tx1"/>
                        </w14:solidFill>
                      </w14:textFill>
                    </w:rPr>
                    <w:t>少于30m</w:t>
                  </w:r>
                  <w:r>
                    <w:rPr>
                      <w:rFonts w:hint="eastAsia" w:ascii="宋体" w:hAnsi="宋体" w:eastAsia="宋体" w:cs="宋体"/>
                      <w:color w:val="000000" w:themeColor="text1"/>
                      <w:spacing w:val="6"/>
                      <w:sz w:val="18"/>
                      <w:szCs w:val="18"/>
                      <w:u w:val="none" w:color="auto"/>
                      <w:vertAlign w:val="superscript"/>
                      <w14:textFill>
                        <w14:solidFill>
                          <w14:schemeClr w14:val="tx1"/>
                        </w14:solidFill>
                      </w14:textFill>
                    </w:rPr>
                    <w:t>2</w:t>
                  </w:r>
                  <w:r>
                    <w:rPr>
                      <w:rFonts w:hint="eastAsia" w:ascii="宋体" w:hAnsi="宋体" w:eastAsia="宋体" w:cs="宋体"/>
                      <w:color w:val="000000" w:themeColor="text1"/>
                      <w:spacing w:val="6"/>
                      <w:sz w:val="18"/>
                      <w:szCs w:val="18"/>
                      <w:u w:val="none" w:color="auto"/>
                      <w14:textFill>
                        <w14:solidFill>
                          <w14:schemeClr w14:val="tx1"/>
                        </w14:solidFill>
                      </w14:textFill>
                    </w:rPr>
                    <w:t>，有硬化地面和必要的防</w:t>
                  </w:r>
                  <w:r>
                    <w:rPr>
                      <w:rFonts w:hint="eastAsia" w:ascii="宋体" w:hAnsi="宋体" w:eastAsia="宋体" w:cs="宋体"/>
                      <w:color w:val="000000" w:themeColor="text1"/>
                      <w:spacing w:val="-2"/>
                      <w:sz w:val="18"/>
                      <w:szCs w:val="18"/>
                      <w:u w:val="none" w:color="auto"/>
                      <w14:textFill>
                        <w14:solidFill>
                          <w14:schemeClr w14:val="tx1"/>
                        </w14:solidFill>
                      </w14:textFill>
                    </w:rPr>
                    <w:t>渗措施。c）应设有截流槽、导流沟、</w:t>
                  </w:r>
                  <w:r>
                    <w:rPr>
                      <w:rFonts w:hint="eastAsia" w:ascii="宋体" w:hAnsi="宋体" w:eastAsia="宋体" w:cs="宋体"/>
                      <w:color w:val="000000" w:themeColor="text1"/>
                      <w:spacing w:val="3"/>
                      <w:sz w:val="18"/>
                      <w:szCs w:val="18"/>
                      <w:u w:val="none" w:color="auto"/>
                      <w14:textFill>
                        <w14:solidFill>
                          <w14:schemeClr w14:val="tx1"/>
                        </w14:solidFill>
                      </w14:textFill>
                    </w:rPr>
                    <w:t>临时应急池和废液收集系统。d）应</w:t>
                  </w:r>
                  <w:r>
                    <w:rPr>
                      <w:rFonts w:hint="eastAsia" w:ascii="宋体" w:hAnsi="宋体" w:eastAsia="宋体" w:cs="宋体"/>
                      <w:color w:val="000000" w:themeColor="text1"/>
                      <w:spacing w:val="9"/>
                      <w:sz w:val="18"/>
                      <w:szCs w:val="18"/>
                      <w:u w:val="none" w:color="auto"/>
                      <w14:textFill>
                        <w14:solidFill>
                          <w14:schemeClr w14:val="tx1"/>
                        </w14:solidFill>
                      </w14:textFill>
                    </w:rPr>
                    <w:t>配备通讯设备、计量设备、照明设</w:t>
                  </w:r>
                  <w:r>
                    <w:rPr>
                      <w:rFonts w:hint="eastAsia" w:ascii="宋体" w:hAnsi="宋体" w:eastAsia="宋体" w:cs="宋体"/>
                      <w:color w:val="000000" w:themeColor="text1"/>
                      <w:spacing w:val="4"/>
                      <w:sz w:val="18"/>
                      <w:szCs w:val="18"/>
                      <w:u w:val="none" w:color="auto"/>
                      <w14:textFill>
                        <w14:solidFill>
                          <w14:schemeClr w14:val="tx1"/>
                        </w14:solidFill>
                      </w14:textFill>
                    </w:rPr>
                    <w:t>施、视频监控设施。e）应设立警示</w:t>
                  </w:r>
                  <w:r>
                    <w:rPr>
                      <w:rFonts w:hint="eastAsia" w:ascii="宋体" w:hAnsi="宋体" w:eastAsia="宋体" w:cs="宋体"/>
                      <w:color w:val="000000" w:themeColor="text1"/>
                      <w:spacing w:val="9"/>
                      <w:sz w:val="18"/>
                      <w:szCs w:val="18"/>
                      <w:u w:val="none" w:color="auto"/>
                      <w14:textFill>
                        <w14:solidFill>
                          <w14:schemeClr w14:val="tx1"/>
                        </w14:solidFill>
                      </w14:textFill>
                    </w:rPr>
                    <w:t>标志，只允许收集废铅蓄电池的专</w:t>
                  </w:r>
                  <w:r>
                    <w:rPr>
                      <w:rFonts w:hint="eastAsia" w:ascii="宋体" w:hAnsi="宋体" w:eastAsia="宋体" w:cs="宋体"/>
                      <w:color w:val="000000" w:themeColor="text1"/>
                      <w:spacing w:val="-2"/>
                      <w:sz w:val="18"/>
                      <w:szCs w:val="18"/>
                      <w:u w:val="none" w:color="auto"/>
                      <w14:textFill>
                        <w14:solidFill>
                          <w14:schemeClr w14:val="tx1"/>
                        </w14:solidFill>
                      </w14:textFill>
                    </w:rPr>
                    <w:t>门人员进入。f）应有排风换气系统，</w:t>
                  </w:r>
                </w:p>
                <w:p w14:paraId="47320B22">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pacing w:val="-2"/>
                      <w:sz w:val="18"/>
                      <w:szCs w:val="18"/>
                      <w:u w:val="none" w:color="auto"/>
                      <w14:textFill>
                        <w14:solidFill>
                          <w14:schemeClr w14:val="tx1"/>
                        </w14:solidFill>
                      </w14:textFill>
                    </w:rPr>
                  </w:pPr>
                </w:p>
              </w:tc>
              <w:tc>
                <w:tcPr>
                  <w:tcW w:w="1438" w:type="pct"/>
                  <w:tcBorders>
                    <w:tl2br w:val="nil"/>
                    <w:tr2bl w:val="nil"/>
                  </w:tcBorders>
                  <w:vAlign w:val="center"/>
                </w:tcPr>
                <w:p w14:paraId="160B65F0">
                  <w:pPr>
                    <w:pStyle w:val="119"/>
                    <w:keepNext w:val="0"/>
                    <w:keepLines w:val="0"/>
                    <w:pageBreakBefore w:val="0"/>
                    <w:widowControl/>
                    <w:tabs>
                      <w:tab w:val="left" w:pos="2255"/>
                    </w:tabs>
                    <w:kinsoku/>
                    <w:wordWrap/>
                    <w:overflowPunct w:val="0"/>
                    <w:topLinePunct w:val="0"/>
                    <w:autoSpaceDE w:val="0"/>
                    <w:autoSpaceDN w:val="0"/>
                    <w:bidi w:val="0"/>
                    <w:adjustRightInd w:val="0"/>
                    <w:snapToGrid w:val="0"/>
                    <w:spacing w:line="240" w:lineRule="atLeast"/>
                    <w:ind w:right="98"/>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本项目区域无水源及热</w:t>
                  </w:r>
                  <w:r>
                    <w:rPr>
                      <w:rFonts w:hint="eastAsia" w:ascii="宋体" w:hAnsi="宋体" w:eastAsia="宋体" w:cs="宋体"/>
                      <w:color w:val="000000" w:themeColor="text1"/>
                      <w:spacing w:val="13"/>
                      <w:sz w:val="18"/>
                      <w:szCs w:val="18"/>
                      <w:u w:val="none" w:color="auto"/>
                      <w14:textFill>
                        <w14:solidFill>
                          <w14:schemeClr w14:val="tx1"/>
                        </w14:solidFill>
                      </w14:textFill>
                    </w:rPr>
                    <w:t>源；废铅蓄电池存放区</w:t>
                  </w:r>
                  <w:r>
                    <w:rPr>
                      <w:rFonts w:hint="eastAsia" w:ascii="宋体" w:hAnsi="宋体" w:eastAsia="宋体" w:cs="宋体"/>
                      <w:color w:val="000000" w:themeColor="text1"/>
                      <w:sz w:val="18"/>
                      <w:szCs w:val="18"/>
                      <w:u w:val="none" w:color="auto"/>
                      <w14:textFill>
                        <w14:solidFill>
                          <w14:schemeClr w14:val="tx1"/>
                        </w14:solidFill>
                      </w14:textFill>
                    </w:rPr>
                    <w:t>面积为</w:t>
                  </w:r>
                  <w:r>
                    <w:rPr>
                      <w:rFonts w:hint="eastAsia" w:cs="宋体"/>
                      <w:color w:val="000000" w:themeColor="text1"/>
                      <w:sz w:val="18"/>
                      <w:szCs w:val="18"/>
                      <w:highlight w:val="none"/>
                      <w:u w:val="none" w:color="auto"/>
                      <w:lang w:val="en-US" w:eastAsia="zh-CN"/>
                      <w14:textFill>
                        <w14:solidFill>
                          <w14:schemeClr w14:val="tx1"/>
                        </w14:solidFill>
                      </w14:textFill>
                    </w:rPr>
                    <w:t>12</w:t>
                  </w:r>
                  <w:r>
                    <w:rPr>
                      <w:rFonts w:hint="eastAsia" w:ascii="宋体" w:hAnsi="宋体" w:eastAsia="宋体" w:cs="宋体"/>
                      <w:color w:val="000000" w:themeColor="text1"/>
                      <w:sz w:val="18"/>
                      <w:szCs w:val="18"/>
                      <w:highlight w:val="none"/>
                      <w:u w:val="none" w:color="auto"/>
                      <w14:textFill>
                        <w14:solidFill>
                          <w14:schemeClr w14:val="tx1"/>
                        </w14:solidFill>
                      </w14:textFill>
                    </w:rPr>
                    <w:t>0m</w:t>
                  </w:r>
                  <w:r>
                    <w:rPr>
                      <w:rFonts w:hint="eastAsia" w:ascii="宋体" w:hAnsi="宋体" w:eastAsia="宋体" w:cs="宋体"/>
                      <w:color w:val="000000" w:themeColor="text1"/>
                      <w:sz w:val="18"/>
                      <w:szCs w:val="18"/>
                      <w:highlight w:val="none"/>
                      <w:u w:val="none" w:color="auto"/>
                      <w:vertAlign w:val="superscript"/>
                      <w14:textFill>
                        <w14:solidFill>
                          <w14:schemeClr w14:val="tx1"/>
                        </w14:solidFill>
                      </w14:textFill>
                    </w:rPr>
                    <w:t>2</w:t>
                  </w:r>
                  <w:r>
                    <w:rPr>
                      <w:rFonts w:hint="eastAsia" w:ascii="宋体" w:hAnsi="宋体" w:eastAsia="宋体" w:cs="宋体"/>
                      <w:color w:val="000000" w:themeColor="text1"/>
                      <w:spacing w:val="-17"/>
                      <w:sz w:val="18"/>
                      <w:szCs w:val="18"/>
                      <w:highlight w:val="none"/>
                      <w:u w:val="none" w:color="auto"/>
                      <w:vertAlign w:val="superscript"/>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；设有截流</w:t>
                  </w:r>
                  <w:r>
                    <w:rPr>
                      <w:rFonts w:hint="eastAsia" w:ascii="宋体" w:hAnsi="宋体" w:eastAsia="宋体" w:cs="宋体"/>
                      <w:color w:val="000000" w:themeColor="text1"/>
                      <w:spacing w:val="13"/>
                      <w:sz w:val="18"/>
                      <w:szCs w:val="18"/>
                      <w:u w:val="none" w:color="auto"/>
                      <w14:textFill>
                        <w14:solidFill>
                          <w14:schemeClr w14:val="tx1"/>
                        </w14:solidFill>
                      </w14:textFill>
                    </w:rPr>
                    <w:t>槽、导流沟、临时应急</w:t>
                  </w:r>
                  <w:r>
                    <w:rPr>
                      <w:rFonts w:hint="eastAsia" w:ascii="宋体" w:hAnsi="宋体" w:eastAsia="宋体" w:cs="宋体"/>
                      <w:color w:val="000000" w:themeColor="text1"/>
                      <w:spacing w:val="14"/>
                      <w:sz w:val="18"/>
                      <w:szCs w:val="18"/>
                      <w:u w:val="none" w:color="auto"/>
                      <w14:textFill>
                        <w14:solidFill>
                          <w14:schemeClr w14:val="tx1"/>
                        </w14:solidFill>
                      </w14:textFill>
                    </w:rPr>
                    <w:t>池和废液收集系统；企业配备通讯设备、计量</w:t>
                  </w:r>
                  <w:r>
                    <w:rPr>
                      <w:rFonts w:hint="eastAsia" w:ascii="宋体" w:hAnsi="宋体" w:eastAsia="宋体" w:cs="宋体"/>
                      <w:color w:val="000000" w:themeColor="text1"/>
                      <w:spacing w:val="13"/>
                      <w:sz w:val="18"/>
                      <w:szCs w:val="18"/>
                      <w:u w:val="none" w:color="auto"/>
                      <w14:textFill>
                        <w14:solidFill>
                          <w14:schemeClr w14:val="tx1"/>
                        </w14:solidFill>
                      </w14:textFill>
                    </w:rPr>
                    <w:t>设备、贮存区设置照明</w:t>
                  </w:r>
                  <w:r>
                    <w:rPr>
                      <w:rFonts w:hint="eastAsia" w:ascii="宋体" w:hAnsi="宋体" w:eastAsia="宋体" w:cs="宋体"/>
                      <w:color w:val="000000" w:themeColor="text1"/>
                      <w:spacing w:val="-2"/>
                      <w:sz w:val="18"/>
                      <w:szCs w:val="18"/>
                      <w:u w:val="none" w:color="auto"/>
                      <w14:textFill>
                        <w14:solidFill>
                          <w14:schemeClr w14:val="tx1"/>
                        </w14:solidFill>
                      </w14:textFill>
                    </w:rPr>
                    <w:t>设施、视频监控设施；</w:t>
                  </w:r>
                  <w:r>
                    <w:rPr>
                      <w:rFonts w:hint="eastAsia" w:ascii="宋体" w:hAnsi="宋体" w:eastAsia="宋体" w:cs="宋体"/>
                      <w:color w:val="000000" w:themeColor="text1"/>
                      <w:spacing w:val="13"/>
                      <w:sz w:val="18"/>
                      <w:szCs w:val="18"/>
                      <w:u w:val="none" w:color="auto"/>
                      <w14:textFill>
                        <w14:solidFill>
                          <w14:schemeClr w14:val="tx1"/>
                        </w14:solidFill>
                      </w14:textFill>
                    </w:rPr>
                    <w:t>贮存区设置标识，只允许收集废铅蓄电池的专门人员进入；</w:t>
                  </w:r>
                  <w:r>
                    <w:rPr>
                      <w:rFonts w:hint="eastAsia" w:ascii="宋体" w:hAnsi="宋体" w:eastAsia="宋体" w:cs="宋体"/>
                      <w:color w:val="000000" w:themeColor="text1"/>
                      <w:spacing w:val="13"/>
                      <w:sz w:val="18"/>
                      <w:szCs w:val="18"/>
                      <w:highlight w:val="none"/>
                      <w:u w:val="none" w:color="auto"/>
                      <w14:textFill>
                        <w14:solidFill>
                          <w14:schemeClr w14:val="tx1"/>
                        </w14:solidFill>
                      </w14:textFill>
                    </w:rPr>
                    <w:t>贮存区安装风机换气</w:t>
                  </w:r>
                  <w:r>
                    <w:rPr>
                      <w:rFonts w:hint="eastAsia" w:cs="宋体"/>
                      <w:color w:val="000000" w:themeColor="text1"/>
                      <w:spacing w:val="13"/>
                      <w:sz w:val="18"/>
                      <w:szCs w:val="18"/>
                      <w:highlight w:val="none"/>
                      <w:u w:val="none" w:color="auto"/>
                      <w:lang w:eastAsia="zh-CN"/>
                      <w14:textFill>
                        <w14:solidFill>
                          <w14:schemeClr w14:val="tx1"/>
                        </w14:solidFill>
                      </w14:textFill>
                    </w:rPr>
                    <w:t>。</w:t>
                  </w:r>
                </w:p>
              </w:tc>
              <w:tc>
                <w:tcPr>
                  <w:tcW w:w="546" w:type="pct"/>
                  <w:tcBorders>
                    <w:tl2br w:val="nil"/>
                    <w:tr2bl w:val="nil"/>
                  </w:tcBorders>
                  <w:vAlign w:val="center"/>
                </w:tcPr>
                <w:p w14:paraId="793D8F1D">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符合</w:t>
                  </w:r>
                </w:p>
              </w:tc>
            </w:tr>
            <w:tr w14:paraId="74F6D0EC">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704" w:hRule="atLeast"/>
              </w:trPr>
              <w:tc>
                <w:tcPr>
                  <w:tcW w:w="722" w:type="pct"/>
                  <w:vMerge w:val="continue"/>
                  <w:tcBorders>
                    <w:tl2br w:val="nil"/>
                    <w:tr2bl w:val="nil"/>
                  </w:tcBorders>
                  <w:vAlign w:val="center"/>
                </w:tcPr>
                <w:p w14:paraId="35D6F900">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92" w:type="pct"/>
                  <w:tcBorders>
                    <w:tl2br w:val="nil"/>
                    <w:tr2bl w:val="nil"/>
                  </w:tcBorders>
                  <w:vAlign w:val="center"/>
                </w:tcPr>
                <w:p w14:paraId="3F9A4E1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保证良好通风。g）应配备耐腐蚀、</w:t>
                  </w:r>
                  <w:r>
                    <w:rPr>
                      <w:rFonts w:hint="eastAsia" w:ascii="宋体" w:hAnsi="宋体" w:eastAsia="宋体" w:cs="宋体"/>
                      <w:color w:val="000000" w:themeColor="text1"/>
                      <w:spacing w:val="9"/>
                      <w:sz w:val="18"/>
                      <w:szCs w:val="18"/>
                      <w:u w:val="none" w:color="auto"/>
                      <w14:textFill>
                        <w14:solidFill>
                          <w14:schemeClr w14:val="tx1"/>
                        </w14:solidFill>
                      </w14:textFill>
                    </w:rPr>
                    <w:t>不易破损变形的专用容器，用于单独分区存放开口式废铅蓄电池和破损的密闭式免维护废铅蓄电池</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1438" w:type="pct"/>
                  <w:tcBorders>
                    <w:tl2br w:val="nil"/>
                    <w:tr2bl w:val="nil"/>
                  </w:tcBorders>
                  <w:vAlign w:val="center"/>
                </w:tcPr>
                <w:p w14:paraId="3DDA8000">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容器单独分区存档含铅</w:t>
                  </w:r>
                  <w:r>
                    <w:rPr>
                      <w:rFonts w:hint="eastAsia" w:ascii="宋体" w:hAnsi="宋体" w:eastAsia="宋体" w:cs="宋体"/>
                      <w:color w:val="000000" w:themeColor="text1"/>
                      <w:spacing w:val="6"/>
                      <w:sz w:val="18"/>
                      <w:szCs w:val="18"/>
                      <w:u w:val="none" w:color="auto"/>
                      <w14:textFill>
                        <w14:solidFill>
                          <w14:schemeClr w14:val="tx1"/>
                        </w14:solidFill>
                      </w14:textFill>
                    </w:rPr>
                    <w:t>电池原包装放置于托盘</w:t>
                  </w:r>
                  <w:r>
                    <w:rPr>
                      <w:rFonts w:hint="eastAsia" w:ascii="宋体" w:hAnsi="宋体" w:eastAsia="宋体" w:cs="宋体"/>
                      <w:color w:val="000000" w:themeColor="text1"/>
                      <w:spacing w:val="5"/>
                      <w:sz w:val="18"/>
                      <w:szCs w:val="18"/>
                      <w:u w:val="none" w:color="auto"/>
                      <w14:textFill>
                        <w14:solidFill>
                          <w14:schemeClr w14:val="tx1"/>
                        </w14:solidFill>
                      </w14:textFill>
                    </w:rPr>
                    <w:t>内，有存储期间破损，</w:t>
                  </w:r>
                  <w:r>
                    <w:rPr>
                      <w:rFonts w:hint="eastAsia" w:ascii="宋体" w:hAnsi="宋体" w:eastAsia="宋体" w:cs="宋体"/>
                      <w:color w:val="000000" w:themeColor="text1"/>
                      <w:spacing w:val="9"/>
                      <w:sz w:val="18"/>
                      <w:szCs w:val="18"/>
                      <w:u w:val="none" w:color="auto"/>
                      <w14:textFill>
                        <w14:solidFill>
                          <w14:schemeClr w14:val="tx1"/>
                        </w14:solidFill>
                      </w14:textFill>
                    </w:rPr>
                    <w:t>单独放开口式废铅蓄电</w:t>
                  </w:r>
                  <w:r>
                    <w:rPr>
                      <w:rFonts w:hint="eastAsia" w:ascii="宋体" w:hAnsi="宋体" w:eastAsia="宋体" w:cs="宋体"/>
                      <w:color w:val="000000" w:themeColor="text1"/>
                      <w:spacing w:val="8"/>
                      <w:sz w:val="18"/>
                      <w:szCs w:val="18"/>
                      <w:u w:val="none" w:color="auto"/>
                      <w14:textFill>
                        <w14:solidFill>
                          <w14:schemeClr w14:val="tx1"/>
                        </w14:solidFill>
                      </w14:textFill>
                    </w:rPr>
                    <w:t>池和破损的</w:t>
                  </w:r>
                  <w:r>
                    <w:rPr>
                      <w:rFonts w:hint="eastAsia" w:ascii="宋体" w:hAnsi="宋体" w:eastAsia="宋体" w:cs="宋体"/>
                      <w:color w:val="000000" w:themeColor="text1"/>
                      <w:spacing w:val="8"/>
                      <w:sz w:val="18"/>
                      <w:szCs w:val="18"/>
                      <w:highlight w:val="none"/>
                      <w:u w:val="none" w:color="auto"/>
                      <w14:textFill>
                        <w14:solidFill>
                          <w14:schemeClr w14:val="tx1"/>
                        </w14:solidFill>
                      </w14:textFill>
                    </w:rPr>
                    <w:t>密闭式免维护废铅蓄电池</w:t>
                  </w:r>
                  <w:r>
                    <w:rPr>
                      <w:rFonts w:hint="eastAsia" w:cs="宋体"/>
                      <w:color w:val="000000" w:themeColor="text1"/>
                      <w:spacing w:val="8"/>
                      <w:sz w:val="18"/>
                      <w:szCs w:val="18"/>
                      <w:highlight w:val="none"/>
                      <w:u w:val="none" w:color="auto"/>
                      <w:lang w:eastAsia="zh-CN"/>
                      <w14:textFill>
                        <w14:solidFill>
                          <w14:schemeClr w14:val="tx1"/>
                        </w14:solidFill>
                      </w14:textFill>
                    </w:rPr>
                    <w:t>。</w:t>
                  </w:r>
                </w:p>
              </w:tc>
              <w:tc>
                <w:tcPr>
                  <w:tcW w:w="546" w:type="pct"/>
                  <w:tcBorders>
                    <w:tl2br w:val="nil"/>
                    <w:tr2bl w:val="nil"/>
                  </w:tcBorders>
                  <w:vAlign w:val="center"/>
                </w:tcPr>
                <w:p w14:paraId="2291983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19"/>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r>
          </w:tbl>
          <w:p w14:paraId="6F97B088">
            <w:pPr>
              <w:pStyle w:val="119"/>
              <w:keepNext w:val="0"/>
              <w:keepLines w:val="0"/>
              <w:pageBreakBefore w:val="0"/>
              <w:widowControl/>
              <w:tabs>
                <w:tab w:val="left" w:pos="716"/>
              </w:tabs>
              <w:kinsoku/>
              <w:wordWrap/>
              <w:overflowPunct w:val="0"/>
              <w:topLinePunct w:val="0"/>
              <w:autoSpaceDE w:val="0"/>
              <w:autoSpaceDN w:val="0"/>
              <w:bidi w:val="0"/>
              <w:adjustRightInd w:val="0"/>
              <w:snapToGrid w:val="0"/>
              <w:spacing w:line="240" w:lineRule="atLeast"/>
              <w:ind w:right="103"/>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（9）与《废铅酸蓄电池回收技术规范》（GB/T37281-2019）符</w:t>
            </w:r>
            <w:r>
              <w:rPr>
                <w:rFonts w:hint="eastAsia" w:ascii="宋体" w:hAnsi="宋体" w:eastAsia="宋体" w:cs="宋体"/>
                <w:color w:val="000000" w:themeColor="text1"/>
                <w:spacing w:val="-3"/>
                <w:sz w:val="18"/>
                <w:szCs w:val="18"/>
                <w:u w:val="none" w:color="auto"/>
                <w14:textFill>
                  <w14:solidFill>
                    <w14:schemeClr w14:val="tx1"/>
                  </w14:solidFill>
                </w14:textFill>
              </w:rPr>
              <w:t>合性分析</w:t>
            </w:r>
          </w:p>
          <w:p w14:paraId="708A359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11" w:right="103" w:firstLine="480"/>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本项目与《废铅酸蓄电池回收技术规范》（GB/T37281-2019）符</w:t>
            </w:r>
            <w:r>
              <w:rPr>
                <w:rFonts w:hint="eastAsia" w:ascii="宋体" w:hAnsi="宋体" w:eastAsia="宋体" w:cs="宋体"/>
                <w:color w:val="000000" w:themeColor="text1"/>
                <w:spacing w:val="-4"/>
                <w:sz w:val="18"/>
                <w:szCs w:val="18"/>
                <w:u w:val="none" w:color="auto"/>
                <w14:textFill>
                  <w14:solidFill>
                    <w14:schemeClr w14:val="tx1"/>
                  </w14:solidFill>
                </w14:textFill>
              </w:rPr>
              <w:t>合性分析详见表</w:t>
            </w:r>
            <w:r>
              <w:rPr>
                <w:rFonts w:hint="eastAsia" w:ascii="宋体" w:hAnsi="宋体" w:eastAsia="宋体" w:cs="宋体"/>
                <w:color w:val="000000" w:themeColor="text1"/>
                <w:spacing w:val="-25"/>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1-10</w:t>
            </w:r>
            <w:r>
              <w:rPr>
                <w:rFonts w:hint="eastAsia" w:ascii="宋体" w:hAnsi="宋体" w:eastAsia="宋体" w:cs="宋体"/>
                <w:color w:val="000000" w:themeColor="text1"/>
                <w:spacing w:val="-27"/>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w:t>
            </w:r>
          </w:p>
          <w:p w14:paraId="25C7232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3186" w:right="4" w:hanging="2448"/>
              <w:textAlignment w:val="baseline"/>
              <w:rPr>
                <w:rFonts w:hint="eastAsia" w:ascii="宋体" w:hAnsi="宋体" w:eastAsia="宋体" w:cs="宋体"/>
                <w:b/>
                <w:bCs/>
                <w:color w:val="000000" w:themeColor="text1"/>
                <w:spacing w:val="-4"/>
                <w:sz w:val="18"/>
                <w:szCs w:val="18"/>
                <w:u w:val="none" w:color="auto"/>
                <w14:textFill>
                  <w14:solidFill>
                    <w14:schemeClr w14:val="tx1"/>
                  </w14:solidFill>
                </w14:textFill>
              </w:rPr>
            </w:pPr>
            <w:r>
              <w:rPr>
                <w:rFonts w:hint="eastAsia" w:ascii="宋体" w:hAnsi="宋体" w:eastAsia="宋体" w:cs="宋体"/>
                <w:b/>
                <w:bCs/>
                <w:color w:val="000000" w:themeColor="text1"/>
                <w:spacing w:val="-3"/>
                <w:sz w:val="18"/>
                <w:szCs w:val="18"/>
                <w:u w:val="none" w:color="auto"/>
                <w14:textFill>
                  <w14:solidFill>
                    <w14:schemeClr w14:val="tx1"/>
                  </w14:solidFill>
                </w14:textFill>
              </w:rPr>
              <w:t>表</w:t>
            </w:r>
            <w:r>
              <w:rPr>
                <w:rFonts w:hint="eastAsia" w:ascii="宋体" w:hAnsi="宋体" w:eastAsia="宋体" w:cs="宋体"/>
                <w:color w:val="000000" w:themeColor="text1"/>
                <w:spacing w:val="-31"/>
                <w:sz w:val="18"/>
                <w:szCs w:val="18"/>
                <w:u w:val="none" w:color="auto"/>
                <w14:textFill>
                  <w14:solidFill>
                    <w14:schemeClr w14:val="tx1"/>
                  </w14:solidFill>
                </w14:textFill>
              </w:rPr>
              <w:t xml:space="preserve"> </w:t>
            </w:r>
            <w:r>
              <w:rPr>
                <w:rFonts w:hint="eastAsia" w:ascii="宋体" w:hAnsi="宋体" w:eastAsia="宋体" w:cs="宋体"/>
                <w:b/>
                <w:bCs/>
                <w:color w:val="000000" w:themeColor="text1"/>
                <w:spacing w:val="-3"/>
                <w:sz w:val="18"/>
                <w:szCs w:val="18"/>
                <w:u w:val="none" w:color="auto"/>
                <w14:textFill>
                  <w14:solidFill>
                    <w14:schemeClr w14:val="tx1"/>
                  </w14:solidFill>
                </w14:textFill>
              </w:rPr>
              <w:t>1-10  与《废铅酸蓄电池回收技术规范》（GB/T37281-2019）</w:t>
            </w:r>
            <w:r>
              <w:rPr>
                <w:rFonts w:hint="eastAsia" w:ascii="宋体" w:hAnsi="宋体" w:eastAsia="宋体" w:cs="宋体"/>
                <w:b/>
                <w:bCs/>
                <w:color w:val="000000" w:themeColor="text1"/>
                <w:spacing w:val="-4"/>
                <w:sz w:val="18"/>
                <w:szCs w:val="18"/>
                <w:u w:val="none" w:color="auto"/>
                <w14:textFill>
                  <w14:solidFill>
                    <w14:schemeClr w14:val="tx1"/>
                  </w14:solidFill>
                </w14:textFill>
              </w:rPr>
              <w:t>符合性分析表</w:t>
            </w:r>
          </w:p>
          <w:tbl>
            <w:tblPr>
              <w:tblStyle w:val="108"/>
              <w:tblW w:w="4997"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Layout w:type="fixed"/>
              <w:tblCellMar>
                <w:top w:w="0" w:type="dxa"/>
                <w:left w:w="0" w:type="dxa"/>
                <w:bottom w:w="0" w:type="dxa"/>
                <w:right w:w="0" w:type="dxa"/>
              </w:tblCellMar>
            </w:tblPr>
            <w:tblGrid>
              <w:gridCol w:w="935"/>
              <w:gridCol w:w="5917"/>
              <w:gridCol w:w="6320"/>
              <w:gridCol w:w="668"/>
            </w:tblGrid>
            <w:tr w14:paraId="474BB9D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67" w:hRule="atLeast"/>
              </w:trPr>
              <w:tc>
                <w:tcPr>
                  <w:tcW w:w="2475" w:type="pct"/>
                  <w:gridSpan w:val="2"/>
                  <w:tcBorders>
                    <w:tl2br w:val="nil"/>
                    <w:tr2bl w:val="nil"/>
                  </w:tcBorders>
                  <w:vAlign w:val="top"/>
                </w:tcPr>
                <w:p w14:paraId="7C6AA17D">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相关要求</w:t>
                  </w:r>
                </w:p>
              </w:tc>
              <w:tc>
                <w:tcPr>
                  <w:tcW w:w="2283" w:type="pct"/>
                  <w:tcBorders>
                    <w:tl2br w:val="nil"/>
                    <w:tr2bl w:val="nil"/>
                  </w:tcBorders>
                  <w:vAlign w:val="top"/>
                </w:tcPr>
                <w:p w14:paraId="6E0CFF8C">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项目情况</w:t>
                  </w:r>
                </w:p>
              </w:tc>
              <w:tc>
                <w:tcPr>
                  <w:tcW w:w="241" w:type="pct"/>
                  <w:tcBorders>
                    <w:tl2br w:val="nil"/>
                    <w:tr2bl w:val="nil"/>
                  </w:tcBorders>
                  <w:vAlign w:val="top"/>
                </w:tcPr>
                <w:p w14:paraId="7D779FDD">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符合性</w:t>
                  </w:r>
                </w:p>
              </w:tc>
            </w:tr>
            <w:tr w14:paraId="67BFCFC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720" w:hRule="atLeast"/>
              </w:trPr>
              <w:tc>
                <w:tcPr>
                  <w:tcW w:w="337" w:type="pct"/>
                  <w:vMerge w:val="restart"/>
                  <w:tcBorders>
                    <w:tl2br w:val="nil"/>
                    <w:tr2bl w:val="nil"/>
                  </w:tcBorders>
                  <w:vAlign w:val="top"/>
                </w:tcPr>
                <w:p w14:paraId="7231081E">
                  <w:pPr>
                    <w:pStyle w:val="119"/>
                    <w:keepNext w:val="0"/>
                    <w:keepLines w:val="0"/>
                    <w:pageBreakBefore w:val="0"/>
                    <w:widowControl/>
                    <w:tabs>
                      <w:tab w:val="left" w:pos="380"/>
                    </w:tabs>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2"/>
                      <w:w w:val="96"/>
                      <w:sz w:val="18"/>
                      <w:szCs w:val="18"/>
                      <w:u w:val="none" w:color="auto"/>
                      <w14:textFill>
                        <w14:solidFill>
                          <w14:schemeClr w14:val="tx1"/>
                        </w14:solidFill>
                      </w14:textFill>
                    </w:rPr>
                    <w:t>《废铅</w:t>
                  </w:r>
                  <w:r>
                    <w:rPr>
                      <w:rFonts w:hint="eastAsia" w:ascii="宋体" w:hAnsi="宋体" w:eastAsia="宋体" w:cs="宋体"/>
                      <w:color w:val="000000" w:themeColor="text1"/>
                      <w:spacing w:val="6"/>
                      <w:sz w:val="18"/>
                      <w:szCs w:val="18"/>
                      <w:u w:val="none" w:color="auto"/>
                      <w14:textFill>
                        <w14:solidFill>
                          <w14:schemeClr w14:val="tx1"/>
                        </w14:solidFill>
                      </w14:textFill>
                    </w:rPr>
                    <w:t>酸蓄电池回收技术规</w:t>
                  </w:r>
                  <w:r>
                    <w:rPr>
                      <w:rFonts w:hint="eastAsia" w:ascii="宋体" w:hAnsi="宋体" w:eastAsia="宋体" w:cs="宋体"/>
                      <w:color w:val="000000" w:themeColor="text1"/>
                      <w:spacing w:val="3"/>
                      <w:sz w:val="18"/>
                      <w:szCs w:val="18"/>
                      <w:u w:val="none" w:color="auto"/>
                      <w14:textFill>
                        <w14:solidFill>
                          <w14:schemeClr w14:val="tx1"/>
                        </w14:solidFill>
                      </w14:textFill>
                    </w:rPr>
                    <w:t>范》</w:t>
                  </w:r>
                  <w:r>
                    <w:rPr>
                      <w:rFonts w:hint="eastAsia" w:ascii="宋体" w:hAnsi="宋体" w:eastAsia="宋体" w:cs="宋体"/>
                      <w:color w:val="000000" w:themeColor="text1"/>
                      <w:spacing w:val="-18"/>
                      <w:sz w:val="18"/>
                      <w:szCs w:val="18"/>
                      <w:u w:val="none" w:color="auto"/>
                      <w14:textFill>
                        <w14:solidFill>
                          <w14:schemeClr w14:val="tx1"/>
                        </w14:solidFill>
                      </w14:textFill>
                    </w:rPr>
                    <w:t>（GB/T</w:t>
                  </w:r>
                  <w:r>
                    <w:rPr>
                      <w:rFonts w:hint="eastAsia" w:ascii="宋体" w:hAnsi="宋体" w:eastAsia="宋体" w:cs="宋体"/>
                      <w:color w:val="000000" w:themeColor="text1"/>
                      <w:spacing w:val="3"/>
                      <w:sz w:val="18"/>
                      <w:szCs w:val="18"/>
                      <w:u w:val="none" w:color="auto"/>
                      <w14:textFill>
                        <w14:solidFill>
                          <w14:schemeClr w14:val="tx1"/>
                        </w14:solidFill>
                      </w14:textFill>
                    </w:rPr>
                    <w:t>37281-2</w:t>
                  </w:r>
                  <w:r>
                    <w:rPr>
                      <w:rFonts w:hint="eastAsia" w:ascii="宋体" w:hAnsi="宋体" w:eastAsia="宋体" w:cs="宋体"/>
                      <w:color w:val="000000" w:themeColor="text1"/>
                      <w:spacing w:val="4"/>
                      <w:sz w:val="18"/>
                      <w:szCs w:val="18"/>
                      <w:u w:val="none" w:color="auto"/>
                      <w14:textFill>
                        <w14:solidFill>
                          <w14:schemeClr w14:val="tx1"/>
                        </w14:solidFill>
                      </w14:textFill>
                    </w:rPr>
                    <w:t>019）</w:t>
                  </w:r>
                </w:p>
              </w:tc>
              <w:tc>
                <w:tcPr>
                  <w:tcW w:w="2137" w:type="pct"/>
                  <w:tcBorders>
                    <w:tl2br w:val="nil"/>
                    <w:tr2bl w:val="nil"/>
                  </w:tcBorders>
                  <w:vAlign w:val="top"/>
                </w:tcPr>
                <w:p w14:paraId="37B38D0B">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应落实废电池的最终去</w:t>
                  </w:r>
                  <w:r>
                    <w:rPr>
                      <w:rFonts w:hint="eastAsia" w:ascii="宋体" w:hAnsi="宋体" w:eastAsia="宋体" w:cs="宋体"/>
                      <w:color w:val="000000" w:themeColor="text1"/>
                      <w:spacing w:val="7"/>
                      <w:sz w:val="18"/>
                      <w:szCs w:val="18"/>
                      <w:u w:val="none" w:color="auto"/>
                      <w14:textFill>
                        <w14:solidFill>
                          <w14:schemeClr w14:val="tx1"/>
                        </w14:solidFill>
                      </w14:textFill>
                    </w:rPr>
                    <w:t>向，委托持有危险废物经</w:t>
                  </w:r>
                  <w:r>
                    <w:rPr>
                      <w:rFonts w:hint="eastAsia" w:ascii="宋体" w:hAnsi="宋体" w:eastAsia="宋体" w:cs="宋体"/>
                      <w:color w:val="000000" w:themeColor="text1"/>
                      <w:spacing w:val="8"/>
                      <w:sz w:val="18"/>
                      <w:szCs w:val="18"/>
                      <w:u w:val="none" w:color="auto"/>
                      <w14:textFill>
                        <w14:solidFill>
                          <w14:schemeClr w14:val="tx1"/>
                        </w14:solidFill>
                      </w14:textFill>
                    </w:rPr>
                    <w:t>营许可证的再生铅企业进行无害化利用，不得将废</w:t>
                  </w:r>
                  <w:r>
                    <w:rPr>
                      <w:rFonts w:hint="eastAsia" w:ascii="宋体" w:hAnsi="宋体" w:eastAsia="宋体" w:cs="宋体"/>
                      <w:color w:val="000000" w:themeColor="text1"/>
                      <w:spacing w:val="6"/>
                      <w:sz w:val="18"/>
                      <w:szCs w:val="18"/>
                      <w:u w:val="none" w:color="auto"/>
                      <w14:textFill>
                        <w14:solidFill>
                          <w14:schemeClr w14:val="tx1"/>
                        </w14:solidFill>
                      </w14:textFill>
                    </w:rPr>
                    <w:t>电池转移给无废铅酸蓄电</w:t>
                  </w:r>
                  <w:r>
                    <w:rPr>
                      <w:rFonts w:hint="eastAsia" w:ascii="宋体" w:hAnsi="宋体" w:eastAsia="宋体" w:cs="宋体"/>
                      <w:color w:val="000000" w:themeColor="text1"/>
                      <w:spacing w:val="9"/>
                      <w:sz w:val="18"/>
                      <w:szCs w:val="18"/>
                      <w:u w:val="none" w:color="auto"/>
                      <w14:textFill>
                        <w14:solidFill>
                          <w14:schemeClr w14:val="tx1"/>
                        </w14:solidFill>
                      </w14:textFill>
                    </w:rPr>
                    <w:t>池经营许可证的单位或个</w:t>
                  </w:r>
                  <w:r>
                    <w:rPr>
                      <w:rFonts w:hint="eastAsia" w:ascii="宋体" w:hAnsi="宋体" w:eastAsia="宋体" w:cs="宋体"/>
                      <w:color w:val="000000" w:themeColor="text1"/>
                      <w:spacing w:val="13"/>
                      <w:sz w:val="18"/>
                      <w:szCs w:val="18"/>
                      <w:u w:val="none" w:color="auto"/>
                      <w14:textFill>
                        <w14:solidFill>
                          <w14:schemeClr w14:val="tx1"/>
                        </w14:solidFill>
                      </w14:textFill>
                    </w:rPr>
                    <w:t>人。</w:t>
                  </w:r>
                </w:p>
              </w:tc>
              <w:tc>
                <w:tcPr>
                  <w:tcW w:w="2283" w:type="pct"/>
                  <w:tcBorders>
                    <w:tl2br w:val="nil"/>
                    <w:tr2bl w:val="nil"/>
                  </w:tcBorders>
                  <w:vAlign w:val="top"/>
                </w:tcPr>
                <w:p w14:paraId="661C371C">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本项目取得危险废物经营</w:t>
                  </w:r>
                  <w:r>
                    <w:rPr>
                      <w:rFonts w:hint="eastAsia" w:ascii="宋体" w:hAnsi="宋体" w:eastAsia="宋体" w:cs="宋体"/>
                      <w:color w:val="000000" w:themeColor="text1"/>
                      <w:spacing w:val="9"/>
                      <w:sz w:val="18"/>
                      <w:szCs w:val="18"/>
                      <w:u w:val="none" w:color="auto"/>
                      <w14:textFill>
                        <w14:solidFill>
                          <w14:schemeClr w14:val="tx1"/>
                        </w14:solidFill>
                      </w14:textFill>
                    </w:rPr>
                    <w:t>许可证后才可从事废铅蓄</w:t>
                  </w:r>
                  <w:r>
                    <w:rPr>
                      <w:rFonts w:hint="eastAsia" w:ascii="宋体" w:hAnsi="宋体" w:eastAsia="宋体" w:cs="宋体"/>
                      <w:color w:val="000000" w:themeColor="text1"/>
                      <w:spacing w:val="6"/>
                      <w:sz w:val="18"/>
                      <w:szCs w:val="18"/>
                      <w:u w:val="none" w:color="auto"/>
                      <w14:textFill>
                        <w14:solidFill>
                          <w14:schemeClr w14:val="tx1"/>
                        </w14:solidFill>
                      </w14:textFill>
                    </w:rPr>
                    <w:t>电池收集、贮存，委托有</w:t>
                  </w:r>
                  <w:r>
                    <w:rPr>
                      <w:rFonts w:hint="eastAsia" w:ascii="宋体" w:hAnsi="宋体" w:eastAsia="宋体" w:cs="宋体"/>
                      <w:color w:val="000000" w:themeColor="text1"/>
                      <w:spacing w:val="8"/>
                      <w:sz w:val="18"/>
                      <w:szCs w:val="18"/>
                      <w:u w:val="none" w:color="auto"/>
                      <w14:textFill>
                        <w14:solidFill>
                          <w14:schemeClr w14:val="tx1"/>
                        </w14:solidFill>
                      </w14:textFill>
                    </w:rPr>
                    <w:t>资质单位处理废铅蓄电</w:t>
                  </w:r>
                  <w:r>
                    <w:rPr>
                      <w:rFonts w:hint="eastAsia" w:ascii="宋体" w:hAnsi="宋体" w:eastAsia="宋体" w:cs="宋体"/>
                      <w:color w:val="000000" w:themeColor="text1"/>
                      <w:spacing w:val="14"/>
                      <w:sz w:val="18"/>
                      <w:szCs w:val="18"/>
                      <w:u w:val="none" w:color="auto"/>
                      <w14:textFill>
                        <w14:solidFill>
                          <w14:schemeClr w14:val="tx1"/>
                        </w14:solidFill>
                      </w14:textFill>
                    </w:rPr>
                    <w:t>池。</w:t>
                  </w:r>
                </w:p>
              </w:tc>
              <w:tc>
                <w:tcPr>
                  <w:tcW w:w="241" w:type="pct"/>
                  <w:tcBorders>
                    <w:tl2br w:val="nil"/>
                    <w:tr2bl w:val="nil"/>
                  </w:tcBorders>
                  <w:vAlign w:val="top"/>
                </w:tcPr>
                <w:p w14:paraId="5EFC9DF9">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7D243831">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685" w:hRule="atLeast"/>
              </w:trPr>
              <w:tc>
                <w:tcPr>
                  <w:tcW w:w="337" w:type="pct"/>
                  <w:vMerge w:val="continue"/>
                  <w:tcBorders>
                    <w:tl2br w:val="nil"/>
                    <w:tr2bl w:val="nil"/>
                  </w:tcBorders>
                  <w:vAlign w:val="top"/>
                </w:tcPr>
                <w:p w14:paraId="61FFE6F2">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296DA0D1">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收集、贮存、运输、转移</w:t>
                  </w:r>
                  <w:r>
                    <w:rPr>
                      <w:rFonts w:hint="eastAsia" w:ascii="宋体" w:hAnsi="宋体" w:eastAsia="宋体" w:cs="宋体"/>
                      <w:color w:val="000000" w:themeColor="text1"/>
                      <w:spacing w:val="9"/>
                      <w:sz w:val="18"/>
                      <w:szCs w:val="18"/>
                      <w:u w:val="none" w:color="auto"/>
                      <w14:textFill>
                        <w14:solidFill>
                          <w14:schemeClr w14:val="tx1"/>
                        </w14:solidFill>
                      </w14:textFill>
                    </w:rPr>
                    <w:t>废电池的装置应根据废电池的特性而设计，具有不</w:t>
                  </w:r>
                  <w:r>
                    <w:rPr>
                      <w:rFonts w:hint="eastAsia" w:ascii="宋体" w:hAnsi="宋体" w:eastAsia="宋体" w:cs="宋体"/>
                      <w:color w:val="000000" w:themeColor="text1"/>
                      <w:spacing w:val="8"/>
                      <w:sz w:val="18"/>
                      <w:szCs w:val="18"/>
                      <w:u w:val="none" w:color="auto"/>
                      <w14:textFill>
                        <w14:solidFill>
                          <w14:schemeClr w14:val="tx1"/>
                        </w14:solidFill>
                      </w14:textFill>
                    </w:rPr>
                    <w:t>易破损、变形、绝缘，能</w:t>
                  </w:r>
                  <w:r>
                    <w:rPr>
                      <w:rFonts w:hint="eastAsia" w:ascii="宋体" w:hAnsi="宋体" w:eastAsia="宋体" w:cs="宋体"/>
                      <w:color w:val="000000" w:themeColor="text1"/>
                      <w:spacing w:val="9"/>
                      <w:sz w:val="18"/>
                      <w:szCs w:val="18"/>
                      <w:u w:val="none" w:color="auto"/>
                      <w14:textFill>
                        <w14:solidFill>
                          <w14:schemeClr w14:val="tx1"/>
                        </w14:solidFill>
                      </w14:textFill>
                    </w:rPr>
                    <w:t>有效防止渗漏、扩散，并</w:t>
                  </w:r>
                  <w:r>
                    <w:rPr>
                      <w:rFonts w:hint="eastAsia" w:ascii="宋体" w:hAnsi="宋体" w:eastAsia="宋体" w:cs="宋体"/>
                      <w:color w:val="000000" w:themeColor="text1"/>
                      <w:spacing w:val="8"/>
                      <w:sz w:val="18"/>
                      <w:szCs w:val="18"/>
                      <w:u w:val="none" w:color="auto"/>
                      <w14:textFill>
                        <w14:solidFill>
                          <w14:schemeClr w14:val="tx1"/>
                        </w14:solidFill>
                      </w14:textFill>
                    </w:rPr>
                    <w:t>耐酸腐蚀特性；装有废电池的装置应按照</w:t>
                  </w: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8"/>
                      <w:sz w:val="18"/>
                      <w:szCs w:val="18"/>
                      <w:u w:val="none" w:color="auto"/>
                      <w14:textFill>
                        <w14:solidFill>
                          <w14:schemeClr w14:val="tx1"/>
                        </w14:solidFill>
                      </w14:textFill>
                    </w:rPr>
                    <w:t>18597</w:t>
                  </w:r>
                  <w:r>
                    <w:rPr>
                      <w:rFonts w:hint="eastAsia" w:ascii="宋体" w:hAnsi="宋体" w:eastAsia="宋体" w:cs="宋体"/>
                      <w:color w:val="000000" w:themeColor="text1"/>
                      <w:spacing w:val="7"/>
                      <w:sz w:val="18"/>
                      <w:szCs w:val="18"/>
                      <w:u w:val="none" w:color="auto"/>
                      <w14:textFill>
                        <w14:solidFill>
                          <w14:schemeClr w14:val="tx1"/>
                        </w14:solidFill>
                      </w14:textFill>
                    </w:rPr>
                    <w:t>的要求粘贴危险废物标</w:t>
                  </w:r>
                  <w:r>
                    <w:rPr>
                      <w:rFonts w:hint="eastAsia" w:ascii="宋体" w:hAnsi="宋体" w:eastAsia="宋体" w:cs="宋体"/>
                      <w:color w:val="000000" w:themeColor="text1"/>
                      <w:spacing w:val="10"/>
                      <w:sz w:val="18"/>
                      <w:szCs w:val="18"/>
                      <w:u w:val="none" w:color="auto"/>
                      <w14:textFill>
                        <w14:solidFill>
                          <w14:schemeClr w14:val="tx1"/>
                        </w14:solidFill>
                      </w14:textFill>
                    </w:rPr>
                    <w:t>签，禁止在收集、贮存、</w:t>
                  </w:r>
                  <w:r>
                    <w:rPr>
                      <w:rFonts w:hint="eastAsia" w:ascii="宋体" w:hAnsi="宋体" w:eastAsia="宋体" w:cs="宋体"/>
                      <w:color w:val="000000" w:themeColor="text1"/>
                      <w:spacing w:val="9"/>
                      <w:sz w:val="18"/>
                      <w:szCs w:val="18"/>
                      <w:u w:val="none" w:color="auto"/>
                      <w14:textFill>
                        <w14:solidFill>
                          <w14:schemeClr w14:val="tx1"/>
                        </w14:solidFill>
                      </w14:textFill>
                    </w:rPr>
                    <w:t>运输、转移过程中擅自倾</w:t>
                  </w:r>
                  <w:r>
                    <w:rPr>
                      <w:rFonts w:hint="eastAsia" w:ascii="宋体" w:hAnsi="宋体" w:eastAsia="宋体" w:cs="宋体"/>
                      <w:color w:val="000000" w:themeColor="text1"/>
                      <w:spacing w:val="10"/>
                      <w:sz w:val="18"/>
                      <w:szCs w:val="18"/>
                      <w:u w:val="none" w:color="auto"/>
                      <w14:textFill>
                        <w14:solidFill>
                          <w14:schemeClr w14:val="tx1"/>
                        </w14:solidFill>
                      </w14:textFill>
                    </w:rPr>
                    <w:t>倒电解液，拆解、破碎、</w:t>
                  </w:r>
                  <w:r>
                    <w:rPr>
                      <w:rFonts w:hint="eastAsia" w:ascii="宋体" w:hAnsi="宋体" w:eastAsia="宋体" w:cs="宋体"/>
                      <w:color w:val="000000" w:themeColor="text1"/>
                      <w:spacing w:val="11"/>
                      <w:sz w:val="18"/>
                      <w:szCs w:val="18"/>
                      <w:u w:val="none" w:color="auto"/>
                      <w14:textFill>
                        <w14:solidFill>
                          <w14:schemeClr w14:val="tx1"/>
                        </w14:solidFill>
                      </w14:textFill>
                    </w:rPr>
                    <w:t>丢弃废电池。</w:t>
                  </w:r>
                </w:p>
              </w:tc>
              <w:tc>
                <w:tcPr>
                  <w:tcW w:w="2283" w:type="pct"/>
                  <w:tcBorders>
                    <w:tl2br w:val="nil"/>
                    <w:tr2bl w:val="nil"/>
                  </w:tcBorders>
                  <w:vAlign w:val="top"/>
                </w:tcPr>
                <w:p w14:paraId="0A024768">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本工程采用专业</w:t>
                  </w:r>
                  <w:r>
                    <w:rPr>
                      <w:rFonts w:hint="eastAsia" w:ascii="宋体" w:hAnsi="宋体" w:eastAsia="宋体" w:cs="宋体"/>
                      <w:color w:val="000000" w:themeColor="text1"/>
                      <w:sz w:val="18"/>
                      <w:szCs w:val="18"/>
                      <w:u w:val="none" w:color="auto"/>
                      <w14:textFill>
                        <w14:solidFill>
                          <w14:schemeClr w14:val="tx1"/>
                        </w14:solidFill>
                      </w14:textFill>
                    </w:rPr>
                    <w:t>PVC</w:t>
                  </w:r>
                  <w:r>
                    <w:rPr>
                      <w:rFonts w:hint="eastAsia" w:ascii="宋体" w:hAnsi="宋体" w:eastAsia="宋体" w:cs="宋体"/>
                      <w:color w:val="000000" w:themeColor="text1"/>
                      <w:spacing w:val="10"/>
                      <w:sz w:val="18"/>
                      <w:szCs w:val="18"/>
                      <w:u w:val="none" w:color="auto"/>
                      <w14:textFill>
                        <w14:solidFill>
                          <w14:schemeClr w14:val="tx1"/>
                        </w14:solidFill>
                      </w14:textFill>
                    </w:rPr>
                    <w:t>周转</w:t>
                  </w:r>
                  <w:r>
                    <w:rPr>
                      <w:rFonts w:hint="eastAsia" w:ascii="宋体" w:hAnsi="宋体" w:eastAsia="宋体" w:cs="宋体"/>
                      <w:color w:val="000000" w:themeColor="text1"/>
                      <w:spacing w:val="9"/>
                      <w:sz w:val="18"/>
                      <w:szCs w:val="18"/>
                      <w:u w:val="none" w:color="auto"/>
                      <w14:textFill>
                        <w14:solidFill>
                          <w14:schemeClr w14:val="tx1"/>
                        </w14:solidFill>
                      </w14:textFill>
                    </w:rPr>
                    <w:t>箱（防酸、防渗）、设防酸、防渗塑料托盘进行废</w:t>
                  </w:r>
                  <w:r>
                    <w:rPr>
                      <w:rFonts w:hint="eastAsia" w:ascii="宋体" w:hAnsi="宋体" w:eastAsia="宋体" w:cs="宋体"/>
                      <w:color w:val="000000" w:themeColor="text1"/>
                      <w:spacing w:val="8"/>
                      <w:sz w:val="18"/>
                      <w:szCs w:val="18"/>
                      <w:u w:val="none" w:color="auto"/>
                      <w14:textFill>
                        <w14:solidFill>
                          <w14:schemeClr w14:val="tx1"/>
                        </w14:solidFill>
                      </w14:textFill>
                    </w:rPr>
                    <w:t>铅酸蓄电池的暂存，并按</w:t>
                  </w:r>
                  <w:r>
                    <w:rPr>
                      <w:rFonts w:hint="eastAsia" w:ascii="宋体" w:hAnsi="宋体" w:eastAsia="宋体" w:cs="宋体"/>
                      <w:color w:val="000000" w:themeColor="text1"/>
                      <w:spacing w:val="9"/>
                      <w:sz w:val="18"/>
                      <w:szCs w:val="18"/>
                      <w:u w:val="none" w:color="auto"/>
                      <w14:textFill>
                        <w14:solidFill>
                          <w14:schemeClr w14:val="tx1"/>
                        </w14:solidFill>
                      </w14:textFill>
                    </w:rPr>
                    <w:t>要求贴标签，在收集、贮存、运输过程中不会擅自</w:t>
                  </w:r>
                  <w:r>
                    <w:rPr>
                      <w:rFonts w:hint="eastAsia" w:ascii="宋体" w:hAnsi="宋体" w:eastAsia="宋体" w:cs="宋体"/>
                      <w:color w:val="000000" w:themeColor="text1"/>
                      <w:spacing w:val="5"/>
                      <w:sz w:val="18"/>
                      <w:szCs w:val="18"/>
                      <w:u w:val="none" w:color="auto"/>
                      <w14:textFill>
                        <w14:solidFill>
                          <w14:schemeClr w14:val="tx1"/>
                        </w14:solidFill>
                      </w14:textFill>
                    </w:rPr>
                    <w:t>倾倒电解液，拆解、破碎、</w:t>
                  </w:r>
                  <w:r>
                    <w:rPr>
                      <w:rFonts w:hint="eastAsia" w:ascii="宋体" w:hAnsi="宋体" w:eastAsia="宋体" w:cs="宋体"/>
                      <w:color w:val="000000" w:themeColor="text1"/>
                      <w:spacing w:val="11"/>
                      <w:sz w:val="18"/>
                      <w:szCs w:val="18"/>
                      <w:u w:val="none" w:color="auto"/>
                      <w14:textFill>
                        <w14:solidFill>
                          <w14:schemeClr w14:val="tx1"/>
                        </w14:solidFill>
                      </w14:textFill>
                    </w:rPr>
                    <w:t>丢弃废电池。</w:t>
                  </w:r>
                </w:p>
              </w:tc>
              <w:tc>
                <w:tcPr>
                  <w:tcW w:w="241" w:type="pct"/>
                  <w:tcBorders>
                    <w:tl2br w:val="nil"/>
                    <w:tr2bl w:val="nil"/>
                  </w:tcBorders>
                  <w:vAlign w:val="top"/>
                </w:tcPr>
                <w:p w14:paraId="04D1AAE7">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5879620A">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337" w:type="pct"/>
                  <w:vMerge w:val="continue"/>
                  <w:tcBorders>
                    <w:tl2br w:val="nil"/>
                    <w:tr2bl w:val="nil"/>
                  </w:tcBorders>
                  <w:vAlign w:val="top"/>
                </w:tcPr>
                <w:p w14:paraId="14B55D35">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55A71BCC">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具有独立的集中场地和足</w:t>
                  </w:r>
                  <w:r>
                    <w:rPr>
                      <w:rFonts w:hint="eastAsia" w:ascii="宋体" w:hAnsi="宋体" w:eastAsia="宋体" w:cs="宋体"/>
                      <w:color w:val="000000" w:themeColor="text1"/>
                      <w:spacing w:val="11"/>
                      <w:sz w:val="18"/>
                      <w:szCs w:val="18"/>
                      <w:u w:val="none" w:color="auto"/>
                      <w14:textFill>
                        <w14:solidFill>
                          <w14:schemeClr w14:val="tx1"/>
                        </w14:solidFill>
                      </w14:textFill>
                    </w:rPr>
                    <w:t>够的贮存空间。</w:t>
                  </w:r>
                </w:p>
              </w:tc>
              <w:tc>
                <w:tcPr>
                  <w:tcW w:w="2283" w:type="pct"/>
                  <w:tcBorders>
                    <w:tl2br w:val="nil"/>
                    <w:tr2bl w:val="nil"/>
                  </w:tcBorders>
                  <w:vAlign w:val="top"/>
                </w:tcPr>
                <w:p w14:paraId="49E02DBA">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本项目建设独立的废铅蓄</w:t>
                  </w:r>
                  <w:r>
                    <w:rPr>
                      <w:rFonts w:hint="eastAsia" w:ascii="宋体" w:hAnsi="宋体" w:eastAsia="宋体" w:cs="宋体"/>
                      <w:color w:val="000000" w:themeColor="text1"/>
                      <w:spacing w:val="6"/>
                      <w:sz w:val="18"/>
                      <w:szCs w:val="18"/>
                      <w:u w:val="none" w:color="auto"/>
                      <w14:textFill>
                        <w14:solidFill>
                          <w14:schemeClr w14:val="tx1"/>
                        </w14:solidFill>
                      </w14:textFill>
                    </w:rPr>
                    <w:t>电池</w:t>
                  </w:r>
                  <w:r>
                    <w:rPr>
                      <w:rFonts w:hint="eastAsia" w:cs="宋体"/>
                      <w:color w:val="000000" w:themeColor="text1"/>
                      <w:spacing w:val="6"/>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6"/>
                      <w:sz w:val="18"/>
                      <w:szCs w:val="18"/>
                      <w:u w:val="none" w:color="auto"/>
                      <w14:textFill>
                        <w14:solidFill>
                          <w14:schemeClr w14:val="tx1"/>
                        </w14:solidFill>
                      </w14:textFill>
                    </w:rPr>
                    <w:t>，建筑面积</w:t>
                  </w: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12</w:t>
                  </w:r>
                  <w:r>
                    <w:rPr>
                      <w:rFonts w:hint="eastAsia" w:ascii="宋体" w:hAnsi="宋体" w:eastAsia="宋体" w:cs="宋体"/>
                      <w:color w:val="000000" w:themeColor="text1"/>
                      <w:spacing w:val="3"/>
                      <w:sz w:val="18"/>
                      <w:szCs w:val="18"/>
                      <w:u w:val="none" w:color="auto"/>
                      <w14:textFill>
                        <w14:solidFill>
                          <w14:schemeClr w14:val="tx1"/>
                        </w14:solidFill>
                      </w14:textFill>
                    </w:rPr>
                    <w:t>0m2。</w:t>
                  </w:r>
                </w:p>
              </w:tc>
              <w:tc>
                <w:tcPr>
                  <w:tcW w:w="241" w:type="pct"/>
                  <w:tcBorders>
                    <w:tl2br w:val="nil"/>
                    <w:tr2bl w:val="nil"/>
                  </w:tcBorders>
                  <w:vAlign w:val="top"/>
                </w:tcPr>
                <w:p w14:paraId="1C43DA44">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4A8233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33" w:hRule="atLeast"/>
              </w:trPr>
              <w:tc>
                <w:tcPr>
                  <w:tcW w:w="337" w:type="pct"/>
                  <w:vMerge w:val="continue"/>
                  <w:tcBorders>
                    <w:tl2br w:val="nil"/>
                    <w:tr2bl w:val="nil"/>
                  </w:tcBorders>
                  <w:vAlign w:val="top"/>
                </w:tcPr>
                <w:p w14:paraId="6361CE7A">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027B1F0F">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应按</w:t>
                  </w: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7"/>
                      <w:sz w:val="18"/>
                      <w:szCs w:val="18"/>
                      <w:u w:val="none" w:color="auto"/>
                      <w14:textFill>
                        <w14:solidFill>
                          <w14:schemeClr w14:val="tx1"/>
                        </w14:solidFill>
                      </w14:textFill>
                    </w:rPr>
                    <w:t>15562.2的规定设</w:t>
                  </w:r>
                  <w:r>
                    <w:rPr>
                      <w:rFonts w:hint="eastAsia" w:ascii="宋体" w:hAnsi="宋体" w:eastAsia="宋体" w:cs="宋体"/>
                      <w:color w:val="000000" w:themeColor="text1"/>
                      <w:spacing w:val="9"/>
                      <w:sz w:val="18"/>
                      <w:szCs w:val="18"/>
                      <w:u w:val="none" w:color="auto"/>
                      <w14:textFill>
                        <w14:solidFill>
                          <w14:schemeClr w14:val="tx1"/>
                        </w14:solidFill>
                      </w14:textFill>
                    </w:rPr>
                    <w:t>立警示标志，禁止非专业</w:t>
                  </w:r>
                  <w:r>
                    <w:rPr>
                      <w:rFonts w:hint="eastAsia" w:ascii="宋体" w:hAnsi="宋体" w:eastAsia="宋体" w:cs="宋体"/>
                      <w:color w:val="000000" w:themeColor="text1"/>
                      <w:spacing w:val="11"/>
                      <w:sz w:val="18"/>
                      <w:szCs w:val="18"/>
                      <w:u w:val="none" w:color="auto"/>
                      <w14:textFill>
                        <w14:solidFill>
                          <w14:schemeClr w14:val="tx1"/>
                        </w14:solidFill>
                      </w14:textFill>
                    </w:rPr>
                    <w:t>工作人员进人。</w:t>
                  </w:r>
                </w:p>
              </w:tc>
              <w:tc>
                <w:tcPr>
                  <w:tcW w:w="2283" w:type="pct"/>
                  <w:tcBorders>
                    <w:tl2br w:val="nil"/>
                    <w:tr2bl w:val="nil"/>
                  </w:tcBorders>
                  <w:vAlign w:val="top"/>
                </w:tcPr>
                <w:p w14:paraId="6EE107EA">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废铅蓄电池</w:t>
                  </w:r>
                  <w:r>
                    <w:rPr>
                      <w:rFonts w:hint="eastAsia" w:cs="宋体"/>
                      <w:color w:val="000000" w:themeColor="text1"/>
                      <w:spacing w:val="9"/>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9"/>
                      <w:sz w:val="18"/>
                      <w:szCs w:val="18"/>
                      <w:u w:val="none" w:color="auto"/>
                      <w14:textFill>
                        <w14:solidFill>
                          <w14:schemeClr w14:val="tx1"/>
                        </w14:solidFill>
                      </w14:textFill>
                    </w:rPr>
                    <w:t>设置警示标志，禁止非专业工作</w:t>
                  </w:r>
                  <w:r>
                    <w:rPr>
                      <w:rFonts w:hint="eastAsia" w:ascii="宋体" w:hAnsi="宋体" w:eastAsia="宋体" w:cs="宋体"/>
                      <w:color w:val="000000" w:themeColor="text1"/>
                      <w:spacing w:val="11"/>
                      <w:sz w:val="18"/>
                      <w:szCs w:val="18"/>
                      <w:u w:val="none" w:color="auto"/>
                      <w14:textFill>
                        <w14:solidFill>
                          <w14:schemeClr w14:val="tx1"/>
                        </w14:solidFill>
                      </w14:textFill>
                    </w:rPr>
                    <w:t>人员进人。</w:t>
                  </w:r>
                </w:p>
              </w:tc>
              <w:tc>
                <w:tcPr>
                  <w:tcW w:w="241" w:type="pct"/>
                  <w:tcBorders>
                    <w:tl2br w:val="nil"/>
                    <w:tr2bl w:val="nil"/>
                  </w:tcBorders>
                  <w:vAlign w:val="top"/>
                </w:tcPr>
                <w:p w14:paraId="304DCC7E">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42D59AD4">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17" w:hRule="atLeast"/>
              </w:trPr>
              <w:tc>
                <w:tcPr>
                  <w:tcW w:w="337" w:type="pct"/>
                  <w:vMerge w:val="continue"/>
                  <w:tcBorders>
                    <w:tl2br w:val="nil"/>
                    <w:tr2bl w:val="nil"/>
                  </w:tcBorders>
                  <w:vAlign w:val="top"/>
                </w:tcPr>
                <w:p w14:paraId="7C4A5464">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0426248B">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地面应进行耐酸防渗处</w:t>
                  </w:r>
                  <w:r>
                    <w:rPr>
                      <w:rFonts w:hint="eastAsia" w:ascii="宋体" w:hAnsi="宋体" w:eastAsia="宋体" w:cs="宋体"/>
                      <w:color w:val="000000" w:themeColor="text1"/>
                      <w:spacing w:val="13"/>
                      <w:sz w:val="18"/>
                      <w:szCs w:val="18"/>
                      <w:u w:val="none" w:color="auto"/>
                      <w14:textFill>
                        <w14:solidFill>
                          <w14:schemeClr w14:val="tx1"/>
                        </w14:solidFill>
                      </w14:textFill>
                    </w:rPr>
                    <w:t>理。</w:t>
                  </w:r>
                </w:p>
              </w:tc>
              <w:tc>
                <w:tcPr>
                  <w:tcW w:w="2283" w:type="pct"/>
                  <w:tcBorders>
                    <w:tl2br w:val="nil"/>
                    <w:tr2bl w:val="nil"/>
                  </w:tcBorders>
                  <w:vAlign w:val="top"/>
                </w:tcPr>
                <w:p w14:paraId="7650FBD9">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废铅蓄电池</w:t>
                  </w:r>
                  <w:r>
                    <w:rPr>
                      <w:rFonts w:hint="eastAsia" w:cs="宋体"/>
                      <w:color w:val="000000" w:themeColor="text1"/>
                      <w:spacing w:val="9"/>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9"/>
                      <w:sz w:val="18"/>
                      <w:szCs w:val="18"/>
                      <w:u w:val="none" w:color="auto"/>
                      <w14:textFill>
                        <w14:solidFill>
                          <w14:schemeClr w14:val="tx1"/>
                        </w14:solidFill>
                      </w14:textFill>
                    </w:rPr>
                    <w:t>地面进</w:t>
                  </w:r>
                  <w:r>
                    <w:rPr>
                      <w:rFonts w:hint="eastAsia" w:ascii="宋体" w:hAnsi="宋体" w:eastAsia="宋体" w:cs="宋体"/>
                      <w:color w:val="000000" w:themeColor="text1"/>
                      <w:spacing w:val="10"/>
                      <w:sz w:val="18"/>
                      <w:szCs w:val="18"/>
                      <w:u w:val="none" w:color="auto"/>
                      <w14:textFill>
                        <w14:solidFill>
                          <w14:schemeClr w14:val="tx1"/>
                        </w14:solidFill>
                      </w14:textFill>
                    </w:rPr>
                    <w:t>行耐酸防渗处理。</w:t>
                  </w:r>
                </w:p>
              </w:tc>
              <w:tc>
                <w:tcPr>
                  <w:tcW w:w="241" w:type="pct"/>
                  <w:tcBorders>
                    <w:tl2br w:val="nil"/>
                    <w:tr2bl w:val="nil"/>
                  </w:tcBorders>
                  <w:vAlign w:val="top"/>
                </w:tcPr>
                <w:p w14:paraId="6A385AF1">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4B81A38F">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61" w:hRule="atLeast"/>
              </w:trPr>
              <w:tc>
                <w:tcPr>
                  <w:tcW w:w="337" w:type="pct"/>
                  <w:vMerge w:val="continue"/>
                  <w:tcBorders>
                    <w:tl2br w:val="nil"/>
                    <w:tr2bl w:val="nil"/>
                  </w:tcBorders>
                  <w:vAlign w:val="top"/>
                </w:tcPr>
                <w:p w14:paraId="3E43A2C6">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4F4B52AE">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2"/>
                    <w:jc w:val="both"/>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应配备相应的废电池存放装置、耐酸塑料容器以及</w:t>
                  </w:r>
                  <w:r>
                    <w:rPr>
                      <w:rFonts w:hint="eastAsia" w:ascii="宋体" w:hAnsi="宋体" w:eastAsia="宋体" w:cs="宋体"/>
                      <w:color w:val="000000" w:themeColor="text1"/>
                      <w:spacing w:val="21"/>
                      <w:sz w:val="18"/>
                      <w:szCs w:val="18"/>
                      <w:u w:val="none" w:color="auto"/>
                      <w14:textFill>
                        <w14:solidFill>
                          <w14:schemeClr w14:val="tx1"/>
                        </w14:solidFill>
                      </w14:textFill>
                    </w:rPr>
                    <w:t>用于收集废酸的装置。</w:t>
                  </w:r>
                </w:p>
              </w:tc>
              <w:tc>
                <w:tcPr>
                  <w:tcW w:w="2283" w:type="pct"/>
                  <w:tcBorders>
                    <w:tl2br w:val="nil"/>
                    <w:tr2bl w:val="nil"/>
                  </w:tcBorders>
                  <w:vAlign w:val="top"/>
                </w:tcPr>
                <w:p w14:paraId="5E493A5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22"/>
                    <w:jc w:val="both"/>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本工程采用专业</w:t>
                  </w:r>
                  <w:r>
                    <w:rPr>
                      <w:rFonts w:hint="eastAsia" w:ascii="宋体" w:hAnsi="宋体" w:eastAsia="宋体" w:cs="宋体"/>
                      <w:color w:val="000000" w:themeColor="text1"/>
                      <w:sz w:val="18"/>
                      <w:szCs w:val="18"/>
                      <w:u w:val="none" w:color="auto"/>
                      <w14:textFill>
                        <w14:solidFill>
                          <w14:schemeClr w14:val="tx1"/>
                        </w14:solidFill>
                      </w14:textFill>
                    </w:rPr>
                    <w:t>PVC</w:t>
                  </w:r>
                  <w:r>
                    <w:rPr>
                      <w:rFonts w:hint="eastAsia" w:ascii="宋体" w:hAnsi="宋体" w:eastAsia="宋体" w:cs="宋体"/>
                      <w:color w:val="000000" w:themeColor="text1"/>
                      <w:spacing w:val="10"/>
                      <w:sz w:val="18"/>
                      <w:szCs w:val="18"/>
                      <w:u w:val="none" w:color="auto"/>
                      <w14:textFill>
                        <w14:solidFill>
                          <w14:schemeClr w14:val="tx1"/>
                        </w14:solidFill>
                      </w14:textFill>
                    </w:rPr>
                    <w:t>周转</w:t>
                  </w:r>
                  <w:r>
                    <w:rPr>
                      <w:rFonts w:hint="eastAsia" w:ascii="宋体" w:hAnsi="宋体" w:eastAsia="宋体" w:cs="宋体"/>
                      <w:color w:val="000000" w:themeColor="text1"/>
                      <w:spacing w:val="9"/>
                      <w:sz w:val="18"/>
                      <w:szCs w:val="18"/>
                      <w:u w:val="none" w:color="auto"/>
                      <w14:textFill>
                        <w14:solidFill>
                          <w14:schemeClr w14:val="tx1"/>
                        </w14:solidFill>
                      </w14:textFill>
                    </w:rPr>
                    <w:t>箱（防酸、防渗）、设防酸、防渗塑料托盘进行废</w:t>
                  </w:r>
                  <w:r>
                    <w:rPr>
                      <w:rFonts w:hint="eastAsia" w:ascii="宋体" w:hAnsi="宋体" w:eastAsia="宋体" w:cs="宋体"/>
                      <w:color w:val="000000" w:themeColor="text1"/>
                      <w:spacing w:val="9"/>
                      <w:sz w:val="18"/>
                      <w:szCs w:val="18"/>
                      <w:u w:val="none" w:color="auto"/>
                      <w:lang w:val="en-US" w:eastAsia="zh-CN"/>
                      <w14:textFill>
                        <w14:solidFill>
                          <w14:schemeClr w14:val="tx1"/>
                        </w14:solidFill>
                      </w14:textFill>
                    </w:rPr>
                    <w:t>铅酸</w:t>
                  </w:r>
                  <w:r>
                    <w:rPr>
                      <w:rFonts w:hint="eastAsia" w:ascii="宋体" w:hAnsi="宋体" w:eastAsia="宋体" w:cs="宋体"/>
                      <w:color w:val="000000" w:themeColor="text1"/>
                      <w:spacing w:val="-2"/>
                      <w:sz w:val="18"/>
                      <w:szCs w:val="18"/>
                      <w:u w:val="none" w:color="auto"/>
                      <w14:textFill>
                        <w14:solidFill>
                          <w14:schemeClr w14:val="tx1"/>
                        </w14:solidFill>
                      </w14:textFill>
                    </w:rPr>
                    <w:t>蓄</w:t>
                  </w: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电池</w:t>
                  </w:r>
                  <w:r>
                    <w:rPr>
                      <w:rFonts w:hint="eastAsia" w:ascii="宋体" w:hAnsi="宋体" w:eastAsia="宋体" w:cs="宋体"/>
                      <w:color w:val="000000" w:themeColor="text1"/>
                      <w:spacing w:val="-2"/>
                      <w:sz w:val="18"/>
                      <w:szCs w:val="18"/>
                      <w:u w:val="none" w:color="auto"/>
                      <w14:textFill>
                        <w14:solidFill>
                          <w14:schemeClr w14:val="tx1"/>
                        </w14:solidFill>
                      </w14:textFill>
                    </w:rPr>
                    <w:t>暂存</w:t>
                  </w:r>
                </w:p>
              </w:tc>
              <w:tc>
                <w:tcPr>
                  <w:tcW w:w="241" w:type="pct"/>
                  <w:tcBorders>
                    <w:tl2br w:val="nil"/>
                    <w:tr2bl w:val="nil"/>
                  </w:tcBorders>
                  <w:vAlign w:val="top"/>
                </w:tcPr>
                <w:p w14:paraId="5C968503">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678C7ACD">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337" w:type="pct"/>
                  <w:vMerge w:val="continue"/>
                  <w:tcBorders>
                    <w:tl2br w:val="nil"/>
                    <w:tr2bl w:val="nil"/>
                  </w:tcBorders>
                  <w:vAlign w:val="top"/>
                </w:tcPr>
                <w:p w14:paraId="2A7D950C">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709F871E">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应防雨，配备防火设施并</w:t>
                  </w:r>
                  <w:r>
                    <w:rPr>
                      <w:rFonts w:hint="eastAsia" w:ascii="宋体" w:hAnsi="宋体" w:eastAsia="宋体" w:cs="宋体"/>
                      <w:color w:val="000000" w:themeColor="text1"/>
                      <w:sz w:val="18"/>
                      <w:szCs w:val="18"/>
                      <w:u w:val="none" w:color="auto"/>
                      <w14:textFill>
                        <w14:solidFill>
                          <w14:schemeClr w14:val="tx1"/>
                        </w14:solidFill>
                      </w14:textFill>
                    </w:rPr>
                    <w:t>设置</w:t>
                  </w: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标</w:t>
                  </w:r>
                  <w:r>
                    <w:rPr>
                      <w:rFonts w:hint="eastAsia" w:ascii="宋体" w:hAnsi="宋体" w:eastAsia="宋体" w:cs="宋体"/>
                      <w:color w:val="000000" w:themeColor="text1"/>
                      <w:sz w:val="18"/>
                      <w:szCs w:val="18"/>
                      <w:u w:val="none" w:color="auto"/>
                      <w14:textFill>
                        <w14:solidFill>
                          <w14:schemeClr w14:val="tx1"/>
                        </w14:solidFill>
                      </w14:textFill>
                    </w:rPr>
                    <w:t>志。</w:t>
                  </w:r>
                </w:p>
                <w:p w14:paraId="028CBB3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50" w:right="142"/>
                    <w:jc w:val="both"/>
                    <w:textAlignment w:val="baseline"/>
                    <w:rPr>
                      <w:rFonts w:hint="eastAsia" w:ascii="宋体" w:hAnsi="宋体" w:eastAsia="宋体" w:cs="宋体"/>
                      <w:color w:val="000000" w:themeColor="text1"/>
                      <w:spacing w:val="9"/>
                      <w:sz w:val="18"/>
                      <w:szCs w:val="18"/>
                      <w:u w:val="none" w:color="auto"/>
                      <w14:textFill>
                        <w14:solidFill>
                          <w14:schemeClr w14:val="tx1"/>
                        </w14:solidFill>
                      </w14:textFill>
                    </w:rPr>
                  </w:pPr>
                </w:p>
              </w:tc>
              <w:tc>
                <w:tcPr>
                  <w:tcW w:w="2283" w:type="pct"/>
                  <w:tcBorders>
                    <w:tl2br w:val="nil"/>
                    <w:tr2bl w:val="nil"/>
                  </w:tcBorders>
                  <w:vAlign w:val="top"/>
                </w:tcPr>
                <w:p w14:paraId="1C03326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jc w:val="both"/>
                    <w:textAlignment w:val="baseline"/>
                    <w:rPr>
                      <w:rFonts w:hint="eastAsia" w:ascii="宋体" w:hAnsi="宋体" w:eastAsia="宋体" w:cs="宋体"/>
                      <w:color w:val="000000" w:themeColor="text1"/>
                      <w:spacing w:val="10"/>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废铅蓄电池</w:t>
                  </w:r>
                  <w:r>
                    <w:rPr>
                      <w:rFonts w:hint="eastAsia" w:cs="宋体"/>
                      <w:color w:val="000000" w:themeColor="text1"/>
                      <w:spacing w:val="10"/>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10"/>
                      <w:sz w:val="18"/>
                      <w:szCs w:val="18"/>
                      <w:u w:val="none" w:color="auto"/>
                      <w14:textFill>
                        <w14:solidFill>
                          <w14:schemeClr w14:val="tx1"/>
                        </w14:solidFill>
                      </w14:textFill>
                    </w:rPr>
                    <w:t>为封闭结构，不漏雨;配备灭火器、消防沙等防火设施，并设置防火标志。</w:t>
                  </w:r>
                </w:p>
              </w:tc>
              <w:tc>
                <w:tcPr>
                  <w:tcW w:w="241" w:type="pct"/>
                  <w:tcBorders>
                    <w:tl2br w:val="nil"/>
                    <w:tr2bl w:val="nil"/>
                  </w:tcBorders>
                  <w:vAlign w:val="top"/>
                </w:tcPr>
                <w:p w14:paraId="0B6C3878">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501C6AE3">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448" w:hRule="atLeast"/>
              </w:trPr>
              <w:tc>
                <w:tcPr>
                  <w:tcW w:w="337" w:type="pct"/>
                  <w:vMerge w:val="continue"/>
                  <w:tcBorders>
                    <w:tl2br w:val="nil"/>
                    <w:tr2bl w:val="nil"/>
                  </w:tcBorders>
                  <w:vAlign w:val="top"/>
                </w:tcPr>
                <w:p w14:paraId="5F24D9A7">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562D12E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2"/>
                    <w:jc w:val="both"/>
                    <w:textAlignment w:val="baseline"/>
                    <w:rPr>
                      <w:rFonts w:hint="eastAsia" w:ascii="宋体" w:hAnsi="宋体" w:eastAsia="宋体" w:cs="宋体"/>
                      <w:color w:val="000000" w:themeColor="text1"/>
                      <w:spacing w:val="9"/>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作业人员应配备耐酸工作服、专用眼镜、耐酸手套等个人防护装备</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2283" w:type="pct"/>
                  <w:tcBorders>
                    <w:tl2br w:val="nil"/>
                    <w:tr2bl w:val="nil"/>
                  </w:tcBorders>
                  <w:vAlign w:val="top"/>
                </w:tcPr>
                <w:p w14:paraId="5D27AA3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jc w:val="both"/>
                    <w:textAlignment w:val="baseline"/>
                    <w:rPr>
                      <w:rFonts w:hint="eastAsia" w:ascii="宋体" w:hAnsi="宋体" w:eastAsia="宋体" w:cs="宋体"/>
                      <w:color w:val="000000" w:themeColor="text1"/>
                      <w:spacing w:val="10"/>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本项目废铅蓄电池存放区面积</w:t>
                  </w:r>
                  <w:r>
                    <w:rPr>
                      <w:rFonts w:hint="eastAsia" w:ascii="宋体" w:hAnsi="宋体" w:eastAsia="宋体" w:cs="宋体"/>
                      <w:color w:val="000000" w:themeColor="text1"/>
                      <w:spacing w:val="10"/>
                      <w:sz w:val="18"/>
                      <w:szCs w:val="18"/>
                      <w:highlight w:val="none"/>
                      <w:u w:val="none" w:color="auto"/>
                      <w14:textFill>
                        <w14:solidFill>
                          <w14:schemeClr w14:val="tx1"/>
                        </w14:solidFill>
                      </w14:textFill>
                    </w:rPr>
                    <w:t>为</w:t>
                  </w:r>
                  <w:r>
                    <w:rPr>
                      <w:rFonts w:hint="eastAsia" w:ascii="宋体" w:hAnsi="宋体" w:eastAsia="宋体" w:cs="宋体"/>
                      <w:color w:val="000000" w:themeColor="text1"/>
                      <w:spacing w:val="10"/>
                      <w:sz w:val="18"/>
                      <w:szCs w:val="18"/>
                      <w:highlight w:val="none"/>
                      <w:u w:val="none" w:color="auto"/>
                      <w:lang w:val="en-US" w:eastAsia="zh-CN"/>
                      <w14:textFill>
                        <w14:solidFill>
                          <w14:schemeClr w14:val="tx1"/>
                        </w14:solidFill>
                      </w14:textFill>
                    </w:rPr>
                    <w:t>12</w:t>
                  </w:r>
                  <w:r>
                    <w:rPr>
                      <w:rFonts w:hint="eastAsia" w:ascii="宋体" w:hAnsi="宋体" w:eastAsia="宋体" w:cs="宋体"/>
                      <w:color w:val="000000" w:themeColor="text1"/>
                      <w:spacing w:val="10"/>
                      <w:sz w:val="18"/>
                      <w:szCs w:val="18"/>
                      <w:highlight w:val="none"/>
                      <w:u w:val="none" w:color="auto"/>
                      <w14:textFill>
                        <w14:solidFill>
                          <w14:schemeClr w14:val="tx1"/>
                        </w14:solidFill>
                      </w14:textFill>
                    </w:rPr>
                    <w:t>0m2</w:t>
                  </w:r>
                  <w:r>
                    <w:rPr>
                      <w:rFonts w:hint="eastAsia" w:ascii="宋体" w:hAnsi="宋体" w:eastAsia="宋体" w:cs="宋体"/>
                      <w:color w:val="000000" w:themeColor="text1"/>
                      <w:spacing w:val="10"/>
                      <w:sz w:val="18"/>
                      <w:szCs w:val="18"/>
                      <w:u w:val="none" w:color="auto"/>
                      <w14:textFill>
                        <w14:solidFill>
                          <w14:schemeClr w14:val="tx1"/>
                        </w14:solidFill>
                      </w14:textFill>
                    </w:rPr>
                    <w:t>。含铅电池原包装放置于托盘内，如有存储期间破损，单独放置干防渗防漏PVC桶内，并在显著位置张贴废铅蓄电池收集提示性信息和警示标志。危废间内设置集液槽</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241" w:type="pct"/>
                  <w:tcBorders>
                    <w:tl2br w:val="nil"/>
                    <w:tr2bl w:val="nil"/>
                  </w:tcBorders>
                  <w:vAlign w:val="top"/>
                </w:tcPr>
                <w:p w14:paraId="6BA80502">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5F3CC52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98" w:hRule="atLeast"/>
              </w:trPr>
              <w:tc>
                <w:tcPr>
                  <w:tcW w:w="337" w:type="pct"/>
                  <w:vMerge w:val="continue"/>
                  <w:tcBorders>
                    <w:tl2br w:val="nil"/>
                    <w:tr2bl w:val="nil"/>
                  </w:tcBorders>
                  <w:vAlign w:val="top"/>
                </w:tcPr>
                <w:p w14:paraId="3BA5EBFD">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5011DDF6">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2"/>
                    <w:jc w:val="both"/>
                    <w:textAlignment w:val="baseline"/>
                    <w:rPr>
                      <w:rFonts w:hint="eastAsia" w:ascii="宋体" w:hAnsi="宋体" w:eastAsia="宋体" w:cs="宋体"/>
                      <w:color w:val="000000" w:themeColor="text1"/>
                      <w:spacing w:val="9"/>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完整废电池应分类按区域正立(端子朝上)有序地存放在耐酸装置上，并做极短路</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2283" w:type="pct"/>
                  <w:tcBorders>
                    <w:tl2br w:val="nil"/>
                    <w:tr2bl w:val="nil"/>
                  </w:tcBorders>
                  <w:vAlign w:val="top"/>
                </w:tcPr>
                <w:p w14:paraId="56809201">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jc w:val="both"/>
                    <w:textAlignment w:val="baseline"/>
                    <w:rPr>
                      <w:rFonts w:hint="eastAsia" w:ascii="宋体" w:hAnsi="宋体" w:eastAsia="宋体" w:cs="宋体"/>
                      <w:color w:val="000000" w:themeColor="text1"/>
                      <w:spacing w:val="10"/>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完整废申池分类按区域正立(端子朝上)有序地存放在耐酸装置上，并做极短路</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241" w:type="pct"/>
                  <w:tcBorders>
                    <w:tl2br w:val="nil"/>
                    <w:tr2bl w:val="nil"/>
                  </w:tcBorders>
                  <w:vAlign w:val="top"/>
                </w:tcPr>
                <w:p w14:paraId="45357ACD">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7B9680B7">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98" w:hRule="atLeast"/>
              </w:trPr>
              <w:tc>
                <w:tcPr>
                  <w:tcW w:w="337" w:type="pct"/>
                  <w:vMerge w:val="continue"/>
                  <w:tcBorders>
                    <w:tl2br w:val="nil"/>
                    <w:tr2bl w:val="nil"/>
                  </w:tcBorders>
                  <w:vAlign w:val="top"/>
                </w:tcPr>
                <w:p w14:paraId="191AE2A5">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16ED48FE">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2"/>
                    <w:jc w:val="both"/>
                    <w:textAlignment w:val="baseline"/>
                    <w:rPr>
                      <w:rFonts w:hint="eastAsia" w:ascii="宋体" w:hAnsi="宋体" w:eastAsia="宋体" w:cs="宋体"/>
                      <w:color w:val="000000" w:themeColor="text1"/>
                      <w:spacing w:val="9"/>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破损废电池应装入耐酸的塑料容器内单独存放，并按照GB18597的要求粘贴危险废物标志</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2283" w:type="pct"/>
                  <w:tcBorders>
                    <w:tl2br w:val="nil"/>
                    <w:tr2bl w:val="nil"/>
                  </w:tcBorders>
                  <w:vAlign w:val="top"/>
                </w:tcPr>
                <w:p w14:paraId="1943D0A1">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jc w:val="both"/>
                    <w:textAlignment w:val="baseline"/>
                    <w:rPr>
                      <w:rFonts w:hint="eastAsia" w:ascii="宋体" w:hAnsi="宋体" w:eastAsia="宋体" w:cs="宋体"/>
                      <w:color w:val="000000" w:themeColor="text1"/>
                      <w:spacing w:val="10"/>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破损废电池装入耐酸的塑料容器内单独存放，并按照GB18597的要求粘贴危险废物标志</w:t>
                  </w:r>
                </w:p>
              </w:tc>
              <w:tc>
                <w:tcPr>
                  <w:tcW w:w="241" w:type="pct"/>
                  <w:tcBorders>
                    <w:tl2br w:val="nil"/>
                    <w:tr2bl w:val="nil"/>
                  </w:tcBorders>
                  <w:vAlign w:val="top"/>
                </w:tcPr>
                <w:p w14:paraId="634C0752">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01B584C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46" w:hRule="atLeast"/>
              </w:trPr>
              <w:tc>
                <w:tcPr>
                  <w:tcW w:w="337" w:type="pct"/>
                  <w:vMerge w:val="continue"/>
                  <w:tcBorders>
                    <w:tl2br w:val="nil"/>
                    <w:tr2bl w:val="nil"/>
                  </w:tcBorders>
                  <w:vAlign w:val="top"/>
                </w:tcPr>
                <w:p w14:paraId="2F2EA8D3">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35FDF929">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2"/>
                    <w:jc w:val="both"/>
                    <w:textAlignment w:val="baseline"/>
                    <w:rPr>
                      <w:rFonts w:hint="eastAsia" w:ascii="宋体" w:hAnsi="宋体" w:eastAsia="宋体" w:cs="宋体"/>
                      <w:color w:val="000000" w:themeColor="text1"/>
                      <w:spacing w:val="9"/>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应有完整的出人库记录、台账等资料 并至少保存1</w:t>
                  </w:r>
                  <w:r>
                    <w:rPr>
                      <w:rFonts w:hint="eastAsia" w:ascii="宋体" w:hAnsi="宋体" w:eastAsia="宋体" w:cs="宋体"/>
                      <w:color w:val="000000" w:themeColor="text1"/>
                      <w:spacing w:val="9"/>
                      <w:sz w:val="18"/>
                      <w:szCs w:val="18"/>
                      <w:u w:val="none" w:color="auto"/>
                      <w:lang w:val="en-US" w:eastAsia="zh-CN"/>
                      <w14:textFill>
                        <w14:solidFill>
                          <w14:schemeClr w14:val="tx1"/>
                        </w14:solidFill>
                      </w14:textFill>
                    </w:rPr>
                    <w:t>年</w:t>
                  </w:r>
                  <w:r>
                    <w:rPr>
                      <w:rFonts w:hint="eastAsia" w:ascii="宋体" w:hAnsi="宋体" w:eastAsia="宋体" w:cs="宋体"/>
                      <w:color w:val="000000" w:themeColor="text1"/>
                      <w:spacing w:val="9"/>
                      <w:sz w:val="18"/>
                      <w:szCs w:val="18"/>
                      <w:u w:val="none" w:color="auto"/>
                      <w:lang w:eastAsia="zh-CN"/>
                      <w14:textFill>
                        <w14:solidFill>
                          <w14:schemeClr w14:val="tx1"/>
                        </w14:solidFill>
                      </w14:textFill>
                    </w:rPr>
                    <w:t>。</w:t>
                  </w:r>
                </w:p>
              </w:tc>
              <w:tc>
                <w:tcPr>
                  <w:tcW w:w="2283" w:type="pct"/>
                  <w:tcBorders>
                    <w:tl2br w:val="nil"/>
                    <w:tr2bl w:val="nil"/>
                  </w:tcBorders>
                  <w:vAlign w:val="top"/>
                </w:tcPr>
                <w:p w14:paraId="66675668">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jc w:val="both"/>
                    <w:textAlignment w:val="baseline"/>
                    <w:rPr>
                      <w:rFonts w:hint="eastAsia" w:ascii="宋体" w:hAnsi="宋体" w:eastAsia="宋体" w:cs="宋体"/>
                      <w:color w:val="000000" w:themeColor="text1"/>
                      <w:spacing w:val="10"/>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企业设立完整的出人库记录、台账等资料，并至少保存1年。</w:t>
                  </w:r>
                </w:p>
              </w:tc>
              <w:tc>
                <w:tcPr>
                  <w:tcW w:w="241" w:type="pct"/>
                  <w:tcBorders>
                    <w:tl2br w:val="nil"/>
                    <w:tr2bl w:val="nil"/>
                  </w:tcBorders>
                  <w:vAlign w:val="top"/>
                </w:tcPr>
                <w:p w14:paraId="3250CD99">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1BB7FDED">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66" w:hRule="atLeast"/>
              </w:trPr>
              <w:tc>
                <w:tcPr>
                  <w:tcW w:w="337" w:type="pct"/>
                  <w:vMerge w:val="continue"/>
                  <w:tcBorders>
                    <w:tl2br w:val="nil"/>
                    <w:tr2bl w:val="nil"/>
                  </w:tcBorders>
                  <w:vAlign w:val="top"/>
                </w:tcPr>
                <w:p w14:paraId="4A2BE2D9">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534B60E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2"/>
                    <w:jc w:val="both"/>
                    <w:textAlignment w:val="baseline"/>
                    <w:rPr>
                      <w:rFonts w:hint="eastAsia" w:ascii="宋体" w:hAnsi="宋体" w:eastAsia="宋体" w:cs="宋体"/>
                      <w:color w:val="000000" w:themeColor="text1"/>
                      <w:spacing w:val="9"/>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禁止擅自倾倒电解液,拆解、破碎、丢弃废电池。</w:t>
                  </w:r>
                </w:p>
              </w:tc>
              <w:tc>
                <w:tcPr>
                  <w:tcW w:w="2283" w:type="pct"/>
                  <w:tcBorders>
                    <w:tl2br w:val="nil"/>
                    <w:tr2bl w:val="nil"/>
                  </w:tcBorders>
                  <w:vAlign w:val="top"/>
                </w:tcPr>
                <w:p w14:paraId="265C594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jc w:val="both"/>
                    <w:textAlignment w:val="baseline"/>
                    <w:rPr>
                      <w:rFonts w:hint="eastAsia" w:ascii="宋体" w:hAnsi="宋体" w:eastAsia="宋体" w:cs="宋体"/>
                      <w:color w:val="000000" w:themeColor="text1"/>
                      <w:spacing w:val="10"/>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企业运行过程中不会擅自倾倒电解液,拆解、丢弃废电池。</w:t>
                  </w:r>
                </w:p>
              </w:tc>
              <w:tc>
                <w:tcPr>
                  <w:tcW w:w="241" w:type="pct"/>
                  <w:tcBorders>
                    <w:tl2br w:val="nil"/>
                    <w:tr2bl w:val="nil"/>
                  </w:tcBorders>
                  <w:vAlign w:val="top"/>
                </w:tcPr>
                <w:p w14:paraId="3E5F929F">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60ED33EB">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90" w:hRule="atLeast"/>
              </w:trPr>
              <w:tc>
                <w:tcPr>
                  <w:tcW w:w="337" w:type="pct"/>
                  <w:vMerge w:val="continue"/>
                  <w:tcBorders>
                    <w:tl2br w:val="nil"/>
                    <w:tr2bl w:val="nil"/>
                  </w:tcBorders>
                  <w:vAlign w:val="top"/>
                </w:tcPr>
                <w:p w14:paraId="022ABB0E">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137" w:type="pct"/>
                  <w:tcBorders>
                    <w:tl2br w:val="nil"/>
                    <w:tr2bl w:val="nil"/>
                  </w:tcBorders>
                  <w:vAlign w:val="top"/>
                </w:tcPr>
                <w:p w14:paraId="74285AF5">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42"/>
                    <w:jc w:val="both"/>
                    <w:textAlignment w:val="baseline"/>
                    <w:rPr>
                      <w:rFonts w:hint="eastAsia" w:ascii="宋体" w:hAnsi="宋体" w:eastAsia="宋体" w:cs="宋体"/>
                      <w:color w:val="000000" w:themeColor="text1"/>
                      <w:spacing w:val="9"/>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贮存量不应超过10t。</w:t>
                  </w:r>
                </w:p>
              </w:tc>
              <w:tc>
                <w:tcPr>
                  <w:tcW w:w="2283" w:type="pct"/>
                  <w:tcBorders>
                    <w:tl2br w:val="nil"/>
                    <w:tr2bl w:val="nil"/>
                  </w:tcBorders>
                  <w:vAlign w:val="top"/>
                </w:tcPr>
                <w:p w14:paraId="510B64EA">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right="132"/>
                    <w:jc w:val="both"/>
                    <w:textAlignment w:val="baseline"/>
                    <w:rPr>
                      <w:rFonts w:hint="eastAsia" w:ascii="宋体" w:hAnsi="宋体" w:eastAsia="宋体" w:cs="宋体"/>
                      <w:color w:val="000000" w:themeColor="text1"/>
                      <w:spacing w:val="10"/>
                      <w:sz w:val="18"/>
                      <w:szCs w:val="18"/>
                      <w:u w:val="none" w:color="auto"/>
                      <w14:textFill>
                        <w14:solidFill>
                          <w14:schemeClr w14:val="tx1"/>
                        </w14:solidFill>
                      </w14:textFill>
                    </w:rPr>
                  </w:pPr>
                  <w:r>
                    <w:rPr>
                      <w:rFonts w:hint="eastAsia" w:ascii="宋体" w:hAnsi="宋体" w:eastAsia="宋体" w:cs="宋体"/>
                      <w:color w:val="000000" w:themeColor="text1"/>
                      <w:spacing w:val="10"/>
                      <w:sz w:val="18"/>
                      <w:szCs w:val="18"/>
                      <w:u w:val="none" w:color="auto"/>
                      <w14:textFill>
                        <w14:solidFill>
                          <w14:schemeClr w14:val="tx1"/>
                        </w14:solidFill>
                      </w14:textFill>
                    </w:rPr>
                    <w:t>本项目设计最大贮</w:t>
                  </w:r>
                  <w:r>
                    <w:rPr>
                      <w:rFonts w:hint="eastAsia" w:ascii="宋体" w:hAnsi="宋体" w:eastAsia="宋体" w:cs="宋体"/>
                      <w:color w:val="000000" w:themeColor="text1"/>
                      <w:spacing w:val="10"/>
                      <w:sz w:val="18"/>
                      <w:szCs w:val="18"/>
                      <w:highlight w:val="none"/>
                      <w:u w:val="none" w:color="auto"/>
                      <w14:textFill>
                        <w14:solidFill>
                          <w14:schemeClr w14:val="tx1"/>
                        </w14:solidFill>
                      </w14:textFill>
                    </w:rPr>
                    <w:t>存量为</w:t>
                  </w:r>
                  <w:r>
                    <w:rPr>
                      <w:rFonts w:hint="eastAsia" w:ascii="宋体" w:hAnsi="宋体" w:eastAsia="宋体" w:cs="宋体"/>
                      <w:color w:val="000000" w:themeColor="text1"/>
                      <w:spacing w:val="10"/>
                      <w:sz w:val="18"/>
                      <w:szCs w:val="18"/>
                      <w:highlight w:val="none"/>
                      <w:u w:val="none" w:color="auto"/>
                      <w:lang w:val="en-US" w:eastAsia="zh-CN"/>
                      <w14:textFill>
                        <w14:solidFill>
                          <w14:schemeClr w14:val="tx1"/>
                        </w14:solidFill>
                      </w14:textFill>
                    </w:rPr>
                    <w:t>8</w:t>
                  </w:r>
                  <w:r>
                    <w:rPr>
                      <w:rFonts w:hint="eastAsia" w:ascii="宋体" w:hAnsi="宋体" w:eastAsia="宋体" w:cs="宋体"/>
                      <w:color w:val="000000" w:themeColor="text1"/>
                      <w:spacing w:val="10"/>
                      <w:sz w:val="18"/>
                      <w:szCs w:val="18"/>
                      <w:highlight w:val="none"/>
                      <w:u w:val="none" w:color="auto"/>
                      <w14:textFill>
                        <w14:solidFill>
                          <w14:schemeClr w14:val="tx1"/>
                        </w14:solidFill>
                      </w14:textFill>
                    </w:rPr>
                    <w:t>t.</w:t>
                  </w:r>
                </w:p>
              </w:tc>
              <w:tc>
                <w:tcPr>
                  <w:tcW w:w="241" w:type="pct"/>
                  <w:tcBorders>
                    <w:tl2br w:val="nil"/>
                    <w:tr2bl w:val="nil"/>
                  </w:tcBorders>
                  <w:vAlign w:val="top"/>
                </w:tcPr>
                <w:p w14:paraId="5579E7B5">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bl>
          <w:p w14:paraId="319E46F8">
            <w:pPr>
              <w:pStyle w:val="119"/>
              <w:tabs>
                <w:tab w:val="left" w:pos="716"/>
              </w:tabs>
              <w:spacing w:before="301" w:line="219" w:lineRule="auto"/>
              <w:ind w:left="580"/>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5"/>
                <w:sz w:val="21"/>
                <w:szCs w:val="21"/>
                <w:u w:val="none" w:color="auto"/>
                <w14:textFill>
                  <w14:solidFill>
                    <w14:schemeClr w14:val="tx1"/>
                  </w14:solidFill>
                </w14:textFill>
              </w:rPr>
              <w:t>（10）与《电池废料贮运规范》（GB/T26493-</w:t>
            </w:r>
            <w:r>
              <w:rPr>
                <w:rFonts w:hint="eastAsia" w:ascii="宋体" w:hAnsi="宋体" w:eastAsia="宋体" w:cs="宋体"/>
                <w:color w:val="000000" w:themeColor="text1"/>
                <w:spacing w:val="-6"/>
                <w:sz w:val="21"/>
                <w:szCs w:val="21"/>
                <w:u w:val="none" w:color="auto"/>
                <w14:textFill>
                  <w14:solidFill>
                    <w14:schemeClr w14:val="tx1"/>
                  </w14:solidFill>
                </w14:textFill>
              </w:rPr>
              <w:t>2011）符合性分析</w:t>
            </w:r>
          </w:p>
          <w:p w14:paraId="569A4C85">
            <w:pPr>
              <w:spacing w:line="363" w:lineRule="auto"/>
              <w:ind w:firstLine="412" w:firstLineChars="200"/>
              <w:rPr>
                <w:rFonts w:hint="eastAsia" w:ascii="宋体" w:hAnsi="宋体" w:eastAsia="宋体" w:cs="宋体"/>
                <w:color w:val="000000" w:themeColor="text1"/>
                <w:spacing w:val="-6"/>
                <w:sz w:val="21"/>
                <w:szCs w:val="21"/>
                <w:u w:val="none" w:color="auto"/>
                <w14:textFill>
                  <w14:solidFill>
                    <w14:schemeClr w14:val="tx1"/>
                  </w14:solidFill>
                </w14:textFill>
              </w:rPr>
            </w:pPr>
            <w:r>
              <w:rPr>
                <w:rFonts w:hint="eastAsia" w:ascii="宋体" w:hAnsi="宋体" w:eastAsia="宋体" w:cs="宋体"/>
                <w:color w:val="000000" w:themeColor="text1"/>
                <w:spacing w:val="-2"/>
                <w:sz w:val="21"/>
                <w:szCs w:val="21"/>
                <w:u w:val="none" w:color="auto"/>
                <w14:textFill>
                  <w14:solidFill>
                    <w14:schemeClr w14:val="tx1"/>
                  </w14:solidFill>
                </w14:textFill>
              </w:rPr>
              <w:t>本项目与《电池废料贮运规范》（GB/T26493-2011）符合性分析</w:t>
            </w:r>
            <w:r>
              <w:rPr>
                <w:rFonts w:hint="eastAsia" w:ascii="宋体" w:hAnsi="宋体" w:eastAsia="宋体" w:cs="宋体"/>
                <w:color w:val="000000" w:themeColor="text1"/>
                <w:spacing w:val="-6"/>
                <w:sz w:val="21"/>
                <w:szCs w:val="21"/>
                <w:u w:val="none" w:color="auto"/>
                <w14:textFill>
                  <w14:solidFill>
                    <w14:schemeClr w14:val="tx1"/>
                  </w14:solidFill>
                </w14:textFill>
              </w:rPr>
              <w:t>详见表</w:t>
            </w:r>
            <w:r>
              <w:rPr>
                <w:rFonts w:hint="eastAsia" w:ascii="宋体" w:hAnsi="宋体" w:eastAsia="宋体" w:cs="宋体"/>
                <w:color w:val="000000" w:themeColor="text1"/>
                <w:spacing w:val="-31"/>
                <w:sz w:val="21"/>
                <w:szCs w:val="21"/>
                <w:u w:val="none" w:color="auto"/>
                <w14:textFill>
                  <w14:solidFill>
                    <w14:schemeClr w14:val="tx1"/>
                  </w14:solidFill>
                </w14:textFill>
              </w:rPr>
              <w:t xml:space="preserve"> </w:t>
            </w:r>
            <w:r>
              <w:rPr>
                <w:rFonts w:hint="eastAsia" w:ascii="宋体" w:hAnsi="宋体" w:eastAsia="宋体" w:cs="宋体"/>
                <w:color w:val="000000" w:themeColor="text1"/>
                <w:spacing w:val="-6"/>
                <w:sz w:val="21"/>
                <w:szCs w:val="21"/>
                <w:u w:val="none" w:color="auto"/>
                <w14:textFill>
                  <w14:solidFill>
                    <w14:schemeClr w14:val="tx1"/>
                  </w14:solidFill>
                </w14:textFill>
              </w:rPr>
              <w:t>1-11</w:t>
            </w:r>
          </w:p>
          <w:p w14:paraId="1FF5553A">
            <w:pPr>
              <w:pStyle w:val="119"/>
              <w:spacing w:line="219" w:lineRule="auto"/>
              <w:ind w:left="109"/>
              <w:jc w:val="center"/>
              <w:rPr>
                <w:color w:val="000000" w:themeColor="text1"/>
                <w:sz w:val="21"/>
                <w:szCs w:val="21"/>
                <w:u w:val="none" w:color="auto"/>
                <w14:textFill>
                  <w14:solidFill>
                    <w14:schemeClr w14:val="tx1"/>
                  </w14:solidFill>
                </w14:textFill>
              </w:rPr>
            </w:pPr>
            <w:r>
              <w:rPr>
                <w:rFonts w:hint="eastAsia"/>
                <w:b/>
                <w:bCs/>
                <w:color w:val="000000" w:themeColor="text1"/>
                <w:spacing w:val="-1"/>
                <w:sz w:val="21"/>
                <w:szCs w:val="21"/>
                <w:u w:val="none" w:color="auto"/>
                <w:lang w:val="en-US" w:eastAsia="zh-CN"/>
                <w14:textFill>
                  <w14:solidFill>
                    <w14:schemeClr w14:val="tx1"/>
                  </w14:solidFill>
                </w14:textFill>
              </w:rPr>
              <w:t>表</w:t>
            </w:r>
            <w:r>
              <w:rPr>
                <w:b/>
                <w:bCs/>
                <w:color w:val="000000" w:themeColor="text1"/>
                <w:spacing w:val="-1"/>
                <w:sz w:val="21"/>
                <w:szCs w:val="21"/>
                <w:u w:val="none" w:color="auto"/>
                <w14:textFill>
                  <w14:solidFill>
                    <w14:schemeClr w14:val="tx1"/>
                  </w14:solidFill>
                </w14:textFill>
              </w:rPr>
              <w:t>1-11</w:t>
            </w:r>
            <w:r>
              <w:rPr>
                <w:rFonts w:ascii="Times New Roman" w:hAnsi="Times New Roman" w:eastAsia="Times New Roman" w:cs="Times New Roman"/>
                <w:b/>
                <w:bCs/>
                <w:color w:val="000000" w:themeColor="text1"/>
                <w:spacing w:val="-1"/>
                <w:sz w:val="21"/>
                <w:szCs w:val="21"/>
                <w:u w:val="none" w:color="auto"/>
                <w14:textFill>
                  <w14:solidFill>
                    <w14:schemeClr w14:val="tx1"/>
                  </w14:solidFill>
                </w14:textFill>
              </w:rPr>
              <w:t xml:space="preserve">  </w:t>
            </w:r>
            <w:r>
              <w:rPr>
                <w:b/>
                <w:bCs/>
                <w:color w:val="000000" w:themeColor="text1"/>
                <w:spacing w:val="-1"/>
                <w:sz w:val="21"/>
                <w:szCs w:val="21"/>
                <w:u w:val="none" w:color="auto"/>
                <w14:textFill>
                  <w14:solidFill>
                    <w14:schemeClr w14:val="tx1"/>
                  </w14:solidFill>
                </w14:textFill>
              </w:rPr>
              <w:t>与《电池废料贮运规范》（</w:t>
            </w:r>
            <w:r>
              <w:rPr>
                <w:rFonts w:ascii="Times New Roman" w:hAnsi="Times New Roman" w:eastAsia="Times New Roman" w:cs="Times New Roman"/>
                <w:b/>
                <w:bCs/>
                <w:color w:val="000000" w:themeColor="text1"/>
                <w:spacing w:val="-2"/>
                <w:sz w:val="21"/>
                <w:szCs w:val="21"/>
                <w:u w:val="none" w:color="auto"/>
                <w14:textFill>
                  <w14:solidFill>
                    <w14:schemeClr w14:val="tx1"/>
                  </w14:solidFill>
                </w14:textFill>
              </w:rPr>
              <w:t>GB/T26493-2011</w:t>
            </w:r>
            <w:r>
              <w:rPr>
                <w:b/>
                <w:bCs/>
                <w:color w:val="000000" w:themeColor="text1"/>
                <w:spacing w:val="-2"/>
                <w:sz w:val="21"/>
                <w:szCs w:val="21"/>
                <w:u w:val="none" w:color="auto"/>
                <w14:textFill>
                  <w14:solidFill>
                    <w14:schemeClr w14:val="tx1"/>
                  </w14:solidFill>
                </w14:textFill>
              </w:rPr>
              <w:t>）符合性分析表</w:t>
            </w:r>
          </w:p>
          <w:tbl>
            <w:tblPr>
              <w:tblStyle w:val="108"/>
              <w:tblW w:w="4997"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Layout w:type="fixed"/>
              <w:tblCellMar>
                <w:top w:w="0" w:type="dxa"/>
                <w:left w:w="0" w:type="dxa"/>
                <w:bottom w:w="0" w:type="dxa"/>
                <w:right w:w="0" w:type="dxa"/>
              </w:tblCellMar>
            </w:tblPr>
            <w:tblGrid>
              <w:gridCol w:w="1042"/>
              <w:gridCol w:w="6290"/>
              <w:gridCol w:w="5700"/>
              <w:gridCol w:w="808"/>
            </w:tblGrid>
            <w:tr w14:paraId="1827B12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46" w:hRule="atLeast"/>
                <w:jc w:val="center"/>
              </w:trPr>
              <w:tc>
                <w:tcPr>
                  <w:tcW w:w="2648" w:type="pct"/>
                  <w:gridSpan w:val="2"/>
                  <w:tcBorders>
                    <w:tl2br w:val="nil"/>
                    <w:tr2bl w:val="nil"/>
                  </w:tcBorders>
                  <w:vAlign w:val="center"/>
                </w:tcPr>
                <w:p w14:paraId="479A7347">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1533"/>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相关要求</w:t>
                  </w:r>
                </w:p>
              </w:tc>
              <w:tc>
                <w:tcPr>
                  <w:tcW w:w="2059" w:type="pct"/>
                  <w:tcBorders>
                    <w:tl2br w:val="nil"/>
                    <w:tr2bl w:val="nil"/>
                  </w:tcBorders>
                  <w:vAlign w:val="center"/>
                </w:tcPr>
                <w:p w14:paraId="306AE94C">
                  <w:pPr>
                    <w:pStyle w:val="119"/>
                    <w:keepNext w:val="0"/>
                    <w:keepLines w:val="0"/>
                    <w:pageBreakBefore w:val="0"/>
                    <w:widowControl/>
                    <w:kinsoku/>
                    <w:wordWrap/>
                    <w:overflowPunct w:val="0"/>
                    <w:topLinePunct w:val="0"/>
                    <w:autoSpaceDE w:val="0"/>
                    <w:autoSpaceDN w:val="0"/>
                    <w:bidi w:val="0"/>
                    <w:adjustRightInd w:val="0"/>
                    <w:snapToGrid w:val="0"/>
                    <w:spacing w:line="240" w:lineRule="atLeast"/>
                    <w:ind w:left="722"/>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项目情况</w:t>
                  </w:r>
                </w:p>
              </w:tc>
              <w:tc>
                <w:tcPr>
                  <w:tcW w:w="291" w:type="pct"/>
                  <w:tcBorders>
                    <w:tl2br w:val="nil"/>
                    <w:tr2bl w:val="nil"/>
                  </w:tcBorders>
                  <w:vAlign w:val="center"/>
                </w:tcPr>
                <w:p w14:paraId="0A80FA2B">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符合性</w:t>
                  </w:r>
                </w:p>
              </w:tc>
            </w:tr>
            <w:tr w14:paraId="20F264B5">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715" w:hRule="atLeast"/>
                <w:jc w:val="center"/>
              </w:trPr>
              <w:tc>
                <w:tcPr>
                  <w:tcW w:w="376" w:type="pct"/>
                  <w:vMerge w:val="restart"/>
                  <w:tcBorders>
                    <w:tl2br w:val="nil"/>
                    <w:tr2bl w:val="nil"/>
                  </w:tcBorders>
                  <w:vAlign w:val="center"/>
                </w:tcPr>
                <w:p w14:paraId="5A1021D6">
                  <w:pPr>
                    <w:pStyle w:val="119"/>
                    <w:keepNext w:val="0"/>
                    <w:keepLines w:val="0"/>
                    <w:pageBreakBefore w:val="0"/>
                    <w:widowControl/>
                    <w:tabs>
                      <w:tab w:val="left" w:pos="355"/>
                    </w:tabs>
                    <w:kinsoku/>
                    <w:wordWrap/>
                    <w:overflowPunct w:val="0"/>
                    <w:topLinePunct w:val="0"/>
                    <w:autoSpaceDE w:val="0"/>
                    <w:autoSpaceDN w:val="0"/>
                    <w:bidi w:val="0"/>
                    <w:adjustRightInd w:val="0"/>
                    <w:snapToGrid w:val="0"/>
                    <w:spacing w:line="240" w:lineRule="atLeast"/>
                    <w:ind w:right="23"/>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5"/>
                      <w:sz w:val="18"/>
                      <w:szCs w:val="18"/>
                      <w:u w:val="none" w:color="auto"/>
                      <w14:textFill>
                        <w14:solidFill>
                          <w14:schemeClr w14:val="tx1"/>
                        </w14:solidFill>
                      </w14:textFill>
                    </w:rPr>
                    <w:t>《电池</w:t>
                  </w:r>
                  <w:r>
                    <w:rPr>
                      <w:rFonts w:hint="eastAsia" w:ascii="宋体" w:hAnsi="宋体" w:eastAsia="宋体" w:cs="宋体"/>
                      <w:color w:val="000000" w:themeColor="text1"/>
                      <w:spacing w:val="7"/>
                      <w:sz w:val="18"/>
                      <w:szCs w:val="18"/>
                      <w:u w:val="none" w:color="auto"/>
                      <w14:textFill>
                        <w14:solidFill>
                          <w14:schemeClr w14:val="tx1"/>
                        </w14:solidFill>
                      </w14:textFill>
                    </w:rPr>
                    <w:t>废料贮</w:t>
                  </w:r>
                  <w:r>
                    <w:rPr>
                      <w:rFonts w:hint="eastAsia" w:ascii="宋体" w:hAnsi="宋体" w:eastAsia="宋体" w:cs="宋体"/>
                      <w:color w:val="000000" w:themeColor="text1"/>
                      <w:spacing w:val="4"/>
                      <w:sz w:val="18"/>
                      <w:szCs w:val="18"/>
                      <w:u w:val="none" w:color="auto"/>
                      <w14:textFill>
                        <w14:solidFill>
                          <w14:schemeClr w14:val="tx1"/>
                        </w14:solidFill>
                      </w14:textFill>
                    </w:rPr>
                    <w:t>运规范》</w:t>
                  </w:r>
                  <w:r>
                    <w:rPr>
                      <w:rFonts w:hint="eastAsia" w:ascii="宋体" w:hAnsi="宋体" w:eastAsia="宋体" w:cs="宋体"/>
                      <w:color w:val="000000" w:themeColor="text1"/>
                      <w:spacing w:val="-18"/>
                      <w:sz w:val="18"/>
                      <w:szCs w:val="18"/>
                      <w:u w:val="none" w:color="auto"/>
                      <w14:textFill>
                        <w14:solidFill>
                          <w14:schemeClr w14:val="tx1"/>
                        </w14:solidFill>
                      </w14:textFill>
                    </w:rPr>
                    <w:t>（GB/T</w:t>
                  </w:r>
                </w:p>
                <w:p w14:paraId="4691DB0D">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26493-2</w:t>
                  </w:r>
                  <w:r>
                    <w:rPr>
                      <w:rFonts w:hint="eastAsia" w:ascii="宋体" w:hAnsi="宋体" w:eastAsia="宋体" w:cs="宋体"/>
                      <w:color w:val="000000" w:themeColor="text1"/>
                      <w:spacing w:val="1"/>
                      <w:sz w:val="18"/>
                      <w:szCs w:val="18"/>
                      <w:u w:val="none" w:color="auto"/>
                      <w14:textFill>
                        <w14:solidFill>
                          <w14:schemeClr w14:val="tx1"/>
                        </w14:solidFill>
                      </w14:textFill>
                    </w:rPr>
                    <w:t>011）</w:t>
                  </w:r>
                </w:p>
              </w:tc>
              <w:tc>
                <w:tcPr>
                  <w:tcW w:w="2272" w:type="pct"/>
                  <w:tcBorders>
                    <w:tl2br w:val="nil"/>
                    <w:tr2bl w:val="nil"/>
                  </w:tcBorders>
                  <w:vAlign w:val="center"/>
                </w:tcPr>
                <w:p w14:paraId="779ACC83">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①电池废料应堆放在阴凉干</w:t>
                  </w:r>
                  <w:r>
                    <w:rPr>
                      <w:rFonts w:hint="eastAsia" w:ascii="宋体" w:hAnsi="宋体" w:eastAsia="宋体" w:cs="宋体"/>
                      <w:color w:val="000000" w:themeColor="text1"/>
                      <w:spacing w:val="7"/>
                      <w:sz w:val="18"/>
                      <w:szCs w:val="18"/>
                      <w:u w:val="none" w:color="auto"/>
                      <w14:textFill>
                        <w14:solidFill>
                          <w14:schemeClr w14:val="tx1"/>
                        </w14:solidFill>
                      </w14:textFill>
                    </w:rPr>
                    <w:t>爽的地方，不得堆放在露天场</w:t>
                  </w:r>
                  <w:r>
                    <w:rPr>
                      <w:rFonts w:hint="eastAsia" w:ascii="宋体" w:hAnsi="宋体" w:eastAsia="宋体" w:cs="宋体"/>
                      <w:color w:val="000000" w:themeColor="text1"/>
                      <w:spacing w:val="17"/>
                      <w:sz w:val="18"/>
                      <w:szCs w:val="18"/>
                      <w:u w:val="none" w:color="auto"/>
                      <w14:textFill>
                        <w14:solidFill>
                          <w14:schemeClr w14:val="tx1"/>
                        </w14:solidFill>
                      </w14:textFill>
                    </w:rPr>
                    <w:t>地，不得存放在阳光直接照</w:t>
                  </w:r>
                  <w:r>
                    <w:rPr>
                      <w:rFonts w:hint="eastAsia" w:ascii="宋体" w:hAnsi="宋体" w:eastAsia="宋体" w:cs="宋体"/>
                      <w:color w:val="000000" w:themeColor="text1"/>
                      <w:spacing w:val="8"/>
                      <w:sz w:val="18"/>
                      <w:szCs w:val="18"/>
                      <w:u w:val="none" w:color="auto"/>
                      <w14:textFill>
                        <w14:solidFill>
                          <w14:schemeClr w14:val="tx1"/>
                        </w14:solidFill>
                      </w14:textFill>
                    </w:rPr>
                    <w:t>射、高温及潮湿的地方。②电池废料的贮存、运输单位应获得当地环保部门的批准，取得相应的经营资质，属于危险废</w:t>
                  </w:r>
                  <w:r>
                    <w:rPr>
                      <w:rFonts w:hint="eastAsia" w:ascii="宋体" w:hAnsi="宋体" w:eastAsia="宋体" w:cs="宋体"/>
                      <w:color w:val="000000" w:themeColor="text1"/>
                      <w:spacing w:val="17"/>
                      <w:sz w:val="18"/>
                      <w:szCs w:val="18"/>
                      <w:u w:val="none" w:color="auto"/>
                      <w14:textFill>
                        <w14:solidFill>
                          <w14:schemeClr w14:val="tx1"/>
                        </w14:solidFill>
                      </w14:textFill>
                    </w:rPr>
                    <w:t>物的应取得危险废物经营许</w:t>
                  </w:r>
                  <w:r>
                    <w:rPr>
                      <w:rFonts w:hint="eastAsia" w:ascii="宋体" w:hAnsi="宋体" w:eastAsia="宋体" w:cs="宋体"/>
                      <w:color w:val="000000" w:themeColor="text1"/>
                      <w:spacing w:val="8"/>
                      <w:sz w:val="18"/>
                      <w:szCs w:val="18"/>
                      <w:u w:val="none" w:color="auto"/>
                      <w14:textFill>
                        <w14:solidFill>
                          <w14:schemeClr w14:val="tx1"/>
                        </w14:solidFill>
                      </w14:textFill>
                    </w:rPr>
                    <w:t>可证。③电池废料在贮存、运输过程中，应保证废电池的外壳完整，减少并防止有害物质的渗出。④电池废料的贮存仓库及场所应设专人管理，管理</w:t>
                  </w:r>
                  <w:r>
                    <w:rPr>
                      <w:rFonts w:hint="eastAsia" w:ascii="宋体" w:hAnsi="宋体" w:eastAsia="宋体" w:cs="宋体"/>
                      <w:color w:val="000000" w:themeColor="text1"/>
                      <w:spacing w:val="17"/>
                      <w:sz w:val="18"/>
                      <w:szCs w:val="18"/>
                      <w:u w:val="none" w:color="auto"/>
                      <w14:textFill>
                        <w14:solidFill>
                          <w14:schemeClr w14:val="tx1"/>
                        </w14:solidFill>
                      </w14:textFill>
                    </w:rPr>
                    <w:t>人员须具备电池方面的相关</w:t>
                  </w:r>
                  <w:r>
                    <w:rPr>
                      <w:rFonts w:hint="eastAsia" w:ascii="宋体" w:hAnsi="宋体" w:eastAsia="宋体" w:cs="宋体"/>
                      <w:color w:val="000000" w:themeColor="text1"/>
                      <w:spacing w:val="8"/>
                      <w:sz w:val="18"/>
                      <w:szCs w:val="18"/>
                      <w:u w:val="none" w:color="auto"/>
                      <w14:textFill>
                        <w14:solidFill>
                          <w14:schemeClr w14:val="tx1"/>
                        </w14:solidFill>
                      </w14:textFill>
                    </w:rPr>
                    <w:t>知识。⑤电池废料在贮存、运</w:t>
                  </w:r>
                  <w:r>
                    <w:rPr>
                      <w:rFonts w:hint="eastAsia" w:ascii="宋体" w:hAnsi="宋体" w:eastAsia="宋体" w:cs="宋体"/>
                      <w:color w:val="000000" w:themeColor="text1"/>
                      <w:spacing w:val="18"/>
                      <w:sz w:val="18"/>
                      <w:szCs w:val="18"/>
                      <w:u w:val="none" w:color="auto"/>
                      <w14:textFill>
                        <w14:solidFill>
                          <w14:schemeClr w14:val="tx1"/>
                        </w14:solidFill>
                      </w14:textFill>
                    </w:rPr>
                    <w:t>输过程中应处于放电状态。</w:t>
                  </w:r>
                </w:p>
              </w:tc>
              <w:tc>
                <w:tcPr>
                  <w:tcW w:w="2059" w:type="pct"/>
                  <w:tcBorders>
                    <w:tl2br w:val="nil"/>
                    <w:tr2bl w:val="nil"/>
                  </w:tcBorders>
                  <w:vAlign w:val="center"/>
                </w:tcPr>
                <w:p w14:paraId="512A019E">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①本项目</w:t>
                  </w:r>
                  <w:r>
                    <w:rPr>
                      <w:rFonts w:hint="eastAsia" w:ascii="宋体" w:hAnsi="宋体" w:eastAsia="宋体" w:cs="宋体"/>
                      <w:color w:val="000000" w:themeColor="text1"/>
                      <w:spacing w:val="6"/>
                      <w:sz w:val="18"/>
                      <w:szCs w:val="18"/>
                      <w:u w:val="none" w:color="auto"/>
                      <w14:textFill>
                        <w14:solidFill>
                          <w14:schemeClr w14:val="tx1"/>
                        </w14:solidFill>
                      </w14:textFill>
                    </w:rPr>
                    <w:t>电池</w:t>
                  </w:r>
                  <w:r>
                    <w:rPr>
                      <w:rFonts w:hint="eastAsia" w:cs="宋体"/>
                      <w:color w:val="000000" w:themeColor="text1"/>
                      <w:spacing w:val="6"/>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6"/>
                      <w:sz w:val="18"/>
                      <w:szCs w:val="18"/>
                      <w:u w:val="none" w:color="auto"/>
                      <w14:textFill>
                        <w14:solidFill>
                          <w14:schemeClr w14:val="tx1"/>
                        </w14:solidFill>
                      </w14:textFill>
                    </w:rPr>
                    <w:t>和废锂电</w:t>
                  </w:r>
                  <w:r>
                    <w:rPr>
                      <w:rFonts w:hint="eastAsia" w:ascii="宋体" w:hAnsi="宋体" w:eastAsia="宋体" w:cs="宋体"/>
                      <w:color w:val="000000" w:themeColor="text1"/>
                      <w:spacing w:val="4"/>
                      <w:sz w:val="18"/>
                      <w:szCs w:val="18"/>
                      <w:u w:val="none" w:color="auto"/>
                      <w14:textFill>
                        <w14:solidFill>
                          <w14:schemeClr w14:val="tx1"/>
                        </w14:solidFill>
                      </w14:textFill>
                    </w:rPr>
                    <w:t>池</w:t>
                  </w:r>
                  <w:r>
                    <w:rPr>
                      <w:rFonts w:hint="eastAsia" w:cs="宋体"/>
                      <w:color w:val="000000" w:themeColor="text1"/>
                      <w:spacing w:val="4"/>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4"/>
                      <w:sz w:val="18"/>
                      <w:szCs w:val="18"/>
                      <w:u w:val="none" w:color="auto"/>
                      <w14:textFill>
                        <w14:solidFill>
                          <w14:schemeClr w14:val="tx1"/>
                        </w14:solidFill>
                      </w14:textFill>
                    </w:rPr>
                    <w:t>，均为封闭</w:t>
                  </w:r>
                  <w:r>
                    <w:rPr>
                      <w:rFonts w:hint="eastAsia" w:cs="宋体"/>
                      <w:color w:val="000000" w:themeColor="text1"/>
                      <w:spacing w:val="4"/>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4"/>
                      <w:sz w:val="18"/>
                      <w:szCs w:val="18"/>
                      <w:u w:val="none" w:color="auto"/>
                      <w14:textFill>
                        <w14:solidFill>
                          <w14:schemeClr w14:val="tx1"/>
                        </w14:solidFill>
                      </w14:textFill>
                    </w:rPr>
                    <w:t>，无露天场地，</w:t>
                  </w:r>
                  <w:r>
                    <w:rPr>
                      <w:rFonts w:hint="eastAsia" w:cs="宋体"/>
                      <w:color w:val="000000" w:themeColor="text1"/>
                      <w:spacing w:val="4"/>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4"/>
                      <w:sz w:val="18"/>
                      <w:szCs w:val="18"/>
                      <w:u w:val="none" w:color="auto"/>
                      <w14:textFill>
                        <w14:solidFill>
                          <w14:schemeClr w14:val="tx1"/>
                        </w14:solidFill>
                      </w14:textFill>
                    </w:rPr>
                    <w:t>内阴凉干爽，不属于阳光直接照射、高温及潮湿区域；②废铅蓄电池、废锂电池收集贮</w:t>
                  </w:r>
                  <w:r>
                    <w:rPr>
                      <w:rFonts w:hint="eastAsia" w:ascii="宋体" w:hAnsi="宋体" w:eastAsia="宋体" w:cs="宋体"/>
                      <w:color w:val="000000" w:themeColor="text1"/>
                      <w:spacing w:val="-7"/>
                      <w:sz w:val="18"/>
                      <w:szCs w:val="18"/>
                      <w:u w:val="none" w:color="auto"/>
                      <w14:textFill>
                        <w14:solidFill>
                          <w14:schemeClr w14:val="tx1"/>
                        </w14:solidFill>
                      </w14:textFill>
                    </w:rPr>
                    <w:t>存需要取得经营资质，</w:t>
                  </w:r>
                  <w:r>
                    <w:rPr>
                      <w:rFonts w:hint="eastAsia" w:ascii="宋体" w:hAnsi="宋体" w:eastAsia="宋体" w:cs="宋体"/>
                      <w:color w:val="000000" w:themeColor="text1"/>
                      <w:spacing w:val="18"/>
                      <w:sz w:val="18"/>
                      <w:szCs w:val="18"/>
                      <w:u w:val="none" w:color="auto"/>
                      <w14:textFill>
                        <w14:solidFill>
                          <w14:schemeClr w14:val="tx1"/>
                        </w14:solidFill>
                      </w14:textFill>
                    </w:rPr>
                    <w:t>废铅蓄电池收集贮存需要取得危险废物经</w:t>
                  </w:r>
                  <w:r>
                    <w:rPr>
                      <w:rFonts w:hint="eastAsia" w:ascii="宋体" w:hAnsi="宋体" w:eastAsia="宋体" w:cs="宋体"/>
                      <w:color w:val="000000" w:themeColor="text1"/>
                      <w:spacing w:val="4"/>
                      <w:sz w:val="18"/>
                      <w:szCs w:val="18"/>
                      <w:u w:val="none" w:color="auto"/>
                      <w14:textFill>
                        <w14:solidFill>
                          <w14:schemeClr w14:val="tx1"/>
                        </w14:solidFill>
                      </w14:textFill>
                    </w:rPr>
                    <w:t>营许可证；③电池废料</w:t>
                  </w:r>
                  <w:r>
                    <w:rPr>
                      <w:rFonts w:hint="eastAsia" w:ascii="宋体" w:hAnsi="宋体" w:eastAsia="宋体" w:cs="宋体"/>
                      <w:color w:val="000000" w:themeColor="text1"/>
                      <w:spacing w:val="-7"/>
                      <w:sz w:val="18"/>
                      <w:szCs w:val="18"/>
                      <w:u w:val="none" w:color="auto"/>
                      <w14:textFill>
                        <w14:solidFill>
                          <w14:schemeClr w14:val="tx1"/>
                        </w14:solidFill>
                      </w14:textFill>
                    </w:rPr>
                    <w:t>在贮存、运输过程中，</w:t>
                  </w:r>
                  <w:r>
                    <w:rPr>
                      <w:rFonts w:hint="eastAsia" w:ascii="宋体" w:hAnsi="宋体" w:eastAsia="宋体" w:cs="宋体"/>
                      <w:color w:val="000000" w:themeColor="text1"/>
                      <w:spacing w:val="18"/>
                      <w:sz w:val="18"/>
                      <w:szCs w:val="18"/>
                      <w:u w:val="none" w:color="auto"/>
                      <w14:textFill>
                        <w14:solidFill>
                          <w14:schemeClr w14:val="tx1"/>
                        </w14:solidFill>
                      </w14:textFill>
                    </w:rPr>
                    <w:t>保证废电池的外壳完</w:t>
                  </w:r>
                  <w:r>
                    <w:rPr>
                      <w:rFonts w:hint="eastAsia" w:ascii="宋体" w:hAnsi="宋体" w:eastAsia="宋体" w:cs="宋体"/>
                      <w:color w:val="000000" w:themeColor="text1"/>
                      <w:spacing w:val="4"/>
                      <w:sz w:val="18"/>
                      <w:szCs w:val="18"/>
                      <w:u w:val="none" w:color="auto"/>
                      <w14:textFill>
                        <w14:solidFill>
                          <w14:schemeClr w14:val="tx1"/>
                        </w14:solidFill>
                      </w14:textFill>
                    </w:rPr>
                    <w:t>整，减少并防止有害物质的渗出；④池废料的</w:t>
                  </w:r>
                  <w:r>
                    <w:rPr>
                      <w:rFonts w:hint="eastAsia" w:ascii="宋体" w:hAnsi="宋体" w:eastAsia="宋体" w:cs="宋体"/>
                      <w:color w:val="000000" w:themeColor="text1"/>
                      <w:spacing w:val="18"/>
                      <w:sz w:val="18"/>
                      <w:szCs w:val="18"/>
                      <w:u w:val="none" w:color="auto"/>
                      <w14:textFill>
                        <w14:solidFill>
                          <w14:schemeClr w14:val="tx1"/>
                        </w14:solidFill>
                      </w14:textFill>
                    </w:rPr>
                    <w:t>贮存仓库及场所设专</w:t>
                  </w:r>
                  <w:r>
                    <w:rPr>
                      <w:rFonts w:hint="eastAsia" w:ascii="宋体" w:hAnsi="宋体" w:eastAsia="宋体" w:cs="宋体"/>
                      <w:color w:val="000000" w:themeColor="text1"/>
                      <w:spacing w:val="4"/>
                      <w:sz w:val="18"/>
                      <w:szCs w:val="18"/>
                      <w:u w:val="none" w:color="auto"/>
                      <w14:textFill>
                        <w14:solidFill>
                          <w14:schemeClr w14:val="tx1"/>
                        </w14:solidFill>
                      </w14:textFill>
                    </w:rPr>
                    <w:t>人管理，管理人员须具</w:t>
                  </w:r>
                  <w:r>
                    <w:rPr>
                      <w:rFonts w:hint="eastAsia" w:ascii="宋体" w:hAnsi="宋体" w:eastAsia="宋体" w:cs="宋体"/>
                      <w:color w:val="000000" w:themeColor="text1"/>
                      <w:spacing w:val="18"/>
                      <w:sz w:val="18"/>
                      <w:szCs w:val="18"/>
                      <w:u w:val="none" w:color="auto"/>
                      <w14:textFill>
                        <w14:solidFill>
                          <w14:schemeClr w14:val="tx1"/>
                        </w14:solidFill>
                      </w14:textFill>
                    </w:rPr>
                    <w:t>备电池方面的相关知</w:t>
                  </w:r>
                  <w:r>
                    <w:rPr>
                      <w:rFonts w:hint="eastAsia" w:ascii="宋体" w:hAnsi="宋体" w:eastAsia="宋体" w:cs="宋体"/>
                      <w:color w:val="000000" w:themeColor="text1"/>
                      <w:spacing w:val="4"/>
                      <w:sz w:val="18"/>
                      <w:szCs w:val="18"/>
                      <w:u w:val="none" w:color="auto"/>
                      <w14:textFill>
                        <w14:solidFill>
                          <w14:schemeClr w14:val="tx1"/>
                        </w14:solidFill>
                      </w14:textFill>
                    </w:rPr>
                    <w:t>识；⑤废铅蓄电池、废锂电池在贮存、运输过程中处于放电状态。</w:t>
                  </w:r>
                </w:p>
              </w:tc>
              <w:tc>
                <w:tcPr>
                  <w:tcW w:w="291" w:type="pct"/>
                  <w:tcBorders>
                    <w:tl2br w:val="nil"/>
                    <w:tr2bl w:val="nil"/>
                  </w:tcBorders>
                  <w:vAlign w:val="center"/>
                </w:tcPr>
                <w:p w14:paraId="059837CF">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154C8736">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1596" w:hRule="atLeast"/>
                <w:jc w:val="center"/>
              </w:trPr>
              <w:tc>
                <w:tcPr>
                  <w:tcW w:w="376" w:type="pct"/>
                  <w:vMerge w:val="continue"/>
                  <w:tcBorders>
                    <w:tl2br w:val="nil"/>
                    <w:tr2bl w:val="nil"/>
                  </w:tcBorders>
                  <w:vAlign w:val="center"/>
                </w:tcPr>
                <w:p w14:paraId="2B8324CC">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2272" w:type="pct"/>
                  <w:tcBorders>
                    <w:tl2br w:val="nil"/>
                    <w:tr2bl w:val="nil"/>
                  </w:tcBorders>
                  <w:vAlign w:val="center"/>
                </w:tcPr>
                <w:p w14:paraId="104F8B51">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①废含汞电池、废镉镍电池及边角料用塑料槽或铁桶贮存,</w:t>
                  </w:r>
                  <w:r>
                    <w:rPr>
                      <w:rFonts w:hint="eastAsia" w:ascii="宋体" w:hAnsi="宋体" w:eastAsia="宋体" w:cs="宋体"/>
                      <w:color w:val="000000" w:themeColor="text1"/>
                      <w:spacing w:val="9"/>
                      <w:sz w:val="18"/>
                      <w:szCs w:val="18"/>
                      <w:u w:val="none" w:color="auto"/>
                      <w14:textFill>
                        <w14:solidFill>
                          <w14:schemeClr w14:val="tx1"/>
                        </w14:solidFill>
                      </w14:textFill>
                    </w:rPr>
                    <w:t>废铅酸蓄电池应先将电解液</w:t>
                  </w:r>
                  <w:r>
                    <w:rPr>
                      <w:rFonts w:hint="eastAsia" w:ascii="宋体" w:hAnsi="宋体" w:eastAsia="宋体" w:cs="宋体"/>
                      <w:color w:val="000000" w:themeColor="text1"/>
                      <w:spacing w:val="7"/>
                      <w:sz w:val="18"/>
                      <w:szCs w:val="18"/>
                      <w:u w:val="none" w:color="auto"/>
                      <w14:textFill>
                        <w14:solidFill>
                          <w14:schemeClr w14:val="tx1"/>
                        </w14:solidFill>
                      </w14:textFill>
                    </w:rPr>
                    <w:t>倒在废液收集容器中，然后置于塑料槽存放，均应附危险废</w:t>
                  </w:r>
                  <w:r>
                    <w:rPr>
                      <w:rFonts w:hint="eastAsia" w:ascii="宋体" w:hAnsi="宋体" w:eastAsia="宋体" w:cs="宋体"/>
                      <w:color w:val="000000" w:themeColor="text1"/>
                      <w:spacing w:val="9"/>
                      <w:sz w:val="18"/>
                      <w:szCs w:val="18"/>
                      <w:u w:val="none" w:color="auto"/>
                      <w14:textFill>
                        <w14:solidFill>
                          <w14:schemeClr w14:val="tx1"/>
                        </w14:solidFill>
                      </w14:textFill>
                    </w:rPr>
                    <w:t>物标签，危险废物标签应按</w:t>
                  </w: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9"/>
                      <w:sz w:val="18"/>
                      <w:szCs w:val="18"/>
                      <w:u w:val="none" w:color="auto"/>
                      <w14:textFill>
                        <w14:solidFill>
                          <w14:schemeClr w14:val="tx1"/>
                        </w14:solidFill>
                      </w14:textFill>
                    </w:rPr>
                    <w:t>18597的有关规定进行。②凡漏液的电池必须放置在</w:t>
                  </w:r>
                  <w:r>
                    <w:rPr>
                      <w:rFonts w:hint="eastAsia" w:ascii="宋体" w:hAnsi="宋体" w:eastAsia="宋体" w:cs="宋体"/>
                      <w:color w:val="000000" w:themeColor="text1"/>
                      <w:spacing w:val="7"/>
                      <w:sz w:val="18"/>
                      <w:szCs w:val="18"/>
                      <w:u w:val="none" w:color="auto"/>
                      <w14:textFill>
                        <w14:solidFill>
                          <w14:schemeClr w14:val="tx1"/>
                        </w14:solidFill>
                      </w14:textFill>
                    </w:rPr>
                    <w:t>耐酸的容器内。③电池废料贮</w:t>
                  </w:r>
                  <w:r>
                    <w:rPr>
                      <w:rFonts w:hint="eastAsia" w:ascii="宋体" w:hAnsi="宋体" w:eastAsia="宋体" w:cs="宋体"/>
                      <w:color w:val="000000" w:themeColor="text1"/>
                      <w:spacing w:val="8"/>
                      <w:sz w:val="18"/>
                      <w:szCs w:val="18"/>
                      <w:u w:val="none" w:color="auto"/>
                      <w14:textFill>
                        <w14:solidFill>
                          <w14:schemeClr w14:val="tx1"/>
                        </w14:solidFill>
                      </w14:textFill>
                    </w:rPr>
                    <w:t>存容器的尺寸不做统一要求，</w:t>
                  </w:r>
                  <w:r>
                    <w:rPr>
                      <w:rFonts w:hint="eastAsia" w:ascii="宋体" w:hAnsi="宋体" w:eastAsia="宋体" w:cs="宋体"/>
                      <w:color w:val="000000" w:themeColor="text1"/>
                      <w:spacing w:val="9"/>
                      <w:sz w:val="18"/>
                      <w:szCs w:val="18"/>
                      <w:u w:val="none" w:color="auto"/>
                      <w14:textFill>
                        <w14:solidFill>
                          <w14:schemeClr w14:val="tx1"/>
                        </w14:solidFill>
                      </w14:textFill>
                    </w:rPr>
                    <w:t>但应满足不同贮存方式的贮</w:t>
                  </w:r>
                  <w:r>
                    <w:rPr>
                      <w:rFonts w:hint="eastAsia" w:ascii="宋体" w:hAnsi="宋体" w:eastAsia="宋体" w:cs="宋体"/>
                      <w:color w:val="000000" w:themeColor="text1"/>
                      <w:spacing w:val="8"/>
                      <w:sz w:val="18"/>
                      <w:szCs w:val="18"/>
                      <w:u w:val="none" w:color="auto"/>
                      <w14:textFill>
                        <w14:solidFill>
                          <w14:schemeClr w14:val="tx1"/>
                        </w14:solidFill>
                      </w14:textFill>
                    </w:rPr>
                    <w:t>存量要求。④废铅酸电池的贮存设施还应符合以下要求:a)贮存点必须有耐酸地面隔离</w:t>
                  </w:r>
                  <w:r>
                    <w:rPr>
                      <w:rFonts w:hint="eastAsia" w:ascii="宋体" w:hAnsi="宋体" w:eastAsia="宋体" w:cs="宋体"/>
                      <w:color w:val="000000" w:themeColor="text1"/>
                      <w:spacing w:val="11"/>
                      <w:sz w:val="18"/>
                      <w:szCs w:val="18"/>
                      <w:u w:val="none" w:color="auto"/>
                      <w14:textFill>
                        <w14:solidFill>
                          <w14:schemeClr w14:val="tx1"/>
                        </w14:solidFill>
                      </w14:textFill>
                    </w:rPr>
                    <w:t>层,</w:t>
                  </w:r>
                  <w:r>
                    <w:rPr>
                      <w:rFonts w:hint="eastAsia" w:ascii="宋体" w:hAnsi="宋体" w:eastAsia="宋体" w:cs="宋体"/>
                      <w:color w:val="000000" w:themeColor="text1"/>
                      <w:spacing w:val="-13"/>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11"/>
                      <w:sz w:val="18"/>
                      <w:szCs w:val="18"/>
                      <w:u w:val="none" w:color="auto"/>
                      <w14:textFill>
                        <w14:solidFill>
                          <w14:schemeClr w14:val="tx1"/>
                        </w14:solidFill>
                      </w14:textFill>
                    </w:rPr>
                    <w:t>以便于截留和收集任何泄</w:t>
                  </w:r>
                  <w:r>
                    <w:rPr>
                      <w:rFonts w:hint="eastAsia" w:ascii="宋体" w:hAnsi="宋体" w:eastAsia="宋体" w:cs="宋体"/>
                      <w:color w:val="000000" w:themeColor="text1"/>
                      <w:spacing w:val="8"/>
                      <w:sz w:val="18"/>
                      <w:szCs w:val="18"/>
                      <w:u w:val="none" w:color="auto"/>
                      <w14:textFill>
                        <w14:solidFill>
                          <w14:schemeClr w14:val="tx1"/>
                        </w14:solidFill>
                      </w14:textFill>
                    </w:rPr>
                    <w:t>露液体；b)应有足够的废水收</w:t>
                  </w:r>
                  <w:r>
                    <w:rPr>
                      <w:rFonts w:hint="eastAsia" w:ascii="宋体" w:hAnsi="宋体" w:eastAsia="宋体" w:cs="宋体"/>
                      <w:color w:val="000000" w:themeColor="text1"/>
                      <w:spacing w:val="1"/>
                      <w:sz w:val="18"/>
                      <w:szCs w:val="18"/>
                      <w:u w:val="none" w:color="auto"/>
                      <w14:textFill>
                        <w14:solidFill>
                          <w14:schemeClr w14:val="tx1"/>
                        </w14:solidFill>
                      </w14:textFill>
                    </w:rPr>
                    <w:t>集系统,</w:t>
                  </w:r>
                  <w:r>
                    <w:rPr>
                      <w:rFonts w:hint="eastAsia" w:ascii="宋体" w:hAnsi="宋体" w:eastAsia="宋体" w:cs="宋体"/>
                      <w:color w:val="000000" w:themeColor="text1"/>
                      <w:spacing w:val="-10"/>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1"/>
                      <w:sz w:val="18"/>
                      <w:szCs w:val="18"/>
                      <w:u w:val="none" w:color="auto"/>
                      <w14:textFill>
                        <w14:solidFill>
                          <w14:schemeClr w14:val="tx1"/>
                        </w14:solidFill>
                      </w14:textFill>
                    </w:rPr>
                    <w:t>以便收集溢出的溶液；</w:t>
                  </w:r>
                  <w:r>
                    <w:rPr>
                      <w:rFonts w:hint="eastAsia" w:ascii="宋体" w:hAnsi="宋体" w:eastAsia="宋体" w:cs="宋体"/>
                      <w:color w:val="000000" w:themeColor="text1"/>
                      <w:spacing w:val="9"/>
                      <w:sz w:val="18"/>
                      <w:szCs w:val="18"/>
                      <w:u w:val="none" w:color="auto"/>
                      <w14:textFill>
                        <w14:solidFill>
                          <w14:schemeClr w14:val="tx1"/>
                        </w14:solidFill>
                      </w14:textFill>
                    </w:rPr>
                    <w:t>c)应设有适当的防火装置。</w:t>
                  </w:r>
                </w:p>
              </w:tc>
              <w:tc>
                <w:tcPr>
                  <w:tcW w:w="2059" w:type="pct"/>
                  <w:tcBorders>
                    <w:tl2br w:val="nil"/>
                    <w:tr2bl w:val="nil"/>
                  </w:tcBorders>
                  <w:vAlign w:val="center"/>
                </w:tcPr>
                <w:p w14:paraId="2C969DE7">
                  <w:pPr>
                    <w:pStyle w:val="119"/>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①本项目仅对废铅蓄</w:t>
                  </w:r>
                  <w:r>
                    <w:rPr>
                      <w:rFonts w:hint="eastAsia" w:ascii="宋体" w:hAnsi="宋体" w:eastAsia="宋体" w:cs="宋体"/>
                      <w:color w:val="000000" w:themeColor="text1"/>
                      <w:spacing w:val="6"/>
                      <w:sz w:val="18"/>
                      <w:szCs w:val="18"/>
                      <w:u w:val="none" w:color="auto"/>
                      <w14:textFill>
                        <w14:solidFill>
                          <w14:schemeClr w14:val="tx1"/>
                        </w14:solidFill>
                      </w14:textFill>
                    </w:rPr>
                    <w:t>电池收集、贮存及转</w:t>
                  </w:r>
                  <w:r>
                    <w:rPr>
                      <w:rFonts w:hint="eastAsia" w:ascii="宋体" w:hAnsi="宋体" w:eastAsia="宋体" w:cs="宋体"/>
                      <w:color w:val="000000" w:themeColor="text1"/>
                      <w:spacing w:val="4"/>
                      <w:sz w:val="18"/>
                      <w:szCs w:val="18"/>
                      <w:u w:val="none" w:color="auto"/>
                      <w14:textFill>
                        <w14:solidFill>
                          <w14:schemeClr w14:val="tx1"/>
                        </w14:solidFill>
                      </w14:textFill>
                    </w:rPr>
                    <w:t>运，无拆解环节，不产生电解液，废铅蓄电池</w:t>
                  </w:r>
                  <w:r>
                    <w:rPr>
                      <w:rFonts w:hint="eastAsia" w:ascii="宋体" w:hAnsi="宋体" w:eastAsia="宋体" w:cs="宋体"/>
                      <w:color w:val="000000" w:themeColor="text1"/>
                      <w:spacing w:val="9"/>
                      <w:sz w:val="18"/>
                      <w:szCs w:val="18"/>
                      <w:u w:val="none" w:color="auto"/>
                      <w14:textFill>
                        <w14:solidFill>
                          <w14:schemeClr w14:val="tx1"/>
                        </w14:solidFill>
                      </w14:textFill>
                    </w:rPr>
                    <w:t>在废铅蓄电池</w:t>
                  </w:r>
                  <w:r>
                    <w:rPr>
                      <w:rFonts w:hint="eastAsia" w:cs="宋体"/>
                      <w:color w:val="000000" w:themeColor="text1"/>
                      <w:spacing w:val="9"/>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2"/>
                      <w:sz w:val="18"/>
                      <w:szCs w:val="18"/>
                      <w:u w:val="none" w:color="auto"/>
                      <w14:textFill>
                        <w14:solidFill>
                          <w14:schemeClr w14:val="tx1"/>
                        </w14:solidFill>
                      </w14:textFill>
                    </w:rPr>
                    <w:t>内暂存，附危险废物标</w:t>
                  </w:r>
                  <w:r>
                    <w:rPr>
                      <w:rFonts w:hint="eastAsia" w:ascii="宋体" w:hAnsi="宋体" w:eastAsia="宋体" w:cs="宋体"/>
                      <w:color w:val="000000" w:themeColor="text1"/>
                      <w:spacing w:val="6"/>
                      <w:sz w:val="18"/>
                      <w:szCs w:val="18"/>
                      <w:u w:val="none" w:color="auto"/>
                      <w14:textFill>
                        <w14:solidFill>
                          <w14:schemeClr w14:val="tx1"/>
                        </w14:solidFill>
                      </w14:textFill>
                    </w:rPr>
                    <w:t>签，严格按</w:t>
                  </w: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6"/>
                      <w:sz w:val="18"/>
                      <w:szCs w:val="18"/>
                      <w:u w:val="none" w:color="auto"/>
                      <w14:textFill>
                        <w14:solidFill>
                          <w14:schemeClr w14:val="tx1"/>
                        </w14:solidFill>
                      </w14:textFill>
                    </w:rPr>
                    <w:t>18597有</w:t>
                  </w:r>
                  <w:r>
                    <w:rPr>
                      <w:rFonts w:hint="eastAsia" w:ascii="宋体" w:hAnsi="宋体" w:eastAsia="宋体" w:cs="宋体"/>
                      <w:color w:val="000000" w:themeColor="text1"/>
                      <w:spacing w:val="4"/>
                      <w:sz w:val="18"/>
                      <w:szCs w:val="18"/>
                      <w:u w:val="none" w:color="auto"/>
                      <w14:textFill>
                        <w14:solidFill>
                          <w14:schemeClr w14:val="tx1"/>
                        </w14:solidFill>
                      </w14:textFill>
                    </w:rPr>
                    <w:t>关规定收集贮存；②漏</w:t>
                  </w:r>
                  <w:r>
                    <w:rPr>
                      <w:rFonts w:hint="eastAsia" w:ascii="宋体" w:hAnsi="宋体" w:eastAsia="宋体" w:cs="宋体"/>
                      <w:color w:val="000000" w:themeColor="text1"/>
                      <w:spacing w:val="8"/>
                      <w:sz w:val="18"/>
                      <w:szCs w:val="18"/>
                      <w:u w:val="none" w:color="auto"/>
                      <w14:textFill>
                        <w14:solidFill>
                          <w14:schemeClr w14:val="tx1"/>
                        </w14:solidFill>
                      </w14:textFill>
                    </w:rPr>
                    <w:t>液的电池放置在耐酸</w:t>
                  </w:r>
                  <w:r>
                    <w:rPr>
                      <w:rFonts w:hint="eastAsia" w:ascii="宋体" w:hAnsi="宋体" w:eastAsia="宋体" w:cs="宋体"/>
                      <w:color w:val="000000" w:themeColor="text1"/>
                      <w:spacing w:val="2"/>
                      <w:sz w:val="18"/>
                      <w:szCs w:val="18"/>
                      <w:u w:val="none" w:color="auto"/>
                      <w14:textFill>
                        <w14:solidFill>
                          <w14:schemeClr w14:val="tx1"/>
                        </w14:solidFill>
                      </w14:textFill>
                    </w:rPr>
                    <w:t>的密闭塑料箱内；③本</w:t>
                  </w:r>
                  <w:r>
                    <w:rPr>
                      <w:rFonts w:hint="eastAsia" w:ascii="宋体" w:hAnsi="宋体" w:eastAsia="宋体" w:cs="宋体"/>
                      <w:color w:val="000000" w:themeColor="text1"/>
                      <w:spacing w:val="8"/>
                      <w:sz w:val="18"/>
                      <w:szCs w:val="18"/>
                      <w:u w:val="none" w:color="auto"/>
                      <w14:textFill>
                        <w14:solidFill>
                          <w14:schemeClr w14:val="tx1"/>
                        </w14:solidFill>
                      </w14:textFill>
                    </w:rPr>
                    <w:t>项目采用塑料集装箱收集废铅蓄电池及锂</w:t>
                  </w:r>
                  <w:r>
                    <w:rPr>
                      <w:rFonts w:hint="eastAsia" w:ascii="宋体" w:hAnsi="宋体" w:eastAsia="宋体" w:cs="宋体"/>
                      <w:color w:val="000000" w:themeColor="text1"/>
                      <w:spacing w:val="2"/>
                      <w:sz w:val="18"/>
                      <w:szCs w:val="18"/>
                      <w:u w:val="none" w:color="auto"/>
                      <w14:textFill>
                        <w14:solidFill>
                          <w14:schemeClr w14:val="tx1"/>
                        </w14:solidFill>
                      </w14:textFill>
                    </w:rPr>
                    <w:t>电池；④废铅蓄电池在</w:t>
                  </w:r>
                  <w:r>
                    <w:rPr>
                      <w:rFonts w:hint="eastAsia" w:ascii="宋体" w:hAnsi="宋体" w:eastAsia="宋体" w:cs="宋体"/>
                      <w:color w:val="000000" w:themeColor="text1"/>
                      <w:spacing w:val="9"/>
                      <w:sz w:val="18"/>
                      <w:szCs w:val="18"/>
                      <w:u w:val="none" w:color="auto"/>
                      <w14:textFill>
                        <w14:solidFill>
                          <w14:schemeClr w14:val="tx1"/>
                        </w14:solidFill>
                      </w14:textFill>
                    </w:rPr>
                    <w:t>废铅蓄电池</w:t>
                  </w:r>
                  <w:r>
                    <w:rPr>
                      <w:rFonts w:hint="eastAsia" w:cs="宋体"/>
                      <w:color w:val="000000" w:themeColor="text1"/>
                      <w:spacing w:val="9"/>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9"/>
                      <w:sz w:val="18"/>
                      <w:szCs w:val="18"/>
                      <w:u w:val="none" w:color="auto"/>
                      <w14:textFill>
                        <w14:solidFill>
                          <w14:schemeClr w14:val="tx1"/>
                        </w14:solidFill>
                      </w14:textFill>
                    </w:rPr>
                    <w:t>内</w:t>
                  </w:r>
                  <w:r>
                    <w:rPr>
                      <w:rFonts w:hint="eastAsia" w:ascii="宋体" w:hAnsi="宋体" w:eastAsia="宋体" w:cs="宋体"/>
                      <w:color w:val="000000" w:themeColor="text1"/>
                      <w:spacing w:val="3"/>
                      <w:sz w:val="18"/>
                      <w:szCs w:val="18"/>
                      <w:u w:val="none" w:color="auto"/>
                      <w14:textFill>
                        <w14:solidFill>
                          <w14:schemeClr w14:val="tx1"/>
                        </w14:solidFill>
                      </w14:textFill>
                    </w:rPr>
                    <w:t>暂存，废铅蓄电池</w:t>
                  </w:r>
                  <w:r>
                    <w:rPr>
                      <w:rFonts w:hint="eastAsia" w:cs="宋体"/>
                      <w:color w:val="000000" w:themeColor="text1"/>
                      <w:spacing w:val="3"/>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3"/>
                      <w:sz w:val="18"/>
                      <w:szCs w:val="18"/>
                      <w:u w:val="none" w:color="auto"/>
                      <w14:textFill>
                        <w14:solidFill>
                          <w14:schemeClr w14:val="tx1"/>
                        </w14:solidFill>
                      </w14:textFill>
                    </w:rPr>
                    <w:t>地面耐酸防渗，</w:t>
                  </w:r>
                  <w:r>
                    <w:rPr>
                      <w:rFonts w:hint="eastAsia" w:cs="宋体"/>
                      <w:color w:val="000000" w:themeColor="text1"/>
                      <w:spacing w:val="3"/>
                      <w:sz w:val="18"/>
                      <w:szCs w:val="18"/>
                      <w:u w:val="none" w:color="auto"/>
                      <w:lang w:val="en-US" w:eastAsia="zh-CN"/>
                      <w14:textFill>
                        <w14:solidFill>
                          <w14:schemeClr w14:val="tx1"/>
                        </w14:solidFill>
                      </w14:textFill>
                    </w:rPr>
                    <w:t>企业设置废水收集系统</w:t>
                  </w:r>
                  <w:r>
                    <w:rPr>
                      <w:rFonts w:hint="eastAsia" w:cs="宋体"/>
                      <w:color w:val="000000" w:themeColor="text1"/>
                      <w:spacing w:val="4"/>
                      <w:sz w:val="18"/>
                      <w:szCs w:val="18"/>
                      <w:u w:val="none" w:color="auto"/>
                      <w:lang w:val="en-US" w:eastAsia="zh-CN"/>
                      <w14:textFill>
                        <w14:solidFill>
                          <w14:schemeClr w14:val="tx1"/>
                        </w14:solidFill>
                      </w14:textFill>
                    </w:rPr>
                    <w:t>以及</w:t>
                  </w:r>
                  <w:r>
                    <w:rPr>
                      <w:rFonts w:hint="eastAsia" w:ascii="宋体" w:hAnsi="宋体" w:eastAsia="宋体" w:cs="宋体"/>
                      <w:color w:val="000000" w:themeColor="text1"/>
                      <w:spacing w:val="4"/>
                      <w:sz w:val="18"/>
                      <w:szCs w:val="18"/>
                      <w:u w:val="none" w:color="auto"/>
                      <w14:textFill>
                        <w14:solidFill>
                          <w14:schemeClr w14:val="tx1"/>
                        </w14:solidFill>
                      </w14:textFill>
                    </w:rPr>
                    <w:t>设</w:t>
                  </w:r>
                  <w:r>
                    <w:rPr>
                      <w:rFonts w:hint="eastAsia" w:ascii="宋体" w:hAnsi="宋体" w:eastAsia="宋体" w:cs="宋体"/>
                      <w:color w:val="000000" w:themeColor="text1"/>
                      <w:spacing w:val="11"/>
                      <w:sz w:val="18"/>
                      <w:szCs w:val="18"/>
                      <w:u w:val="none" w:color="auto"/>
                      <w14:textFill>
                        <w14:solidFill>
                          <w14:schemeClr w14:val="tx1"/>
                        </w14:solidFill>
                      </w14:textFill>
                    </w:rPr>
                    <w:t>置防火装置。</w:t>
                  </w:r>
                </w:p>
              </w:tc>
              <w:tc>
                <w:tcPr>
                  <w:tcW w:w="291" w:type="pct"/>
                  <w:tcBorders>
                    <w:tl2br w:val="nil"/>
                    <w:tr2bl w:val="nil"/>
                  </w:tcBorders>
                  <w:vAlign w:val="center"/>
                </w:tcPr>
                <w:p w14:paraId="4AAFAF52">
                  <w:pPr>
                    <w:keepNext w:val="0"/>
                    <w:keepLines w:val="0"/>
                    <w:pageBreakBefore w:val="0"/>
                    <w:widowControl/>
                    <w:kinsoku/>
                    <w:wordWrap/>
                    <w:overflowPunct w:val="0"/>
                    <w:topLinePunct w:val="0"/>
                    <w:autoSpaceDE w:val="0"/>
                    <w:autoSpaceDN w:val="0"/>
                    <w:bidi w:val="0"/>
                    <w:adjustRightInd w:val="0"/>
                    <w:snapToGrid w:val="0"/>
                    <w:spacing w:line="240" w:lineRule="atLeast"/>
                    <w:jc w:val="center"/>
                    <w:textAlignment w:val="baseline"/>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cs="宋体"/>
                      <w:color w:val="000000" w:themeColor="text1"/>
                      <w:sz w:val="18"/>
                      <w:szCs w:val="18"/>
                      <w:u w:val="none" w:color="auto"/>
                      <w:lang w:val="en-US" w:eastAsia="zh-CN"/>
                      <w14:textFill>
                        <w14:solidFill>
                          <w14:schemeClr w14:val="tx1"/>
                        </w14:solidFill>
                      </w14:textFill>
                    </w:rPr>
                    <w:t>符合</w:t>
                  </w:r>
                </w:p>
              </w:tc>
            </w:tr>
          </w:tbl>
          <w:p w14:paraId="29F3681B">
            <w:pPr>
              <w:pStyle w:val="119"/>
              <w:tabs>
                <w:tab w:val="left" w:pos="716"/>
              </w:tabs>
              <w:spacing w:before="78" w:line="219" w:lineRule="auto"/>
              <w:ind w:left="580"/>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7"/>
                <w:sz w:val="21"/>
                <w:szCs w:val="21"/>
                <w:u w:val="none" w:color="auto"/>
                <w14:textFill>
                  <w14:solidFill>
                    <w14:schemeClr w14:val="tx1"/>
                  </w14:solidFill>
                </w14:textFill>
              </w:rPr>
              <w:t>（11）与《废电池污染防治技术政策》符合性分析</w:t>
            </w:r>
          </w:p>
          <w:p w14:paraId="7C716EF9">
            <w:pPr>
              <w:pStyle w:val="119"/>
              <w:spacing w:before="182" w:line="354" w:lineRule="auto"/>
              <w:ind w:left="113" w:right="218" w:firstLine="478"/>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本项目与环发[2003]163 号《废电</w:t>
            </w:r>
            <w:r>
              <w:rPr>
                <w:rFonts w:hint="eastAsia" w:ascii="宋体" w:hAnsi="宋体" w:eastAsia="宋体" w:cs="宋体"/>
                <w:color w:val="000000" w:themeColor="text1"/>
                <w:spacing w:val="-1"/>
                <w:sz w:val="21"/>
                <w:szCs w:val="21"/>
                <w:u w:val="none" w:color="auto"/>
                <w14:textFill>
                  <w14:solidFill>
                    <w14:schemeClr w14:val="tx1"/>
                  </w14:solidFill>
                </w14:textFill>
              </w:rPr>
              <w:t>池污染防治技术政策》符合性</w:t>
            </w:r>
            <w:r>
              <w:rPr>
                <w:rFonts w:hint="eastAsia" w:ascii="宋体" w:hAnsi="宋体" w:eastAsia="宋体" w:cs="宋体"/>
                <w:color w:val="000000" w:themeColor="text1"/>
                <w:spacing w:val="-5"/>
                <w:sz w:val="21"/>
                <w:szCs w:val="21"/>
                <w:u w:val="none" w:color="auto"/>
                <w14:textFill>
                  <w14:solidFill>
                    <w14:schemeClr w14:val="tx1"/>
                  </w14:solidFill>
                </w14:textFill>
              </w:rPr>
              <w:t>分析详见表</w:t>
            </w:r>
            <w:r>
              <w:rPr>
                <w:rFonts w:hint="eastAsia" w:ascii="宋体" w:hAnsi="宋体" w:eastAsia="宋体" w:cs="宋体"/>
                <w:color w:val="000000" w:themeColor="text1"/>
                <w:spacing w:val="-24"/>
                <w:sz w:val="21"/>
                <w:szCs w:val="21"/>
                <w:u w:val="none" w:color="auto"/>
                <w14:textFill>
                  <w14:solidFill>
                    <w14:schemeClr w14:val="tx1"/>
                  </w14:solidFill>
                </w14:textFill>
              </w:rPr>
              <w:t xml:space="preserve"> </w:t>
            </w:r>
            <w:r>
              <w:rPr>
                <w:rFonts w:hint="eastAsia" w:ascii="宋体" w:hAnsi="宋体" w:eastAsia="宋体" w:cs="宋体"/>
                <w:color w:val="000000" w:themeColor="text1"/>
                <w:spacing w:val="-5"/>
                <w:sz w:val="21"/>
                <w:szCs w:val="21"/>
                <w:u w:val="none" w:color="auto"/>
                <w14:textFill>
                  <w14:solidFill>
                    <w14:schemeClr w14:val="tx1"/>
                  </w14:solidFill>
                </w14:textFill>
              </w:rPr>
              <w:t>1-12</w:t>
            </w:r>
            <w:r>
              <w:rPr>
                <w:rFonts w:hint="eastAsia" w:ascii="宋体" w:hAnsi="宋体" w:eastAsia="宋体" w:cs="宋体"/>
                <w:color w:val="000000" w:themeColor="text1"/>
                <w:spacing w:val="-28"/>
                <w:sz w:val="21"/>
                <w:szCs w:val="21"/>
                <w:u w:val="none" w:color="auto"/>
                <w14:textFill>
                  <w14:solidFill>
                    <w14:schemeClr w14:val="tx1"/>
                  </w14:solidFill>
                </w14:textFill>
              </w:rPr>
              <w:t xml:space="preserve"> </w:t>
            </w:r>
            <w:r>
              <w:rPr>
                <w:rFonts w:hint="eastAsia" w:ascii="宋体" w:hAnsi="宋体" w:eastAsia="宋体" w:cs="宋体"/>
                <w:color w:val="000000" w:themeColor="text1"/>
                <w:spacing w:val="-5"/>
                <w:sz w:val="21"/>
                <w:szCs w:val="21"/>
                <w:u w:val="none" w:color="auto"/>
                <w14:textFill>
                  <w14:solidFill>
                    <w14:schemeClr w14:val="tx1"/>
                  </w14:solidFill>
                </w14:textFill>
              </w:rPr>
              <w:t>。</w:t>
            </w:r>
          </w:p>
          <w:p w14:paraId="759C6071">
            <w:pPr>
              <w:pStyle w:val="119"/>
              <w:spacing w:before="13" w:line="219" w:lineRule="auto"/>
              <w:ind w:left="856"/>
              <w:jc w:val="center"/>
              <w:rPr>
                <w:b/>
                <w:bCs/>
                <w:color w:val="000000" w:themeColor="text1"/>
                <w:spacing w:val="-3"/>
                <w:sz w:val="21"/>
                <w:szCs w:val="21"/>
                <w:u w:val="none" w:color="auto"/>
                <w14:textFill>
                  <w14:solidFill>
                    <w14:schemeClr w14:val="tx1"/>
                  </w14:solidFill>
                </w14:textFill>
              </w:rPr>
            </w:pPr>
            <w:r>
              <w:rPr>
                <w:b/>
                <w:bCs/>
                <w:color w:val="000000" w:themeColor="text1"/>
                <w:spacing w:val="-3"/>
                <w:sz w:val="21"/>
                <w:szCs w:val="21"/>
                <w:u w:val="none" w:color="auto"/>
                <w14:textFill>
                  <w14:solidFill>
                    <w14:schemeClr w14:val="tx1"/>
                  </w14:solidFill>
                </w14:textFill>
              </w:rPr>
              <w:t>表</w:t>
            </w:r>
            <w:r>
              <w:rPr>
                <w:color w:val="000000" w:themeColor="text1"/>
                <w:spacing w:val="-26"/>
                <w:sz w:val="21"/>
                <w:szCs w:val="21"/>
                <w:u w:val="none" w:color="auto"/>
                <w14:textFill>
                  <w14:solidFill>
                    <w14:schemeClr w14:val="tx1"/>
                  </w14:solidFill>
                </w14:textFill>
              </w:rPr>
              <w:t xml:space="preserve"> </w:t>
            </w:r>
            <w:r>
              <w:rPr>
                <w:rFonts w:ascii="Times New Roman" w:hAnsi="Times New Roman" w:eastAsia="Times New Roman" w:cs="Times New Roman"/>
                <w:b/>
                <w:bCs/>
                <w:color w:val="000000" w:themeColor="text1"/>
                <w:spacing w:val="-3"/>
                <w:sz w:val="21"/>
                <w:szCs w:val="21"/>
                <w:u w:val="none" w:color="auto"/>
                <w14:textFill>
                  <w14:solidFill>
                    <w14:schemeClr w14:val="tx1"/>
                  </w14:solidFill>
                </w14:textFill>
              </w:rPr>
              <w:t xml:space="preserve">1-12  </w:t>
            </w:r>
            <w:r>
              <w:rPr>
                <w:b/>
                <w:bCs/>
                <w:color w:val="000000" w:themeColor="text1"/>
                <w:spacing w:val="-3"/>
                <w:sz w:val="21"/>
                <w:szCs w:val="21"/>
                <w:u w:val="none" w:color="auto"/>
                <w14:textFill>
                  <w14:solidFill>
                    <w14:schemeClr w14:val="tx1"/>
                  </w14:solidFill>
                </w14:textFill>
              </w:rPr>
              <w:t>与《废电池污染防治技术政策》符合性分析表</w:t>
            </w:r>
          </w:p>
          <w:tbl>
            <w:tblPr>
              <w:tblStyle w:val="108"/>
              <w:tblW w:w="4998"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Layout w:type="fixed"/>
              <w:tblCellMar>
                <w:top w:w="0" w:type="dxa"/>
                <w:left w:w="0" w:type="dxa"/>
                <w:bottom w:w="0" w:type="dxa"/>
                <w:right w:w="0" w:type="dxa"/>
              </w:tblCellMar>
            </w:tblPr>
            <w:tblGrid>
              <w:gridCol w:w="1999"/>
              <w:gridCol w:w="5486"/>
              <w:gridCol w:w="5395"/>
              <w:gridCol w:w="963"/>
            </w:tblGrid>
            <w:tr w14:paraId="040F10A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66" w:hRule="atLeast"/>
              </w:trPr>
              <w:tc>
                <w:tcPr>
                  <w:tcW w:w="2703" w:type="pct"/>
                  <w:gridSpan w:val="2"/>
                  <w:tcBorders>
                    <w:tl2br w:val="nil"/>
                    <w:tr2bl w:val="nil"/>
                  </w:tcBorders>
                  <w:vAlign w:val="top"/>
                </w:tcPr>
                <w:p w14:paraId="143B2E78">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相关要求</w:t>
                  </w:r>
                </w:p>
              </w:tc>
              <w:tc>
                <w:tcPr>
                  <w:tcW w:w="1948" w:type="pct"/>
                  <w:tcBorders>
                    <w:tl2br w:val="nil"/>
                    <w:tr2bl w:val="nil"/>
                  </w:tcBorders>
                  <w:vAlign w:val="top"/>
                </w:tcPr>
                <w:p w14:paraId="083712F1">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项目情况</w:t>
                  </w:r>
                </w:p>
              </w:tc>
              <w:tc>
                <w:tcPr>
                  <w:tcW w:w="347" w:type="pct"/>
                  <w:tcBorders>
                    <w:tl2br w:val="nil"/>
                    <w:tr2bl w:val="nil"/>
                  </w:tcBorders>
                  <w:vAlign w:val="top"/>
                </w:tcPr>
                <w:p w14:paraId="35354F0E">
                  <w:pPr>
                    <w:pStyle w:val="119"/>
                    <w:keepNext w:val="0"/>
                    <w:keepLines w:val="0"/>
                    <w:pageBreakBefore w:val="0"/>
                    <w:widowControl/>
                    <w:wordWrap/>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符合性</w:t>
                  </w:r>
                </w:p>
              </w:tc>
            </w:tr>
            <w:tr w14:paraId="5EFED30B">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56" w:hRule="atLeast"/>
              </w:trPr>
              <w:tc>
                <w:tcPr>
                  <w:tcW w:w="721" w:type="pct"/>
                  <w:vMerge w:val="restart"/>
                  <w:tcBorders>
                    <w:tl2br w:val="nil"/>
                    <w:tr2bl w:val="nil"/>
                  </w:tcBorders>
                  <w:vAlign w:val="top"/>
                </w:tcPr>
                <w:p w14:paraId="629FE123">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p w14:paraId="24C0C9BE">
                  <w:pPr>
                    <w:pStyle w:val="119"/>
                    <w:keepNext w:val="0"/>
                    <w:keepLines w:val="0"/>
                    <w:pageBreakBefore w:val="0"/>
                    <w:widowControl/>
                    <w:tabs>
                      <w:tab w:val="left" w:pos="382"/>
                    </w:tabs>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6"/>
                      <w:w w:val="94"/>
                      <w:sz w:val="18"/>
                      <w:szCs w:val="18"/>
                      <w:u w:val="none" w:color="auto"/>
                      <w14:textFill>
                        <w14:solidFill>
                          <w14:schemeClr w14:val="tx1"/>
                        </w14:solidFill>
                      </w14:textFill>
                    </w:rPr>
                    <w:t>《废电</w:t>
                  </w:r>
                  <w:r>
                    <w:rPr>
                      <w:rFonts w:hint="eastAsia" w:ascii="宋体" w:hAnsi="宋体" w:eastAsia="宋体" w:cs="宋体"/>
                      <w:color w:val="000000" w:themeColor="text1"/>
                      <w:spacing w:val="6"/>
                      <w:sz w:val="18"/>
                      <w:szCs w:val="18"/>
                      <w:u w:val="none" w:color="auto"/>
                      <w14:textFill>
                        <w14:solidFill>
                          <w14:schemeClr w14:val="tx1"/>
                        </w14:solidFill>
                      </w14:textFill>
                    </w:rPr>
                    <w:t>池污染</w:t>
                  </w:r>
                  <w:r>
                    <w:rPr>
                      <w:rFonts w:hint="eastAsia" w:ascii="宋体" w:hAnsi="宋体" w:eastAsia="宋体" w:cs="宋体"/>
                      <w:color w:val="000000" w:themeColor="text1"/>
                      <w:spacing w:val="2"/>
                      <w:sz w:val="18"/>
                      <w:szCs w:val="18"/>
                      <w:u w:val="none" w:color="auto"/>
                      <w14:textFill>
                        <w14:solidFill>
                          <w14:schemeClr w14:val="tx1"/>
                        </w14:solidFill>
                      </w14:textFill>
                    </w:rPr>
                    <w:t>防治技</w:t>
                  </w:r>
                  <w:r>
                    <w:rPr>
                      <w:rFonts w:hint="eastAsia" w:ascii="宋体" w:hAnsi="宋体" w:eastAsia="宋体" w:cs="宋体"/>
                      <w:color w:val="000000" w:themeColor="text1"/>
                      <w:spacing w:val="4"/>
                      <w:sz w:val="18"/>
                      <w:szCs w:val="18"/>
                      <w:u w:val="none" w:color="auto"/>
                      <w14:textFill>
                        <w14:solidFill>
                          <w14:schemeClr w14:val="tx1"/>
                        </w14:solidFill>
                      </w14:textFill>
                    </w:rPr>
                    <w:t>术政策》环发</w:t>
                  </w:r>
                  <w:r>
                    <w:rPr>
                      <w:rFonts w:hint="eastAsia" w:ascii="宋体" w:hAnsi="宋体" w:eastAsia="宋体" w:cs="宋体"/>
                      <w:color w:val="000000" w:themeColor="text1"/>
                      <w:spacing w:val="1"/>
                      <w:sz w:val="18"/>
                      <w:szCs w:val="18"/>
                      <w:u w:val="none" w:color="auto"/>
                      <w14:textFill>
                        <w14:solidFill>
                          <w14:schemeClr w14:val="tx1"/>
                        </w14:solidFill>
                      </w14:textFill>
                    </w:rPr>
                    <w:t>[2003]1</w:t>
                  </w:r>
                  <w:r>
                    <w:rPr>
                      <w:rFonts w:hint="eastAsia" w:ascii="宋体" w:hAnsi="宋体" w:eastAsia="宋体" w:cs="宋体"/>
                      <w:color w:val="000000" w:themeColor="text1"/>
                      <w:spacing w:val="3"/>
                      <w:sz w:val="18"/>
                      <w:szCs w:val="18"/>
                      <w:u w:val="none" w:color="auto"/>
                      <w14:textFill>
                        <w14:solidFill>
                          <w14:schemeClr w14:val="tx1"/>
                        </w14:solidFill>
                      </w14:textFill>
                    </w:rPr>
                    <w:t>63号</w:t>
                  </w:r>
                </w:p>
              </w:tc>
              <w:tc>
                <w:tcPr>
                  <w:tcW w:w="1981" w:type="pct"/>
                  <w:tcBorders>
                    <w:tl2br w:val="nil"/>
                    <w:tr2bl w:val="nil"/>
                  </w:tcBorders>
                  <w:vAlign w:val="top"/>
                </w:tcPr>
                <w:p w14:paraId="303EE3D6">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废电池的收集重点是镉镍电</w:t>
                  </w:r>
                  <w:r>
                    <w:rPr>
                      <w:rFonts w:hint="eastAsia" w:ascii="宋体" w:hAnsi="宋体" w:eastAsia="宋体" w:cs="宋体"/>
                      <w:color w:val="000000" w:themeColor="text1"/>
                      <w:spacing w:val="10"/>
                      <w:sz w:val="18"/>
                      <w:szCs w:val="18"/>
                      <w:u w:val="none" w:color="auto"/>
                      <w14:textFill>
                        <w14:solidFill>
                          <w14:schemeClr w14:val="tx1"/>
                        </w14:solidFill>
                      </w14:textFill>
                    </w:rPr>
                    <w:t>池、氢镍电池、锂离子电池、</w:t>
                  </w:r>
                  <w:r>
                    <w:rPr>
                      <w:rFonts w:hint="eastAsia" w:ascii="宋体" w:hAnsi="宋体" w:eastAsia="宋体" w:cs="宋体"/>
                      <w:color w:val="000000" w:themeColor="text1"/>
                      <w:spacing w:val="9"/>
                      <w:sz w:val="18"/>
                      <w:szCs w:val="18"/>
                      <w:u w:val="none" w:color="auto"/>
                      <w14:textFill>
                        <w14:solidFill>
                          <w14:schemeClr w14:val="tx1"/>
                        </w14:solidFill>
                      </w14:textFill>
                    </w:rPr>
                    <w:t>铅酸电池等废弃的可充电电</w:t>
                  </w:r>
                  <w:r>
                    <w:rPr>
                      <w:rFonts w:hint="eastAsia" w:ascii="宋体" w:hAnsi="宋体" w:eastAsia="宋体" w:cs="宋体"/>
                      <w:color w:val="000000" w:themeColor="text1"/>
                      <w:spacing w:val="8"/>
                      <w:sz w:val="18"/>
                      <w:szCs w:val="18"/>
                      <w:u w:val="none" w:color="auto"/>
                      <w14:textFill>
                        <w14:solidFill>
                          <w14:schemeClr w14:val="tx1"/>
                        </w14:solidFill>
                      </w14:textFill>
                    </w:rPr>
                    <w:t>池（以下简称为废充电电池）</w:t>
                  </w:r>
                  <w:r>
                    <w:rPr>
                      <w:rFonts w:hint="eastAsia" w:ascii="宋体" w:hAnsi="宋体" w:eastAsia="宋体" w:cs="宋体"/>
                      <w:color w:val="000000" w:themeColor="text1"/>
                      <w:spacing w:val="9"/>
                      <w:sz w:val="18"/>
                      <w:szCs w:val="18"/>
                      <w:u w:val="none" w:color="auto"/>
                      <w14:textFill>
                        <w14:solidFill>
                          <w14:schemeClr w14:val="tx1"/>
                        </w14:solidFill>
                      </w14:textFill>
                    </w:rPr>
                    <w:t>和氧化银等废弃的扣式一次</w:t>
                  </w:r>
                  <w:r>
                    <w:rPr>
                      <w:rFonts w:hint="eastAsia" w:ascii="宋体" w:hAnsi="宋体" w:eastAsia="宋体" w:cs="宋体"/>
                      <w:color w:val="000000" w:themeColor="text1"/>
                      <w:spacing w:val="7"/>
                      <w:sz w:val="18"/>
                      <w:szCs w:val="18"/>
                      <w:u w:val="none" w:color="auto"/>
                      <w14:textFill>
                        <w14:solidFill>
                          <w14:schemeClr w14:val="tx1"/>
                        </w14:solidFill>
                      </w14:textFill>
                    </w:rPr>
                    <w:t>电池（以下简称为废扣式电</w:t>
                  </w:r>
                  <w:r>
                    <w:rPr>
                      <w:rFonts w:hint="eastAsia" w:ascii="宋体" w:hAnsi="宋体" w:eastAsia="宋体" w:cs="宋体"/>
                      <w:color w:val="000000" w:themeColor="text1"/>
                      <w:spacing w:val="13"/>
                      <w:sz w:val="18"/>
                      <w:szCs w:val="18"/>
                      <w:u w:val="none" w:color="auto"/>
                      <w14:textFill>
                        <w14:solidFill>
                          <w14:schemeClr w14:val="tx1"/>
                        </w14:solidFill>
                      </w14:textFill>
                    </w:rPr>
                    <w:t>池）。</w:t>
                  </w:r>
                </w:p>
              </w:tc>
              <w:tc>
                <w:tcPr>
                  <w:tcW w:w="1948" w:type="pct"/>
                  <w:tcBorders>
                    <w:tl2br w:val="nil"/>
                    <w:tr2bl w:val="nil"/>
                  </w:tcBorders>
                  <w:vAlign w:val="top"/>
                </w:tcPr>
                <w:p w14:paraId="32A035C0">
                  <w:pPr>
                    <w:pStyle w:val="119"/>
                    <w:keepNext w:val="0"/>
                    <w:keepLines w:val="0"/>
                    <w:pageBreakBefore w:val="0"/>
                    <w:widowControl/>
                    <w:tabs>
                      <w:tab w:val="left" w:pos="2161"/>
                    </w:tabs>
                    <w:kinsoku/>
                    <w:wordWrap/>
                    <w:overflowPunct w:val="0"/>
                    <w:topLinePunct w:val="0"/>
                    <w:autoSpaceDE w:val="0"/>
                    <w:autoSpaceDN w:val="0"/>
                    <w:bidi w:val="0"/>
                    <w:adjustRightInd w:val="0"/>
                    <w:snapToGrid w:val="0"/>
                    <w:spacing w:line="240" w:lineRule="atLeast"/>
                    <w:ind w:right="96"/>
                    <w:jc w:val="both"/>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5"/>
                      <w:sz w:val="18"/>
                      <w:szCs w:val="18"/>
                      <w:u w:val="none" w:color="auto"/>
                      <w14:textFill>
                        <w14:solidFill>
                          <w14:schemeClr w14:val="tx1"/>
                        </w14:solidFill>
                      </w14:textFill>
                    </w:rPr>
                    <w:t>本项目收集废锂电池、</w:t>
                  </w:r>
                  <w:r>
                    <w:rPr>
                      <w:rFonts w:hint="eastAsia" w:ascii="宋体" w:hAnsi="宋体" w:eastAsia="宋体" w:cs="宋体"/>
                      <w:color w:val="000000" w:themeColor="text1"/>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废铅酸蓄电池，均属于</w:t>
                  </w:r>
                  <w:r>
                    <w:rPr>
                      <w:rFonts w:hint="eastAsia" w:ascii="宋体" w:hAnsi="宋体" w:eastAsia="宋体" w:cs="宋体"/>
                      <w:color w:val="000000" w:themeColor="text1"/>
                      <w:spacing w:val="20"/>
                      <w:sz w:val="18"/>
                      <w:szCs w:val="18"/>
                      <w:u w:val="none" w:color="auto"/>
                      <w14:textFill>
                        <w14:solidFill>
                          <w14:schemeClr w14:val="tx1"/>
                        </w14:solidFill>
                      </w14:textFill>
                    </w:rPr>
                    <w:t>重点回收的废电池。</w:t>
                  </w:r>
                </w:p>
              </w:tc>
              <w:tc>
                <w:tcPr>
                  <w:tcW w:w="347" w:type="pct"/>
                  <w:tcBorders>
                    <w:tl2br w:val="nil"/>
                    <w:tr2bl w:val="nil"/>
                  </w:tcBorders>
                  <w:vAlign w:val="top"/>
                </w:tcPr>
                <w:p w14:paraId="271AA812">
                  <w:pPr>
                    <w:pStyle w:val="119"/>
                    <w:keepNext w:val="0"/>
                    <w:keepLines w:val="0"/>
                    <w:pageBreakBefore w:val="0"/>
                    <w:widowControl/>
                    <w:wordWrap/>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64251C64">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230" w:hRule="atLeast"/>
              </w:trPr>
              <w:tc>
                <w:tcPr>
                  <w:tcW w:w="721" w:type="pct"/>
                  <w:vMerge w:val="continue"/>
                  <w:tcBorders>
                    <w:tl2br w:val="nil"/>
                    <w:tr2bl w:val="nil"/>
                  </w:tcBorders>
                  <w:vAlign w:val="top"/>
                </w:tcPr>
                <w:p w14:paraId="36FB029E">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1981" w:type="pct"/>
                  <w:tcBorders>
                    <w:tl2br w:val="nil"/>
                    <w:tr2bl w:val="nil"/>
                  </w:tcBorders>
                  <w:vAlign w:val="top"/>
                </w:tcPr>
                <w:p w14:paraId="47DB445D">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回收后的批量废电池应当分</w:t>
                  </w:r>
                  <w:r>
                    <w:rPr>
                      <w:rFonts w:hint="eastAsia" w:ascii="宋体" w:hAnsi="宋体" w:eastAsia="宋体" w:cs="宋体"/>
                      <w:color w:val="000000" w:themeColor="text1"/>
                      <w:spacing w:val="9"/>
                      <w:sz w:val="18"/>
                      <w:szCs w:val="18"/>
                      <w:u w:val="none" w:color="auto"/>
                      <w14:textFill>
                        <w14:solidFill>
                          <w14:schemeClr w14:val="tx1"/>
                        </w14:solidFill>
                      </w14:textFill>
                    </w:rPr>
                    <w:t>类送到具有相应资质的工厂</w:t>
                  </w:r>
                  <w:r>
                    <w:rPr>
                      <w:rFonts w:hint="eastAsia" w:ascii="宋体" w:hAnsi="宋体" w:eastAsia="宋体" w:cs="宋体"/>
                      <w:color w:val="000000" w:themeColor="text1"/>
                      <w:spacing w:val="-2"/>
                      <w:sz w:val="18"/>
                      <w:szCs w:val="18"/>
                      <w:u w:val="none" w:color="auto"/>
                      <w14:textFill>
                        <w14:solidFill>
                          <w14:schemeClr w14:val="tx1"/>
                        </w14:solidFill>
                      </w14:textFill>
                    </w:rPr>
                    <w:t>（设施</w:t>
                  </w:r>
                  <w:r>
                    <w:rPr>
                      <w:rFonts w:hint="eastAsia" w:ascii="宋体" w:hAnsi="宋体" w:eastAsia="宋体" w:cs="宋体"/>
                      <w:color w:val="000000" w:themeColor="text1"/>
                      <w:spacing w:val="7"/>
                      <w:sz w:val="18"/>
                      <w:szCs w:val="18"/>
                      <w:u w:val="none" w:color="auto"/>
                      <w14:textFill>
                        <w14:solidFill>
                          <w14:schemeClr w14:val="tx1"/>
                        </w14:solidFill>
                      </w14:textFill>
                    </w:rPr>
                    <w:t>），</w:t>
                  </w:r>
                  <w:r>
                    <w:rPr>
                      <w:rFonts w:hint="eastAsia" w:ascii="宋体" w:hAnsi="宋体" w:eastAsia="宋体" w:cs="宋体"/>
                      <w:color w:val="000000" w:themeColor="text1"/>
                      <w:spacing w:val="-2"/>
                      <w:sz w:val="18"/>
                      <w:szCs w:val="18"/>
                      <w:u w:val="none" w:color="auto"/>
                      <w14:textFill>
                        <w14:solidFill>
                          <w14:schemeClr w14:val="tx1"/>
                        </w14:solidFill>
                      </w14:textFill>
                    </w:rPr>
                    <w:t>进行资源再生或无</w:t>
                  </w:r>
                  <w:r>
                    <w:rPr>
                      <w:rFonts w:hint="eastAsia" w:ascii="宋体" w:hAnsi="宋体" w:eastAsia="宋体" w:cs="宋体"/>
                      <w:color w:val="000000" w:themeColor="text1"/>
                      <w:spacing w:val="6"/>
                      <w:sz w:val="18"/>
                      <w:szCs w:val="18"/>
                      <w:u w:val="none" w:color="auto"/>
                      <w14:textFill>
                        <w14:solidFill>
                          <w14:schemeClr w14:val="tx1"/>
                        </w14:solidFill>
                      </w14:textFill>
                    </w:rPr>
                    <w:t>害化处理处置。</w:t>
                  </w:r>
                </w:p>
              </w:tc>
              <w:tc>
                <w:tcPr>
                  <w:tcW w:w="1948" w:type="pct"/>
                  <w:tcBorders>
                    <w:tl2br w:val="nil"/>
                    <w:tr2bl w:val="nil"/>
                  </w:tcBorders>
                  <w:vAlign w:val="top"/>
                </w:tcPr>
                <w:p w14:paraId="210D8448">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本项目废锂电池、废铅</w:t>
                  </w:r>
                  <w:r>
                    <w:rPr>
                      <w:rFonts w:hint="eastAsia" w:ascii="宋体" w:hAnsi="宋体" w:eastAsia="宋体" w:cs="宋体"/>
                      <w:color w:val="000000" w:themeColor="text1"/>
                      <w:spacing w:val="8"/>
                      <w:sz w:val="18"/>
                      <w:szCs w:val="18"/>
                      <w:u w:val="none" w:color="auto"/>
                      <w14:textFill>
                        <w14:solidFill>
                          <w14:schemeClr w14:val="tx1"/>
                        </w14:solidFill>
                      </w14:textFill>
                    </w:rPr>
                    <w:t>酸蓄电池收集后均委托有资质的单位回收</w:t>
                  </w:r>
                  <w:r>
                    <w:rPr>
                      <w:rFonts w:hint="eastAsia" w:ascii="宋体" w:hAnsi="宋体" w:eastAsia="宋体" w:cs="宋体"/>
                      <w:color w:val="000000" w:themeColor="text1"/>
                      <w:spacing w:val="6"/>
                      <w:sz w:val="18"/>
                      <w:szCs w:val="18"/>
                      <w:u w:val="none" w:color="auto"/>
                      <w14:textFill>
                        <w14:solidFill>
                          <w14:schemeClr w14:val="tx1"/>
                        </w14:solidFill>
                      </w14:textFill>
                    </w:rPr>
                    <w:t>处理处置</w:t>
                  </w:r>
                  <w:r>
                    <w:rPr>
                      <w:rFonts w:hint="eastAsia" w:ascii="宋体" w:hAnsi="宋体" w:eastAsia="宋体" w:cs="宋体"/>
                      <w:color w:val="000000" w:themeColor="text1"/>
                      <w:spacing w:val="6"/>
                      <w:sz w:val="18"/>
                      <w:szCs w:val="18"/>
                      <w:u w:val="none" w:color="auto"/>
                      <w:lang w:eastAsia="zh-CN"/>
                      <w14:textFill>
                        <w14:solidFill>
                          <w14:schemeClr w14:val="tx1"/>
                        </w14:solidFill>
                      </w14:textFill>
                    </w:rPr>
                    <w:t>。</w:t>
                  </w:r>
                </w:p>
              </w:tc>
              <w:tc>
                <w:tcPr>
                  <w:tcW w:w="347" w:type="pct"/>
                  <w:tcBorders>
                    <w:tl2br w:val="nil"/>
                    <w:tr2bl w:val="nil"/>
                  </w:tcBorders>
                  <w:vAlign w:val="top"/>
                </w:tcPr>
                <w:p w14:paraId="67FA4370">
                  <w:pPr>
                    <w:pStyle w:val="119"/>
                    <w:keepNext w:val="0"/>
                    <w:keepLines w:val="0"/>
                    <w:pageBreakBefore w:val="0"/>
                    <w:widowControl/>
                    <w:wordWrap/>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7545E032">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504" w:hRule="atLeast"/>
              </w:trPr>
              <w:tc>
                <w:tcPr>
                  <w:tcW w:w="721" w:type="pct"/>
                  <w:vMerge w:val="continue"/>
                  <w:tcBorders>
                    <w:tl2br w:val="nil"/>
                    <w:tr2bl w:val="nil"/>
                  </w:tcBorders>
                  <w:vAlign w:val="top"/>
                </w:tcPr>
                <w:p w14:paraId="0E790A33">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1981" w:type="pct"/>
                  <w:tcBorders>
                    <w:tl2br w:val="nil"/>
                    <w:tr2bl w:val="nil"/>
                  </w:tcBorders>
                  <w:vAlign w:val="top"/>
                </w:tcPr>
                <w:p w14:paraId="3CF53605">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批量废电池的贮存设施应参</w:t>
                  </w:r>
                  <w:r>
                    <w:rPr>
                      <w:rFonts w:hint="eastAsia" w:ascii="宋体" w:hAnsi="宋体" w:eastAsia="宋体" w:cs="宋体"/>
                      <w:color w:val="000000" w:themeColor="text1"/>
                      <w:spacing w:val="7"/>
                      <w:sz w:val="18"/>
                      <w:szCs w:val="18"/>
                      <w:u w:val="none" w:color="auto"/>
                      <w14:textFill>
                        <w14:solidFill>
                          <w14:schemeClr w14:val="tx1"/>
                        </w14:solidFill>
                      </w14:textFill>
                    </w:rPr>
                    <w:t>照《危险废物贮存污染控制标准》的有关要求进行建设和管</w:t>
                  </w:r>
                  <w:r>
                    <w:rPr>
                      <w:rFonts w:hint="eastAsia" w:ascii="宋体" w:hAnsi="宋体" w:eastAsia="宋体" w:cs="宋体"/>
                      <w:color w:val="000000" w:themeColor="text1"/>
                      <w:spacing w:val="13"/>
                      <w:sz w:val="18"/>
                      <w:szCs w:val="18"/>
                      <w:u w:val="none" w:color="auto"/>
                      <w14:textFill>
                        <w14:solidFill>
                          <w14:schemeClr w14:val="tx1"/>
                        </w14:solidFill>
                      </w14:textFill>
                    </w:rPr>
                    <w:t>理。</w:t>
                  </w:r>
                </w:p>
              </w:tc>
              <w:tc>
                <w:tcPr>
                  <w:tcW w:w="1948" w:type="pct"/>
                  <w:tcBorders>
                    <w:tl2br w:val="nil"/>
                    <w:tr2bl w:val="nil"/>
                  </w:tcBorders>
                  <w:vAlign w:val="top"/>
                </w:tcPr>
                <w:p w14:paraId="58AC6C2C">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本项目</w:t>
                  </w:r>
                  <w:r>
                    <w:rPr>
                      <w:rFonts w:hint="eastAsia" w:cs="宋体"/>
                      <w:color w:val="000000" w:themeColor="text1"/>
                      <w:spacing w:val="8"/>
                      <w:sz w:val="18"/>
                      <w:szCs w:val="18"/>
                      <w:u w:val="none" w:color="auto"/>
                      <w:lang w:val="en-US" w:eastAsia="zh-CN"/>
                      <w14:textFill>
                        <w14:solidFill>
                          <w14:schemeClr w14:val="tx1"/>
                        </w14:solidFill>
                      </w14:textFill>
                    </w:rPr>
                    <w:t>废动力蓄电池和</w:t>
                  </w:r>
                  <w:r>
                    <w:rPr>
                      <w:rFonts w:hint="eastAsia" w:ascii="宋体" w:hAnsi="宋体" w:eastAsia="宋体" w:cs="宋体"/>
                      <w:color w:val="000000" w:themeColor="text1"/>
                      <w:spacing w:val="8"/>
                      <w:sz w:val="18"/>
                      <w:szCs w:val="18"/>
                      <w:u w:val="none" w:color="auto"/>
                      <w14:textFill>
                        <w14:solidFill>
                          <w14:schemeClr w14:val="tx1"/>
                        </w14:solidFill>
                      </w14:textFill>
                    </w:rPr>
                    <w:t>废铅酸蓄电池</w:t>
                  </w:r>
                  <w:r>
                    <w:rPr>
                      <w:rFonts w:hint="eastAsia" w:cs="宋体"/>
                      <w:color w:val="000000" w:themeColor="text1"/>
                      <w:spacing w:val="3"/>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3"/>
                      <w:sz w:val="18"/>
                      <w:szCs w:val="18"/>
                      <w:u w:val="none" w:color="auto"/>
                      <w14:textFill>
                        <w14:solidFill>
                          <w14:schemeClr w14:val="tx1"/>
                        </w14:solidFill>
                      </w14:textFill>
                    </w:rPr>
                    <w:t>按《危险废物贮</w:t>
                  </w:r>
                  <w:r>
                    <w:rPr>
                      <w:rFonts w:hint="eastAsia" w:ascii="宋体" w:hAnsi="宋体" w:eastAsia="宋体" w:cs="宋体"/>
                      <w:color w:val="000000" w:themeColor="text1"/>
                      <w:spacing w:val="9"/>
                      <w:sz w:val="18"/>
                      <w:szCs w:val="18"/>
                      <w:u w:val="none" w:color="auto"/>
                      <w14:textFill>
                        <w14:solidFill>
                          <w14:schemeClr w14:val="tx1"/>
                        </w14:solidFill>
                      </w14:textFill>
                    </w:rPr>
                    <w:t>存污染控制标准》建</w:t>
                  </w:r>
                  <w:r>
                    <w:rPr>
                      <w:rFonts w:hint="eastAsia" w:ascii="宋体" w:hAnsi="宋体" w:eastAsia="宋体" w:cs="宋体"/>
                      <w:color w:val="000000" w:themeColor="text1"/>
                      <w:spacing w:val="12"/>
                      <w:sz w:val="18"/>
                      <w:szCs w:val="18"/>
                      <w:u w:val="none" w:color="auto"/>
                      <w14:textFill>
                        <w14:solidFill>
                          <w14:schemeClr w14:val="tx1"/>
                        </w14:solidFill>
                      </w14:textFill>
                    </w:rPr>
                    <w:t>设。</w:t>
                  </w:r>
                </w:p>
              </w:tc>
              <w:tc>
                <w:tcPr>
                  <w:tcW w:w="347" w:type="pct"/>
                  <w:tcBorders>
                    <w:tl2br w:val="nil"/>
                    <w:tr2bl w:val="nil"/>
                  </w:tcBorders>
                  <w:vAlign w:val="top"/>
                </w:tcPr>
                <w:p w14:paraId="7098D885">
                  <w:pPr>
                    <w:pStyle w:val="119"/>
                    <w:keepNext w:val="0"/>
                    <w:keepLines w:val="0"/>
                    <w:pageBreakBefore w:val="0"/>
                    <w:widowControl/>
                    <w:wordWrap/>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r w14:paraId="18F9667E">
              <w:tblPrEx>
                <w:tblBorders>
                  <w:top w:val="single" w:color="000000" w:sz="8" w:space="0"/>
                  <w:left w:val="single" w:color="000000" w:sz="8" w:space="0"/>
                  <w:bottom w:val="single" w:color="000000" w:sz="8" w:space="0"/>
                  <w:right w:val="single" w:color="000000" w:sz="8" w:space="0"/>
                  <w:insideH w:val="single" w:color="000000" w:sz="2" w:space="0"/>
                  <w:insideV w:val="single" w:color="000000" w:sz="4" w:space="0"/>
                </w:tblBorders>
                <w:tblCellMar>
                  <w:top w:w="0" w:type="dxa"/>
                  <w:left w:w="0" w:type="dxa"/>
                  <w:bottom w:w="0" w:type="dxa"/>
                  <w:right w:w="0" w:type="dxa"/>
                </w:tblCellMar>
              </w:tblPrEx>
              <w:trPr>
                <w:trHeight w:val="377" w:hRule="atLeast"/>
              </w:trPr>
              <w:tc>
                <w:tcPr>
                  <w:tcW w:w="721" w:type="pct"/>
                  <w:vMerge w:val="continue"/>
                  <w:tcBorders>
                    <w:tl2br w:val="nil"/>
                    <w:tr2bl w:val="nil"/>
                  </w:tcBorders>
                  <w:vAlign w:val="top"/>
                </w:tcPr>
                <w:p w14:paraId="225D6230">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p>
              </w:tc>
              <w:tc>
                <w:tcPr>
                  <w:tcW w:w="1981" w:type="pct"/>
                  <w:tcBorders>
                    <w:tl2br w:val="nil"/>
                    <w:tr2bl w:val="nil"/>
                  </w:tcBorders>
                  <w:vAlign w:val="top"/>
                </w:tcPr>
                <w:p w14:paraId="686FA10B">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禁止将废电池堆放在露天场地，避免废电池遭受雨淋水</w:t>
                  </w:r>
                  <w:r>
                    <w:rPr>
                      <w:rFonts w:hint="eastAsia" w:ascii="宋体" w:hAnsi="宋体" w:eastAsia="宋体" w:cs="宋体"/>
                      <w:color w:val="000000" w:themeColor="text1"/>
                      <w:spacing w:val="14"/>
                      <w:sz w:val="18"/>
                      <w:szCs w:val="18"/>
                      <w:u w:val="none" w:color="auto"/>
                      <w14:textFill>
                        <w14:solidFill>
                          <w14:schemeClr w14:val="tx1"/>
                        </w14:solidFill>
                      </w14:textFill>
                    </w:rPr>
                    <w:t>浸。</w:t>
                  </w:r>
                </w:p>
              </w:tc>
              <w:tc>
                <w:tcPr>
                  <w:tcW w:w="1948" w:type="pct"/>
                  <w:tcBorders>
                    <w:tl2br w:val="nil"/>
                    <w:tr2bl w:val="nil"/>
                  </w:tcBorders>
                  <w:vAlign w:val="top"/>
                </w:tcPr>
                <w:p w14:paraId="3BE3BE73">
                  <w:pPr>
                    <w:pStyle w:val="119"/>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废锂电池在废废锂电</w:t>
                  </w:r>
                  <w:r>
                    <w:rPr>
                      <w:rFonts w:hint="eastAsia" w:ascii="宋体" w:hAnsi="宋体" w:eastAsia="宋体" w:cs="宋体"/>
                      <w:color w:val="000000" w:themeColor="text1"/>
                      <w:spacing w:val="4"/>
                      <w:sz w:val="18"/>
                      <w:szCs w:val="18"/>
                      <w:u w:val="none" w:color="auto"/>
                      <w14:textFill>
                        <w14:solidFill>
                          <w14:schemeClr w14:val="tx1"/>
                        </w14:solidFill>
                      </w14:textFill>
                    </w:rPr>
                    <w:t>池</w:t>
                  </w:r>
                  <w:r>
                    <w:rPr>
                      <w:rFonts w:hint="eastAsia" w:cs="宋体"/>
                      <w:color w:val="000000" w:themeColor="text1"/>
                      <w:spacing w:val="4"/>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4"/>
                      <w:sz w:val="18"/>
                      <w:szCs w:val="18"/>
                      <w:u w:val="none" w:color="auto"/>
                      <w14:textFill>
                        <w14:solidFill>
                          <w14:schemeClr w14:val="tx1"/>
                        </w14:solidFill>
                      </w14:textFill>
                    </w:rPr>
                    <w:t>内暂存、废铅</w:t>
                  </w:r>
                  <w:r>
                    <w:rPr>
                      <w:rFonts w:hint="eastAsia" w:ascii="宋体" w:hAnsi="宋体" w:eastAsia="宋体" w:cs="宋体"/>
                      <w:color w:val="000000" w:themeColor="text1"/>
                      <w:spacing w:val="8"/>
                      <w:sz w:val="18"/>
                      <w:szCs w:val="18"/>
                      <w:u w:val="none" w:color="auto"/>
                      <w14:textFill>
                        <w14:solidFill>
                          <w14:schemeClr w14:val="tx1"/>
                        </w14:solidFill>
                      </w14:textFill>
                    </w:rPr>
                    <w:t>酸蓄电池在废铅酸蓄</w:t>
                  </w:r>
                  <w:r>
                    <w:rPr>
                      <w:rFonts w:hint="eastAsia" w:ascii="宋体" w:hAnsi="宋体" w:eastAsia="宋体" w:cs="宋体"/>
                      <w:color w:val="000000" w:themeColor="text1"/>
                      <w:spacing w:val="2"/>
                      <w:sz w:val="18"/>
                      <w:szCs w:val="18"/>
                      <w:u w:val="none" w:color="auto"/>
                      <w14:textFill>
                        <w14:solidFill>
                          <w14:schemeClr w14:val="tx1"/>
                        </w14:solidFill>
                      </w14:textFill>
                    </w:rPr>
                    <w:t>电池</w:t>
                  </w:r>
                  <w:r>
                    <w:rPr>
                      <w:rFonts w:hint="eastAsia" w:cs="宋体"/>
                      <w:color w:val="000000" w:themeColor="text1"/>
                      <w:spacing w:val="2"/>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2"/>
                      <w:sz w:val="18"/>
                      <w:szCs w:val="18"/>
                      <w:u w:val="none" w:color="auto"/>
                      <w14:textFill>
                        <w14:solidFill>
                          <w14:schemeClr w14:val="tx1"/>
                        </w14:solidFill>
                      </w14:textFill>
                    </w:rPr>
                    <w:t>内暂存，无</w:t>
                  </w:r>
                  <w:r>
                    <w:rPr>
                      <w:rFonts w:hint="eastAsia" w:ascii="宋体" w:hAnsi="宋体" w:eastAsia="宋体" w:cs="宋体"/>
                      <w:color w:val="000000" w:themeColor="text1"/>
                      <w:spacing w:val="4"/>
                      <w:sz w:val="18"/>
                      <w:szCs w:val="18"/>
                      <w:u w:val="none" w:color="auto"/>
                      <w14:textFill>
                        <w14:solidFill>
                          <w14:schemeClr w14:val="tx1"/>
                        </w14:solidFill>
                      </w14:textFill>
                    </w:rPr>
                    <w:t>露天堆放。</w:t>
                  </w:r>
                </w:p>
              </w:tc>
              <w:tc>
                <w:tcPr>
                  <w:tcW w:w="347" w:type="pct"/>
                  <w:tcBorders>
                    <w:tl2br w:val="nil"/>
                    <w:tr2bl w:val="nil"/>
                  </w:tcBorders>
                  <w:vAlign w:val="top"/>
                </w:tcPr>
                <w:p w14:paraId="6CD22FA2">
                  <w:pPr>
                    <w:pStyle w:val="119"/>
                    <w:keepNext w:val="0"/>
                    <w:keepLines w:val="0"/>
                    <w:pageBreakBefore w:val="0"/>
                    <w:widowControl/>
                    <w:wordWrap/>
                    <w:topLinePunct w:val="0"/>
                    <w:autoSpaceDE w:val="0"/>
                    <w:autoSpaceDN w:val="0"/>
                    <w:bidi w:val="0"/>
                    <w:adjustRightInd w:val="0"/>
                    <w:snapToGrid w:val="0"/>
                    <w:spacing w:line="240" w:lineRule="atLeast"/>
                    <w:textAlignment w:val="baseline"/>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符合</w:t>
                  </w:r>
                </w:p>
              </w:tc>
            </w:tr>
          </w:tbl>
          <w:p w14:paraId="5D39570E">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color w:val="000000" w:themeColor="text1"/>
                <w14:textFill>
                  <w14:solidFill>
                    <w14:schemeClr w14:val="tx1"/>
                  </w14:solidFill>
                </w14:textFill>
              </w:rPr>
            </w:pPr>
            <w:r>
              <w:rPr>
                <w:color w:val="000000" w:themeColor="text1"/>
                <w:sz w:val="24"/>
                <w:szCs w:val="24"/>
                <w:u w:val="none" w:color="auto"/>
                <w14:textFill>
                  <w14:solidFill>
                    <w14:schemeClr w14:val="tx1"/>
                  </w14:solidFill>
                </w14:textFill>
              </w:rPr>
              <w:tab/>
            </w:r>
          </w:p>
        </w:tc>
      </w:tr>
    </w:tbl>
    <w:p w14:paraId="6A30B4BF">
      <w:pPr>
        <w:pStyle w:val="2"/>
        <w:spacing w:before="120" w:after="120"/>
        <w:rPr>
          <w:rFonts w:hint="eastAsia" w:ascii="宋体" w:hAnsi="宋体" w:eastAsia="宋体" w:cs="宋体"/>
          <w:color w:val="000000" w:themeColor="text1"/>
          <w14:textFill>
            <w14:solidFill>
              <w14:schemeClr w14:val="tx1"/>
            </w14:solidFill>
          </w14:textFill>
        </w:rPr>
        <w:sectPr>
          <w:pgSz w:w="16838" w:h="11905" w:orient="landscape"/>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p w14:paraId="480C10AC">
      <w:pPr>
        <w:pStyle w:val="2"/>
        <w:spacing w:before="120" w:after="1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二、建设项目工程分析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4"/>
        <w:gridCol w:w="8037"/>
      </w:tblGrid>
      <w:tr w14:paraId="1979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44" w:hRule="atLeast"/>
          <w:jc w:val="center"/>
        </w:trPr>
        <w:tc>
          <w:tcPr>
            <w:tcW w:w="194" w:type="pct"/>
            <w:tcBorders>
              <w:tl2br w:val="nil"/>
              <w:tr2bl w:val="nil"/>
            </w:tcBorders>
            <w:vAlign w:val="center"/>
          </w:tcPr>
          <w:p w14:paraId="63C32C74">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建设内容</w:t>
            </w:r>
          </w:p>
        </w:tc>
        <w:tc>
          <w:tcPr>
            <w:tcW w:w="4805" w:type="pct"/>
            <w:tcBorders>
              <w:tl2br w:val="nil"/>
              <w:tr2bl w:val="nil"/>
            </w:tcBorders>
            <w:vAlign w:val="top"/>
          </w:tcPr>
          <w:p w14:paraId="05954FD2">
            <w:pPr>
              <w:pStyle w:val="4"/>
              <w:keepNext w:val="0"/>
              <w:keepLines w:val="0"/>
              <w:pageBreakBefore w:val="0"/>
              <w:widowControl w:val="0"/>
              <w:numPr>
                <w:ilvl w:val="0"/>
                <w:numId w:val="4"/>
              </w:numPr>
              <w:kinsoku/>
              <w:wordWrap/>
              <w:overflowPunct w:val="0"/>
              <w:topLinePunct w:val="0"/>
              <w:autoSpaceDE/>
              <w:autoSpaceDN/>
              <w:bidi w:val="0"/>
              <w:adjustRightInd/>
              <w:snapToGrid/>
              <w:spacing w:beforeLines="0" w:afterLines="0" w:line="360" w:lineRule="auto"/>
              <w:ind w:leftChars="0" w:right="0" w:rightChars="0"/>
              <w:jc w:val="both"/>
              <w:textAlignment w:val="auto"/>
              <w:outlineLvl w:val="2"/>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地理位置</w:t>
            </w:r>
          </w:p>
          <w:p w14:paraId="1360D8BA">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本项目位于</w:t>
            </w:r>
            <w:r>
              <w:rPr>
                <w:rFonts w:hint="eastAsia" w:ascii="宋体" w:hAnsi="宋体" w:eastAsia="宋体" w:cs="宋体"/>
                <w:color w:val="000000" w:themeColor="text1"/>
                <w:sz w:val="24"/>
                <w:szCs w:val="24"/>
                <w:u w:val="none"/>
                <w:lang w:eastAsia="zh-CN"/>
                <w14:textFill>
                  <w14:solidFill>
                    <w14:schemeClr w14:val="tx1"/>
                  </w14:solidFill>
                </w14:textFill>
              </w:rPr>
              <w:t>吉林</w:t>
            </w:r>
            <w:r>
              <w:rPr>
                <w:rFonts w:hint="eastAsia" w:ascii="宋体" w:hAnsi="宋体" w:eastAsia="宋体" w:cs="宋体"/>
                <w:color w:val="000000" w:themeColor="text1"/>
                <w:sz w:val="24"/>
                <w:szCs w:val="24"/>
                <w14:textFill>
                  <w14:solidFill>
                    <w14:schemeClr w14:val="tx1"/>
                  </w14:solidFill>
                </w14:textFill>
              </w:rPr>
              <w:t>省</w:t>
            </w:r>
            <w:r>
              <w:rPr>
                <w:rFonts w:hint="eastAsia" w:ascii="宋体" w:hAnsi="宋体" w:eastAsia="宋体" w:cs="宋体"/>
                <w:color w:val="000000" w:themeColor="text1"/>
                <w:sz w:val="24"/>
                <w:szCs w:val="24"/>
                <w:u w:val="none"/>
                <w:lang w:eastAsia="zh-CN"/>
                <w14:textFill>
                  <w14:solidFill>
                    <w14:schemeClr w14:val="tx1"/>
                  </w14:solidFill>
                </w14:textFill>
              </w:rPr>
              <w:t>四平</w:t>
            </w:r>
            <w:r>
              <w:rPr>
                <w:rFonts w:hint="eastAsia" w:ascii="宋体" w:hAnsi="宋体" w:eastAsia="宋体" w:cs="宋体"/>
                <w:color w:val="000000" w:themeColor="text1"/>
                <w:sz w:val="24"/>
                <w:szCs w:val="24"/>
                <w14:textFill>
                  <w14:solidFill>
                    <w14:schemeClr w14:val="tx1"/>
                  </w14:solidFill>
                </w14:textFill>
              </w:rPr>
              <w:t>市</w:t>
            </w:r>
            <w:r>
              <w:rPr>
                <w:rFonts w:hint="eastAsia" w:ascii="宋体" w:hAnsi="宋体" w:eastAsia="宋体" w:cs="宋体"/>
                <w:color w:val="000000" w:themeColor="text1"/>
                <w:sz w:val="24"/>
                <w:szCs w:val="24"/>
                <w:u w:val="none"/>
                <w:lang w:eastAsia="zh-CN"/>
                <w14:textFill>
                  <w14:solidFill>
                    <w14:schemeClr w14:val="tx1"/>
                  </w14:solidFill>
                </w14:textFill>
              </w:rPr>
              <w:t>铁西</w:t>
            </w:r>
            <w:r>
              <w:rPr>
                <w:rFonts w:hint="eastAsia" w:ascii="宋体" w:hAnsi="宋体" w:eastAsia="宋体" w:cs="宋体"/>
                <w:color w:val="000000" w:themeColor="text1"/>
                <w:sz w:val="24"/>
                <w:szCs w:val="24"/>
                <w14:textFill>
                  <w14:solidFill>
                    <w14:schemeClr w14:val="tx1"/>
                  </w14:solidFill>
                </w14:textFill>
              </w:rPr>
              <w:t>区</w:t>
            </w:r>
            <w:r>
              <w:rPr>
                <w:rFonts w:hint="eastAsia" w:ascii="宋体" w:hAnsi="宋体" w:eastAsia="宋体" w:cs="宋体"/>
                <w:color w:val="000000" w:themeColor="text1"/>
                <w:sz w:val="24"/>
                <w:szCs w:val="24"/>
                <w:u w:val="none"/>
                <w:lang w:val="en-US" w:eastAsia="zh-CN"/>
                <w14:textFill>
                  <w14:solidFill>
                    <w14:schemeClr w14:val="tx1"/>
                  </w14:solidFill>
                </w14:textFill>
              </w:rPr>
              <w:t>四平红嘴经济技术开发区恒丰街</w:t>
            </w:r>
            <w:r>
              <w:rPr>
                <w:rFonts w:hint="eastAsia" w:ascii="宋体" w:hAnsi="宋体" w:cs="宋体"/>
                <w:color w:val="000000" w:themeColor="text1"/>
                <w:sz w:val="24"/>
                <w:szCs w:val="24"/>
                <w:u w:val="none"/>
                <w:lang w:val="en-US" w:eastAsia="zh-CN"/>
                <w14:textFill>
                  <w14:solidFill>
                    <w14:schemeClr w14:val="tx1"/>
                  </w14:solidFill>
                </w14:textFill>
              </w:rPr>
              <w:t>，其北隔环城路西北侧为湖南中烟四平卷烟厂，再向北侧501m为太平沟三社居民，西侧、东侧及南侧均为空地，东南侧隔砖厂和村委会以及杨树沟屯居民，杨树沟屯距离本项目298m,详见</w:t>
            </w:r>
            <w:r>
              <w:rPr>
                <w:rFonts w:hint="eastAsia" w:ascii="宋体" w:hAnsi="宋体" w:cs="宋体"/>
                <w:color w:val="000000" w:themeColor="text1"/>
                <w:sz w:val="24"/>
                <w:szCs w:val="24"/>
                <w:highlight w:val="none"/>
                <w:u w:val="none"/>
                <w:lang w:val="en-US" w:eastAsia="zh-CN"/>
                <w14:textFill>
                  <w14:solidFill>
                    <w14:schemeClr w14:val="tx1"/>
                  </w14:solidFill>
                </w14:textFill>
              </w:rPr>
              <w:t>附图1项目地理位置图及附图2四邻情况及敏感点位图。</w:t>
            </w:r>
          </w:p>
          <w:p w14:paraId="78E4E107">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Chars="0" w:right="0" w:rightChars="0"/>
              <w:jc w:val="both"/>
              <w:textAlignment w:val="auto"/>
              <w:outlineLvl w:val="2"/>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2、项目来源及</w:t>
            </w:r>
            <w:r>
              <w:rPr>
                <w:rFonts w:hint="eastAsia" w:ascii="宋体" w:hAnsi="宋体" w:eastAsia="宋体" w:cs="宋体"/>
                <w:b/>
                <w:bCs/>
                <w:color w:val="000000" w:themeColor="text1"/>
                <w:sz w:val="24"/>
                <w:szCs w:val="24"/>
                <w14:textFill>
                  <w14:solidFill>
                    <w14:schemeClr w14:val="tx1"/>
                  </w14:solidFill>
                </w14:textFill>
              </w:rPr>
              <w:t>建设内容</w:t>
            </w:r>
          </w:p>
          <w:p w14:paraId="1EB21E68">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0"/>
              <w:jc w:val="both"/>
              <w:textAlignment w:val="auto"/>
              <w:outlineLvl w:val="2"/>
              <w:rPr>
                <w:rFonts w:hint="default" w:ascii="宋体" w:hAnsi="宋体" w:cs="宋体"/>
                <w:b w:val="0"/>
                <w:bCs w:val="0"/>
                <w:color w:val="000000" w:themeColor="text1"/>
                <w:sz w:val="24"/>
                <w:szCs w:val="24"/>
                <w:lang w:val="en-US" w:eastAsia="zh-CN"/>
                <w14:textFill>
                  <w14:solidFill>
                    <w14:schemeClr w14:val="tx1"/>
                  </w14:solidFill>
                </w14:textFill>
              </w:rPr>
            </w:pPr>
            <w:r>
              <w:rPr>
                <w:rFonts w:hint="default" w:ascii="宋体" w:hAnsi="宋体" w:cs="宋体"/>
                <w:b w:val="0"/>
                <w:bCs w:val="0"/>
                <w:color w:val="000000" w:themeColor="text1"/>
                <w:sz w:val="24"/>
                <w:szCs w:val="24"/>
                <w:lang w:val="en-US" w:eastAsia="zh-CN"/>
                <w14:textFill>
                  <w14:solidFill>
                    <w14:schemeClr w14:val="tx1"/>
                  </w14:solidFill>
                </w14:textFill>
              </w:rPr>
              <w:t>本项目在原料种类（报废机动车）、生产设备、生产工艺、产品品类及建构筑物均保持现状不变的前提下，仅对原料处置规模进行调整，将原年拆解10,000辆报废机动车的产能，扩建至年拆解1</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default" w:ascii="宋体" w:hAnsi="宋体" w:cs="宋体"/>
                <w:b w:val="0"/>
                <w:bCs w:val="0"/>
                <w:color w:val="000000" w:themeColor="text1"/>
                <w:sz w:val="24"/>
                <w:szCs w:val="24"/>
                <w:lang w:val="en-US" w:eastAsia="zh-CN"/>
                <w14:textFill>
                  <w14:solidFill>
                    <w14:schemeClr w14:val="tx1"/>
                  </w14:solidFill>
                </w14:textFill>
              </w:rPr>
              <w:t>,000辆。</w:t>
            </w:r>
          </w:p>
          <w:p w14:paraId="3FFBB68B">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0"/>
              <w:jc w:val="both"/>
              <w:textAlignment w:val="auto"/>
              <w:outlineLvl w:val="2"/>
              <w:rPr>
                <w:rFonts w:hint="default" w:ascii="宋体" w:hAnsi="宋体" w:cs="宋体"/>
                <w:b w:val="0"/>
                <w:bCs w:val="0"/>
                <w:color w:val="000000" w:themeColor="text1"/>
                <w:sz w:val="24"/>
                <w:szCs w:val="24"/>
                <w:lang w:val="en-US" w:eastAsia="zh-CN"/>
                <w14:textFill>
                  <w14:solidFill>
                    <w14:schemeClr w14:val="tx1"/>
                  </w14:solidFill>
                </w14:textFill>
              </w:rPr>
            </w:pPr>
            <w:r>
              <w:rPr>
                <w:rFonts w:hint="default" w:ascii="宋体" w:hAnsi="宋体" w:cs="宋体"/>
                <w:b w:val="0"/>
                <w:bCs w:val="0"/>
                <w:color w:val="000000" w:themeColor="text1"/>
                <w:sz w:val="24"/>
                <w:szCs w:val="24"/>
                <w:lang w:val="en-US" w:eastAsia="zh-CN"/>
                <w14:textFill>
                  <w14:solidFill>
                    <w14:schemeClr w14:val="tx1"/>
                  </w14:solidFill>
                </w14:textFill>
              </w:rPr>
              <w:t>报废机动车拆解业务的原料类型、生产设备、工艺技术</w:t>
            </w:r>
            <w:r>
              <w:rPr>
                <w:rFonts w:hint="eastAsia" w:ascii="宋体" w:hAnsi="宋体" w:cs="宋体"/>
                <w:b w:val="0"/>
                <w:bCs w:val="0"/>
                <w:color w:val="000000" w:themeColor="text1"/>
                <w:sz w:val="24"/>
                <w:szCs w:val="24"/>
                <w:lang w:val="en-US" w:eastAsia="zh-CN"/>
                <w14:textFill>
                  <w14:solidFill>
                    <w14:schemeClr w14:val="tx1"/>
                  </w14:solidFill>
                </w14:textFill>
              </w:rPr>
              <w:t>、</w:t>
            </w:r>
            <w:r>
              <w:rPr>
                <w:rFonts w:hint="default" w:ascii="宋体" w:hAnsi="宋体" w:cs="宋体"/>
                <w:b w:val="0"/>
                <w:bCs w:val="0"/>
                <w:color w:val="000000" w:themeColor="text1"/>
                <w:sz w:val="24"/>
                <w:szCs w:val="24"/>
                <w:lang w:val="en-US" w:eastAsia="zh-CN"/>
                <w14:textFill>
                  <w14:solidFill>
                    <w14:schemeClr w14:val="tx1"/>
                  </w14:solidFill>
                </w14:textFill>
              </w:rPr>
              <w:t>厂房设施</w:t>
            </w:r>
            <w:r>
              <w:rPr>
                <w:rFonts w:hint="eastAsia" w:ascii="宋体" w:hAnsi="宋体" w:cs="宋体"/>
                <w:b w:val="0"/>
                <w:bCs w:val="0"/>
                <w:color w:val="000000" w:themeColor="text1"/>
                <w:sz w:val="24"/>
                <w:szCs w:val="24"/>
                <w:lang w:val="en-US" w:eastAsia="zh-CN"/>
                <w14:textFill>
                  <w14:solidFill>
                    <w14:schemeClr w14:val="tx1"/>
                  </w14:solidFill>
                </w14:textFill>
              </w:rPr>
              <w:t>及环保设施</w:t>
            </w:r>
            <w:r>
              <w:rPr>
                <w:rFonts w:hint="default" w:ascii="宋体" w:hAnsi="宋体" w:cs="宋体"/>
                <w:b w:val="0"/>
                <w:bCs w:val="0"/>
                <w:color w:val="000000" w:themeColor="text1"/>
                <w:sz w:val="24"/>
                <w:szCs w:val="24"/>
                <w:lang w:val="en-US" w:eastAsia="zh-CN"/>
                <w14:textFill>
                  <w14:solidFill>
                    <w14:schemeClr w14:val="tx1"/>
                  </w14:solidFill>
                </w14:textFill>
              </w:rPr>
              <w:t>均保持现有配置</w:t>
            </w:r>
            <w:r>
              <w:rPr>
                <w:rFonts w:hint="eastAsia" w:ascii="宋体" w:hAnsi="宋体" w:cs="宋体"/>
                <w:b w:val="0"/>
                <w:bCs w:val="0"/>
                <w:color w:val="000000" w:themeColor="text1"/>
                <w:sz w:val="24"/>
                <w:szCs w:val="24"/>
                <w:lang w:val="en-US" w:eastAsia="zh-CN"/>
                <w14:textFill>
                  <w14:solidFill>
                    <w14:schemeClr w14:val="tx1"/>
                  </w14:solidFill>
                </w14:textFill>
              </w:rPr>
              <w:t>。</w:t>
            </w:r>
          </w:p>
          <w:p w14:paraId="341E57BB">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0"/>
              <w:jc w:val="both"/>
              <w:textAlignment w:val="auto"/>
              <w:outlineLvl w:val="2"/>
              <w:rPr>
                <w:rFonts w:hint="default"/>
                <w:color w:val="000000" w:themeColor="text1"/>
                <w:sz w:val="24"/>
                <w:szCs w:val="24"/>
                <w:lang w:val="en-US" w:eastAsia="zh-CN"/>
                <w14:textFill>
                  <w14:solidFill>
                    <w14:schemeClr w14:val="tx1"/>
                  </w14:solidFill>
                </w14:textFill>
              </w:rPr>
            </w:pPr>
            <w:r>
              <w:rPr>
                <w:rFonts w:hint="default" w:ascii="宋体" w:hAnsi="宋体" w:cs="宋体"/>
                <w:b w:val="0"/>
                <w:bCs w:val="0"/>
                <w:color w:val="000000" w:themeColor="text1"/>
                <w:sz w:val="24"/>
                <w:szCs w:val="24"/>
                <w:lang w:val="en-US" w:eastAsia="zh-CN"/>
                <w14:textFill>
                  <w14:solidFill>
                    <w14:schemeClr w14:val="tx1"/>
                  </w14:solidFill>
                </w14:textFill>
              </w:rPr>
              <w:t>年处理规模由10,000辆扩增至1</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default" w:ascii="宋体" w:hAnsi="宋体" w:cs="宋体"/>
                <w:b w:val="0"/>
                <w:bCs w:val="0"/>
                <w:color w:val="000000" w:themeColor="text1"/>
                <w:sz w:val="24"/>
                <w:szCs w:val="24"/>
                <w:lang w:val="en-US" w:eastAsia="zh-CN"/>
                <w14:textFill>
                  <w14:solidFill>
                    <w14:schemeClr w14:val="tx1"/>
                  </w14:solidFill>
                </w14:textFill>
              </w:rPr>
              <w:t>,000辆，通过优化生产排班、提升场地利用率实现产能提升，无需新增核心生产资源。</w:t>
            </w:r>
          </w:p>
          <w:p w14:paraId="7E66047D">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0"/>
              <w:jc w:val="both"/>
              <w:textAlignment w:val="auto"/>
              <w:outlineLvl w:val="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厂区分为</w:t>
            </w:r>
            <w:r>
              <w:rPr>
                <w:rFonts w:hint="eastAsia" w:ascii="宋体" w:hAnsi="宋体" w:eastAsia="宋体" w:cs="宋体"/>
                <w:b w:val="0"/>
                <w:bCs w:val="0"/>
                <w:color w:val="000000" w:themeColor="text1"/>
                <w:sz w:val="24"/>
                <w:szCs w:val="24"/>
                <w14:textFill>
                  <w14:solidFill>
                    <w14:schemeClr w14:val="tx1"/>
                  </w14:solidFill>
                </w14:textFill>
              </w:rPr>
              <w:t>管理区</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未拆解的报废机动车贮存区</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 xml:space="preserve"> 拆解作业区</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产品 （半成品）贮存区</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污染控制区（各类废物的收集、贮存和处理区）</w:t>
            </w:r>
            <w:r>
              <w:rPr>
                <w:rFonts w:hint="eastAsia" w:ascii="宋体" w:hAnsi="宋体" w:eastAsia="宋体" w:cs="宋体"/>
                <w:b w:val="0"/>
                <w:bCs w:val="0"/>
                <w:color w:val="000000" w:themeColor="text1"/>
                <w:sz w:val="24"/>
                <w:szCs w:val="24"/>
                <w:lang w:eastAsia="zh-CN"/>
                <w14:textFill>
                  <w14:solidFill>
                    <w14:schemeClr w14:val="tx1"/>
                  </w14:solidFill>
                </w14:textFill>
              </w:rPr>
              <w:t>。</w:t>
            </w:r>
          </w:p>
          <w:p w14:paraId="1303BED7">
            <w:pPr>
              <w:pStyle w:val="37"/>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表2-1</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cs="宋体"/>
                <w:color w:val="000000" w:themeColor="text1"/>
                <w:sz w:val="21"/>
                <w:szCs w:val="21"/>
                <w:highlight w:val="none"/>
                <w:lang w:val="en-US" w:eastAsia="zh-CN"/>
                <w14:textFill>
                  <w14:solidFill>
                    <w14:schemeClr w14:val="tx1"/>
                  </w14:solidFill>
                </w14:textFill>
              </w:rPr>
              <w:t>全厂</w:t>
            </w:r>
            <w:r>
              <w:rPr>
                <w:rFonts w:hint="eastAsia" w:ascii="宋体" w:hAnsi="宋体" w:eastAsia="宋体" w:cs="宋体"/>
                <w:color w:val="000000" w:themeColor="text1"/>
                <w:sz w:val="21"/>
                <w:szCs w:val="21"/>
                <w:highlight w:val="none"/>
                <w14:textFill>
                  <w14:solidFill>
                    <w14:schemeClr w14:val="tx1"/>
                  </w14:solidFill>
                </w14:textFill>
              </w:rPr>
              <w:t>建设内容一览表</w:t>
            </w:r>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462"/>
              <w:gridCol w:w="426"/>
              <w:gridCol w:w="1266"/>
              <w:gridCol w:w="2610"/>
              <w:gridCol w:w="3194"/>
            </w:tblGrid>
            <w:tr w14:paraId="34DEFA2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490" w:type="pct"/>
                  <w:gridSpan w:val="2"/>
                  <w:tcBorders>
                    <w:tl2br w:val="nil"/>
                    <w:tr2bl w:val="nil"/>
                  </w:tcBorders>
                  <w:vAlign w:val="center"/>
                </w:tcPr>
                <w:p w14:paraId="459F8AF3">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2480" w:type="pct"/>
                  <w:gridSpan w:val="2"/>
                  <w:tcBorders>
                    <w:tl2br w:val="nil"/>
                    <w:tr2bl w:val="nil"/>
                  </w:tcBorders>
                  <w:vAlign w:val="center"/>
                </w:tcPr>
                <w:p w14:paraId="42827374">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企业现有情况</w:t>
                  </w:r>
                </w:p>
              </w:tc>
              <w:tc>
                <w:tcPr>
                  <w:tcW w:w="2028" w:type="pct"/>
                  <w:tcBorders>
                    <w:tl2br w:val="nil"/>
                    <w:tr2bl w:val="nil"/>
                  </w:tcBorders>
                  <w:vAlign w:val="center"/>
                </w:tcPr>
                <w:p w14:paraId="58F6E4AD">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r>
            <w:tr w14:paraId="4F4DB5C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11" w:hRule="atLeast"/>
                <w:jc w:val="center"/>
              </w:trPr>
              <w:tc>
                <w:tcPr>
                  <w:tcW w:w="490" w:type="pct"/>
                  <w:gridSpan w:val="2"/>
                  <w:tcBorders>
                    <w:tl2br w:val="nil"/>
                    <w:tr2bl w:val="nil"/>
                  </w:tcBorders>
                  <w:vAlign w:val="center"/>
                </w:tcPr>
                <w:p w14:paraId="37E7AFAE">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主体工程</w:t>
                  </w:r>
                </w:p>
              </w:tc>
              <w:tc>
                <w:tcPr>
                  <w:tcW w:w="2480" w:type="pct"/>
                  <w:gridSpan w:val="2"/>
                  <w:tcBorders>
                    <w:tl2br w:val="nil"/>
                    <w:tr2bl w:val="nil"/>
                  </w:tcBorders>
                  <w:vAlign w:val="center"/>
                </w:tcPr>
                <w:p w14:paraId="494DB38F">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全厂总占地面积为3.14万m</w:t>
                  </w:r>
                  <w:r>
                    <w:rPr>
                      <w:rFonts w:hint="eastAsia" w:ascii="宋体" w:hAnsi="宋体" w:cs="宋体"/>
                      <w:color w:val="000000" w:themeColor="text1"/>
                      <w:sz w:val="21"/>
                      <w:szCs w:val="21"/>
                      <w:vertAlign w:val="superscript"/>
                      <w:lang w:val="en-US" w:eastAsia="zh-CN"/>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主要为</w:t>
                  </w:r>
                  <w:r>
                    <w:rPr>
                      <w:rFonts w:hint="eastAsia" w:ascii="宋体" w:hAnsi="宋体" w:eastAsia="宋体" w:cs="宋体"/>
                      <w:color w:val="000000" w:themeColor="text1"/>
                      <w:sz w:val="21"/>
                      <w:szCs w:val="21"/>
                      <w14:textFill>
                        <w14:solidFill>
                          <w14:schemeClr w14:val="tx1"/>
                        </w14:solidFill>
                      </w14:textFill>
                    </w:rPr>
                    <w:t>拆解作业区</w:t>
                  </w:r>
                  <w:r>
                    <w:rPr>
                      <w:rFonts w:hint="eastAsia" w:ascii="宋体" w:hAnsi="宋体" w:eastAsia="宋体" w:cs="宋体"/>
                      <w:color w:val="000000" w:themeColor="text1"/>
                      <w:sz w:val="21"/>
                      <w:szCs w:val="21"/>
                      <w:lang w:val="en-US" w:eastAsia="zh-CN"/>
                      <w14:textFill>
                        <w14:solidFill>
                          <w14:schemeClr w14:val="tx1"/>
                        </w14:solidFill>
                      </w14:textFill>
                    </w:rPr>
                    <w:t>,具体如下:</w:t>
                  </w:r>
                </w:p>
                <w:p w14:paraId="6BA9B28E">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vertAlign w:val="superscript"/>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拆解车间</w:t>
                  </w:r>
                  <w:r>
                    <w:rPr>
                      <w:rFonts w:hint="eastAsia" w:ascii="宋体" w:hAnsi="宋体" w:eastAsia="宋体" w:cs="宋体"/>
                      <w:color w:val="000000" w:themeColor="text1"/>
                      <w:sz w:val="21"/>
                      <w:szCs w:val="21"/>
                      <w14:textFill>
                        <w14:solidFill>
                          <w14:schemeClr w14:val="tx1"/>
                        </w14:solidFill>
                      </w14:textFill>
                    </w:rPr>
                    <w:t>，单层厂房，占地约</w:t>
                  </w:r>
                  <w:r>
                    <w:rPr>
                      <w:rFonts w:hint="eastAsia" w:ascii="宋体" w:hAnsi="宋体" w:eastAsia="宋体" w:cs="宋体"/>
                      <w:color w:val="000000" w:themeColor="text1"/>
                      <w:sz w:val="21"/>
                      <w:szCs w:val="21"/>
                      <w:lang w:val="en-US" w:eastAsia="zh-CN"/>
                      <w14:textFill>
                        <w14:solidFill>
                          <w14:schemeClr w14:val="tx1"/>
                        </w14:solidFill>
                      </w14:textFill>
                    </w:rPr>
                    <w:t>1476</w:t>
                  </w:r>
                  <w:r>
                    <w:rPr>
                      <w:rFonts w:hint="eastAsia" w:ascii="宋体" w:hAnsi="宋体" w:eastAsia="宋体" w:cs="宋体"/>
                      <w:color w:val="000000" w:themeColor="text1"/>
                      <w:sz w:val="21"/>
                      <w:szCs w:val="21"/>
                      <w14:textFill>
                        <w14:solidFill>
                          <w14:schemeClr w14:val="tx1"/>
                        </w14:solidFill>
                      </w14:textFill>
                    </w:rPr>
                    <w:t>m</w:t>
                  </w:r>
                  <w:r>
                    <w:rPr>
                      <w:rFonts w:hint="eastAsia" w:ascii="宋体" w:hAnsi="宋体" w:eastAsia="宋体" w:cs="宋体"/>
                      <w:color w:val="000000" w:themeColor="text1"/>
                      <w:sz w:val="21"/>
                      <w:szCs w:val="21"/>
                      <w:vertAlign w:val="superscript"/>
                      <w14:textFill>
                        <w14:solidFill>
                          <w14:schemeClr w14:val="tx1"/>
                        </w14:solidFill>
                      </w14:textFill>
                    </w:rPr>
                    <w:t>2</w:t>
                  </w:r>
                </w:p>
                <w:p w14:paraId="2D3301C4">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预处理车间</w:t>
                  </w:r>
                  <w:r>
                    <w:rPr>
                      <w:rFonts w:hint="eastAsia" w:ascii="宋体" w:hAnsi="宋体" w:eastAsia="宋体" w:cs="宋体"/>
                      <w:color w:val="000000" w:themeColor="text1"/>
                      <w:sz w:val="21"/>
                      <w:szCs w:val="21"/>
                      <w14:textFill>
                        <w14:solidFill>
                          <w14:schemeClr w14:val="tx1"/>
                        </w14:solidFill>
                      </w14:textFill>
                    </w:rPr>
                    <w:t>，单层厂房，占地约</w:t>
                  </w:r>
                  <w:r>
                    <w:rPr>
                      <w:rFonts w:hint="eastAsia" w:ascii="宋体" w:hAnsi="宋体" w:eastAsia="宋体" w:cs="宋体"/>
                      <w:color w:val="000000" w:themeColor="text1"/>
                      <w:sz w:val="21"/>
                      <w:szCs w:val="21"/>
                      <w:lang w:val="en-US" w:eastAsia="zh-CN"/>
                      <w14:textFill>
                        <w14:solidFill>
                          <w14:schemeClr w14:val="tx1"/>
                        </w14:solidFill>
                      </w14:textFill>
                    </w:rPr>
                    <w:t>2580.5</w:t>
                  </w:r>
                  <w:r>
                    <w:rPr>
                      <w:rFonts w:hint="eastAsia" w:ascii="宋体" w:hAnsi="宋体" w:eastAsia="宋体" w:cs="宋体"/>
                      <w:color w:val="000000" w:themeColor="text1"/>
                      <w:sz w:val="21"/>
                      <w:szCs w:val="21"/>
                      <w14:textFill>
                        <w14:solidFill>
                          <w14:schemeClr w14:val="tx1"/>
                        </w14:solidFill>
                      </w14:textFill>
                    </w:rPr>
                    <w:t>m</w:t>
                  </w:r>
                  <w:r>
                    <w:rPr>
                      <w:rFonts w:hint="eastAsia" w:ascii="宋体" w:hAnsi="宋体" w:eastAsia="宋体" w:cs="宋体"/>
                      <w:color w:val="000000" w:themeColor="text1"/>
                      <w:sz w:val="21"/>
                      <w:szCs w:val="21"/>
                      <w:vertAlign w:val="superscript"/>
                      <w14:textFill>
                        <w14:solidFill>
                          <w14:schemeClr w14:val="tx1"/>
                        </w14:solidFill>
                      </w14:textFill>
                    </w:rPr>
                    <w:t>2</w:t>
                  </w:r>
                </w:p>
              </w:tc>
              <w:tc>
                <w:tcPr>
                  <w:tcW w:w="2028" w:type="pct"/>
                  <w:tcBorders>
                    <w:tl2br w:val="nil"/>
                    <w:tr2bl w:val="nil"/>
                  </w:tcBorders>
                  <w:vAlign w:val="center"/>
                </w:tcPr>
                <w:p w14:paraId="0BE4B8BE">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拆解车间24.6m*60m(</w:t>
                  </w:r>
                  <w:r>
                    <w:rPr>
                      <w:rFonts w:hint="eastAsia" w:ascii="宋体" w:hAnsi="宋体" w:eastAsia="宋体" w:cs="宋体"/>
                      <w:color w:val="000000" w:themeColor="text1"/>
                      <w:sz w:val="21"/>
                      <w:szCs w:val="21"/>
                      <w:lang w:eastAsia="zh-CN"/>
                      <w14:textFill>
                        <w14:solidFill>
                          <w14:schemeClr w14:val="tx1"/>
                        </w14:solidFill>
                      </w14:textFill>
                    </w:rPr>
                    <w:t>利旧</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w:t>
                  </w:r>
                </w:p>
                <w:p w14:paraId="015279D9">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预处理车间</w:t>
                  </w:r>
                  <w:r>
                    <w:rPr>
                      <w:rFonts w:hint="eastAsia" w:ascii="宋体" w:hAnsi="宋体" w:eastAsia="宋体" w:cs="宋体"/>
                      <w:color w:val="000000" w:themeColor="text1"/>
                      <w:sz w:val="21"/>
                      <w:szCs w:val="21"/>
                      <w:lang w:val="en-US" w:eastAsia="zh-CN"/>
                      <w14:textFill>
                        <w14:solidFill>
                          <w14:schemeClr w14:val="tx1"/>
                        </w14:solidFill>
                      </w14:textFill>
                    </w:rPr>
                    <w:t>24.6m*104.9m(</w:t>
                  </w:r>
                  <w:r>
                    <w:rPr>
                      <w:rFonts w:hint="eastAsia" w:ascii="宋体" w:hAnsi="宋体" w:eastAsia="宋体" w:cs="宋体"/>
                      <w:color w:val="000000" w:themeColor="text1"/>
                      <w:sz w:val="21"/>
                      <w:szCs w:val="21"/>
                      <w:lang w:eastAsia="zh-CN"/>
                      <w14:textFill>
                        <w14:solidFill>
                          <w14:schemeClr w14:val="tx1"/>
                        </w14:solidFill>
                      </w14:textFill>
                    </w:rPr>
                    <w:t>利旧</w:t>
                  </w:r>
                  <w:r>
                    <w:rPr>
                      <w:rFonts w:hint="eastAsia" w:ascii="宋体" w:hAnsi="宋体" w:eastAsia="宋体" w:cs="宋体"/>
                      <w:color w:val="000000" w:themeColor="text1"/>
                      <w:sz w:val="21"/>
                      <w:szCs w:val="21"/>
                      <w:lang w:val="en-US" w:eastAsia="zh-CN"/>
                      <w14:textFill>
                        <w14:solidFill>
                          <w14:schemeClr w14:val="tx1"/>
                        </w14:solidFill>
                      </w14:textFill>
                    </w:rPr>
                    <w:t>)</w:t>
                  </w:r>
                </w:p>
                <w:p w14:paraId="2CC59376">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本项目扩建后全厂主体工程不发生变化。</w:t>
                  </w:r>
                </w:p>
              </w:tc>
            </w:tr>
            <w:tr w14:paraId="1D82C4A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0" w:type="pct"/>
                  <w:gridSpan w:val="2"/>
                  <w:vMerge w:val="restart"/>
                  <w:tcBorders>
                    <w:tl2br w:val="nil"/>
                    <w:tr2bl w:val="nil"/>
                  </w:tcBorders>
                  <w:vAlign w:val="center"/>
                </w:tcPr>
                <w:p w14:paraId="68726FC4">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储运工程</w:t>
                  </w:r>
                </w:p>
              </w:tc>
              <w:tc>
                <w:tcPr>
                  <w:tcW w:w="2480" w:type="pct"/>
                  <w:gridSpan w:val="2"/>
                  <w:tcBorders>
                    <w:tl2br w:val="nil"/>
                    <w:tr2bl w:val="nil"/>
                  </w:tcBorders>
                  <w:vAlign w:val="center"/>
                </w:tcPr>
                <w:p w14:paraId="317B5389">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产品及半成品贮存区</w:t>
                  </w:r>
                </w:p>
                <w:p w14:paraId="71F0D054">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vertAlign w:val="superscript"/>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位于厂区</w:t>
                  </w:r>
                  <w:r>
                    <w:rPr>
                      <w:rFonts w:hint="eastAsia" w:ascii="宋体" w:hAnsi="宋体" w:eastAsia="宋体" w:cs="宋体"/>
                      <w:color w:val="000000" w:themeColor="text1"/>
                      <w:sz w:val="21"/>
                      <w:szCs w:val="21"/>
                      <w:highlight w:val="none"/>
                      <w:lang w:val="en-US" w:eastAsia="zh-CN"/>
                      <w14:textFill>
                        <w14:solidFill>
                          <w14:schemeClr w14:val="tx1"/>
                        </w14:solidFill>
                      </w14:textFill>
                    </w:rPr>
                    <w:t>东</w:t>
                  </w:r>
                  <w:r>
                    <w:rPr>
                      <w:rFonts w:hint="eastAsia" w:ascii="宋体" w:hAnsi="宋体" w:eastAsia="宋体" w:cs="宋体"/>
                      <w:color w:val="000000" w:themeColor="text1"/>
                      <w:sz w:val="21"/>
                      <w:szCs w:val="21"/>
                      <w:highlight w:val="none"/>
                      <w:lang w:eastAsia="zh-CN"/>
                      <w14:textFill>
                        <w14:solidFill>
                          <w14:schemeClr w14:val="tx1"/>
                        </w14:solidFill>
                      </w14:textFill>
                    </w:rPr>
                    <w:t>部</w:t>
                  </w:r>
                  <w:r>
                    <w:rPr>
                      <w:rFonts w:hint="eastAsia" w:ascii="宋体" w:hAnsi="宋体" w:eastAsia="宋体" w:cs="宋体"/>
                      <w:color w:val="000000" w:themeColor="text1"/>
                      <w:sz w:val="21"/>
                      <w:szCs w:val="21"/>
                      <w:highlight w:val="none"/>
                      <w14:textFill>
                        <w14:solidFill>
                          <w14:schemeClr w14:val="tx1"/>
                        </w14:solidFill>
                      </w14:textFill>
                    </w:rPr>
                    <w:t>，占地约</w:t>
                  </w:r>
                  <w:r>
                    <w:rPr>
                      <w:rFonts w:hint="eastAsia" w:ascii="宋体" w:hAnsi="宋体" w:cs="宋体"/>
                      <w:color w:val="000000" w:themeColor="text1"/>
                      <w:sz w:val="21"/>
                      <w:szCs w:val="21"/>
                      <w:highlight w:val="none"/>
                      <w:lang w:val="en-US" w:eastAsia="zh-CN"/>
                      <w14:textFill>
                        <w14:solidFill>
                          <w14:schemeClr w14:val="tx1"/>
                        </w14:solidFill>
                      </w14:textFill>
                    </w:rPr>
                    <w:t>0.3</w:t>
                  </w:r>
                  <w:r>
                    <w:rPr>
                      <w:rFonts w:hint="eastAsia" w:ascii="宋体" w:hAnsi="宋体" w:eastAsia="宋体" w:cs="宋体"/>
                      <w:color w:val="000000" w:themeColor="text1"/>
                      <w:sz w:val="21"/>
                      <w:szCs w:val="21"/>
                      <w:lang w:val="en-US" w:eastAsia="zh-CN"/>
                      <w14:textFill>
                        <w14:solidFill>
                          <w14:schemeClr w14:val="tx1"/>
                        </w14:solidFill>
                      </w14:textFill>
                    </w:rPr>
                    <w:t>万</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sz w:val="21"/>
                      <w:szCs w:val="21"/>
                      <w:highlight w:val="none"/>
                      <w:vertAlign w:val="superscript"/>
                      <w14:textFill>
                        <w14:solidFill>
                          <w14:schemeClr w14:val="tx1"/>
                        </w14:solidFill>
                      </w14:textFill>
                    </w:rPr>
                    <w:t>2</w:t>
                  </w:r>
                </w:p>
              </w:tc>
              <w:tc>
                <w:tcPr>
                  <w:tcW w:w="2028" w:type="pct"/>
                  <w:tcBorders>
                    <w:tl2br w:val="nil"/>
                    <w:tr2bl w:val="nil"/>
                  </w:tcBorders>
                  <w:vAlign w:val="center"/>
                </w:tcPr>
                <w:p w14:paraId="791AA849">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利旧</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4E9837A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0" w:type="pct"/>
                  <w:gridSpan w:val="2"/>
                  <w:vMerge w:val="continue"/>
                  <w:tcBorders>
                    <w:tl2br w:val="nil"/>
                    <w:tr2bl w:val="nil"/>
                  </w:tcBorders>
                  <w:vAlign w:val="center"/>
                </w:tcPr>
                <w:p w14:paraId="0CF2F975">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p>
              </w:tc>
              <w:tc>
                <w:tcPr>
                  <w:tcW w:w="2480" w:type="pct"/>
                  <w:gridSpan w:val="2"/>
                  <w:tcBorders>
                    <w:tl2br w:val="nil"/>
                    <w:tr2bl w:val="nil"/>
                  </w:tcBorders>
                  <w:vAlign w:val="center"/>
                </w:tcPr>
                <w:p w14:paraId="44E95FF3">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未拆解的报废机动车贮存区</w:t>
                  </w:r>
                </w:p>
                <w:p w14:paraId="66EDF7AA">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位于厂区中部及东部</w:t>
                  </w:r>
                  <w:r>
                    <w:rPr>
                      <w:rFonts w:hint="eastAsia" w:ascii="宋体" w:hAnsi="宋体" w:eastAsia="宋体" w:cs="宋体"/>
                      <w:color w:val="000000" w:themeColor="text1"/>
                      <w:sz w:val="21"/>
                      <w:szCs w:val="21"/>
                      <w14:textFill>
                        <w14:solidFill>
                          <w14:schemeClr w14:val="tx1"/>
                        </w14:solidFill>
                      </w14:textFill>
                    </w:rPr>
                    <w:t>，占地约</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万</w:t>
                  </w:r>
                  <w:r>
                    <w:rPr>
                      <w:rFonts w:hint="eastAsia" w:ascii="宋体" w:hAnsi="宋体" w:eastAsia="宋体" w:cs="宋体"/>
                      <w:color w:val="000000" w:themeColor="text1"/>
                      <w:sz w:val="21"/>
                      <w:szCs w:val="21"/>
                      <w14:textFill>
                        <w14:solidFill>
                          <w14:schemeClr w14:val="tx1"/>
                        </w14:solidFill>
                      </w14:textFill>
                    </w:rPr>
                    <w:t>m</w:t>
                  </w:r>
                  <w:r>
                    <w:rPr>
                      <w:rFonts w:hint="eastAsia" w:ascii="宋体" w:hAnsi="宋体" w:eastAsia="宋体" w:cs="宋体"/>
                      <w:color w:val="000000" w:themeColor="text1"/>
                      <w:sz w:val="21"/>
                      <w:szCs w:val="21"/>
                      <w:vertAlign w:val="superscript"/>
                      <w14:textFill>
                        <w14:solidFill>
                          <w14:schemeClr w14:val="tx1"/>
                        </w14:solidFill>
                      </w14:textFill>
                    </w:rPr>
                    <w:t>2</w:t>
                  </w:r>
                </w:p>
              </w:tc>
              <w:tc>
                <w:tcPr>
                  <w:tcW w:w="2028" w:type="pct"/>
                  <w:tcBorders>
                    <w:tl2br w:val="nil"/>
                    <w:tr2bl w:val="nil"/>
                  </w:tcBorders>
                  <w:vAlign w:val="center"/>
                </w:tcPr>
                <w:p w14:paraId="50CD7B89">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利旧</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3E049D3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0" w:type="pct"/>
                  <w:gridSpan w:val="2"/>
                  <w:vMerge w:val="continue"/>
                  <w:tcBorders>
                    <w:tl2br w:val="nil"/>
                    <w:tr2bl w:val="nil"/>
                  </w:tcBorders>
                  <w:vAlign w:val="center"/>
                </w:tcPr>
                <w:p w14:paraId="07987642">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p>
              </w:tc>
              <w:tc>
                <w:tcPr>
                  <w:tcW w:w="2480" w:type="pct"/>
                  <w:gridSpan w:val="2"/>
                  <w:tcBorders>
                    <w:tl2br w:val="nil"/>
                    <w:tr2bl w:val="nil"/>
                  </w:tcBorders>
                  <w:vAlign w:val="center"/>
                </w:tcPr>
                <w:p w14:paraId="4572318A">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废</w:t>
                  </w:r>
                  <w:r>
                    <w:rPr>
                      <w:rFonts w:hint="eastAsia" w:ascii="宋体" w:hAnsi="宋体" w:eastAsia="宋体" w:cs="宋体"/>
                      <w:color w:val="000000" w:themeColor="text1"/>
                      <w:sz w:val="21"/>
                      <w:szCs w:val="21"/>
                      <w:highlight w:val="none"/>
                      <w:lang w:eastAsia="zh-CN"/>
                      <w14:textFill>
                        <w14:solidFill>
                          <w14:schemeClr w14:val="tx1"/>
                        </w14:solidFill>
                      </w14:textFill>
                    </w:rPr>
                    <w:t>物贮存区</w:t>
                  </w:r>
                </w:p>
                <w:p w14:paraId="2938E6A0">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一般固废暂存区</w:t>
                  </w:r>
                  <w:r>
                    <w:rPr>
                      <w:rFonts w:hint="eastAsia" w:ascii="宋体" w:hAnsi="宋体" w:eastAsia="宋体" w:cs="宋体"/>
                      <w:color w:val="000000" w:themeColor="text1"/>
                      <w:sz w:val="21"/>
                      <w:szCs w:val="21"/>
                      <w:highlight w:val="none"/>
                      <w14:textFill>
                        <w14:solidFill>
                          <w14:schemeClr w14:val="tx1"/>
                        </w14:solidFill>
                      </w14:textFill>
                    </w:rPr>
                    <w:t>位于厂区</w:t>
                  </w:r>
                  <w:r>
                    <w:rPr>
                      <w:rFonts w:hint="eastAsia" w:ascii="宋体" w:hAnsi="宋体" w:eastAsia="宋体" w:cs="宋体"/>
                      <w:color w:val="000000" w:themeColor="text1"/>
                      <w:sz w:val="21"/>
                      <w:szCs w:val="21"/>
                      <w:highlight w:val="none"/>
                      <w:lang w:val="en-US" w:eastAsia="zh-CN"/>
                      <w14:textFill>
                        <w14:solidFill>
                          <w14:schemeClr w14:val="tx1"/>
                        </w14:solidFill>
                      </w14:textFill>
                    </w:rPr>
                    <w:t>东</w:t>
                  </w:r>
                  <w:r>
                    <w:rPr>
                      <w:rFonts w:hint="eastAsia" w:ascii="宋体" w:hAnsi="宋体" w:eastAsia="宋体" w:cs="宋体"/>
                      <w:color w:val="000000" w:themeColor="text1"/>
                      <w:sz w:val="21"/>
                      <w:szCs w:val="21"/>
                      <w:highlight w:val="none"/>
                      <w:lang w:eastAsia="zh-CN"/>
                      <w14:textFill>
                        <w14:solidFill>
                          <w14:schemeClr w14:val="tx1"/>
                        </w14:solidFill>
                      </w14:textFill>
                    </w:rPr>
                    <w:t>部</w:t>
                  </w:r>
                  <w:r>
                    <w:rPr>
                      <w:rFonts w:hint="eastAsia" w:ascii="宋体" w:hAnsi="宋体" w:eastAsia="宋体" w:cs="宋体"/>
                      <w:color w:val="000000" w:themeColor="text1"/>
                      <w:sz w:val="21"/>
                      <w:szCs w:val="21"/>
                      <w:highlight w:val="none"/>
                      <w14:textFill>
                        <w14:solidFill>
                          <w14:schemeClr w14:val="tx1"/>
                        </w14:solidFill>
                      </w14:textFill>
                    </w:rPr>
                    <w:t>，占地约</w:t>
                  </w:r>
                  <w:r>
                    <w:rPr>
                      <w:rFonts w:hint="eastAsia" w:ascii="宋体" w:hAnsi="宋体" w:eastAsia="宋体" w:cs="宋体"/>
                      <w:color w:val="000000" w:themeColor="text1"/>
                      <w:sz w:val="21"/>
                      <w:szCs w:val="21"/>
                      <w:highlight w:val="none"/>
                      <w:lang w:val="en-US" w:eastAsia="zh-CN"/>
                      <w14:textFill>
                        <w14:solidFill>
                          <w14:schemeClr w14:val="tx1"/>
                        </w14:solidFill>
                      </w14:textFill>
                    </w:rPr>
                    <w:t>50</w:t>
                  </w:r>
                  <w:r>
                    <w:rPr>
                      <w:rFonts w:hint="eastAsia" w:ascii="宋体" w:hAnsi="宋体" w:cs="宋体"/>
                      <w:color w:val="000000" w:themeColor="text1"/>
                      <w:sz w:val="21"/>
                      <w:szCs w:val="21"/>
                      <w:highlight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sz w:val="21"/>
                      <w:szCs w:val="21"/>
                      <w:highlight w:val="none"/>
                      <w:vertAlign w:val="superscript"/>
                      <w14:textFill>
                        <w14:solidFill>
                          <w14:schemeClr w14:val="tx1"/>
                        </w14:solidFill>
                      </w14:textFill>
                    </w:rPr>
                    <w:t>2</w:t>
                  </w:r>
                </w:p>
                <w:p w14:paraId="3FEF63A5">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危险废物暂存区</w:t>
                  </w:r>
                  <w:r>
                    <w:rPr>
                      <w:rFonts w:hint="eastAsia" w:ascii="宋体" w:hAnsi="宋体" w:eastAsia="宋体" w:cs="宋体"/>
                      <w:color w:val="000000" w:themeColor="text1"/>
                      <w:sz w:val="21"/>
                      <w:szCs w:val="21"/>
                      <w:highlight w:val="none"/>
                      <w14:textFill>
                        <w14:solidFill>
                          <w14:schemeClr w14:val="tx1"/>
                        </w14:solidFill>
                      </w14:textFill>
                    </w:rPr>
                    <w:t>位于厂区</w:t>
                  </w:r>
                  <w:r>
                    <w:rPr>
                      <w:rFonts w:hint="eastAsia" w:ascii="宋体" w:hAnsi="宋体" w:eastAsia="宋体" w:cs="宋体"/>
                      <w:color w:val="000000" w:themeColor="text1"/>
                      <w:sz w:val="21"/>
                      <w:szCs w:val="21"/>
                      <w:highlight w:val="none"/>
                      <w:lang w:val="en-US" w:eastAsia="zh-CN"/>
                      <w14:textFill>
                        <w14:solidFill>
                          <w14:schemeClr w14:val="tx1"/>
                        </w14:solidFill>
                      </w14:textFill>
                    </w:rPr>
                    <w:t>东</w:t>
                  </w:r>
                  <w:r>
                    <w:rPr>
                      <w:rFonts w:hint="eastAsia" w:ascii="宋体" w:hAnsi="宋体" w:eastAsia="宋体" w:cs="宋体"/>
                      <w:color w:val="000000" w:themeColor="text1"/>
                      <w:sz w:val="21"/>
                      <w:szCs w:val="21"/>
                      <w:highlight w:val="none"/>
                      <w:lang w:eastAsia="zh-CN"/>
                      <w14:textFill>
                        <w14:solidFill>
                          <w14:schemeClr w14:val="tx1"/>
                        </w14:solidFill>
                      </w14:textFill>
                    </w:rPr>
                    <w:t>部</w:t>
                  </w:r>
                  <w:r>
                    <w:rPr>
                      <w:rFonts w:hint="eastAsia" w:ascii="宋体" w:hAnsi="宋体" w:eastAsia="宋体" w:cs="宋体"/>
                      <w:color w:val="000000" w:themeColor="text1"/>
                      <w:sz w:val="21"/>
                      <w:szCs w:val="21"/>
                      <w:highlight w:val="none"/>
                      <w14:textFill>
                        <w14:solidFill>
                          <w14:schemeClr w14:val="tx1"/>
                        </w14:solidFill>
                      </w14:textFill>
                    </w:rPr>
                    <w:t>，占地约</w:t>
                  </w:r>
                  <w:r>
                    <w:rPr>
                      <w:rFonts w:hint="eastAsia" w:ascii="宋体" w:hAnsi="宋体" w:cs="宋体"/>
                      <w:color w:val="000000" w:themeColor="text1"/>
                      <w:sz w:val="21"/>
                      <w:szCs w:val="21"/>
                      <w:highlight w:val="none"/>
                      <w:lang w:val="en-US" w:eastAsia="zh-CN"/>
                      <w14:textFill>
                        <w14:solidFill>
                          <w14:schemeClr w14:val="tx1"/>
                        </w14:solidFill>
                      </w14:textFill>
                    </w:rPr>
                    <w:t>500</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sz w:val="21"/>
                      <w:szCs w:val="21"/>
                      <w:highlight w:val="none"/>
                      <w:vertAlign w:val="superscript"/>
                      <w14:textFill>
                        <w14:solidFill>
                          <w14:schemeClr w14:val="tx1"/>
                        </w14:solidFill>
                      </w14:textFill>
                    </w:rPr>
                    <w:t>2</w:t>
                  </w:r>
                </w:p>
              </w:tc>
              <w:tc>
                <w:tcPr>
                  <w:tcW w:w="2028" w:type="pct"/>
                  <w:tcBorders>
                    <w:tl2br w:val="nil"/>
                    <w:tr2bl w:val="nil"/>
                  </w:tcBorders>
                  <w:vAlign w:val="center"/>
                </w:tcPr>
                <w:p w14:paraId="6BEBE460">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利旧</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4A43188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3" w:hRule="atLeast"/>
                <w:jc w:val="center"/>
              </w:trPr>
              <w:tc>
                <w:tcPr>
                  <w:tcW w:w="490" w:type="pct"/>
                  <w:gridSpan w:val="2"/>
                  <w:tcBorders>
                    <w:tl2br w:val="nil"/>
                    <w:tr2bl w:val="nil"/>
                  </w:tcBorders>
                  <w:vAlign w:val="center"/>
                </w:tcPr>
                <w:p w14:paraId="364840F1">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辅助工程</w:t>
                  </w:r>
                </w:p>
              </w:tc>
              <w:tc>
                <w:tcPr>
                  <w:tcW w:w="818" w:type="pct"/>
                  <w:tcBorders>
                    <w:tl2br w:val="nil"/>
                    <w:tr2bl w:val="nil"/>
                  </w:tcBorders>
                  <w:vAlign w:val="center"/>
                </w:tcPr>
                <w:p w14:paraId="4F6F48BC">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办公区</w:t>
                  </w:r>
                </w:p>
              </w:tc>
              <w:tc>
                <w:tcPr>
                  <w:tcW w:w="1662" w:type="pct"/>
                  <w:tcBorders>
                    <w:tl2br w:val="nil"/>
                    <w:tr2bl w:val="nil"/>
                  </w:tcBorders>
                  <w:vAlign w:val="center"/>
                </w:tcPr>
                <w:p w14:paraId="760F3DEE">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位于厂区</w:t>
                  </w:r>
                  <w:r>
                    <w:rPr>
                      <w:rFonts w:hint="eastAsia" w:ascii="宋体" w:hAnsi="宋体" w:eastAsia="宋体" w:cs="宋体"/>
                      <w:color w:val="000000" w:themeColor="text1"/>
                      <w:sz w:val="21"/>
                      <w:szCs w:val="21"/>
                      <w:lang w:eastAsia="zh-CN"/>
                      <w14:textFill>
                        <w14:solidFill>
                          <w14:schemeClr w14:val="tx1"/>
                        </w14:solidFill>
                      </w14:textFill>
                    </w:rPr>
                    <w:t>西北</w:t>
                  </w:r>
                  <w:r>
                    <w:rPr>
                      <w:rFonts w:hint="eastAsia" w:ascii="宋体" w:hAnsi="宋体" w:eastAsia="宋体" w:cs="宋体"/>
                      <w:color w:val="000000" w:themeColor="text1"/>
                      <w:sz w:val="21"/>
                      <w:szCs w:val="21"/>
                      <w14:textFill>
                        <w14:solidFill>
                          <w14:schemeClr w14:val="tx1"/>
                        </w14:solidFill>
                      </w14:textFill>
                    </w:rPr>
                    <w:t>侧，占地约</w:t>
                  </w:r>
                  <w:r>
                    <w:rPr>
                      <w:rFonts w:hint="eastAsia" w:ascii="宋体" w:hAnsi="宋体" w:eastAsia="宋体" w:cs="宋体"/>
                      <w:color w:val="000000" w:themeColor="text1"/>
                      <w:sz w:val="21"/>
                      <w:szCs w:val="21"/>
                      <w:lang w:val="en-US" w:eastAsia="zh-CN"/>
                      <w14:textFill>
                        <w14:solidFill>
                          <w14:schemeClr w14:val="tx1"/>
                        </w14:solidFill>
                      </w14:textFill>
                    </w:rPr>
                    <w:t>600</w:t>
                  </w:r>
                  <w:r>
                    <w:rPr>
                      <w:rFonts w:hint="eastAsia" w:ascii="宋体" w:hAnsi="宋体" w:eastAsia="宋体" w:cs="宋体"/>
                      <w:color w:val="000000" w:themeColor="text1"/>
                      <w:sz w:val="21"/>
                      <w:szCs w:val="21"/>
                      <w14:textFill>
                        <w14:solidFill>
                          <w14:schemeClr w14:val="tx1"/>
                        </w14:solidFill>
                      </w14:textFill>
                    </w:rPr>
                    <w:t>m</w:t>
                  </w:r>
                  <w:r>
                    <w:rPr>
                      <w:rFonts w:hint="eastAsia" w:ascii="宋体" w:hAnsi="宋体" w:eastAsia="宋体" w:cs="宋体"/>
                      <w:color w:val="000000" w:themeColor="text1"/>
                      <w:sz w:val="21"/>
                      <w:szCs w:val="21"/>
                      <w:vertAlign w:val="superscript"/>
                      <w14:textFill>
                        <w14:solidFill>
                          <w14:schemeClr w14:val="tx1"/>
                        </w14:solidFill>
                      </w14:textFill>
                    </w:rPr>
                    <w:t>2</w:t>
                  </w:r>
                </w:p>
              </w:tc>
              <w:tc>
                <w:tcPr>
                  <w:tcW w:w="2028" w:type="pct"/>
                  <w:tcBorders>
                    <w:tl2br w:val="nil"/>
                    <w:tr2bl w:val="nil"/>
                  </w:tcBorders>
                  <w:vAlign w:val="center"/>
                </w:tcPr>
                <w:p w14:paraId="025FEB22">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利旧</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38CA4FA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0" w:type="pct"/>
                  <w:gridSpan w:val="2"/>
                  <w:vMerge w:val="restart"/>
                  <w:tcBorders>
                    <w:tl2br w:val="nil"/>
                    <w:tr2bl w:val="nil"/>
                  </w:tcBorders>
                  <w:vAlign w:val="center"/>
                </w:tcPr>
                <w:p w14:paraId="036BB895">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公用工程</w:t>
                  </w:r>
                </w:p>
              </w:tc>
              <w:tc>
                <w:tcPr>
                  <w:tcW w:w="818" w:type="pct"/>
                  <w:tcBorders>
                    <w:tl2br w:val="nil"/>
                    <w:tr2bl w:val="nil"/>
                  </w:tcBorders>
                  <w:vAlign w:val="center"/>
                </w:tcPr>
                <w:p w14:paraId="263BE877">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给排水</w:t>
                  </w:r>
                </w:p>
              </w:tc>
              <w:tc>
                <w:tcPr>
                  <w:tcW w:w="1662" w:type="pct"/>
                  <w:tcBorders>
                    <w:tl2br w:val="nil"/>
                    <w:tr2bl w:val="nil"/>
                  </w:tcBorders>
                  <w:vAlign w:val="center"/>
                </w:tcPr>
                <w:p w14:paraId="488537CD">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项目用水由</w:t>
                  </w:r>
                  <w:r>
                    <w:rPr>
                      <w:rFonts w:hint="eastAsia" w:ascii="宋体" w:hAnsi="宋体" w:cs="宋体"/>
                      <w:color w:val="000000" w:themeColor="text1"/>
                      <w:sz w:val="21"/>
                      <w:szCs w:val="21"/>
                      <w:lang w:val="en-US" w:eastAsia="zh-CN"/>
                      <w14:textFill>
                        <w14:solidFill>
                          <w14:schemeClr w14:val="tx1"/>
                        </w14:solidFill>
                      </w14:textFill>
                    </w:rPr>
                    <w:t>厂区井水</w:t>
                  </w:r>
                  <w:r>
                    <w:rPr>
                      <w:rFonts w:hint="eastAsia" w:ascii="宋体" w:hAnsi="宋体" w:eastAsia="宋体" w:cs="宋体"/>
                      <w:color w:val="000000" w:themeColor="text1"/>
                      <w:sz w:val="21"/>
                      <w:szCs w:val="21"/>
                      <w14:textFill>
                        <w14:solidFill>
                          <w14:schemeClr w14:val="tx1"/>
                        </w14:solidFill>
                      </w14:textFill>
                    </w:rPr>
                    <w:t>供给；排水采用雨污分流制，其中生活污水</w:t>
                  </w:r>
                  <w:r>
                    <w:rPr>
                      <w:rFonts w:hint="eastAsia" w:ascii="宋体" w:hAnsi="宋体" w:cs="宋体"/>
                      <w:color w:val="000000" w:themeColor="text1"/>
                      <w:sz w:val="21"/>
                      <w:szCs w:val="21"/>
                      <w:lang w:val="en-US" w:eastAsia="zh-CN"/>
                      <w14:textFill>
                        <w14:solidFill>
                          <w14:schemeClr w14:val="tx1"/>
                        </w14:solidFill>
                      </w14:textFill>
                    </w:rPr>
                    <w:t>排入化粪池后定期清运</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初期雨水经收集后隔油沉淀后排入市政下水管网。</w:t>
                  </w:r>
                  <w:r>
                    <w:rPr>
                      <w:rFonts w:hint="eastAsia" w:ascii="宋体" w:hAnsi="宋体" w:eastAsia="宋体" w:cs="宋体"/>
                      <w:color w:val="000000" w:themeColor="text1"/>
                      <w:sz w:val="21"/>
                      <w:szCs w:val="21"/>
                      <w:highlight w:val="none"/>
                      <w14:textFill>
                        <w14:solidFill>
                          <w14:schemeClr w14:val="tx1"/>
                        </w14:solidFill>
                      </w14:textFill>
                    </w:rPr>
                    <w:t>雨水经收集后排入周边雨水沟</w:t>
                  </w:r>
                  <w:r>
                    <w:rPr>
                      <w:rFonts w:hint="eastAsia" w:ascii="宋体" w:hAnsi="宋体" w:cs="宋体"/>
                      <w:color w:val="000000" w:themeColor="text1"/>
                      <w:sz w:val="21"/>
                      <w:szCs w:val="21"/>
                      <w:highlight w:val="none"/>
                      <w:lang w:eastAsia="zh-CN"/>
                      <w14:textFill>
                        <w14:solidFill>
                          <w14:schemeClr w14:val="tx1"/>
                        </w14:solidFill>
                      </w14:textFill>
                    </w:rPr>
                    <w:t>。</w:t>
                  </w:r>
                </w:p>
              </w:tc>
              <w:tc>
                <w:tcPr>
                  <w:tcW w:w="2028" w:type="pct"/>
                  <w:tcBorders>
                    <w:tl2br w:val="nil"/>
                    <w:tr2bl w:val="nil"/>
                  </w:tcBorders>
                  <w:vAlign w:val="center"/>
                </w:tcPr>
                <w:p w14:paraId="49327993">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利旧</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6F035CC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0" w:type="pct"/>
                  <w:gridSpan w:val="2"/>
                  <w:vMerge w:val="continue"/>
                  <w:tcBorders>
                    <w:tl2br w:val="nil"/>
                    <w:tr2bl w:val="nil"/>
                  </w:tcBorders>
                  <w:vAlign w:val="center"/>
                </w:tcPr>
                <w:p w14:paraId="4C98C5D0">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p>
              </w:tc>
              <w:tc>
                <w:tcPr>
                  <w:tcW w:w="818" w:type="pct"/>
                  <w:tcBorders>
                    <w:tl2br w:val="nil"/>
                    <w:tr2bl w:val="nil"/>
                  </w:tcBorders>
                  <w:vAlign w:val="center"/>
                </w:tcPr>
                <w:p w14:paraId="15D4804E">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供电工程</w:t>
                  </w:r>
                </w:p>
              </w:tc>
              <w:tc>
                <w:tcPr>
                  <w:tcW w:w="1662" w:type="pct"/>
                  <w:tcBorders>
                    <w:tl2br w:val="nil"/>
                    <w:tr2bl w:val="nil"/>
                  </w:tcBorders>
                  <w:vAlign w:val="center"/>
                </w:tcPr>
                <w:p w14:paraId="3E3FC55B">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由市政</w:t>
                  </w:r>
                  <w:r>
                    <w:rPr>
                      <w:rFonts w:hint="eastAsia" w:ascii="宋体" w:hAnsi="宋体" w:eastAsia="宋体" w:cs="宋体"/>
                      <w:color w:val="000000" w:themeColor="text1"/>
                      <w:sz w:val="21"/>
                      <w:szCs w:val="21"/>
                      <w:lang w:eastAsia="zh-CN"/>
                      <w14:textFill>
                        <w14:solidFill>
                          <w14:schemeClr w14:val="tx1"/>
                        </w14:solidFill>
                      </w14:textFill>
                    </w:rPr>
                    <w:t>统一</w:t>
                  </w:r>
                  <w:r>
                    <w:rPr>
                      <w:rFonts w:hint="eastAsia" w:ascii="宋体" w:hAnsi="宋体" w:eastAsia="宋体" w:cs="宋体"/>
                      <w:color w:val="000000" w:themeColor="text1"/>
                      <w:sz w:val="21"/>
                      <w:szCs w:val="21"/>
                      <w14:textFill>
                        <w14:solidFill>
                          <w14:schemeClr w14:val="tx1"/>
                        </w14:solidFill>
                      </w14:textFill>
                    </w:rPr>
                    <w:t>供电</w:t>
                  </w:r>
                </w:p>
              </w:tc>
              <w:tc>
                <w:tcPr>
                  <w:tcW w:w="2028" w:type="pct"/>
                  <w:tcBorders>
                    <w:tl2br w:val="nil"/>
                    <w:tr2bl w:val="nil"/>
                  </w:tcBorders>
                  <w:vAlign w:val="center"/>
                </w:tcPr>
                <w:p w14:paraId="17995DB5">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0602162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3" w:type="pct"/>
                  <w:vMerge w:val="restart"/>
                  <w:tcBorders>
                    <w:tl2br w:val="nil"/>
                    <w:tr2bl w:val="nil"/>
                  </w:tcBorders>
                  <w:vAlign w:val="center"/>
                </w:tcPr>
                <w:p w14:paraId="39D6FA7A">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环保工程</w:t>
                  </w:r>
                </w:p>
              </w:tc>
              <w:tc>
                <w:tcPr>
                  <w:tcW w:w="176" w:type="pct"/>
                  <w:tcBorders>
                    <w:tl2br w:val="nil"/>
                    <w:tr2bl w:val="nil"/>
                  </w:tcBorders>
                  <w:vAlign w:val="center"/>
                </w:tcPr>
                <w:p w14:paraId="5F4083B3">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废水</w:t>
                  </w:r>
                </w:p>
              </w:tc>
              <w:tc>
                <w:tcPr>
                  <w:tcW w:w="2480" w:type="pct"/>
                  <w:gridSpan w:val="2"/>
                  <w:tcBorders>
                    <w:tl2br w:val="nil"/>
                    <w:tr2bl w:val="nil"/>
                  </w:tcBorders>
                  <w:vAlign w:val="center"/>
                </w:tcPr>
                <w:p w14:paraId="55BD4619">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生活污</w:t>
                  </w:r>
                  <w:r>
                    <w:rPr>
                      <w:rFonts w:hint="eastAsia" w:ascii="宋体" w:hAnsi="宋体" w:eastAsia="宋体" w:cs="宋体"/>
                      <w:color w:val="000000" w:themeColor="text1"/>
                      <w:kern w:val="0"/>
                      <w:sz w:val="21"/>
                      <w:szCs w:val="21"/>
                      <w:lang w:eastAsia="zh-CN"/>
                      <w14:textFill>
                        <w14:solidFill>
                          <w14:schemeClr w14:val="tx1"/>
                        </w14:solidFill>
                      </w14:textFill>
                    </w:rPr>
                    <w:t>水经</w:t>
                  </w:r>
                  <w:r>
                    <w:rPr>
                      <w:rFonts w:hint="eastAsia" w:ascii="宋体" w:hAnsi="宋体" w:cs="宋体"/>
                      <w:color w:val="000000" w:themeColor="text1"/>
                      <w:kern w:val="0"/>
                      <w:sz w:val="21"/>
                      <w:szCs w:val="21"/>
                      <w:lang w:val="en-US" w:eastAsia="zh-CN"/>
                      <w14:textFill>
                        <w14:solidFill>
                          <w14:schemeClr w14:val="tx1"/>
                        </w14:solidFill>
                      </w14:textFill>
                    </w:rPr>
                    <w:t>化粪池处理后定期清运</w:t>
                  </w:r>
                  <w:r>
                    <w:rPr>
                      <w:rFonts w:hint="eastAsia" w:ascii="宋体" w:hAnsi="宋体" w:eastAsia="宋体" w:cs="宋体"/>
                      <w:color w:val="000000" w:themeColor="text1"/>
                      <w:kern w:val="0"/>
                      <w:sz w:val="21"/>
                      <w:szCs w:val="21"/>
                      <w14:textFill>
                        <w14:solidFill>
                          <w14:schemeClr w14:val="tx1"/>
                        </w14:solidFill>
                      </w14:textFill>
                    </w:rPr>
                    <w:t>；</w:t>
                  </w:r>
                </w:p>
                <w:p w14:paraId="6038973A">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初期雨水经隔油</w:t>
                  </w:r>
                  <w:r>
                    <w:rPr>
                      <w:rFonts w:hint="eastAsia" w:ascii="宋体" w:hAnsi="宋体" w:cs="宋体"/>
                      <w:color w:val="000000" w:themeColor="text1"/>
                      <w:kern w:val="0"/>
                      <w:sz w:val="21"/>
                      <w:szCs w:val="21"/>
                      <w:highlight w:val="none"/>
                      <w:lang w:val="en-US" w:eastAsia="zh-CN"/>
                      <w14:textFill>
                        <w14:solidFill>
                          <w14:schemeClr w14:val="tx1"/>
                        </w14:solidFill>
                      </w14:textFill>
                    </w:rPr>
                    <w:t>沉淀后</w:t>
                  </w:r>
                  <w:r>
                    <w:rPr>
                      <w:rFonts w:hint="eastAsia" w:ascii="宋体" w:hAnsi="宋体" w:eastAsia="宋体" w:cs="宋体"/>
                      <w:color w:val="000000" w:themeColor="text1"/>
                      <w:kern w:val="0"/>
                      <w:sz w:val="21"/>
                      <w:szCs w:val="21"/>
                      <w:highlight w:val="none"/>
                      <w14:textFill>
                        <w14:solidFill>
                          <w14:schemeClr w14:val="tx1"/>
                        </w14:solidFill>
                      </w14:textFill>
                    </w:rPr>
                    <w:t>排入市政污水管网</w:t>
                  </w:r>
                  <w:r>
                    <w:rPr>
                      <w:rFonts w:hint="eastAsia" w:ascii="宋体" w:hAnsi="宋体" w:eastAsia="宋体" w:cs="宋体"/>
                      <w:color w:val="000000" w:themeColor="text1"/>
                      <w:kern w:val="0"/>
                      <w:sz w:val="21"/>
                      <w:szCs w:val="21"/>
                      <w14:textFill>
                        <w14:solidFill>
                          <w14:schemeClr w14:val="tx1"/>
                        </w14:solidFill>
                      </w14:textFill>
                    </w:rPr>
                    <w:t>；</w:t>
                  </w:r>
                </w:p>
              </w:tc>
              <w:tc>
                <w:tcPr>
                  <w:tcW w:w="2028" w:type="pct"/>
                  <w:tcBorders>
                    <w:tl2br w:val="nil"/>
                    <w:tr2bl w:val="nil"/>
                  </w:tcBorders>
                  <w:vAlign w:val="center"/>
                </w:tcPr>
                <w:p w14:paraId="1379162F">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依托厂区</w:t>
                  </w:r>
                  <w:r>
                    <w:rPr>
                      <w:rFonts w:hint="eastAsia" w:ascii="宋体" w:hAnsi="宋体" w:eastAsia="宋体" w:cs="宋体"/>
                      <w:color w:val="000000" w:themeColor="text1"/>
                      <w:kern w:val="0"/>
                      <w:sz w:val="21"/>
                      <w:szCs w:val="21"/>
                      <w:highlight w:val="none"/>
                      <w:lang w:eastAsia="zh-CN"/>
                      <w14:textFill>
                        <w14:solidFill>
                          <w14:schemeClr w14:val="tx1"/>
                        </w14:solidFill>
                      </w14:textFill>
                    </w:rPr>
                    <w:t>现</w:t>
                  </w:r>
                  <w:r>
                    <w:rPr>
                      <w:rFonts w:hint="eastAsia" w:ascii="宋体" w:hAnsi="宋体" w:cs="宋体"/>
                      <w:color w:val="000000" w:themeColor="text1"/>
                      <w:kern w:val="0"/>
                      <w:sz w:val="21"/>
                      <w:szCs w:val="21"/>
                      <w:highlight w:val="none"/>
                      <w:lang w:val="en-US" w:eastAsia="zh-CN"/>
                      <w14:textFill>
                        <w14:solidFill>
                          <w14:schemeClr w14:val="tx1"/>
                        </w14:solidFill>
                      </w14:textFill>
                    </w:rPr>
                    <w:t>有</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68BA0E2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3" w:type="pct"/>
                  <w:vMerge w:val="continue"/>
                  <w:tcBorders>
                    <w:tl2br w:val="nil"/>
                    <w:tr2bl w:val="nil"/>
                  </w:tcBorders>
                  <w:vAlign w:val="center"/>
                </w:tcPr>
                <w:p w14:paraId="07DFBDAD">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p>
              </w:tc>
              <w:tc>
                <w:tcPr>
                  <w:tcW w:w="176" w:type="pct"/>
                  <w:tcBorders>
                    <w:tl2br w:val="nil"/>
                    <w:tr2bl w:val="nil"/>
                  </w:tcBorders>
                  <w:vAlign w:val="center"/>
                </w:tcPr>
                <w:p w14:paraId="560FB935">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废气</w:t>
                  </w:r>
                </w:p>
              </w:tc>
              <w:tc>
                <w:tcPr>
                  <w:tcW w:w="2480" w:type="pct"/>
                  <w:gridSpan w:val="2"/>
                  <w:tcBorders>
                    <w:tl2br w:val="nil"/>
                    <w:tr2bl w:val="nil"/>
                  </w:tcBorders>
                  <w:vAlign w:val="center"/>
                </w:tcPr>
                <w:p w14:paraId="2061D6D8">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废气产生量较小，废油液散发废气，收集后</w:t>
                  </w:r>
                  <w:r>
                    <w:rPr>
                      <w:rFonts w:hint="eastAsia" w:ascii="宋体" w:hAnsi="宋体" w:cs="宋体"/>
                      <w:color w:val="000000" w:themeColor="text1"/>
                      <w:sz w:val="21"/>
                      <w:szCs w:val="21"/>
                      <w:lang w:eastAsia="zh-CN"/>
                      <w14:textFill>
                        <w14:solidFill>
                          <w14:schemeClr w14:val="tx1"/>
                        </w14:solidFill>
                      </w14:textFill>
                    </w:rPr>
                    <w:t>活性炭吸附</w:t>
                  </w:r>
                  <w:r>
                    <w:rPr>
                      <w:rFonts w:hint="eastAsia" w:ascii="宋体" w:hAnsi="宋体" w:eastAsia="宋体" w:cs="宋体"/>
                      <w:color w:val="000000" w:themeColor="text1"/>
                      <w:sz w:val="21"/>
                      <w:szCs w:val="21"/>
                      <w14:textFill>
                        <w14:solidFill>
                          <w14:schemeClr w14:val="tx1"/>
                        </w14:solidFill>
                      </w14:textFill>
                    </w:rPr>
                    <w:t>由排气筒排放</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color w:val="000000" w:themeColor="text1"/>
                      <w:kern w:val="0"/>
                      <w:sz w:val="21"/>
                      <w:szCs w:val="21"/>
                      <w:lang w:val="en-US" w:eastAsia="zh-CN"/>
                      <w14:textFill>
                        <w14:solidFill>
                          <w14:schemeClr w14:val="tx1"/>
                        </w14:solidFill>
                      </w14:textFill>
                    </w:rPr>
                    <w:t>切割粉尘经设备自带布袋除尘后无组织排放。</w:t>
                  </w:r>
                </w:p>
              </w:tc>
              <w:tc>
                <w:tcPr>
                  <w:tcW w:w="2028" w:type="pct"/>
                  <w:tcBorders>
                    <w:tl2br w:val="nil"/>
                    <w:tr2bl w:val="nil"/>
                  </w:tcBorders>
                  <w:vAlign w:val="center"/>
                </w:tcPr>
                <w:p w14:paraId="2D75ADB4">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依托厂区</w:t>
                  </w:r>
                  <w:r>
                    <w:rPr>
                      <w:rFonts w:hint="eastAsia" w:ascii="宋体" w:hAnsi="宋体" w:eastAsia="宋体" w:cs="宋体"/>
                      <w:color w:val="000000" w:themeColor="text1"/>
                      <w:kern w:val="0"/>
                      <w:sz w:val="21"/>
                      <w:szCs w:val="21"/>
                      <w:highlight w:val="none"/>
                      <w:lang w:eastAsia="zh-CN"/>
                      <w14:textFill>
                        <w14:solidFill>
                          <w14:schemeClr w14:val="tx1"/>
                        </w14:solidFill>
                      </w14:textFill>
                    </w:rPr>
                    <w:t>现</w:t>
                  </w:r>
                  <w:r>
                    <w:rPr>
                      <w:rFonts w:hint="eastAsia" w:ascii="宋体" w:hAnsi="宋体" w:cs="宋体"/>
                      <w:color w:val="000000" w:themeColor="text1"/>
                      <w:kern w:val="0"/>
                      <w:sz w:val="21"/>
                      <w:szCs w:val="21"/>
                      <w:highlight w:val="none"/>
                      <w:lang w:val="en-US" w:eastAsia="zh-CN"/>
                      <w14:textFill>
                        <w14:solidFill>
                          <w14:schemeClr w14:val="tx1"/>
                        </w14:solidFill>
                      </w14:textFill>
                    </w:rPr>
                    <w:t>有</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7E49443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3" w:type="pct"/>
                  <w:vMerge w:val="continue"/>
                  <w:tcBorders>
                    <w:tl2br w:val="nil"/>
                    <w:tr2bl w:val="nil"/>
                  </w:tcBorders>
                  <w:vAlign w:val="center"/>
                </w:tcPr>
                <w:p w14:paraId="09CDBE85">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p>
              </w:tc>
              <w:tc>
                <w:tcPr>
                  <w:tcW w:w="176" w:type="pct"/>
                  <w:tcBorders>
                    <w:tl2br w:val="nil"/>
                    <w:tr2bl w:val="nil"/>
                  </w:tcBorders>
                  <w:vAlign w:val="center"/>
                </w:tcPr>
                <w:p w14:paraId="5E327B14">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w:t>
                  </w:r>
                </w:p>
              </w:tc>
              <w:tc>
                <w:tcPr>
                  <w:tcW w:w="2480" w:type="pct"/>
                  <w:gridSpan w:val="2"/>
                  <w:tcBorders>
                    <w:tl2br w:val="nil"/>
                    <w:tr2bl w:val="nil"/>
                  </w:tcBorders>
                  <w:vAlign w:val="center"/>
                </w:tcPr>
                <w:p w14:paraId="77F74C61">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采用低噪生产设备，车间设备合理布局，隔声减震等</w:t>
                  </w:r>
                  <w:r>
                    <w:rPr>
                      <w:rFonts w:hint="eastAsia" w:ascii="宋体" w:hAnsi="宋体" w:cs="宋体"/>
                      <w:color w:val="000000" w:themeColor="text1"/>
                      <w:sz w:val="21"/>
                      <w:szCs w:val="21"/>
                      <w:lang w:eastAsia="zh-CN"/>
                      <w14:textFill>
                        <w14:solidFill>
                          <w14:schemeClr w14:val="tx1"/>
                        </w14:solidFill>
                      </w14:textFill>
                    </w:rPr>
                    <w:t>）</w:t>
                  </w:r>
                </w:p>
              </w:tc>
              <w:tc>
                <w:tcPr>
                  <w:tcW w:w="2028" w:type="pct"/>
                  <w:tcBorders>
                    <w:tl2br w:val="nil"/>
                    <w:tr2bl w:val="nil"/>
                  </w:tcBorders>
                  <w:vAlign w:val="center"/>
                </w:tcPr>
                <w:p w14:paraId="6F4F20B7">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依托厂区</w:t>
                  </w:r>
                  <w:r>
                    <w:rPr>
                      <w:rFonts w:hint="eastAsia" w:ascii="宋体" w:hAnsi="宋体" w:eastAsia="宋体" w:cs="宋体"/>
                      <w:color w:val="000000" w:themeColor="text1"/>
                      <w:kern w:val="0"/>
                      <w:sz w:val="21"/>
                      <w:szCs w:val="21"/>
                      <w:highlight w:val="none"/>
                      <w:lang w:eastAsia="zh-CN"/>
                      <w14:textFill>
                        <w14:solidFill>
                          <w14:schemeClr w14:val="tx1"/>
                        </w14:solidFill>
                      </w14:textFill>
                    </w:rPr>
                    <w:t>现</w:t>
                  </w:r>
                  <w:r>
                    <w:rPr>
                      <w:rFonts w:hint="eastAsia" w:ascii="宋体" w:hAnsi="宋体" w:cs="宋体"/>
                      <w:color w:val="000000" w:themeColor="text1"/>
                      <w:kern w:val="0"/>
                      <w:sz w:val="21"/>
                      <w:szCs w:val="21"/>
                      <w:highlight w:val="none"/>
                      <w:lang w:val="en-US" w:eastAsia="zh-CN"/>
                      <w14:textFill>
                        <w14:solidFill>
                          <w14:schemeClr w14:val="tx1"/>
                        </w14:solidFill>
                      </w14:textFill>
                    </w:rPr>
                    <w:t>有</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71410D9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13" w:type="pct"/>
                  <w:vMerge w:val="continue"/>
                  <w:tcBorders>
                    <w:tl2br w:val="nil"/>
                    <w:tr2bl w:val="nil"/>
                  </w:tcBorders>
                  <w:vAlign w:val="center"/>
                </w:tcPr>
                <w:p w14:paraId="22FD31EF">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p>
              </w:tc>
              <w:tc>
                <w:tcPr>
                  <w:tcW w:w="176" w:type="pct"/>
                  <w:tcBorders>
                    <w:tl2br w:val="nil"/>
                    <w:tr2bl w:val="nil"/>
                  </w:tcBorders>
                  <w:vAlign w:val="center"/>
                </w:tcPr>
                <w:p w14:paraId="53D085AA">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固废</w:t>
                  </w:r>
                </w:p>
              </w:tc>
              <w:tc>
                <w:tcPr>
                  <w:tcW w:w="2480" w:type="pct"/>
                  <w:gridSpan w:val="2"/>
                  <w:tcBorders>
                    <w:tl2br w:val="nil"/>
                    <w:tr2bl w:val="nil"/>
                  </w:tcBorders>
                  <w:vAlign w:val="center"/>
                </w:tcPr>
                <w:p w14:paraId="6206C5CD">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危废间位于厂区东侧，占地</w:t>
                  </w:r>
                  <w:r>
                    <w:rPr>
                      <w:rFonts w:hint="eastAsia" w:ascii="宋体" w:hAnsi="宋体" w:cs="宋体"/>
                      <w:color w:val="000000" w:themeColor="text1"/>
                      <w:sz w:val="21"/>
                      <w:szCs w:val="21"/>
                      <w:highlight w:val="none"/>
                      <w:lang w:val="en-US" w:eastAsia="zh-CN"/>
                      <w14:textFill>
                        <w14:solidFill>
                          <w14:schemeClr w14:val="tx1"/>
                        </w14:solidFill>
                      </w14:textFill>
                    </w:rPr>
                    <w:t>360</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sz w:val="21"/>
                      <w:szCs w:val="21"/>
                      <w:highlight w:val="none"/>
                      <w:vertAlign w:val="superscript"/>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共三个（每个面积120</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sz w:val="21"/>
                      <w:szCs w:val="21"/>
                      <w:highlight w:val="none"/>
                      <w:vertAlign w:val="superscript"/>
                      <w:lang w:val="en-US" w:eastAsia="zh-CN"/>
                      <w14:textFill>
                        <w14:solidFill>
                          <w14:schemeClr w14:val="tx1"/>
                        </w14:solidFill>
                      </w14:textFill>
                    </w:rPr>
                    <w:t>2</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根据其特性及产生量进行分类收集处理，按照相关要求进行贮存；</w:t>
                  </w:r>
                  <w:r>
                    <w:rPr>
                      <w:rFonts w:hint="eastAsia" w:ascii="宋体" w:hAnsi="宋体" w:cs="宋体"/>
                      <w:color w:val="000000" w:themeColor="text1"/>
                      <w:sz w:val="21"/>
                      <w:szCs w:val="21"/>
                      <w:highlight w:val="none"/>
                      <w:lang w:val="en-US" w:eastAsia="zh-CN"/>
                      <w14:textFill>
                        <w14:solidFill>
                          <w14:schemeClr w14:val="tx1"/>
                        </w14:solidFill>
                      </w14:textFill>
                    </w:rPr>
                    <w:t>动力蓄电池暂存库面积120</w:t>
                  </w:r>
                  <w:r>
                    <w:rPr>
                      <w:rFonts w:hint="eastAsia" w:ascii="宋体" w:hAnsi="宋体" w:eastAsia="宋体" w:cs="宋体"/>
                      <w:color w:val="000000" w:themeColor="text1"/>
                      <w:sz w:val="21"/>
                      <w:szCs w:val="21"/>
                      <w:highlight w:val="none"/>
                      <w14:textFill>
                        <w14:solidFill>
                          <w14:schemeClr w14:val="tx1"/>
                        </w14:solidFill>
                      </w14:textFill>
                    </w:rPr>
                    <w:t>m</w:t>
                  </w:r>
                  <w:r>
                    <w:rPr>
                      <w:rFonts w:hint="eastAsia" w:ascii="宋体" w:hAnsi="宋体" w:eastAsia="宋体" w:cs="宋体"/>
                      <w:color w:val="000000" w:themeColor="text1"/>
                      <w:sz w:val="21"/>
                      <w:szCs w:val="21"/>
                      <w:highlight w:val="none"/>
                      <w:vertAlign w:val="superscript"/>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其它</w:t>
                  </w:r>
                  <w:r>
                    <w:rPr>
                      <w:rFonts w:hint="eastAsia" w:ascii="宋体" w:hAnsi="宋体" w:eastAsia="宋体" w:cs="宋体"/>
                      <w:color w:val="000000" w:themeColor="text1"/>
                      <w:sz w:val="21"/>
                      <w:szCs w:val="21"/>
                      <w:highlight w:val="none"/>
                      <w14:textFill>
                        <w14:solidFill>
                          <w14:schemeClr w14:val="tx1"/>
                        </w14:solidFill>
                      </w14:textFill>
                    </w:rPr>
                    <w:t>一般废物仓库位于厂区</w:t>
                  </w:r>
                  <w:r>
                    <w:rPr>
                      <w:rFonts w:hint="eastAsia" w:ascii="宋体" w:hAnsi="宋体" w:eastAsia="宋体" w:cs="宋体"/>
                      <w:color w:val="000000" w:themeColor="text1"/>
                      <w:sz w:val="21"/>
                      <w:szCs w:val="21"/>
                      <w:highlight w:val="none"/>
                      <w:lang w:eastAsia="zh-CN"/>
                      <w14:textFill>
                        <w14:solidFill>
                          <w14:schemeClr w14:val="tx1"/>
                        </w14:solidFill>
                      </w14:textFill>
                    </w:rPr>
                    <w:t>东</w:t>
                  </w:r>
                  <w:r>
                    <w:rPr>
                      <w:rFonts w:hint="eastAsia" w:ascii="宋体" w:hAnsi="宋体" w:eastAsia="宋体" w:cs="宋体"/>
                      <w:color w:val="000000" w:themeColor="text1"/>
                      <w:sz w:val="21"/>
                      <w:szCs w:val="21"/>
                      <w:highlight w:val="none"/>
                      <w14:textFill>
                        <w14:solidFill>
                          <w14:schemeClr w14:val="tx1"/>
                        </w14:solidFill>
                      </w14:textFill>
                    </w:rPr>
                    <w:t>侧，占地</w:t>
                  </w:r>
                  <w:r>
                    <w:rPr>
                      <w:rFonts w:hint="eastAsia" w:ascii="宋体" w:hAnsi="宋体" w:cs="宋体"/>
                      <w:color w:val="000000" w:themeColor="text1"/>
                      <w:sz w:val="21"/>
                      <w:szCs w:val="21"/>
                      <w:highlight w:val="none"/>
                      <w:lang w:val="en-US" w:eastAsia="zh-CN"/>
                      <w14:textFill>
                        <w14:solidFill>
                          <w14:schemeClr w14:val="tx1"/>
                        </w14:solidFill>
                      </w14:textFill>
                    </w:rPr>
                    <w:t>330</w:t>
                  </w:r>
                  <w:r>
                    <w:rPr>
                      <w:rFonts w:hint="eastAsia" w:ascii="宋体" w:hAnsi="宋体" w:eastAsia="宋体" w:cs="宋体"/>
                      <w:color w:val="000000" w:themeColor="text1"/>
                      <w:sz w:val="21"/>
                      <w:szCs w:val="21"/>
                      <w:highlight w:val="none"/>
                      <w:lang w:val="en-US" w:eastAsia="zh-CN"/>
                      <w14:textFill>
                        <w14:solidFill>
                          <w14:schemeClr w14:val="tx1"/>
                        </w14:solidFill>
                      </w14:textFill>
                    </w:rPr>
                    <w:t>m</w:t>
                  </w:r>
                  <w:r>
                    <w:rPr>
                      <w:rFonts w:hint="eastAsia" w:ascii="宋体" w:hAnsi="宋体" w:eastAsia="宋体" w:cs="宋体"/>
                      <w:color w:val="000000" w:themeColor="text1"/>
                      <w:sz w:val="21"/>
                      <w:szCs w:val="21"/>
                      <w:highlight w:val="none"/>
                      <w:vertAlign w:val="superscript"/>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（用于贮存废织物和其他不可回收的一般固废：比如布袋除尘器收集的粉尘</w:t>
                  </w:r>
                  <w:r>
                    <w:rPr>
                      <w:rFonts w:hint="eastAsia" w:ascii="宋体" w:hAnsi="宋体" w:cs="宋体"/>
                      <w:color w:val="000000" w:themeColor="text1"/>
                      <w:sz w:val="21"/>
                      <w:szCs w:val="21"/>
                      <w:lang w:eastAsia="zh-CN"/>
                      <w14:textFill>
                        <w14:solidFill>
                          <w14:schemeClr w14:val="tx1"/>
                        </w14:solidFill>
                      </w14:textFill>
                    </w:rPr>
                    <w:t>）</w:t>
                  </w:r>
                </w:p>
              </w:tc>
              <w:tc>
                <w:tcPr>
                  <w:tcW w:w="2028" w:type="pct"/>
                  <w:tcBorders>
                    <w:tl2br w:val="nil"/>
                    <w:tr2bl w:val="nil"/>
                  </w:tcBorders>
                  <w:vAlign w:val="center"/>
                </w:tcPr>
                <w:p w14:paraId="35D32998">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依托厂区现有</w:t>
                  </w:r>
                  <w:r>
                    <w:rPr>
                      <w:rFonts w:hint="eastAsia" w:ascii="宋体" w:hAnsi="宋体" w:eastAsia="宋体" w:cs="宋体"/>
                      <w:color w:val="000000" w:themeColor="text1"/>
                      <w:sz w:val="21"/>
                      <w:szCs w:val="21"/>
                      <w:lang w:eastAsia="zh-CN"/>
                      <w14:textFill>
                        <w14:solidFill>
                          <w14:schemeClr w14:val="tx1"/>
                        </w14:solidFill>
                      </w14:textFill>
                    </w:rPr>
                    <w:t>建筑物</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107070E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0" w:type="pct"/>
                  <w:gridSpan w:val="2"/>
                  <w:vMerge w:val="restart"/>
                  <w:tcBorders>
                    <w:tl2br w:val="nil"/>
                    <w:tr2bl w:val="nil"/>
                  </w:tcBorders>
                  <w:vAlign w:val="center"/>
                </w:tcPr>
                <w:p w14:paraId="096D5FEF">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风险</w:t>
                  </w:r>
                </w:p>
              </w:tc>
              <w:tc>
                <w:tcPr>
                  <w:tcW w:w="2480" w:type="pct"/>
                  <w:gridSpan w:val="2"/>
                  <w:tcBorders>
                    <w:tl2br w:val="nil"/>
                    <w:tr2bl w:val="nil"/>
                  </w:tcBorders>
                  <w:vAlign w:val="center"/>
                </w:tcPr>
                <w:p w14:paraId="6C12566C">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事故应急池</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初期雨水池）45</w:t>
                  </w:r>
                  <w:r>
                    <w:rPr>
                      <w:rFonts w:hint="eastAsia" w:ascii="宋体" w:hAnsi="宋体" w:eastAsia="宋体" w:cs="宋体"/>
                      <w:color w:val="000000" w:themeColor="text1"/>
                      <w:sz w:val="21"/>
                      <w:szCs w:val="21"/>
                      <w:highlight w:val="none"/>
                      <w:lang w:val="en-US" w:eastAsia="zh-CN"/>
                      <w14:textFill>
                        <w14:solidFill>
                          <w14:schemeClr w14:val="tx1"/>
                        </w14:solidFill>
                      </w14:textFill>
                    </w:rPr>
                    <w:t>0m</w:t>
                  </w:r>
                  <w:r>
                    <w:rPr>
                      <w:rFonts w:hint="eastAsia" w:ascii="宋体" w:hAnsi="宋体" w:eastAsia="宋体" w:cs="宋体"/>
                      <w:color w:val="000000" w:themeColor="text1"/>
                      <w:sz w:val="21"/>
                      <w:szCs w:val="21"/>
                      <w:highlight w:val="none"/>
                      <w:vertAlign w:val="superscript"/>
                      <w:lang w:val="en-US" w:eastAsia="zh-CN"/>
                      <w14:textFill>
                        <w14:solidFill>
                          <w14:schemeClr w14:val="tx1"/>
                        </w14:solidFill>
                      </w14:textFill>
                    </w:rPr>
                    <w:t>3</w:t>
                  </w:r>
                </w:p>
              </w:tc>
              <w:tc>
                <w:tcPr>
                  <w:tcW w:w="2028" w:type="pct"/>
                  <w:tcBorders>
                    <w:tl2br w:val="nil"/>
                    <w:tr2bl w:val="nil"/>
                  </w:tcBorders>
                  <w:vAlign w:val="center"/>
                </w:tcPr>
                <w:p w14:paraId="625AD04B">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依托厂区现有</w:t>
                  </w:r>
                  <w:r>
                    <w:rPr>
                      <w:rFonts w:hint="eastAsia" w:ascii="宋体" w:hAnsi="宋体" w:eastAsia="宋体" w:cs="宋体"/>
                      <w:color w:val="000000" w:themeColor="text1"/>
                      <w:sz w:val="21"/>
                      <w:szCs w:val="21"/>
                      <w:lang w:eastAsia="zh-CN"/>
                      <w14:textFill>
                        <w14:solidFill>
                          <w14:schemeClr w14:val="tx1"/>
                        </w14:solidFill>
                      </w14:textFill>
                    </w:rPr>
                    <w:t>构筑物</w:t>
                  </w:r>
                  <w:r>
                    <w:rPr>
                      <w:rFonts w:hint="eastAsia" w:ascii="宋体" w:hAnsi="宋体" w:eastAsia="宋体" w:cs="宋体"/>
                      <w:color w:val="000000" w:themeColor="text1"/>
                      <w:sz w:val="21"/>
                      <w:szCs w:val="21"/>
                      <w:lang w:val="en-US" w:eastAsia="zh-CN"/>
                      <w14:textFill>
                        <w14:solidFill>
                          <w14:schemeClr w14:val="tx1"/>
                        </w14:solidFill>
                      </w14:textFill>
                    </w:rPr>
                    <w:t>(利用初期雨水池)</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r w14:paraId="59CD9C9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0" w:type="pct"/>
                  <w:gridSpan w:val="2"/>
                  <w:vMerge w:val="continue"/>
                  <w:tcBorders>
                    <w:tl2br w:val="nil"/>
                    <w:tr2bl w:val="nil"/>
                  </w:tcBorders>
                  <w:vAlign w:val="center"/>
                </w:tcPr>
                <w:p w14:paraId="481F0A7F">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p>
              </w:tc>
              <w:tc>
                <w:tcPr>
                  <w:tcW w:w="2480" w:type="pct"/>
                  <w:gridSpan w:val="2"/>
                  <w:tcBorders>
                    <w:tl2br w:val="nil"/>
                    <w:tr2bl w:val="nil"/>
                  </w:tcBorders>
                  <w:vAlign w:val="center"/>
                </w:tcPr>
                <w:p w14:paraId="3DA3CCAB">
                  <w:pPr>
                    <w:keepNext w:val="0"/>
                    <w:keepLines w:val="0"/>
                    <w:pageBreakBefore w:val="0"/>
                    <w:widowControl w:val="0"/>
                    <w:kinsoku/>
                    <w:wordWrap/>
                    <w:overflowPunct w:val="0"/>
                    <w:topLinePunct w:val="0"/>
                    <w:autoSpaceDE w:val="0"/>
                    <w:autoSpaceDN w:val="0"/>
                    <w:bidi/>
                    <w:adjustRightInd/>
                    <w:snapToGrid/>
                    <w:spacing w:line="240" w:lineRule="atLeast"/>
                    <w:ind w:right="0"/>
                    <w:jc w:val="righ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污染防渗分区如下：</w:t>
                  </w:r>
                </w:p>
                <w:p w14:paraId="15AF90C7">
                  <w:pPr>
                    <w:keepNext w:val="0"/>
                    <w:keepLines w:val="0"/>
                    <w:pageBreakBefore w:val="0"/>
                    <w:widowControl w:val="0"/>
                    <w:kinsoku/>
                    <w:wordWrap/>
                    <w:overflowPunct w:val="0"/>
                    <w:topLinePunct w:val="0"/>
                    <w:autoSpaceDE w:val="0"/>
                    <w:autoSpaceDN w:val="0"/>
                    <w:bidi/>
                    <w:adjustRightInd/>
                    <w:snapToGrid/>
                    <w:spacing w:line="240" w:lineRule="atLeast"/>
                    <w:ind w:right="0"/>
                    <w:jc w:val="righ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①重点污染防渗区：</w:t>
                  </w:r>
                  <w:r>
                    <w:rPr>
                      <w:rFonts w:hint="eastAsia" w:ascii="宋体" w:hAnsi="宋体" w:cs="宋体"/>
                      <w:color w:val="000000" w:themeColor="text1"/>
                      <w:sz w:val="21"/>
                      <w:szCs w:val="21"/>
                      <w:lang w:eastAsia="zh-CN"/>
                      <w14:textFill>
                        <w14:solidFill>
                          <w14:schemeClr w14:val="tx1"/>
                        </w14:solidFill>
                      </w14:textFill>
                    </w:rPr>
                    <w:t>危险废物暂存库</w:t>
                  </w:r>
                </w:p>
                <w:p w14:paraId="51E396B0">
                  <w:pPr>
                    <w:pStyle w:val="38"/>
                    <w:keepNext w:val="0"/>
                    <w:keepLines w:val="0"/>
                    <w:pageBreakBefore w:val="0"/>
                    <w:widowControl w:val="0"/>
                    <w:kinsoku/>
                    <w:wordWrap/>
                    <w:overflowPunct w:val="0"/>
                    <w:topLinePunct w:val="0"/>
                    <w:autoSpaceDE w:val="0"/>
                    <w:autoSpaceDN w:val="0"/>
                    <w:bidi/>
                    <w:adjustRightInd/>
                    <w:snapToGrid/>
                    <w:spacing w:line="240" w:lineRule="atLeas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②一般污染防渗区：汽车拆解车间、成品仓库</w:t>
                  </w:r>
                  <w:r>
                    <w:rPr>
                      <w:rFonts w:hint="eastAsia" w:ascii="宋体" w:hAnsi="宋体" w:eastAsia="宋体" w:cs="宋体"/>
                      <w:color w:val="000000" w:themeColor="text1"/>
                      <w:sz w:val="21"/>
                      <w:szCs w:val="21"/>
                      <w:lang w:eastAsia="zh-CN"/>
                      <w14:textFill>
                        <w14:solidFill>
                          <w14:schemeClr w14:val="tx1"/>
                        </w14:solidFill>
                      </w14:textFill>
                    </w:rPr>
                    <w:t>未拆解报废贮存区，一般固废区</w:t>
                  </w:r>
                </w:p>
              </w:tc>
              <w:tc>
                <w:tcPr>
                  <w:tcW w:w="2028" w:type="pct"/>
                  <w:tcBorders>
                    <w:tl2br w:val="nil"/>
                    <w:tr2bl w:val="nil"/>
                  </w:tcBorders>
                  <w:vAlign w:val="center"/>
                </w:tcPr>
                <w:p w14:paraId="7DFC3273">
                  <w:pPr>
                    <w:pStyle w:val="38"/>
                    <w:keepNext w:val="0"/>
                    <w:keepLines w:val="0"/>
                    <w:pageBreakBefore w:val="0"/>
                    <w:widowControl w:val="0"/>
                    <w:kinsoku/>
                    <w:wordWrap/>
                    <w:overflowPunct w:val="0"/>
                    <w:topLinePunct w:val="0"/>
                    <w:autoSpaceDE w:val="0"/>
                    <w:autoSpaceDN w:val="0"/>
                    <w:bidi/>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本项目扩建后不发生变化。</w:t>
                  </w:r>
                </w:p>
              </w:tc>
            </w:tr>
          </w:tbl>
          <w:p w14:paraId="7B505264">
            <w:pPr>
              <w:pStyle w:val="3"/>
              <w:spacing w:before="120" w:after="120"/>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主要产品与产能</w:t>
            </w:r>
          </w:p>
          <w:p w14:paraId="304F8E56">
            <w:pPr>
              <w:pStyle w:val="37"/>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w:t>
            </w:r>
            <w:r>
              <w:rPr>
                <w:rFonts w:hint="eastAsia" w:ascii="宋体" w:hAnsi="宋体" w:eastAsia="宋体" w:cs="宋体"/>
                <w:color w:val="000000" w:themeColor="text1"/>
                <w:sz w:val="21"/>
                <w:szCs w:val="21"/>
                <w:lang w:val="en-US" w:eastAsia="zh-CN"/>
                <w14:textFill>
                  <w14:solidFill>
                    <w14:schemeClr w14:val="tx1"/>
                  </w14:solidFill>
                </w14:textFill>
              </w:rPr>
              <w:t xml:space="preserve">2-2    </w:t>
            </w:r>
            <w:r>
              <w:rPr>
                <w:rFonts w:hint="eastAsia" w:ascii="宋体" w:hAnsi="宋体" w:eastAsia="宋体" w:cs="宋体"/>
                <w:color w:val="000000" w:themeColor="text1"/>
                <w:sz w:val="21"/>
                <w:szCs w:val="21"/>
                <w14:textFill>
                  <w14:solidFill>
                    <w14:schemeClr w14:val="tx1"/>
                  </w14:solidFill>
                </w14:textFill>
              </w:rPr>
              <w:t>产品产能</w:t>
            </w:r>
          </w:p>
          <w:tbl>
            <w:tblPr>
              <w:tblStyle w:val="25"/>
              <w:tblW w:w="5000" w:type="pct"/>
              <w:tblInd w:w="5"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480"/>
              <w:gridCol w:w="3328"/>
              <w:gridCol w:w="3153"/>
            </w:tblGrid>
            <w:tr w14:paraId="0DD8E17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000" w:type="pct"/>
                  <w:gridSpan w:val="3"/>
                  <w:tcBorders>
                    <w:tl2br w:val="nil"/>
                    <w:tr2bl w:val="nil"/>
                  </w:tcBorders>
                  <w:vAlign w:val="top"/>
                </w:tcPr>
                <w:p w14:paraId="60138341">
                  <w:pPr>
                    <w:pStyle w:val="38"/>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项目产能</w:t>
                  </w:r>
                </w:p>
              </w:tc>
            </w:tr>
            <w:tr w14:paraId="534A192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930" w:type="pct"/>
                  <w:tcBorders>
                    <w:tl2br w:val="nil"/>
                    <w:tr2bl w:val="nil"/>
                  </w:tcBorders>
                  <w:vAlign w:val="center"/>
                </w:tcPr>
                <w:p w14:paraId="5184382C">
                  <w:pPr>
                    <w:pStyle w:val="38"/>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产品名称</w:t>
                  </w:r>
                </w:p>
              </w:tc>
              <w:tc>
                <w:tcPr>
                  <w:tcW w:w="2090" w:type="pct"/>
                  <w:tcBorders>
                    <w:tl2br w:val="nil"/>
                    <w:tr2bl w:val="nil"/>
                  </w:tcBorders>
                  <w:vAlign w:val="center"/>
                </w:tcPr>
                <w:p w14:paraId="4C4E0F12">
                  <w:pPr>
                    <w:pStyle w:val="38"/>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扩建前产品产量（辆/a）</w:t>
                  </w:r>
                </w:p>
              </w:tc>
              <w:tc>
                <w:tcPr>
                  <w:tcW w:w="1978" w:type="pct"/>
                  <w:tcBorders>
                    <w:tl2br w:val="nil"/>
                    <w:tr2bl w:val="nil"/>
                  </w:tcBorders>
                  <w:vAlign w:val="center"/>
                </w:tcPr>
                <w:p w14:paraId="7805F635">
                  <w:pPr>
                    <w:pStyle w:val="38"/>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扩建后产品产量（辆/a）</w:t>
                  </w:r>
                </w:p>
              </w:tc>
            </w:tr>
            <w:tr w14:paraId="3791ECE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930" w:type="pct"/>
                  <w:tcBorders>
                    <w:tl2br w:val="nil"/>
                    <w:tr2bl w:val="nil"/>
                  </w:tcBorders>
                  <w:vAlign w:val="center"/>
                </w:tcPr>
                <w:p w14:paraId="51037604">
                  <w:pPr>
                    <w:pStyle w:val="3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机动车</w:t>
                  </w:r>
                  <w:r>
                    <w:rPr>
                      <w:rFonts w:hint="eastAsia" w:ascii="宋体" w:hAnsi="宋体" w:eastAsia="宋体" w:cs="宋体"/>
                      <w:color w:val="000000" w:themeColor="text1"/>
                      <w:sz w:val="21"/>
                      <w:szCs w:val="21"/>
                      <w:highlight w:val="none"/>
                      <w14:textFill>
                        <w14:solidFill>
                          <w14:schemeClr w14:val="tx1"/>
                        </w14:solidFill>
                      </w14:textFill>
                    </w:rPr>
                    <w:t>拆解</w:t>
                  </w:r>
                </w:p>
              </w:tc>
              <w:tc>
                <w:tcPr>
                  <w:tcW w:w="2090" w:type="pct"/>
                  <w:tcBorders>
                    <w:tl2br w:val="nil"/>
                    <w:tr2bl w:val="nil"/>
                  </w:tcBorders>
                  <w:vAlign w:val="center"/>
                </w:tcPr>
                <w:p w14:paraId="4DC85644">
                  <w:pPr>
                    <w:pStyle w:val="38"/>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6000(其中小车3500，大中2500)</w:t>
                  </w:r>
                </w:p>
              </w:tc>
              <w:tc>
                <w:tcPr>
                  <w:tcW w:w="1978" w:type="pct"/>
                  <w:tcBorders>
                    <w:tl2br w:val="nil"/>
                    <w:tr2bl w:val="nil"/>
                  </w:tcBorders>
                  <w:vAlign w:val="center"/>
                </w:tcPr>
                <w:p w14:paraId="7AE65965">
                  <w:pPr>
                    <w:pStyle w:val="38"/>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12</w:t>
                  </w:r>
                  <w:r>
                    <w:rPr>
                      <w:rFonts w:hint="eastAsia" w:ascii="宋体" w:hAnsi="宋体" w:eastAsia="宋体" w:cs="宋体"/>
                      <w:color w:val="000000" w:themeColor="text1"/>
                      <w:sz w:val="21"/>
                      <w:szCs w:val="21"/>
                      <w:lang w:val="en-US" w:eastAsia="zh-CN"/>
                      <w14:textFill>
                        <w14:solidFill>
                          <w14:schemeClr w14:val="tx1"/>
                        </w14:solidFill>
                      </w14:textFill>
                    </w:rPr>
                    <w:t>000(其中小车</w:t>
                  </w:r>
                  <w:r>
                    <w:rPr>
                      <w:rFonts w:hint="eastAsia" w:ascii="宋体" w:hAnsi="宋体" w:cs="宋体"/>
                      <w:color w:val="000000" w:themeColor="text1"/>
                      <w:sz w:val="21"/>
                      <w:szCs w:val="21"/>
                      <w:lang w:val="en-US" w:eastAsia="zh-CN"/>
                      <w14:textFill>
                        <w14:solidFill>
                          <w14:schemeClr w14:val="tx1"/>
                        </w14:solidFill>
                      </w14:textFill>
                    </w:rPr>
                    <w:t>70</w:t>
                  </w:r>
                  <w:r>
                    <w:rPr>
                      <w:rFonts w:hint="eastAsia" w:ascii="宋体" w:hAnsi="宋体" w:eastAsia="宋体" w:cs="宋体"/>
                      <w:color w:val="000000" w:themeColor="text1"/>
                      <w:sz w:val="21"/>
                      <w:szCs w:val="21"/>
                      <w:lang w:val="en-US" w:eastAsia="zh-CN"/>
                      <w14:textFill>
                        <w14:solidFill>
                          <w14:schemeClr w14:val="tx1"/>
                        </w14:solidFill>
                      </w14:textFill>
                    </w:rPr>
                    <w:t>00，大中</w:t>
                  </w:r>
                  <w:r>
                    <w:rPr>
                      <w:rFonts w:hint="eastAsia" w:ascii="宋体" w:hAnsi="宋体" w:cs="宋体"/>
                      <w:color w:val="000000" w:themeColor="text1"/>
                      <w:sz w:val="21"/>
                      <w:szCs w:val="21"/>
                      <w:lang w:val="en-US" w:eastAsia="zh-CN"/>
                      <w14:textFill>
                        <w14:solidFill>
                          <w14:schemeClr w14:val="tx1"/>
                        </w14:solidFill>
                      </w14:textFill>
                    </w:rPr>
                    <w:t>50</w:t>
                  </w:r>
                  <w:r>
                    <w:rPr>
                      <w:rFonts w:hint="eastAsia" w:ascii="宋体" w:hAnsi="宋体" w:eastAsia="宋体" w:cs="宋体"/>
                      <w:color w:val="000000" w:themeColor="text1"/>
                      <w:sz w:val="21"/>
                      <w:szCs w:val="21"/>
                      <w:lang w:val="en-US" w:eastAsia="zh-CN"/>
                      <w14:textFill>
                        <w14:solidFill>
                          <w14:schemeClr w14:val="tx1"/>
                        </w14:solidFill>
                      </w14:textFill>
                    </w:rPr>
                    <w:t>00)</w:t>
                  </w:r>
                </w:p>
              </w:tc>
            </w:tr>
            <w:tr w14:paraId="27AD0C2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930" w:type="pct"/>
                  <w:tcBorders>
                    <w:tl2br w:val="nil"/>
                    <w:tr2bl w:val="nil"/>
                  </w:tcBorders>
                  <w:vAlign w:val="center"/>
                </w:tcPr>
                <w:p w14:paraId="5AAE83FE">
                  <w:pPr>
                    <w:pStyle w:val="38"/>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农机车</w:t>
                  </w:r>
                  <w:r>
                    <w:rPr>
                      <w:rFonts w:hint="eastAsia" w:ascii="宋体" w:hAnsi="宋体" w:eastAsia="宋体" w:cs="宋体"/>
                      <w:color w:val="000000" w:themeColor="text1"/>
                      <w:sz w:val="21"/>
                      <w:szCs w:val="21"/>
                      <w:highlight w:val="none"/>
                      <w14:textFill>
                        <w14:solidFill>
                          <w14:schemeClr w14:val="tx1"/>
                        </w14:solidFill>
                      </w14:textFill>
                    </w:rPr>
                    <w:t>拆解</w:t>
                  </w:r>
                </w:p>
              </w:tc>
              <w:tc>
                <w:tcPr>
                  <w:tcW w:w="2090" w:type="pct"/>
                  <w:tcBorders>
                    <w:tl2br w:val="nil"/>
                    <w:tr2bl w:val="nil"/>
                  </w:tcBorders>
                  <w:vAlign w:val="center"/>
                </w:tcPr>
                <w:p w14:paraId="670E187E">
                  <w:pPr>
                    <w:pStyle w:val="38"/>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1000</w:t>
                  </w:r>
                </w:p>
              </w:tc>
              <w:tc>
                <w:tcPr>
                  <w:tcW w:w="1978" w:type="pct"/>
                  <w:tcBorders>
                    <w:tl2br w:val="nil"/>
                    <w:tr2bl w:val="nil"/>
                  </w:tcBorders>
                  <w:vAlign w:val="center"/>
                </w:tcPr>
                <w:p w14:paraId="4E407ED4">
                  <w:pPr>
                    <w:pStyle w:val="38"/>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2000</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p>
              </w:tc>
            </w:tr>
            <w:tr w14:paraId="084CC39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930" w:type="pct"/>
                  <w:tcBorders>
                    <w:tl2br w:val="nil"/>
                    <w:tr2bl w:val="nil"/>
                  </w:tcBorders>
                  <w:vAlign w:val="center"/>
                </w:tcPr>
                <w:p w14:paraId="5B14FD05">
                  <w:pPr>
                    <w:pStyle w:val="3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新能源汽车拆解</w:t>
                  </w:r>
                </w:p>
              </w:tc>
              <w:tc>
                <w:tcPr>
                  <w:tcW w:w="2090" w:type="pct"/>
                  <w:tcBorders>
                    <w:tl2br w:val="nil"/>
                    <w:tr2bl w:val="nil"/>
                  </w:tcBorders>
                  <w:vAlign w:val="center"/>
                </w:tcPr>
                <w:p w14:paraId="57DDB97E">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3000(其中轿车1800辆，客车1200辆)</w:t>
                  </w:r>
                </w:p>
              </w:tc>
              <w:tc>
                <w:tcPr>
                  <w:tcW w:w="1978" w:type="pct"/>
                  <w:tcBorders>
                    <w:tl2br w:val="nil"/>
                    <w:tr2bl w:val="nil"/>
                  </w:tcBorders>
                  <w:vAlign w:val="center"/>
                </w:tcPr>
                <w:p w14:paraId="72A14E01">
                  <w:pPr>
                    <w:pStyle w:val="38"/>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000(其中轿车800辆，客车200辆)</w:t>
                  </w:r>
                </w:p>
              </w:tc>
            </w:tr>
            <w:tr w14:paraId="51DD2CF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930" w:type="pct"/>
                  <w:tcBorders>
                    <w:tl2br w:val="nil"/>
                    <w:tr2bl w:val="nil"/>
                  </w:tcBorders>
                  <w:vAlign w:val="center"/>
                </w:tcPr>
                <w:p w14:paraId="34C00F86">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w:t>
                  </w:r>
                </w:p>
              </w:tc>
              <w:tc>
                <w:tcPr>
                  <w:tcW w:w="2090" w:type="pct"/>
                  <w:tcBorders>
                    <w:tl2br w:val="nil"/>
                    <w:tr2bl w:val="nil"/>
                  </w:tcBorders>
                  <w:vAlign w:val="center"/>
                </w:tcPr>
                <w:p w14:paraId="4DB2892E">
                  <w:pPr>
                    <w:pStyle w:val="38"/>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lang w:val="en-US" w:eastAsia="zh-CN"/>
                      <w14:textFill>
                        <w14:solidFill>
                          <w14:schemeClr w14:val="tx1"/>
                        </w14:solidFill>
                      </w14:textFill>
                    </w:rPr>
                    <w:t>000</w:t>
                  </w:r>
                </w:p>
              </w:tc>
              <w:tc>
                <w:tcPr>
                  <w:tcW w:w="1978" w:type="pct"/>
                  <w:tcBorders>
                    <w:tl2br w:val="nil"/>
                    <w:tr2bl w:val="nil"/>
                  </w:tcBorders>
                  <w:vAlign w:val="center"/>
                </w:tcPr>
                <w:p w14:paraId="3EE7D593">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000</w:t>
                  </w:r>
                </w:p>
              </w:tc>
            </w:tr>
            <w:tr w14:paraId="7C9A859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5000" w:type="pct"/>
                  <w:gridSpan w:val="3"/>
                  <w:tcBorders>
                    <w:tl2br w:val="nil"/>
                    <w:tr2bl w:val="nil"/>
                  </w:tcBorders>
                  <w:vAlign w:val="center"/>
                </w:tcPr>
                <w:p w14:paraId="2AF5A9AB">
                  <w:pPr>
                    <w:pStyle w:val="38"/>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注：拆解车中无进口车，无化学品运输车等特殊车辆</w:t>
                  </w:r>
                </w:p>
              </w:tc>
            </w:tr>
          </w:tbl>
          <w:p w14:paraId="3E6F665D">
            <w:pPr>
              <w:keepNext w:val="0"/>
              <w:keepLines w:val="0"/>
              <w:pageBreakBefore w:val="0"/>
              <w:widowControl w:val="0"/>
              <w:kinsoku/>
              <w:wordWrap w:val="0"/>
              <w:overflowPunct/>
              <w:topLinePunct/>
              <w:autoSpaceDE/>
              <w:autoSpaceDN/>
              <w:bidi w:val="0"/>
              <w:adjustRightInd w:val="0"/>
              <w:snapToGrid w:val="0"/>
              <w:spacing w:line="360" w:lineRule="auto"/>
              <w:ind w:left="0" w:leftChars="0" w:right="0" w:rightChars="0" w:firstLine="422"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报废车辆来源：</w:t>
            </w:r>
            <w:r>
              <w:rPr>
                <w:rFonts w:hint="eastAsia" w:ascii="宋体" w:hAnsi="宋体" w:eastAsia="宋体" w:cs="宋体"/>
                <w:color w:val="000000" w:themeColor="text1"/>
                <w:sz w:val="21"/>
                <w:szCs w:val="21"/>
                <w14:textFill>
                  <w14:solidFill>
                    <w14:schemeClr w14:val="tx1"/>
                  </w14:solidFill>
                </w14:textFill>
              </w:rPr>
              <w:t>各类报废车辆均从</w:t>
            </w:r>
            <w:r>
              <w:rPr>
                <w:rFonts w:hint="eastAsia" w:ascii="宋体" w:hAnsi="宋体" w:eastAsia="宋体" w:cs="宋体"/>
                <w:color w:val="000000" w:themeColor="text1"/>
                <w:sz w:val="21"/>
                <w:szCs w:val="21"/>
                <w:lang w:eastAsia="zh-CN"/>
                <w14:textFill>
                  <w14:solidFill>
                    <w14:schemeClr w14:val="tx1"/>
                  </w14:solidFill>
                </w14:textFill>
              </w:rPr>
              <w:t>四平</w:t>
            </w:r>
            <w:r>
              <w:rPr>
                <w:rFonts w:hint="eastAsia" w:ascii="宋体" w:hAnsi="宋体" w:eastAsia="宋体" w:cs="宋体"/>
                <w:color w:val="000000" w:themeColor="text1"/>
                <w:sz w:val="21"/>
                <w:szCs w:val="21"/>
                <w14:textFill>
                  <w14:solidFill>
                    <w14:schemeClr w14:val="tx1"/>
                  </w14:solidFill>
                </w14:textFill>
              </w:rPr>
              <w:t>市及周边的地区回收，主要来自报废汽车拥有单位或者个人。</w:t>
            </w:r>
          </w:p>
          <w:p w14:paraId="32C3B5B4">
            <w:pPr>
              <w:keepNext w:val="0"/>
              <w:keepLines w:val="0"/>
              <w:pageBreakBefore w:val="0"/>
              <w:widowControl w:val="0"/>
              <w:kinsoku/>
              <w:wordWrap w:val="0"/>
              <w:overflowPunct/>
              <w:topLinePunct/>
              <w:autoSpaceDE/>
              <w:autoSpaceDN/>
              <w:bidi w:val="0"/>
              <w:adjustRightInd w:val="0"/>
              <w:snapToGrid w:val="0"/>
              <w:spacing w:line="360" w:lineRule="auto"/>
              <w:ind w:left="0" w:leftChars="0"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报废汽车拥有单位或者个人应当及时向公安机关办理机动车报废手续。公安机关应当于受理当日，向报废汽车拥有单位或者个人出具《机动车报废证明》，并告知其将报废汽车交售给报废汽车回收企业。报废汽车拥有单位或者个人及时将报废汽车交售给报废汽车回收企业。报废汽车回收企业凭《机动车报废证明》收购报废汽车，并向报废汽车拥有单位或者个人出具《报废汽车回收证明》。报废汽车拥有单位或者个人凭《报废汽车回收证明》，向汽车注册登记地的公安机关办理注销登记。报废汽车回收企业对回收的报废汽车应当逐车登记；发现回收的报废汽车有盗窃、抢劫或者其他犯罪嫌疑的，应当及时向公安机关报告。</w:t>
            </w:r>
          </w:p>
          <w:p w14:paraId="1D85BAFC">
            <w:pPr>
              <w:keepNext w:val="0"/>
              <w:keepLines w:val="0"/>
              <w:pageBreakBefore w:val="0"/>
              <w:widowControl w:val="0"/>
              <w:kinsoku/>
              <w:wordWrap w:val="0"/>
              <w:overflowPunct/>
              <w:topLinePunct/>
              <w:autoSpaceDE/>
              <w:autoSpaceDN/>
              <w:bidi w:val="0"/>
              <w:adjustRightInd w:val="0"/>
              <w:snapToGrid w:val="0"/>
              <w:spacing w:line="360" w:lineRule="auto"/>
              <w:ind w:left="0" w:leftChars="0" w:right="0" w:rightChars="0" w:firstLine="422"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拆解件方案</w:t>
            </w:r>
            <w:r>
              <w:rPr>
                <w:rFonts w:hint="eastAsia" w:ascii="宋体" w:hAnsi="宋体" w:eastAsia="宋体" w:cs="宋体"/>
                <w:color w:val="000000" w:themeColor="text1"/>
                <w:sz w:val="21"/>
                <w:szCs w:val="21"/>
                <w:highlight w:val="none"/>
                <w14:textFill>
                  <w14:solidFill>
                    <w14:schemeClr w14:val="tx1"/>
                  </w14:solidFill>
                </w14:textFill>
              </w:rPr>
              <w:t>：项目产品方案为报废汽车拆解下来的各种可回收的物资，包括钢铁、废电线电缆等</w:t>
            </w:r>
            <w:r>
              <w:rPr>
                <w:rFonts w:hint="eastAsia" w:ascii="宋体" w:hAnsi="宋体" w:eastAsia="宋体" w:cs="宋体"/>
                <w:color w:val="000000" w:themeColor="text1"/>
                <w:sz w:val="21"/>
                <w:szCs w:val="21"/>
                <w14:textFill>
                  <w14:solidFill>
                    <w14:schemeClr w14:val="tx1"/>
                  </w14:solidFill>
                </w14:textFill>
              </w:rPr>
              <w:t>外售。拆解下来的危废委托有资质单位处理。</w:t>
            </w:r>
          </w:p>
          <w:p w14:paraId="3AD45B86">
            <w:pPr>
              <w:pStyle w:val="4"/>
              <w:keepNext w:val="0"/>
              <w:keepLines w:val="0"/>
              <w:pageBreakBefore w:val="0"/>
              <w:widowControl w:val="0"/>
              <w:kinsoku/>
              <w:overflowPunct/>
              <w:autoSpaceDE/>
              <w:autoSpaceDN/>
              <w:bidi w:val="0"/>
              <w:snapToGrid w:val="0"/>
              <w:spacing w:beforeLines="0" w:afterLines="0" w:line="360" w:lineRule="auto"/>
              <w:ind w:left="0" w:leftChars="0" w:right="0" w:rightChars="0"/>
              <w:jc w:val="both"/>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　　根据《汽车报废拆解与材料回收利用》及同类型企业经验数据的类比分析，并根据各类型汽车的整备质量情况对项目的类比分析进行校核。表2.2.3-2分别说明了电动汽车和农机车辆单辆汽车拆解后得到的各个产品名称及其重量。</w:t>
            </w:r>
          </w:p>
          <w:p w14:paraId="5463BB70">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主要生产设施</w:t>
            </w:r>
          </w:p>
          <w:p w14:paraId="2BA94FF9">
            <w:pPr>
              <w:pStyle w:val="37"/>
              <w:keepNext w:val="0"/>
              <w:keepLines w:val="0"/>
              <w:pageBreakBefore w:val="0"/>
              <w:widowControl w:val="0"/>
              <w:kinsoku/>
              <w:wordWrap/>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highlight w:val="yellow"/>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表2-3</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生产设备一览表</w:t>
            </w:r>
          </w:p>
          <w:tbl>
            <w:tblPr>
              <w:tblStyle w:val="25"/>
              <w:tblW w:w="4998" w:type="pct"/>
              <w:tblInd w:w="5"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439"/>
              <w:gridCol w:w="1678"/>
              <w:gridCol w:w="2145"/>
              <w:gridCol w:w="619"/>
              <w:gridCol w:w="664"/>
              <w:gridCol w:w="734"/>
              <w:gridCol w:w="1679"/>
            </w:tblGrid>
            <w:tr w14:paraId="50FC2FA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276" w:type="pct"/>
                  <w:vMerge w:val="restart"/>
                  <w:tcBorders>
                    <w:tl2br w:val="nil"/>
                    <w:tr2bl w:val="nil"/>
                  </w:tcBorders>
                  <w:vAlign w:val="center"/>
                </w:tcPr>
                <w:p w14:paraId="3262284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054" w:type="pct"/>
                  <w:vMerge w:val="restart"/>
                  <w:tcBorders>
                    <w:tl2br w:val="nil"/>
                    <w:tr2bl w:val="nil"/>
                  </w:tcBorders>
                  <w:vAlign w:val="center"/>
                </w:tcPr>
                <w:p w14:paraId="64B008D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设备名称</w:t>
                  </w:r>
                </w:p>
              </w:tc>
              <w:tc>
                <w:tcPr>
                  <w:tcW w:w="1347" w:type="pct"/>
                  <w:vMerge w:val="restart"/>
                  <w:tcBorders>
                    <w:tl2br w:val="nil"/>
                    <w:tr2bl w:val="nil"/>
                  </w:tcBorders>
                  <w:vAlign w:val="center"/>
                </w:tcPr>
                <w:p w14:paraId="5E6B58D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主要技术性能</w:t>
                  </w:r>
                </w:p>
              </w:tc>
              <w:tc>
                <w:tcPr>
                  <w:tcW w:w="389" w:type="pct"/>
                  <w:vMerge w:val="restart"/>
                  <w:tcBorders>
                    <w:tl2br w:val="nil"/>
                    <w:tr2bl w:val="nil"/>
                  </w:tcBorders>
                  <w:vAlign w:val="center"/>
                </w:tcPr>
                <w:p w14:paraId="4909703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878" w:type="pct"/>
                  <w:gridSpan w:val="2"/>
                  <w:tcBorders>
                    <w:tl2br w:val="nil"/>
                    <w:tr2bl w:val="nil"/>
                  </w:tcBorders>
                  <w:vAlign w:val="center"/>
                </w:tcPr>
                <w:p w14:paraId="03871A7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扩建前</w:t>
                  </w:r>
                </w:p>
              </w:tc>
              <w:tc>
                <w:tcPr>
                  <w:tcW w:w="1054" w:type="pct"/>
                  <w:vMerge w:val="restart"/>
                  <w:tcBorders>
                    <w:tl2br w:val="nil"/>
                    <w:tr2bl w:val="nil"/>
                  </w:tcBorders>
                  <w:vAlign w:val="center"/>
                </w:tcPr>
                <w:p w14:paraId="446246D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扩建</w:t>
                  </w:r>
                  <w:r>
                    <w:rPr>
                      <w:rFonts w:hint="eastAsia" w:ascii="宋体" w:hAnsi="宋体" w:eastAsia="宋体" w:cs="宋体"/>
                      <w:color w:val="000000" w:themeColor="text1"/>
                      <w:sz w:val="21"/>
                      <w:szCs w:val="21"/>
                      <w:lang w:eastAsia="zh-CN"/>
                      <w14:textFill>
                        <w14:solidFill>
                          <w14:schemeClr w14:val="tx1"/>
                        </w14:solidFill>
                      </w14:textFill>
                    </w:rPr>
                    <w:t>项目</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p>
              </w:tc>
            </w:tr>
            <w:tr w14:paraId="0EC1F33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vMerge w:val="continue"/>
                  <w:tcBorders>
                    <w:tl2br w:val="nil"/>
                    <w:tr2bl w:val="nil"/>
                  </w:tcBorders>
                  <w:vAlign w:val="center"/>
                </w:tcPr>
                <w:p w14:paraId="23A71C4A">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2B75F9EA">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347" w:type="pct"/>
                  <w:vMerge w:val="continue"/>
                  <w:tcBorders>
                    <w:tl2br w:val="nil"/>
                    <w:tr2bl w:val="nil"/>
                  </w:tcBorders>
                  <w:vAlign w:val="center"/>
                </w:tcPr>
                <w:p w14:paraId="52674FB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389" w:type="pct"/>
                  <w:vMerge w:val="continue"/>
                  <w:tcBorders>
                    <w:tl2br w:val="nil"/>
                    <w:tr2bl w:val="nil"/>
                  </w:tcBorders>
                  <w:vAlign w:val="center"/>
                </w:tcPr>
                <w:p w14:paraId="25968E4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417" w:type="pct"/>
                  <w:tcBorders>
                    <w:tl2br w:val="nil"/>
                    <w:tr2bl w:val="nil"/>
                  </w:tcBorders>
                  <w:vAlign w:val="center"/>
                </w:tcPr>
                <w:p w14:paraId="2731752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数量</w:t>
                  </w:r>
                </w:p>
              </w:tc>
              <w:tc>
                <w:tcPr>
                  <w:tcW w:w="461" w:type="pct"/>
                  <w:tcBorders>
                    <w:tl2br w:val="nil"/>
                    <w:tr2bl w:val="nil"/>
                  </w:tcBorders>
                  <w:vAlign w:val="center"/>
                </w:tcPr>
                <w:p w14:paraId="167C2D5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位置</w:t>
                  </w:r>
                </w:p>
              </w:tc>
              <w:tc>
                <w:tcPr>
                  <w:tcW w:w="1054" w:type="pct"/>
                  <w:vMerge w:val="continue"/>
                  <w:tcBorders>
                    <w:tl2br w:val="nil"/>
                    <w:tr2bl w:val="nil"/>
                  </w:tcBorders>
                  <w:vAlign w:val="center"/>
                </w:tcPr>
                <w:p w14:paraId="7D3E74E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5F2669C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center"/>
                </w:tcPr>
                <w:p w14:paraId="2392D9C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054" w:type="pct"/>
                  <w:tcBorders>
                    <w:tl2br w:val="nil"/>
                    <w:tr2bl w:val="nil"/>
                  </w:tcBorders>
                  <w:vAlign w:val="center"/>
                </w:tcPr>
                <w:p w14:paraId="14B5587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气枪</w:t>
                  </w:r>
                </w:p>
              </w:tc>
              <w:tc>
                <w:tcPr>
                  <w:tcW w:w="1347" w:type="pct"/>
                  <w:tcBorders>
                    <w:tl2br w:val="nil"/>
                    <w:tr2bl w:val="nil"/>
                  </w:tcBorders>
                  <w:vAlign w:val="center"/>
                </w:tcPr>
                <w:p w14:paraId="5C381CEA">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vAlign w:val="center"/>
                </w:tcPr>
                <w:p w14:paraId="592F686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7EDA682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461" w:type="pct"/>
                  <w:vMerge w:val="restart"/>
                  <w:tcBorders>
                    <w:tl2br w:val="nil"/>
                    <w:tr2bl w:val="nil"/>
                  </w:tcBorders>
                  <w:vAlign w:val="center"/>
                </w:tcPr>
                <w:p w14:paraId="25A77D8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拆解</w:t>
                  </w:r>
                  <w:r>
                    <w:rPr>
                      <w:rFonts w:hint="eastAsia" w:ascii="宋体" w:hAnsi="宋体" w:eastAsia="宋体" w:cs="宋体"/>
                      <w:color w:val="000000" w:themeColor="text1"/>
                      <w:sz w:val="21"/>
                      <w:szCs w:val="21"/>
                      <w:lang w:eastAsia="zh-CN"/>
                      <w14:textFill>
                        <w14:solidFill>
                          <w14:schemeClr w14:val="tx1"/>
                        </w14:solidFill>
                      </w14:textFill>
                    </w:rPr>
                    <w:t>车间</w:t>
                  </w:r>
                </w:p>
              </w:tc>
              <w:tc>
                <w:tcPr>
                  <w:tcW w:w="1054" w:type="pct"/>
                  <w:vMerge w:val="restart"/>
                  <w:tcBorders>
                    <w:tl2br w:val="nil"/>
                    <w:tr2bl w:val="nil"/>
                  </w:tcBorders>
                  <w:vAlign w:val="center"/>
                </w:tcPr>
                <w:p w14:paraId="039794A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利旧</w:t>
                  </w:r>
                </w:p>
                <w:p w14:paraId="4E76EEA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cs="宋体"/>
                      <w:color w:val="000000" w:themeColor="text1"/>
                      <w:sz w:val="21"/>
                      <w:szCs w:val="21"/>
                      <w:lang w:eastAsia="zh-CN"/>
                      <w14:textFill>
                        <w14:solidFill>
                          <w14:schemeClr w14:val="tx1"/>
                        </w14:solidFill>
                      </w14:textFill>
                    </w:rPr>
                  </w:pPr>
                </w:p>
                <w:p w14:paraId="11B35A1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jc w:val="both"/>
                    <w:textAlignment w:val="auto"/>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企业报废汽车拆解主要</w:t>
                  </w:r>
                  <w:r>
                    <w:rPr>
                      <w:rFonts w:hint="eastAsia" w:ascii="宋体" w:hAnsi="宋体" w:cs="宋体"/>
                      <w:color w:val="000000" w:themeColor="text1"/>
                      <w:sz w:val="21"/>
                      <w:szCs w:val="21"/>
                      <w:lang w:eastAsia="zh-CN"/>
                      <w14:textFill>
                        <w14:solidFill>
                          <w14:schemeClr w14:val="tx1"/>
                        </w14:solidFill>
                      </w14:textFill>
                    </w:rPr>
                    <w:t>实施整车切割、总成拆分作业，不涉及破碎、细拆环节，作业过程严格遵守环保、安全操作规程，</w:t>
                  </w:r>
                  <w:r>
                    <w:rPr>
                      <w:rFonts w:hint="eastAsia" w:ascii="宋体" w:hAnsi="宋体" w:cs="宋体"/>
                      <w:color w:val="000000" w:themeColor="text1"/>
                      <w:sz w:val="21"/>
                      <w:szCs w:val="21"/>
                      <w:lang w:val="en-US" w:eastAsia="zh-CN"/>
                      <w14:textFill>
                        <w14:solidFill>
                          <w14:schemeClr w14:val="tx1"/>
                        </w14:solidFill>
                      </w14:textFill>
                    </w:rPr>
                    <w:t>现有生产设备满足扩建需求</w:t>
                  </w:r>
                </w:p>
                <w:p w14:paraId="2F5E100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default" w:ascii="宋体" w:hAnsi="宋体" w:eastAsia="宋体" w:cs="宋体"/>
                      <w:color w:val="000000" w:themeColor="text1"/>
                      <w:sz w:val="21"/>
                      <w:szCs w:val="21"/>
                      <w:lang w:val="en-US" w:eastAsia="zh-CN"/>
                      <w14:textFill>
                        <w14:solidFill>
                          <w14:schemeClr w14:val="tx1"/>
                        </w14:solidFill>
                      </w14:textFill>
                    </w:rPr>
                  </w:pPr>
                </w:p>
              </w:tc>
            </w:tr>
            <w:tr w14:paraId="2520107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276" w:type="pct"/>
                  <w:tcBorders>
                    <w:tl2br w:val="nil"/>
                    <w:tr2bl w:val="nil"/>
                  </w:tcBorders>
                  <w:vAlign w:val="center"/>
                </w:tcPr>
                <w:p w14:paraId="3EB2B58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054" w:type="pct"/>
                  <w:tcBorders>
                    <w:tl2br w:val="nil"/>
                    <w:tr2bl w:val="nil"/>
                  </w:tcBorders>
                  <w:vAlign w:val="center"/>
                </w:tcPr>
                <w:p w14:paraId="60C7739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拆胎机</w:t>
                  </w:r>
                </w:p>
              </w:tc>
              <w:tc>
                <w:tcPr>
                  <w:tcW w:w="1347" w:type="pct"/>
                  <w:tcBorders>
                    <w:tl2br w:val="nil"/>
                    <w:tr2bl w:val="nil"/>
                  </w:tcBorders>
                  <w:vAlign w:val="center"/>
                </w:tcPr>
                <w:p w14:paraId="5B44415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外夹轮圈：10"-22"</w:t>
                  </w:r>
                </w:p>
                <w:p w14:paraId="21BE7E8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内撑轮圈：12"-24"</w:t>
                  </w:r>
                </w:p>
                <w:p w14:paraId="13F0BD7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车轮大直径：1040mm</w:t>
                  </w:r>
                </w:p>
                <w:p w14:paraId="27EBDD9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车轮大宽度：3"-15"</w:t>
                  </w:r>
                </w:p>
              </w:tc>
              <w:tc>
                <w:tcPr>
                  <w:tcW w:w="389" w:type="pct"/>
                  <w:tcBorders>
                    <w:tl2br w:val="nil"/>
                    <w:tr2bl w:val="nil"/>
                  </w:tcBorders>
                  <w:vAlign w:val="center"/>
                </w:tcPr>
                <w:p w14:paraId="27D4D86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773E72E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5A6DC8F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1CFC22D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0F3FFD2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center"/>
                </w:tcPr>
                <w:p w14:paraId="2020EB6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054" w:type="pct"/>
                  <w:tcBorders>
                    <w:tl2br w:val="nil"/>
                    <w:tr2bl w:val="nil"/>
                  </w:tcBorders>
                  <w:vAlign w:val="center"/>
                </w:tcPr>
                <w:p w14:paraId="3DC39C4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空压机</w:t>
                  </w:r>
                </w:p>
              </w:tc>
              <w:tc>
                <w:tcPr>
                  <w:tcW w:w="1347" w:type="pct"/>
                  <w:tcBorders>
                    <w:tl2br w:val="nil"/>
                    <w:tr2bl w:val="nil"/>
                  </w:tcBorders>
                  <w:vAlign w:val="center"/>
                </w:tcPr>
                <w:p w14:paraId="768AA66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15HP</w:t>
                  </w:r>
                </w:p>
              </w:tc>
              <w:tc>
                <w:tcPr>
                  <w:tcW w:w="389" w:type="pct"/>
                  <w:tcBorders>
                    <w:tl2br w:val="nil"/>
                    <w:tr2bl w:val="nil"/>
                  </w:tcBorders>
                  <w:vAlign w:val="center"/>
                </w:tcPr>
                <w:p w14:paraId="550E8C6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2E45619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6C907AB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6DC550A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276C404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center"/>
                </w:tcPr>
                <w:p w14:paraId="2889195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054" w:type="pct"/>
                  <w:tcBorders>
                    <w:tl2br w:val="nil"/>
                    <w:tr2bl w:val="nil"/>
                  </w:tcBorders>
                  <w:vAlign w:val="center"/>
                </w:tcPr>
                <w:p w14:paraId="434574B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升降机</w:t>
                  </w:r>
                </w:p>
              </w:tc>
              <w:tc>
                <w:tcPr>
                  <w:tcW w:w="1347" w:type="pct"/>
                  <w:tcBorders>
                    <w:tl2br w:val="nil"/>
                    <w:tr2bl w:val="nil"/>
                  </w:tcBorders>
                  <w:vAlign w:val="center"/>
                </w:tcPr>
                <w:p w14:paraId="7551C70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50型</w:t>
                  </w:r>
                </w:p>
              </w:tc>
              <w:tc>
                <w:tcPr>
                  <w:tcW w:w="389" w:type="pct"/>
                  <w:tcBorders>
                    <w:tl2br w:val="nil"/>
                    <w:tr2bl w:val="nil"/>
                  </w:tcBorders>
                  <w:vAlign w:val="center"/>
                </w:tcPr>
                <w:p w14:paraId="28C7EBF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73CF405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71C6353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733C76B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3461BD4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center"/>
                </w:tcPr>
                <w:p w14:paraId="6E78DA1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1054" w:type="pct"/>
                  <w:tcBorders>
                    <w:tl2br w:val="nil"/>
                    <w:tr2bl w:val="nil"/>
                  </w:tcBorders>
                  <w:vAlign w:val="center"/>
                </w:tcPr>
                <w:p w14:paraId="3B507C0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升降机</w:t>
                  </w:r>
                </w:p>
              </w:tc>
              <w:tc>
                <w:tcPr>
                  <w:tcW w:w="1347" w:type="pct"/>
                  <w:tcBorders>
                    <w:tl2br w:val="nil"/>
                    <w:tr2bl w:val="nil"/>
                  </w:tcBorders>
                  <w:vAlign w:val="center"/>
                </w:tcPr>
                <w:p w14:paraId="3011CE3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3.5T</w:t>
                  </w:r>
                </w:p>
              </w:tc>
              <w:tc>
                <w:tcPr>
                  <w:tcW w:w="389" w:type="pct"/>
                  <w:tcBorders>
                    <w:tl2br w:val="nil"/>
                    <w:tr2bl w:val="nil"/>
                  </w:tcBorders>
                  <w:vAlign w:val="center"/>
                </w:tcPr>
                <w:p w14:paraId="0C18B38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666A0FB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57BFFA24">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56A5A7E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56058E3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34" w:hRule="atLeast"/>
              </w:trPr>
              <w:tc>
                <w:tcPr>
                  <w:tcW w:w="276" w:type="pct"/>
                  <w:tcBorders>
                    <w:tl2br w:val="nil"/>
                    <w:tr2bl w:val="nil"/>
                  </w:tcBorders>
                  <w:vAlign w:val="center"/>
                </w:tcPr>
                <w:p w14:paraId="6BFC57F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054" w:type="pct"/>
                  <w:tcBorders>
                    <w:tl2br w:val="nil"/>
                    <w:tr2bl w:val="nil"/>
                  </w:tcBorders>
                  <w:vAlign w:val="center"/>
                </w:tcPr>
                <w:p w14:paraId="4B495B5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发动机放置平台</w:t>
                  </w:r>
                </w:p>
              </w:tc>
              <w:tc>
                <w:tcPr>
                  <w:tcW w:w="1347" w:type="pct"/>
                  <w:tcBorders>
                    <w:tl2br w:val="nil"/>
                    <w:tr2bl w:val="nil"/>
                  </w:tcBorders>
                  <w:vAlign w:val="center"/>
                </w:tcPr>
                <w:p w14:paraId="7328E07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2.5m×2m×0.8m</w:t>
                  </w:r>
                </w:p>
              </w:tc>
              <w:tc>
                <w:tcPr>
                  <w:tcW w:w="389" w:type="pct"/>
                  <w:tcBorders>
                    <w:tl2br w:val="nil"/>
                    <w:tr2bl w:val="nil"/>
                  </w:tcBorders>
                  <w:vAlign w:val="center"/>
                </w:tcPr>
                <w:p w14:paraId="3F15872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32A72E1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353F7DE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0B8726E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430803A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center"/>
                </w:tcPr>
                <w:p w14:paraId="5CF5AEC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1054" w:type="pct"/>
                  <w:tcBorders>
                    <w:tl2br w:val="nil"/>
                    <w:tr2bl w:val="nil"/>
                  </w:tcBorders>
                  <w:vAlign w:val="center"/>
                </w:tcPr>
                <w:p w14:paraId="10ED081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安全气囊引爆装置</w:t>
                  </w:r>
                </w:p>
              </w:tc>
              <w:tc>
                <w:tcPr>
                  <w:tcW w:w="1347" w:type="pct"/>
                  <w:tcBorders>
                    <w:tl2br w:val="nil"/>
                    <w:tr2bl w:val="nil"/>
                  </w:tcBorders>
                  <w:vAlign w:val="center"/>
                </w:tcPr>
                <w:p w14:paraId="7B1AA6F9">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1m×1m×1m</w:t>
                  </w:r>
                </w:p>
              </w:tc>
              <w:tc>
                <w:tcPr>
                  <w:tcW w:w="389" w:type="pct"/>
                  <w:tcBorders>
                    <w:tl2br w:val="nil"/>
                    <w:tr2bl w:val="nil"/>
                  </w:tcBorders>
                  <w:vAlign w:val="center"/>
                </w:tcPr>
                <w:p w14:paraId="7FCAAC9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417" w:type="pct"/>
                  <w:tcBorders>
                    <w:tl2br w:val="nil"/>
                    <w:tr2bl w:val="nil"/>
                  </w:tcBorders>
                  <w:vAlign w:val="center"/>
                </w:tcPr>
                <w:p w14:paraId="06830B8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584658D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1EFF1A7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3545F89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04" w:hRule="atLeast"/>
              </w:trPr>
              <w:tc>
                <w:tcPr>
                  <w:tcW w:w="276" w:type="pct"/>
                  <w:tcBorders>
                    <w:tl2br w:val="nil"/>
                    <w:tr2bl w:val="nil"/>
                  </w:tcBorders>
                  <w:vAlign w:val="center"/>
                </w:tcPr>
                <w:p w14:paraId="053F43B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w:t>
                  </w:r>
                </w:p>
              </w:tc>
              <w:tc>
                <w:tcPr>
                  <w:tcW w:w="1054" w:type="pct"/>
                  <w:tcBorders>
                    <w:tl2br w:val="nil"/>
                    <w:tr2bl w:val="nil"/>
                  </w:tcBorders>
                  <w:vAlign w:val="center"/>
                </w:tcPr>
                <w:p w14:paraId="33F2AAA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真空吸油机</w:t>
                  </w:r>
                </w:p>
              </w:tc>
              <w:tc>
                <w:tcPr>
                  <w:tcW w:w="1347" w:type="pct"/>
                  <w:tcBorders>
                    <w:tl2br w:val="nil"/>
                    <w:tr2bl w:val="nil"/>
                  </w:tcBorders>
                  <w:vAlign w:val="center"/>
                </w:tcPr>
                <w:p w14:paraId="64AF61A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vAlign w:val="center"/>
                </w:tcPr>
                <w:p w14:paraId="3808705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01D5D8E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7AAABA84">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450F631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3CF3A28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34" w:hRule="atLeast"/>
              </w:trPr>
              <w:tc>
                <w:tcPr>
                  <w:tcW w:w="276" w:type="pct"/>
                  <w:tcBorders>
                    <w:tl2br w:val="nil"/>
                    <w:tr2bl w:val="nil"/>
                  </w:tcBorders>
                  <w:vAlign w:val="center"/>
                </w:tcPr>
                <w:p w14:paraId="1876688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w:t>
                  </w:r>
                </w:p>
              </w:tc>
              <w:tc>
                <w:tcPr>
                  <w:tcW w:w="1054" w:type="pct"/>
                  <w:tcBorders>
                    <w:tl2br w:val="nil"/>
                    <w:tr2bl w:val="nil"/>
                  </w:tcBorders>
                  <w:vAlign w:val="center"/>
                </w:tcPr>
                <w:p w14:paraId="1683796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氟利昂收储装置</w:t>
                  </w:r>
                </w:p>
              </w:tc>
              <w:tc>
                <w:tcPr>
                  <w:tcW w:w="1347" w:type="pct"/>
                  <w:tcBorders>
                    <w:tl2br w:val="nil"/>
                    <w:tr2bl w:val="nil"/>
                  </w:tcBorders>
                  <w:vAlign w:val="center"/>
                </w:tcPr>
                <w:p w14:paraId="4072EB3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vAlign w:val="center"/>
                </w:tcPr>
                <w:p w14:paraId="4B6DBE0A">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417" w:type="pct"/>
                  <w:tcBorders>
                    <w:tl2br w:val="nil"/>
                    <w:tr2bl w:val="nil"/>
                  </w:tcBorders>
                  <w:vAlign w:val="center"/>
                </w:tcPr>
                <w:p w14:paraId="3B46E9C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24622DE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7E08F39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1A69738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4" w:hRule="atLeast"/>
              </w:trPr>
              <w:tc>
                <w:tcPr>
                  <w:tcW w:w="276" w:type="pct"/>
                  <w:tcBorders>
                    <w:tl2br w:val="nil"/>
                    <w:tr2bl w:val="nil"/>
                  </w:tcBorders>
                  <w:vAlign w:val="center"/>
                </w:tcPr>
                <w:p w14:paraId="27DF123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1054" w:type="pct"/>
                  <w:tcBorders>
                    <w:tl2br w:val="nil"/>
                    <w:tr2bl w:val="nil"/>
                  </w:tcBorders>
                  <w:vAlign w:val="center"/>
                </w:tcPr>
                <w:p w14:paraId="3A7A71C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废液收集装置</w:t>
                  </w:r>
                </w:p>
              </w:tc>
              <w:tc>
                <w:tcPr>
                  <w:tcW w:w="1347" w:type="pct"/>
                  <w:tcBorders>
                    <w:tl2br w:val="nil"/>
                    <w:tr2bl w:val="nil"/>
                  </w:tcBorders>
                  <w:vAlign w:val="center"/>
                </w:tcPr>
                <w:p w14:paraId="7C7D038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vAlign w:val="center"/>
                </w:tcPr>
                <w:p w14:paraId="4779CE6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417" w:type="pct"/>
                  <w:tcBorders>
                    <w:tl2br w:val="nil"/>
                    <w:tr2bl w:val="nil"/>
                  </w:tcBorders>
                  <w:vAlign w:val="center"/>
                </w:tcPr>
                <w:p w14:paraId="63B07C99">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5968272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7564C92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073FFF4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04" w:hRule="atLeast"/>
              </w:trPr>
              <w:tc>
                <w:tcPr>
                  <w:tcW w:w="276" w:type="pct"/>
                  <w:tcBorders>
                    <w:tl2br w:val="nil"/>
                    <w:tr2bl w:val="nil"/>
                  </w:tcBorders>
                  <w:vAlign w:val="center"/>
                </w:tcPr>
                <w:p w14:paraId="0859F06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w:t>
                  </w:r>
                </w:p>
              </w:tc>
              <w:tc>
                <w:tcPr>
                  <w:tcW w:w="1054" w:type="pct"/>
                  <w:tcBorders>
                    <w:tl2br w:val="nil"/>
                    <w:tr2bl w:val="nil"/>
                  </w:tcBorders>
                  <w:vAlign w:val="center"/>
                </w:tcPr>
                <w:p w14:paraId="33FDFB79">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航吊</w:t>
                  </w:r>
                </w:p>
              </w:tc>
              <w:tc>
                <w:tcPr>
                  <w:tcW w:w="1347" w:type="pct"/>
                  <w:tcBorders>
                    <w:tl2br w:val="nil"/>
                    <w:tr2bl w:val="nil"/>
                  </w:tcBorders>
                  <w:vAlign w:val="center"/>
                </w:tcPr>
                <w:p w14:paraId="36BB5F0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vAlign w:val="center"/>
                </w:tcPr>
                <w:p w14:paraId="734D542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03F9E4C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064B649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01E264F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3341117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center"/>
                </w:tcPr>
                <w:p w14:paraId="3C917C7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w:t>
                  </w:r>
                </w:p>
              </w:tc>
              <w:tc>
                <w:tcPr>
                  <w:tcW w:w="1054" w:type="pct"/>
                  <w:tcBorders>
                    <w:tl2br w:val="nil"/>
                    <w:tr2bl w:val="nil"/>
                  </w:tcBorders>
                  <w:vAlign w:val="center"/>
                </w:tcPr>
                <w:p w14:paraId="6F37F6B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叉车</w:t>
                  </w:r>
                </w:p>
              </w:tc>
              <w:tc>
                <w:tcPr>
                  <w:tcW w:w="1347" w:type="pct"/>
                  <w:tcBorders>
                    <w:tl2br w:val="nil"/>
                    <w:tr2bl w:val="nil"/>
                  </w:tcBorders>
                  <w:vAlign w:val="center"/>
                </w:tcPr>
                <w:p w14:paraId="650839A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3t</w:t>
                  </w:r>
                </w:p>
              </w:tc>
              <w:tc>
                <w:tcPr>
                  <w:tcW w:w="389" w:type="pct"/>
                  <w:tcBorders>
                    <w:tl2br w:val="nil"/>
                    <w:tr2bl w:val="nil"/>
                  </w:tcBorders>
                  <w:vAlign w:val="center"/>
                </w:tcPr>
                <w:p w14:paraId="7664C19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4E19B63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61" w:type="pct"/>
                  <w:vMerge w:val="continue"/>
                  <w:tcBorders>
                    <w:tl2br w:val="nil"/>
                    <w:tr2bl w:val="nil"/>
                  </w:tcBorders>
                  <w:vAlign w:val="center"/>
                </w:tcPr>
                <w:p w14:paraId="62B215A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29F879B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799D6B2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trPr>
              <w:tc>
                <w:tcPr>
                  <w:tcW w:w="276" w:type="pct"/>
                  <w:tcBorders>
                    <w:tl2br w:val="nil"/>
                    <w:tr2bl w:val="nil"/>
                  </w:tcBorders>
                  <w:vAlign w:val="center"/>
                </w:tcPr>
                <w:p w14:paraId="2BAA8A5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13</w:t>
                  </w:r>
                </w:p>
              </w:tc>
              <w:tc>
                <w:tcPr>
                  <w:tcW w:w="1054" w:type="pct"/>
                  <w:tcBorders>
                    <w:tl2br w:val="nil"/>
                    <w:tr2bl w:val="nil"/>
                  </w:tcBorders>
                  <w:vAlign w:val="center"/>
                </w:tcPr>
                <w:p w14:paraId="27E6C15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等离子切割机</w:t>
                  </w:r>
                </w:p>
              </w:tc>
              <w:tc>
                <w:tcPr>
                  <w:tcW w:w="1347" w:type="pct"/>
                  <w:tcBorders>
                    <w:tl2br w:val="nil"/>
                    <w:tr2bl w:val="nil"/>
                  </w:tcBorders>
                  <w:vAlign w:val="center"/>
                </w:tcPr>
                <w:p w14:paraId="192C344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vAlign w:val="center"/>
                </w:tcPr>
                <w:p w14:paraId="423CBA2D">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5F0C435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461" w:type="pct"/>
                  <w:vMerge w:val="continue"/>
                  <w:tcBorders>
                    <w:tl2br w:val="nil"/>
                    <w:tr2bl w:val="nil"/>
                  </w:tcBorders>
                  <w:vAlign w:val="center"/>
                </w:tcPr>
                <w:p w14:paraId="47FBD0D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vAlign w:val="center"/>
                </w:tcPr>
                <w:p w14:paraId="68DB8FC9">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eastAsia="zh-CN"/>
                      <w14:textFill>
                        <w14:solidFill>
                          <w14:schemeClr w14:val="tx1"/>
                        </w14:solidFill>
                      </w14:textFill>
                    </w:rPr>
                  </w:pPr>
                </w:p>
              </w:tc>
            </w:tr>
            <w:tr w14:paraId="1FE8684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4" w:hRule="atLeast"/>
              </w:trPr>
              <w:tc>
                <w:tcPr>
                  <w:tcW w:w="276" w:type="pct"/>
                  <w:tcBorders>
                    <w:tl2br w:val="nil"/>
                    <w:tr2bl w:val="nil"/>
                  </w:tcBorders>
                  <w:vAlign w:val="top"/>
                </w:tcPr>
                <w:p w14:paraId="51549ED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14</w:t>
                  </w:r>
                </w:p>
              </w:tc>
              <w:tc>
                <w:tcPr>
                  <w:tcW w:w="1054" w:type="pct"/>
                  <w:tcBorders>
                    <w:tl2br w:val="nil"/>
                    <w:tr2bl w:val="nil"/>
                  </w:tcBorders>
                  <w:vAlign w:val="center"/>
                </w:tcPr>
                <w:p w14:paraId="32CFE2A4">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电池安全评估放电设备</w:t>
                  </w:r>
                </w:p>
              </w:tc>
              <w:tc>
                <w:tcPr>
                  <w:tcW w:w="1347" w:type="pct"/>
                  <w:tcBorders>
                    <w:tl2br w:val="nil"/>
                    <w:tr2bl w:val="nil"/>
                  </w:tcBorders>
                  <w:vAlign w:val="center"/>
                </w:tcPr>
                <w:p w14:paraId="5FCB349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vAlign w:val="center"/>
                </w:tcPr>
                <w:p w14:paraId="1BC1515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7106ECA8">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olor w:val="000000" w:themeColor="text1"/>
                      <w:spacing w:val="-2"/>
                      <w:sz w:val="21"/>
                      <w:szCs w:val="21"/>
                      <w:highlight w:val="none"/>
                      <w:lang w:val="en-US" w:eastAsia="zh-CN"/>
                      <w14:textFill>
                        <w14:solidFill>
                          <w14:schemeClr w14:val="tx1"/>
                        </w14:solidFill>
                      </w14:textFill>
                    </w:rPr>
                    <w:t>2</w:t>
                  </w:r>
                </w:p>
              </w:tc>
              <w:tc>
                <w:tcPr>
                  <w:tcW w:w="461" w:type="pct"/>
                  <w:vMerge w:val="restart"/>
                  <w:tcBorders>
                    <w:tl2br w:val="nil"/>
                    <w:tr2bl w:val="nil"/>
                  </w:tcBorders>
                  <w:vAlign w:val="center"/>
                </w:tcPr>
                <w:p w14:paraId="36F125F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预处理车间</w:t>
                  </w:r>
                </w:p>
              </w:tc>
              <w:tc>
                <w:tcPr>
                  <w:tcW w:w="1054" w:type="pct"/>
                  <w:vMerge w:val="continue"/>
                  <w:tcBorders>
                    <w:tl2br w:val="nil"/>
                    <w:tr2bl w:val="nil"/>
                  </w:tcBorders>
                  <w:vAlign w:val="center"/>
                </w:tcPr>
                <w:p w14:paraId="76B67E4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default" w:ascii="宋体" w:hAnsi="宋体" w:eastAsia="宋体" w:cs="宋体"/>
                      <w:color w:val="000000" w:themeColor="text1"/>
                      <w:sz w:val="21"/>
                      <w:szCs w:val="21"/>
                      <w:lang w:val="en-US" w:eastAsia="zh-CN"/>
                      <w14:textFill>
                        <w14:solidFill>
                          <w14:schemeClr w14:val="tx1"/>
                        </w14:solidFill>
                      </w14:textFill>
                    </w:rPr>
                  </w:pPr>
                </w:p>
              </w:tc>
            </w:tr>
            <w:tr w14:paraId="1E3EE61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14" w:hRule="atLeast"/>
              </w:trPr>
              <w:tc>
                <w:tcPr>
                  <w:tcW w:w="276" w:type="pct"/>
                  <w:tcBorders>
                    <w:tl2br w:val="nil"/>
                    <w:tr2bl w:val="nil"/>
                  </w:tcBorders>
                  <w:vAlign w:val="top"/>
                </w:tcPr>
                <w:p w14:paraId="2A7B567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w:t>
                  </w:r>
                </w:p>
              </w:tc>
              <w:tc>
                <w:tcPr>
                  <w:tcW w:w="1054" w:type="pct"/>
                  <w:tcBorders>
                    <w:tl2br w:val="nil"/>
                    <w:tr2bl w:val="nil"/>
                  </w:tcBorders>
                  <w:vAlign w:val="center"/>
                </w:tcPr>
                <w:p w14:paraId="1AE01923">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漏电诊断仪</w:t>
                  </w:r>
                </w:p>
              </w:tc>
              <w:tc>
                <w:tcPr>
                  <w:tcW w:w="1347" w:type="pct"/>
                  <w:tcBorders>
                    <w:tl2br w:val="nil"/>
                    <w:tr2bl w:val="nil"/>
                  </w:tcBorders>
                </w:tcPr>
                <w:p w14:paraId="0D72C7B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64B91104">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64FC4675">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olor w:val="000000" w:themeColor="text1"/>
                      <w:spacing w:val="-2"/>
                      <w:sz w:val="21"/>
                      <w:szCs w:val="21"/>
                      <w:highlight w:val="none"/>
                      <w:lang w:val="en-US" w:eastAsia="zh-CN"/>
                      <w14:textFill>
                        <w14:solidFill>
                          <w14:schemeClr w14:val="tx1"/>
                        </w14:solidFill>
                      </w14:textFill>
                    </w:rPr>
                    <w:t>1</w:t>
                  </w:r>
                </w:p>
              </w:tc>
              <w:tc>
                <w:tcPr>
                  <w:tcW w:w="461" w:type="pct"/>
                  <w:vMerge w:val="continue"/>
                  <w:tcBorders>
                    <w:tl2br w:val="nil"/>
                    <w:tr2bl w:val="nil"/>
                  </w:tcBorders>
                </w:tcPr>
                <w:p w14:paraId="6E013BD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126490C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3FFB1FD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top"/>
                </w:tcPr>
                <w:p w14:paraId="063537F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16</w:t>
                  </w:r>
                </w:p>
              </w:tc>
              <w:tc>
                <w:tcPr>
                  <w:tcW w:w="1054" w:type="pct"/>
                  <w:tcBorders>
                    <w:tl2br w:val="nil"/>
                    <w:tr2bl w:val="nil"/>
                  </w:tcBorders>
                  <w:vAlign w:val="center"/>
                </w:tcPr>
                <w:p w14:paraId="50AA1844">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温度探测仪</w:t>
                  </w:r>
                </w:p>
              </w:tc>
              <w:tc>
                <w:tcPr>
                  <w:tcW w:w="1347" w:type="pct"/>
                  <w:tcBorders>
                    <w:tl2br w:val="nil"/>
                    <w:tr2bl w:val="nil"/>
                  </w:tcBorders>
                </w:tcPr>
                <w:p w14:paraId="094A103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2F12AC4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3713E922">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p>
              </w:tc>
              <w:tc>
                <w:tcPr>
                  <w:tcW w:w="461" w:type="pct"/>
                  <w:vMerge w:val="continue"/>
                  <w:tcBorders>
                    <w:tl2br w:val="nil"/>
                    <w:tr2bl w:val="nil"/>
                  </w:tcBorders>
                </w:tcPr>
                <w:p w14:paraId="7C2094B7">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3ABB1CB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5DD6E52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04" w:hRule="atLeast"/>
              </w:trPr>
              <w:tc>
                <w:tcPr>
                  <w:tcW w:w="276" w:type="pct"/>
                  <w:tcBorders>
                    <w:tl2br w:val="nil"/>
                    <w:tr2bl w:val="nil"/>
                  </w:tcBorders>
                  <w:vAlign w:val="top"/>
                </w:tcPr>
                <w:p w14:paraId="18EAA1E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17</w:t>
                  </w:r>
                </w:p>
              </w:tc>
              <w:tc>
                <w:tcPr>
                  <w:tcW w:w="1054" w:type="pct"/>
                  <w:tcBorders>
                    <w:tl2br w:val="nil"/>
                    <w:tr2bl w:val="nil"/>
                  </w:tcBorders>
                  <w:vAlign w:val="center"/>
                </w:tcPr>
                <w:p w14:paraId="49E487A6">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动力电池升降车</w:t>
                  </w:r>
                </w:p>
              </w:tc>
              <w:tc>
                <w:tcPr>
                  <w:tcW w:w="1347" w:type="pct"/>
                  <w:tcBorders>
                    <w:tl2br w:val="nil"/>
                    <w:tr2bl w:val="nil"/>
                  </w:tcBorders>
                </w:tcPr>
                <w:p w14:paraId="52C6FE45">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608E2BD3">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5F1B1E4A">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461" w:type="pct"/>
                  <w:vMerge w:val="continue"/>
                  <w:tcBorders>
                    <w:tl2br w:val="nil"/>
                    <w:tr2bl w:val="nil"/>
                  </w:tcBorders>
                </w:tcPr>
                <w:p w14:paraId="4123083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1F8CBDA1">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5EF8F58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04" w:hRule="atLeast"/>
              </w:trPr>
              <w:tc>
                <w:tcPr>
                  <w:tcW w:w="276" w:type="pct"/>
                  <w:tcBorders>
                    <w:tl2br w:val="nil"/>
                    <w:tr2bl w:val="nil"/>
                  </w:tcBorders>
                  <w:vAlign w:val="top"/>
                </w:tcPr>
                <w:p w14:paraId="79C0810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18</w:t>
                  </w:r>
                </w:p>
              </w:tc>
              <w:tc>
                <w:tcPr>
                  <w:tcW w:w="1054" w:type="pct"/>
                  <w:tcBorders>
                    <w:tl2br w:val="nil"/>
                    <w:tr2bl w:val="nil"/>
                  </w:tcBorders>
                  <w:vAlign w:val="center"/>
                </w:tcPr>
                <w:p w14:paraId="3E8BC1AD">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动力电池吊具</w:t>
                  </w:r>
                </w:p>
              </w:tc>
              <w:tc>
                <w:tcPr>
                  <w:tcW w:w="1347" w:type="pct"/>
                  <w:tcBorders>
                    <w:tl2br w:val="nil"/>
                    <w:tr2bl w:val="nil"/>
                  </w:tcBorders>
                </w:tcPr>
                <w:p w14:paraId="0306CCC0">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2F458F3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4CDD81FE">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p>
              </w:tc>
              <w:tc>
                <w:tcPr>
                  <w:tcW w:w="461" w:type="pct"/>
                  <w:vMerge w:val="continue"/>
                  <w:tcBorders>
                    <w:tl2br w:val="nil"/>
                    <w:tr2bl w:val="nil"/>
                  </w:tcBorders>
                </w:tcPr>
                <w:p w14:paraId="2D26CBB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1C3466D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54FB7D8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04" w:hRule="atLeast"/>
              </w:trPr>
              <w:tc>
                <w:tcPr>
                  <w:tcW w:w="276" w:type="pct"/>
                  <w:tcBorders>
                    <w:tl2br w:val="nil"/>
                    <w:tr2bl w:val="nil"/>
                  </w:tcBorders>
                  <w:vAlign w:val="top"/>
                </w:tcPr>
                <w:p w14:paraId="0FADFF0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19</w:t>
                  </w:r>
                </w:p>
              </w:tc>
              <w:tc>
                <w:tcPr>
                  <w:tcW w:w="1054" w:type="pct"/>
                  <w:tcBorders>
                    <w:tl2br w:val="nil"/>
                    <w:tr2bl w:val="nil"/>
                  </w:tcBorders>
                  <w:vAlign w:val="center"/>
                </w:tcPr>
                <w:p w14:paraId="343A5CD2">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动力电池承载车</w:t>
                  </w:r>
                </w:p>
              </w:tc>
              <w:tc>
                <w:tcPr>
                  <w:tcW w:w="1347" w:type="pct"/>
                  <w:tcBorders>
                    <w:tl2br w:val="nil"/>
                    <w:tr2bl w:val="nil"/>
                  </w:tcBorders>
                </w:tcPr>
                <w:p w14:paraId="5C1B3B4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3B7FCDD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0B2859CF">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p>
              </w:tc>
              <w:tc>
                <w:tcPr>
                  <w:tcW w:w="461" w:type="pct"/>
                  <w:vMerge w:val="continue"/>
                  <w:tcBorders>
                    <w:tl2br w:val="nil"/>
                    <w:tr2bl w:val="nil"/>
                  </w:tcBorders>
                </w:tcPr>
                <w:p w14:paraId="352E09FB">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793D48D4">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36231A8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top"/>
                </w:tcPr>
                <w:p w14:paraId="3EF0876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1054" w:type="pct"/>
                  <w:tcBorders>
                    <w:tl2br w:val="nil"/>
                    <w:tr2bl w:val="nil"/>
                  </w:tcBorders>
                  <w:vAlign w:val="center"/>
                </w:tcPr>
                <w:p w14:paraId="1FF57158">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kern w:val="0"/>
                      <w:sz w:val="21"/>
                      <w:szCs w:val="21"/>
                      <w:highlight w:val="none"/>
                      <w14:textFill>
                        <w14:solidFill>
                          <w14:schemeClr w14:val="tx1"/>
                        </w14:solidFill>
                      </w14:textFill>
                    </w:rPr>
                    <w:t>动力电池周转车</w:t>
                  </w:r>
                </w:p>
              </w:tc>
              <w:tc>
                <w:tcPr>
                  <w:tcW w:w="1347" w:type="pct"/>
                  <w:tcBorders>
                    <w:tl2br w:val="nil"/>
                    <w:tr2bl w:val="nil"/>
                  </w:tcBorders>
                </w:tcPr>
                <w:p w14:paraId="26843A0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3B12984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00A4B865">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461" w:type="pct"/>
                  <w:vMerge w:val="continue"/>
                  <w:tcBorders>
                    <w:tl2br w:val="nil"/>
                    <w:tr2bl w:val="nil"/>
                  </w:tcBorders>
                </w:tcPr>
                <w:p w14:paraId="01779328">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4FC4152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63C7CC4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vAlign w:val="top"/>
                </w:tcPr>
                <w:p w14:paraId="0DEE3CC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21</w:t>
                  </w:r>
                </w:p>
              </w:tc>
              <w:tc>
                <w:tcPr>
                  <w:tcW w:w="1054" w:type="pct"/>
                  <w:tcBorders>
                    <w:tl2br w:val="nil"/>
                    <w:tr2bl w:val="nil"/>
                  </w:tcBorders>
                  <w:vAlign w:val="center"/>
                </w:tcPr>
                <w:p w14:paraId="58C6E2FF">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动力电池升降滑车</w:t>
                  </w:r>
                </w:p>
              </w:tc>
              <w:tc>
                <w:tcPr>
                  <w:tcW w:w="1347" w:type="pct"/>
                  <w:tcBorders>
                    <w:tl2br w:val="nil"/>
                    <w:tr2bl w:val="nil"/>
                  </w:tcBorders>
                </w:tcPr>
                <w:p w14:paraId="20B3879C">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544024AE">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388D359D">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w:t>
                  </w:r>
                </w:p>
              </w:tc>
              <w:tc>
                <w:tcPr>
                  <w:tcW w:w="461" w:type="pct"/>
                  <w:vMerge w:val="continue"/>
                  <w:tcBorders>
                    <w:tl2br w:val="nil"/>
                    <w:tr2bl w:val="nil"/>
                  </w:tcBorders>
                </w:tcPr>
                <w:p w14:paraId="2EDCF454">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55BBE03A">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r w14:paraId="1740C73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76" w:type="pct"/>
                  <w:tcBorders>
                    <w:tl2br w:val="nil"/>
                    <w:tr2bl w:val="nil"/>
                  </w:tcBorders>
                </w:tcPr>
                <w:p w14:paraId="188BEF22">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22</w:t>
                  </w:r>
                </w:p>
              </w:tc>
              <w:tc>
                <w:tcPr>
                  <w:tcW w:w="1054" w:type="pct"/>
                  <w:tcBorders>
                    <w:tl2br w:val="nil"/>
                    <w:tr2bl w:val="nil"/>
                  </w:tcBorders>
                  <w:vAlign w:val="center"/>
                </w:tcPr>
                <w:p w14:paraId="5A3A7A48">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t>专用测试转换接口</w:t>
                  </w:r>
                </w:p>
              </w:tc>
              <w:tc>
                <w:tcPr>
                  <w:tcW w:w="1347" w:type="pct"/>
                  <w:tcBorders>
                    <w:tl2br w:val="nil"/>
                    <w:tr2bl w:val="nil"/>
                  </w:tcBorders>
                </w:tcPr>
                <w:p w14:paraId="29306E2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389" w:type="pct"/>
                  <w:tcBorders>
                    <w:tl2br w:val="nil"/>
                    <w:tr2bl w:val="nil"/>
                  </w:tcBorders>
                </w:tcPr>
                <w:p w14:paraId="23290C5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w:t>
                  </w:r>
                </w:p>
              </w:tc>
              <w:tc>
                <w:tcPr>
                  <w:tcW w:w="417" w:type="pct"/>
                  <w:tcBorders>
                    <w:tl2br w:val="nil"/>
                    <w:tr2bl w:val="nil"/>
                  </w:tcBorders>
                  <w:vAlign w:val="center"/>
                </w:tcPr>
                <w:p w14:paraId="5DF4B822">
                  <w:pPr>
                    <w:keepNext w:val="0"/>
                    <w:keepLines w:val="0"/>
                    <w:pageBreakBefore w:val="0"/>
                    <w:widowControl w:val="0"/>
                    <w:kinsoku/>
                    <w:wordWrap/>
                    <w:overflowPunct w:val="0"/>
                    <w:topLinePunct w:val="0"/>
                    <w:autoSpaceDE/>
                    <w:autoSpaceDN/>
                    <w:bidi w:val="0"/>
                    <w:adjustRightInd/>
                    <w:snapToGrid/>
                    <w:spacing w:line="240" w:lineRule="atLeast"/>
                    <w:ind w:right="-120" w:rightChars="-5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461" w:type="pct"/>
                  <w:vMerge w:val="continue"/>
                  <w:tcBorders>
                    <w:tl2br w:val="nil"/>
                    <w:tr2bl w:val="nil"/>
                  </w:tcBorders>
                </w:tcPr>
                <w:p w14:paraId="131C8E16">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c>
                <w:tcPr>
                  <w:tcW w:w="1054" w:type="pct"/>
                  <w:vMerge w:val="continue"/>
                  <w:tcBorders>
                    <w:tl2br w:val="nil"/>
                    <w:tr2bl w:val="nil"/>
                  </w:tcBorders>
                </w:tcPr>
                <w:p w14:paraId="257E290F">
                  <w:pPr>
                    <w:pStyle w:val="38"/>
                    <w:keepNext w:val="0"/>
                    <w:keepLines w:val="0"/>
                    <w:pageBreakBefore w:val="0"/>
                    <w:widowControl w:val="0"/>
                    <w:kinsoku/>
                    <w:wordWrap/>
                    <w:overflowPunct w:val="0"/>
                    <w:topLinePunct w:val="0"/>
                    <w:autoSpaceDE/>
                    <w:autoSpaceDN/>
                    <w:bidi w:val="0"/>
                    <w:adjustRightInd/>
                    <w:snapToGrid/>
                    <w:spacing w:line="240" w:lineRule="atLeast"/>
                    <w:ind w:right="-120" w:rightChars="-50"/>
                    <w:textAlignment w:val="auto"/>
                    <w:rPr>
                      <w:rFonts w:hint="eastAsia" w:ascii="宋体" w:hAnsi="宋体" w:eastAsia="宋体" w:cs="宋体"/>
                      <w:color w:val="000000" w:themeColor="text1"/>
                      <w:sz w:val="21"/>
                      <w:szCs w:val="21"/>
                      <w14:textFill>
                        <w14:solidFill>
                          <w14:schemeClr w14:val="tx1"/>
                        </w14:solidFill>
                      </w14:textFill>
                    </w:rPr>
                  </w:pPr>
                </w:p>
              </w:tc>
            </w:tr>
          </w:tbl>
          <w:p w14:paraId="2EA451C0">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主要原辅材料及能源消耗</w:t>
            </w:r>
          </w:p>
          <w:p w14:paraId="25C8A8FF">
            <w:pPr>
              <w:pStyle w:val="37"/>
              <w:keepNext w:val="0"/>
              <w:keepLines w:val="0"/>
              <w:pageBreakBefore w:val="0"/>
              <w:widowControl w:val="0"/>
              <w:kinsoku/>
              <w:wordWrap/>
              <w:overflowPunct w:val="0"/>
              <w:topLinePunct w:val="0"/>
              <w:autoSpaceDE/>
              <w:autoSpaceDN/>
              <w:bidi w:val="0"/>
              <w:adjustRightInd/>
              <w:snapToGrid/>
              <w:spacing w:line="240" w:lineRule="atLeast"/>
              <w:ind w:firstLine="48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表2-4</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主要原辅材料及能源消耗情况</w:t>
            </w:r>
          </w:p>
          <w:tbl>
            <w:tblPr>
              <w:tblStyle w:val="25"/>
              <w:tblW w:w="4998" w:type="pct"/>
              <w:tblInd w:w="5"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401"/>
              <w:gridCol w:w="1681"/>
              <w:gridCol w:w="2070"/>
              <w:gridCol w:w="1809"/>
              <w:gridCol w:w="997"/>
            </w:tblGrid>
            <w:tr w14:paraId="6D6AB0A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11" w:hRule="atLeast"/>
              </w:trPr>
              <w:tc>
                <w:tcPr>
                  <w:tcW w:w="880" w:type="pct"/>
                  <w:tcBorders>
                    <w:tl2br w:val="nil"/>
                    <w:tr2bl w:val="nil"/>
                  </w:tcBorders>
                  <w:vAlign w:val="center"/>
                </w:tcPr>
                <w:p w14:paraId="364A9D6B">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056" w:type="pct"/>
                  <w:tcBorders>
                    <w:tl2br w:val="nil"/>
                    <w:tr2bl w:val="nil"/>
                  </w:tcBorders>
                  <w:vAlign w:val="center"/>
                </w:tcPr>
                <w:p w14:paraId="40DBCE1F">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扩建前年用量</w:t>
                  </w:r>
                </w:p>
              </w:tc>
              <w:tc>
                <w:tcPr>
                  <w:tcW w:w="1300" w:type="pct"/>
                  <w:tcBorders>
                    <w:tl2br w:val="nil"/>
                    <w:tr2bl w:val="nil"/>
                  </w:tcBorders>
                  <w:vAlign w:val="center"/>
                </w:tcPr>
                <w:p w14:paraId="462AD62B">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扩建后年用量</w:t>
                  </w:r>
                </w:p>
              </w:tc>
              <w:tc>
                <w:tcPr>
                  <w:tcW w:w="1136" w:type="pct"/>
                  <w:tcBorders>
                    <w:tl2br w:val="nil"/>
                    <w:tr2bl w:val="nil"/>
                  </w:tcBorders>
                  <w:vAlign w:val="center"/>
                </w:tcPr>
                <w:p w14:paraId="7EBCEFCE">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年最大存贮量</w:t>
                  </w:r>
                </w:p>
              </w:tc>
              <w:tc>
                <w:tcPr>
                  <w:tcW w:w="626" w:type="pct"/>
                  <w:tcBorders>
                    <w:tl2br w:val="nil"/>
                    <w:tr2bl w:val="nil"/>
                  </w:tcBorders>
                  <w:vAlign w:val="center"/>
                </w:tcPr>
                <w:p w14:paraId="56765619">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成分/规格</w:t>
                  </w:r>
                </w:p>
              </w:tc>
            </w:tr>
            <w:tr w14:paraId="6FFC30B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0" w:type="pct"/>
                  <w:tcBorders>
                    <w:tl2br w:val="nil"/>
                    <w:tr2bl w:val="nil"/>
                  </w:tcBorders>
                  <w:vAlign w:val="center"/>
                </w:tcPr>
                <w:p w14:paraId="72E25FEC">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丙烷</w:t>
                  </w:r>
                </w:p>
              </w:tc>
              <w:tc>
                <w:tcPr>
                  <w:tcW w:w="1056" w:type="pct"/>
                  <w:tcBorders>
                    <w:tl2br w:val="nil"/>
                    <w:tr2bl w:val="nil"/>
                  </w:tcBorders>
                  <w:shd w:val="clear" w:color="auto" w:fill="auto"/>
                  <w:vAlign w:val="center"/>
                </w:tcPr>
                <w:p w14:paraId="1B7FE85E">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3.2</w:t>
                  </w:r>
                  <w:r>
                    <w:rPr>
                      <w:rFonts w:hint="eastAsia" w:ascii="宋体" w:hAnsi="宋体" w:eastAsia="宋体" w:cs="宋体"/>
                      <w:color w:val="000000" w:themeColor="text1"/>
                      <w:sz w:val="21"/>
                      <w:szCs w:val="21"/>
                      <w14:textFill>
                        <w14:solidFill>
                          <w14:schemeClr w14:val="tx1"/>
                        </w14:solidFill>
                      </w14:textFill>
                    </w:rPr>
                    <w:t>万L/a（</w:t>
                  </w:r>
                  <w:r>
                    <w:rPr>
                      <w:rFonts w:hint="eastAsia" w:ascii="宋体" w:hAnsi="宋体" w:cs="宋体"/>
                      <w:color w:val="000000" w:themeColor="text1"/>
                      <w:sz w:val="21"/>
                      <w:szCs w:val="21"/>
                      <w:lang w:val="en-US" w:eastAsia="zh-CN"/>
                      <w14:textFill>
                        <w14:solidFill>
                          <w14:schemeClr w14:val="tx1"/>
                        </w14:solidFill>
                      </w14:textFill>
                    </w:rPr>
                    <w:t>120</w:t>
                  </w:r>
                  <w:r>
                    <w:rPr>
                      <w:rFonts w:hint="eastAsia" w:ascii="宋体" w:hAnsi="宋体" w:eastAsia="宋体" w:cs="宋体"/>
                      <w:color w:val="000000" w:themeColor="text1"/>
                      <w:sz w:val="21"/>
                      <w:szCs w:val="21"/>
                      <w14:textFill>
                        <w14:solidFill>
                          <w14:schemeClr w14:val="tx1"/>
                        </w14:solidFill>
                      </w14:textFill>
                    </w:rPr>
                    <w:t>瓶）</w:t>
                  </w:r>
                </w:p>
              </w:tc>
              <w:tc>
                <w:tcPr>
                  <w:tcW w:w="1300" w:type="pct"/>
                  <w:tcBorders>
                    <w:tl2br w:val="nil"/>
                    <w:tr2bl w:val="nil"/>
                  </w:tcBorders>
                  <w:vAlign w:val="center"/>
                </w:tcPr>
                <w:p w14:paraId="4D8B1CA3">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3.8</w:t>
                  </w:r>
                  <w:r>
                    <w:rPr>
                      <w:rFonts w:hint="eastAsia" w:ascii="宋体" w:hAnsi="宋体" w:eastAsia="宋体" w:cs="宋体"/>
                      <w:color w:val="000000" w:themeColor="text1"/>
                      <w:sz w:val="21"/>
                      <w:szCs w:val="21"/>
                      <w14:textFill>
                        <w14:solidFill>
                          <w14:schemeClr w14:val="tx1"/>
                        </w14:solidFill>
                      </w14:textFill>
                    </w:rPr>
                    <w:t>万L/a（</w:t>
                  </w:r>
                  <w:r>
                    <w:rPr>
                      <w:rFonts w:hint="eastAsia" w:ascii="宋体" w:hAnsi="宋体" w:cs="宋体"/>
                      <w:color w:val="000000" w:themeColor="text1"/>
                      <w:sz w:val="21"/>
                      <w:szCs w:val="21"/>
                      <w:lang w:val="en-US" w:eastAsia="zh-CN"/>
                      <w14:textFill>
                        <w14:solidFill>
                          <w14:schemeClr w14:val="tx1"/>
                        </w14:solidFill>
                      </w14:textFill>
                    </w:rPr>
                    <w:t>144</w:t>
                  </w:r>
                  <w:r>
                    <w:rPr>
                      <w:rFonts w:hint="eastAsia" w:ascii="宋体" w:hAnsi="宋体" w:eastAsia="宋体" w:cs="宋体"/>
                      <w:color w:val="000000" w:themeColor="text1"/>
                      <w:sz w:val="21"/>
                      <w:szCs w:val="21"/>
                      <w14:textFill>
                        <w14:solidFill>
                          <w14:schemeClr w14:val="tx1"/>
                        </w14:solidFill>
                      </w14:textFill>
                    </w:rPr>
                    <w:t>瓶）</w:t>
                  </w:r>
                </w:p>
              </w:tc>
              <w:tc>
                <w:tcPr>
                  <w:tcW w:w="1136" w:type="pct"/>
                  <w:tcBorders>
                    <w:tl2br w:val="nil"/>
                    <w:tr2bl w:val="nil"/>
                  </w:tcBorders>
                  <w:vAlign w:val="center"/>
                </w:tcPr>
                <w:p w14:paraId="70DF3DD3">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cs="宋体"/>
                      <w:color w:val="000000" w:themeColor="text1"/>
                      <w:sz w:val="21"/>
                      <w:szCs w:val="21"/>
                      <w:lang w:val="en-US" w:eastAsia="zh-CN"/>
                      <w14:textFill>
                        <w14:solidFill>
                          <w14:schemeClr w14:val="tx1"/>
                        </w14:solidFill>
                      </w14:textFill>
                    </w:rPr>
                    <w:t>27</w:t>
                  </w:r>
                  <w:r>
                    <w:rPr>
                      <w:rFonts w:hint="eastAsia" w:ascii="宋体" w:hAnsi="宋体" w:eastAsia="宋体" w:cs="宋体"/>
                      <w:color w:val="000000" w:themeColor="text1"/>
                      <w:sz w:val="21"/>
                      <w:szCs w:val="21"/>
                      <w14:textFill>
                        <w14:solidFill>
                          <w14:schemeClr w14:val="tx1"/>
                        </w14:solidFill>
                      </w14:textFill>
                    </w:rPr>
                    <w:t>万L（</w:t>
                  </w:r>
                  <w:r>
                    <w:rPr>
                      <w:rFonts w:hint="eastAsia" w:ascii="宋体" w:hAnsi="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瓶）</w:t>
                  </w:r>
                </w:p>
              </w:tc>
              <w:tc>
                <w:tcPr>
                  <w:tcW w:w="626" w:type="pct"/>
                  <w:tcBorders>
                    <w:tl2br w:val="nil"/>
                    <w:tr2bl w:val="nil"/>
                  </w:tcBorders>
                  <w:vAlign w:val="center"/>
                </w:tcPr>
                <w:p w14:paraId="76607BF7">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266.7L/瓶</w:t>
                  </w:r>
                </w:p>
              </w:tc>
            </w:tr>
            <w:tr w14:paraId="7A4C2D6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0" w:type="pct"/>
                  <w:tcBorders>
                    <w:tl2br w:val="nil"/>
                    <w:tr2bl w:val="nil"/>
                  </w:tcBorders>
                  <w:vAlign w:val="center"/>
                </w:tcPr>
                <w:p w14:paraId="471617DA">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氧气</w:t>
                  </w:r>
                </w:p>
              </w:tc>
              <w:tc>
                <w:tcPr>
                  <w:tcW w:w="1056" w:type="pct"/>
                  <w:tcBorders>
                    <w:tl2br w:val="nil"/>
                    <w:tr2bl w:val="nil"/>
                  </w:tcBorders>
                  <w:shd w:val="clear" w:color="auto" w:fill="auto"/>
                  <w:vAlign w:val="center"/>
                </w:tcPr>
                <w:p w14:paraId="31DFA183">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16</w:t>
                  </w:r>
                  <w:r>
                    <w:rPr>
                      <w:rFonts w:hint="eastAsia" w:ascii="宋体" w:hAnsi="宋体" w:eastAsia="宋体" w:cs="宋体"/>
                      <w:color w:val="000000" w:themeColor="text1"/>
                      <w:sz w:val="21"/>
                      <w:szCs w:val="21"/>
                      <w14:textFill>
                        <w14:solidFill>
                          <w14:schemeClr w14:val="tx1"/>
                        </w14:solidFill>
                      </w14:textFill>
                    </w:rPr>
                    <w:t>万L/a（</w:t>
                  </w:r>
                  <w:r>
                    <w:rPr>
                      <w:rFonts w:hint="eastAsia" w:ascii="宋体" w:hAnsi="宋体" w:eastAsia="宋体" w:cs="宋体"/>
                      <w:color w:val="000000" w:themeColor="text1"/>
                      <w:sz w:val="21"/>
                      <w:szCs w:val="21"/>
                      <w:lang w:val="en-US" w:eastAsia="zh-CN"/>
                      <w14:textFill>
                        <w14:solidFill>
                          <w14:schemeClr w14:val="tx1"/>
                        </w14:solidFill>
                      </w14:textFill>
                    </w:rPr>
                    <w:t>600</w:t>
                  </w:r>
                  <w:r>
                    <w:rPr>
                      <w:rFonts w:hint="eastAsia" w:ascii="宋体" w:hAnsi="宋体" w:eastAsia="宋体" w:cs="宋体"/>
                      <w:color w:val="000000" w:themeColor="text1"/>
                      <w:sz w:val="21"/>
                      <w:szCs w:val="21"/>
                      <w14:textFill>
                        <w14:solidFill>
                          <w14:schemeClr w14:val="tx1"/>
                        </w14:solidFill>
                      </w14:textFill>
                    </w:rPr>
                    <w:t>瓶）</w:t>
                  </w:r>
                </w:p>
              </w:tc>
              <w:tc>
                <w:tcPr>
                  <w:tcW w:w="1300" w:type="pct"/>
                  <w:tcBorders>
                    <w:tl2br w:val="nil"/>
                    <w:tr2bl w:val="nil"/>
                  </w:tcBorders>
                  <w:vAlign w:val="center"/>
                </w:tcPr>
                <w:p w14:paraId="378D7BAB">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19.2</w:t>
                  </w:r>
                  <w:r>
                    <w:rPr>
                      <w:rFonts w:hint="eastAsia" w:ascii="宋体" w:hAnsi="宋体" w:eastAsia="宋体" w:cs="宋体"/>
                      <w:color w:val="000000" w:themeColor="text1"/>
                      <w:sz w:val="21"/>
                      <w:szCs w:val="21"/>
                      <w14:textFill>
                        <w14:solidFill>
                          <w14:schemeClr w14:val="tx1"/>
                        </w14:solidFill>
                      </w14:textFill>
                    </w:rPr>
                    <w:t>万L/a（</w:t>
                  </w:r>
                  <w:r>
                    <w:rPr>
                      <w:rFonts w:hint="eastAsia" w:ascii="宋体" w:hAnsi="宋体" w:cs="宋体"/>
                      <w:color w:val="000000" w:themeColor="text1"/>
                      <w:sz w:val="21"/>
                      <w:szCs w:val="21"/>
                      <w:lang w:val="en-US" w:eastAsia="zh-CN"/>
                      <w14:textFill>
                        <w14:solidFill>
                          <w14:schemeClr w14:val="tx1"/>
                        </w14:solidFill>
                      </w14:textFill>
                    </w:rPr>
                    <w:t>720</w:t>
                  </w:r>
                  <w:r>
                    <w:rPr>
                      <w:rFonts w:hint="eastAsia" w:ascii="宋体" w:hAnsi="宋体" w:eastAsia="宋体" w:cs="宋体"/>
                      <w:color w:val="000000" w:themeColor="text1"/>
                      <w:sz w:val="21"/>
                      <w:szCs w:val="21"/>
                      <w14:textFill>
                        <w14:solidFill>
                          <w14:schemeClr w14:val="tx1"/>
                        </w14:solidFill>
                      </w14:textFill>
                    </w:rPr>
                    <w:t>瓶）</w:t>
                  </w:r>
                </w:p>
              </w:tc>
              <w:tc>
                <w:tcPr>
                  <w:tcW w:w="1136" w:type="pct"/>
                  <w:tcBorders>
                    <w:tl2br w:val="nil"/>
                    <w:tr2bl w:val="nil"/>
                  </w:tcBorders>
                  <w:vAlign w:val="center"/>
                </w:tcPr>
                <w:p w14:paraId="486C015E">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0.8万L（30瓶）</w:t>
                  </w:r>
                </w:p>
              </w:tc>
              <w:tc>
                <w:tcPr>
                  <w:tcW w:w="626" w:type="pct"/>
                  <w:tcBorders>
                    <w:tl2br w:val="nil"/>
                    <w:tr2bl w:val="nil"/>
                  </w:tcBorders>
                  <w:vAlign w:val="center"/>
                </w:tcPr>
                <w:p w14:paraId="09329DF0">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266.7L/瓶</w:t>
                  </w:r>
                </w:p>
              </w:tc>
            </w:tr>
            <w:tr w14:paraId="5E13BCC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0" w:type="pct"/>
                  <w:tcBorders>
                    <w:tl2br w:val="nil"/>
                    <w:tr2bl w:val="nil"/>
                  </w:tcBorders>
                  <w:vAlign w:val="center"/>
                </w:tcPr>
                <w:p w14:paraId="63A869F0">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机动</w:t>
                  </w:r>
                  <w:r>
                    <w:rPr>
                      <w:rFonts w:hint="eastAsia" w:ascii="宋体" w:hAnsi="宋体" w:eastAsia="宋体" w:cs="宋体"/>
                      <w:color w:val="000000" w:themeColor="text1"/>
                      <w:sz w:val="21"/>
                      <w:szCs w:val="21"/>
                      <w14:textFill>
                        <w14:solidFill>
                          <w14:schemeClr w14:val="tx1"/>
                        </w14:solidFill>
                      </w14:textFill>
                    </w:rPr>
                    <w:t>车</w:t>
                  </w:r>
                </w:p>
              </w:tc>
              <w:tc>
                <w:tcPr>
                  <w:tcW w:w="1056" w:type="pct"/>
                  <w:tcBorders>
                    <w:tl2br w:val="nil"/>
                    <w:tr2bl w:val="nil"/>
                  </w:tcBorders>
                  <w:shd w:val="clear" w:color="auto" w:fill="auto"/>
                  <w:vAlign w:val="center"/>
                </w:tcPr>
                <w:p w14:paraId="2FB519AA">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60</w:t>
                  </w:r>
                  <w:r>
                    <w:rPr>
                      <w:rFonts w:hint="eastAsia" w:ascii="宋体" w:hAnsi="宋体" w:eastAsia="宋体" w:cs="宋体"/>
                      <w:color w:val="000000" w:themeColor="text1"/>
                      <w:sz w:val="21"/>
                      <w:szCs w:val="21"/>
                      <w14:textFill>
                        <w14:solidFill>
                          <w14:schemeClr w14:val="tx1"/>
                        </w14:solidFill>
                      </w14:textFill>
                    </w:rPr>
                    <w:t>00辆</w:t>
                  </w:r>
                </w:p>
              </w:tc>
              <w:tc>
                <w:tcPr>
                  <w:tcW w:w="1300" w:type="pct"/>
                  <w:tcBorders>
                    <w:tl2br w:val="nil"/>
                    <w:tr2bl w:val="nil"/>
                  </w:tcBorders>
                  <w:shd w:val="clear" w:color="auto" w:fill="auto"/>
                  <w:vAlign w:val="center"/>
                </w:tcPr>
                <w:p w14:paraId="2FB39D8A">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12</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00辆</w:t>
                  </w:r>
                </w:p>
              </w:tc>
              <w:tc>
                <w:tcPr>
                  <w:tcW w:w="1136" w:type="pct"/>
                  <w:tcBorders>
                    <w:tl2br w:val="nil"/>
                    <w:tr2bl w:val="nil"/>
                  </w:tcBorders>
                  <w:vAlign w:val="center"/>
                </w:tcPr>
                <w:p w14:paraId="59A5FF03">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240</w:t>
                  </w:r>
                  <w:r>
                    <w:rPr>
                      <w:rFonts w:hint="eastAsia" w:ascii="宋体" w:hAnsi="宋体" w:eastAsia="宋体" w:cs="宋体"/>
                      <w:color w:val="000000" w:themeColor="text1"/>
                      <w:sz w:val="21"/>
                      <w:szCs w:val="21"/>
                      <w:highlight w:val="none"/>
                      <w14:textFill>
                        <w14:solidFill>
                          <w14:schemeClr w14:val="tx1"/>
                        </w14:solidFill>
                      </w14:textFill>
                    </w:rPr>
                    <w:t>辆</w:t>
                  </w:r>
                </w:p>
              </w:tc>
              <w:tc>
                <w:tcPr>
                  <w:tcW w:w="626" w:type="pct"/>
                  <w:tcBorders>
                    <w:tl2br w:val="nil"/>
                    <w:tr2bl w:val="nil"/>
                  </w:tcBorders>
                  <w:vAlign w:val="center"/>
                </w:tcPr>
                <w:p w14:paraId="6DA5A101">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010F84F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0" w:type="pct"/>
                  <w:tcBorders>
                    <w:tl2br w:val="nil"/>
                    <w:tr2bl w:val="nil"/>
                  </w:tcBorders>
                  <w:vAlign w:val="center"/>
                </w:tcPr>
                <w:p w14:paraId="361A3A7B">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农机</w:t>
                  </w:r>
                  <w:r>
                    <w:rPr>
                      <w:rFonts w:hint="eastAsia" w:ascii="宋体" w:hAnsi="宋体" w:eastAsia="宋体" w:cs="宋体"/>
                      <w:color w:val="000000" w:themeColor="text1"/>
                      <w:sz w:val="21"/>
                      <w:szCs w:val="21"/>
                      <w14:textFill>
                        <w14:solidFill>
                          <w14:schemeClr w14:val="tx1"/>
                        </w14:solidFill>
                      </w14:textFill>
                    </w:rPr>
                    <w:t>车</w:t>
                  </w:r>
                </w:p>
              </w:tc>
              <w:tc>
                <w:tcPr>
                  <w:tcW w:w="1056" w:type="pct"/>
                  <w:tcBorders>
                    <w:tl2br w:val="nil"/>
                    <w:tr2bl w:val="nil"/>
                  </w:tcBorders>
                  <w:shd w:val="clear" w:color="auto" w:fill="auto"/>
                  <w:vAlign w:val="center"/>
                </w:tcPr>
                <w:p w14:paraId="3629AD00">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00辆</w:t>
                  </w:r>
                </w:p>
              </w:tc>
              <w:tc>
                <w:tcPr>
                  <w:tcW w:w="1300" w:type="pct"/>
                  <w:tcBorders>
                    <w:tl2br w:val="nil"/>
                    <w:tr2bl w:val="nil"/>
                  </w:tcBorders>
                  <w:shd w:val="clear" w:color="auto" w:fill="auto"/>
                  <w:vAlign w:val="center"/>
                </w:tcPr>
                <w:p w14:paraId="611D3D61">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00辆</w:t>
                  </w:r>
                </w:p>
              </w:tc>
              <w:tc>
                <w:tcPr>
                  <w:tcW w:w="1136" w:type="pct"/>
                  <w:tcBorders>
                    <w:tl2br w:val="nil"/>
                    <w:tr2bl w:val="nil"/>
                  </w:tcBorders>
                  <w:vAlign w:val="center"/>
                </w:tcPr>
                <w:p w14:paraId="367490F5">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40</w:t>
                  </w:r>
                  <w:r>
                    <w:rPr>
                      <w:rFonts w:hint="eastAsia" w:ascii="宋体" w:hAnsi="宋体" w:eastAsia="宋体" w:cs="宋体"/>
                      <w:color w:val="000000" w:themeColor="text1"/>
                      <w:sz w:val="21"/>
                      <w:szCs w:val="21"/>
                      <w:highlight w:val="none"/>
                      <w14:textFill>
                        <w14:solidFill>
                          <w14:schemeClr w14:val="tx1"/>
                        </w14:solidFill>
                      </w14:textFill>
                    </w:rPr>
                    <w:t>辆</w:t>
                  </w:r>
                </w:p>
              </w:tc>
              <w:tc>
                <w:tcPr>
                  <w:tcW w:w="626" w:type="pct"/>
                  <w:tcBorders>
                    <w:tl2br w:val="nil"/>
                    <w:tr2bl w:val="nil"/>
                  </w:tcBorders>
                  <w:vAlign w:val="center"/>
                </w:tcPr>
                <w:p w14:paraId="1EB0996D">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7157203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0" w:type="pct"/>
                  <w:tcBorders>
                    <w:tl2br w:val="nil"/>
                    <w:tr2bl w:val="nil"/>
                  </w:tcBorders>
                  <w:vAlign w:val="center"/>
                </w:tcPr>
                <w:p w14:paraId="2F99543C">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新能源汽车</w:t>
                  </w:r>
                </w:p>
              </w:tc>
              <w:tc>
                <w:tcPr>
                  <w:tcW w:w="1056" w:type="pct"/>
                  <w:tcBorders>
                    <w:tl2br w:val="nil"/>
                    <w:tr2bl w:val="nil"/>
                  </w:tcBorders>
                  <w:shd w:val="clear" w:color="auto" w:fill="auto"/>
                  <w:vAlign w:val="center"/>
                </w:tcPr>
                <w:p w14:paraId="20232EDE">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0</w:t>
                  </w:r>
                  <w:r>
                    <w:rPr>
                      <w:rFonts w:hint="eastAsia" w:ascii="宋体" w:hAnsi="宋体" w:eastAsia="宋体" w:cs="宋体"/>
                      <w:color w:val="000000" w:themeColor="text1"/>
                      <w:sz w:val="21"/>
                      <w:szCs w:val="21"/>
                      <w14:textFill>
                        <w14:solidFill>
                          <w14:schemeClr w14:val="tx1"/>
                        </w14:solidFill>
                      </w14:textFill>
                    </w:rPr>
                    <w:t>0辆</w:t>
                  </w:r>
                </w:p>
              </w:tc>
              <w:tc>
                <w:tcPr>
                  <w:tcW w:w="1300" w:type="pct"/>
                  <w:tcBorders>
                    <w:tl2br w:val="nil"/>
                    <w:tr2bl w:val="nil"/>
                  </w:tcBorders>
                  <w:shd w:val="clear" w:color="auto" w:fill="auto"/>
                  <w:vAlign w:val="center"/>
                </w:tcPr>
                <w:p w14:paraId="40A7ED24">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0</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0辆</w:t>
                  </w:r>
                </w:p>
              </w:tc>
              <w:tc>
                <w:tcPr>
                  <w:tcW w:w="1136" w:type="pct"/>
                  <w:tcBorders>
                    <w:tl2br w:val="nil"/>
                    <w:tr2bl w:val="nil"/>
                  </w:tcBorders>
                  <w:vAlign w:val="center"/>
                </w:tcPr>
                <w:p w14:paraId="1EACAAC2">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辆</w:t>
                  </w:r>
                </w:p>
              </w:tc>
              <w:tc>
                <w:tcPr>
                  <w:tcW w:w="626" w:type="pct"/>
                  <w:tcBorders>
                    <w:tl2br w:val="nil"/>
                    <w:tr2bl w:val="nil"/>
                  </w:tcBorders>
                  <w:vAlign w:val="center"/>
                </w:tcPr>
                <w:p w14:paraId="4FD2EA67">
                  <w:pPr>
                    <w:pStyle w:val="38"/>
                    <w:keepNext w:val="0"/>
                    <w:keepLines w:val="0"/>
                    <w:pageBreakBefore w:val="0"/>
                    <w:widowControl w:val="0"/>
                    <w:kinsoku/>
                    <w:wordWrap/>
                    <w:overflowPunct w:val="0"/>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bl>
          <w:p w14:paraId="0836A307">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项目物料平衡</w:t>
            </w:r>
          </w:p>
          <w:p w14:paraId="7BBF2B0F">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本评价根据《汽车报废拆解和材料回收利用》中相关资料、同类企业经验数据以及各类型车辆的整备质量情况进行类比核算，得到本项目各类车辆拆解后的各产品名称、重量，见表2-5。项目物料平衡见</w:t>
            </w:r>
            <w:r>
              <w:rPr>
                <w:rFonts w:hint="eastAsia" w:ascii="宋体" w:hAnsi="宋体" w:eastAsia="宋体" w:cs="宋体"/>
                <w:color w:val="000000" w:themeColor="text1"/>
                <w:lang w:eastAsia="zh-CN"/>
                <w14:textFill>
                  <w14:solidFill>
                    <w14:schemeClr w14:val="tx1"/>
                  </w14:solidFill>
                </w14:textFill>
              </w:rPr>
              <w:t>表</w:t>
            </w:r>
            <w:r>
              <w:rPr>
                <w:rFonts w:hint="eastAsia" w:ascii="宋体" w:hAnsi="宋体" w:eastAsia="宋体" w:cs="宋体"/>
                <w:color w:val="000000" w:themeColor="text1"/>
                <w:lang w:val="en-US" w:eastAsia="zh-CN"/>
                <w14:textFill>
                  <w14:solidFill>
                    <w14:schemeClr w14:val="tx1"/>
                  </w14:solidFill>
                </w14:textFill>
              </w:rPr>
              <w:t>2-6</w:t>
            </w:r>
            <w:r>
              <w:rPr>
                <w:rFonts w:hint="eastAsia" w:ascii="宋体" w:hAnsi="宋体" w:eastAsia="宋体" w:cs="宋体"/>
                <w:color w:val="000000" w:themeColor="text1"/>
                <w14:textFill>
                  <w14:solidFill>
                    <w14:schemeClr w14:val="tx1"/>
                  </w14:solidFill>
                </w14:textFill>
              </w:rPr>
              <w:t>。</w:t>
            </w:r>
          </w:p>
          <w:p w14:paraId="6C129619">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 xml:space="preserve">表2-5 </w:t>
            </w:r>
            <w:r>
              <w:rPr>
                <w:rFonts w:hint="eastAsia" w:ascii="宋体" w:hAnsi="宋体" w:eastAsia="宋体" w:cs="宋体"/>
                <w:b/>
                <w:color w:val="000000" w:themeColor="text1"/>
                <w:sz w:val="21"/>
                <w:szCs w:val="21"/>
                <w:lang w:val="en-US" w:eastAsia="zh-CN"/>
                <w14:textFill>
                  <w14:solidFill>
                    <w14:schemeClr w14:val="tx1"/>
                  </w14:solidFill>
                </w14:textFill>
              </w:rPr>
              <w:t xml:space="preserve"> </w:t>
            </w:r>
            <w:r>
              <w:rPr>
                <w:rFonts w:hint="eastAsia" w:ascii="宋体" w:hAnsi="宋体" w:eastAsia="宋体" w:cs="宋体"/>
                <w:b/>
                <w:color w:val="000000" w:themeColor="text1"/>
                <w:sz w:val="21"/>
                <w:szCs w:val="21"/>
                <w14:textFill>
                  <w14:solidFill>
                    <w14:schemeClr w14:val="tx1"/>
                  </w14:solidFill>
                </w14:textFill>
              </w:rPr>
              <w:t>各类机动车组成一览表</w:t>
            </w:r>
          </w:p>
          <w:tbl>
            <w:tblPr>
              <w:tblStyle w:val="25"/>
              <w:tblW w:w="4997"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108" w:type="dxa"/>
                <w:bottom w:w="0" w:type="dxa"/>
                <w:right w:w="108" w:type="dxa"/>
              </w:tblCellMar>
            </w:tblPr>
            <w:tblGrid>
              <w:gridCol w:w="1798"/>
              <w:gridCol w:w="1036"/>
              <w:gridCol w:w="1235"/>
              <w:gridCol w:w="1311"/>
              <w:gridCol w:w="1592"/>
              <w:gridCol w:w="984"/>
            </w:tblGrid>
            <w:tr w14:paraId="355D416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75" w:hRule="atLeast"/>
                <w:jc w:val="center"/>
              </w:trPr>
              <w:tc>
                <w:tcPr>
                  <w:tcW w:w="1130" w:type="pct"/>
                  <w:vMerge w:val="restart"/>
                  <w:tcBorders>
                    <w:tl2br w:val="nil"/>
                    <w:tr2bl w:val="nil"/>
                  </w:tcBorders>
                  <w:shd w:val="clear" w:color="auto" w:fill="auto"/>
                  <w:vAlign w:val="center"/>
                </w:tcPr>
                <w:p w14:paraId="5C183EA9">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拆解件名称</w:t>
                  </w:r>
                </w:p>
              </w:tc>
              <w:tc>
                <w:tcPr>
                  <w:tcW w:w="1427" w:type="pct"/>
                  <w:gridSpan w:val="2"/>
                  <w:tcBorders>
                    <w:tl2br w:val="nil"/>
                    <w:tr2bl w:val="nil"/>
                  </w:tcBorders>
                  <w:shd w:val="clear" w:color="auto" w:fill="auto"/>
                  <w:vAlign w:val="center"/>
                </w:tcPr>
                <w:p w14:paraId="5A57E4BC">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传统燃油机动车</w:t>
                  </w:r>
                </w:p>
              </w:tc>
              <w:tc>
                <w:tcPr>
                  <w:tcW w:w="1824" w:type="pct"/>
                  <w:gridSpan w:val="2"/>
                  <w:tcBorders>
                    <w:tl2br w:val="nil"/>
                    <w:tr2bl w:val="nil"/>
                  </w:tcBorders>
                  <w:shd w:val="clear" w:color="auto" w:fill="auto"/>
                  <w:vAlign w:val="center"/>
                </w:tcPr>
                <w:p w14:paraId="6676E5A9">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新能源车</w:t>
                  </w:r>
                </w:p>
              </w:tc>
              <w:tc>
                <w:tcPr>
                  <w:tcW w:w="618" w:type="pct"/>
                  <w:vMerge w:val="restart"/>
                  <w:tcBorders>
                    <w:tl2br w:val="nil"/>
                    <w:tr2bl w:val="nil"/>
                  </w:tcBorders>
                  <w:shd w:val="clear" w:color="auto" w:fill="auto"/>
                  <w:vAlign w:val="center"/>
                </w:tcPr>
                <w:p w14:paraId="6CD2484F">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农机（kg/辆）</w:t>
                  </w:r>
                </w:p>
              </w:tc>
            </w:tr>
            <w:tr w14:paraId="4E1BEE2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75" w:hRule="atLeast"/>
                <w:jc w:val="center"/>
              </w:trPr>
              <w:tc>
                <w:tcPr>
                  <w:tcW w:w="1130" w:type="pct"/>
                  <w:vMerge w:val="continue"/>
                  <w:tcBorders>
                    <w:tl2br w:val="nil"/>
                    <w:tr2bl w:val="nil"/>
                  </w:tcBorders>
                  <w:shd w:val="clear" w:color="auto" w:fill="auto"/>
                  <w:vAlign w:val="center"/>
                </w:tcPr>
                <w:p w14:paraId="5D3655BA">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p>
              </w:tc>
              <w:tc>
                <w:tcPr>
                  <w:tcW w:w="651" w:type="pct"/>
                  <w:tcBorders>
                    <w:tl2br w:val="nil"/>
                    <w:tr2bl w:val="nil"/>
                  </w:tcBorders>
                  <w:shd w:val="clear" w:color="auto" w:fill="auto"/>
                  <w:vAlign w:val="center"/>
                </w:tcPr>
                <w:p w14:paraId="58E7C196">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小型车</w:t>
                  </w:r>
                  <w:r>
                    <w:rPr>
                      <w:rFonts w:hint="eastAsia" w:ascii="宋体" w:hAnsi="宋体" w:eastAsia="宋体" w:cs="宋体"/>
                      <w:b w:val="0"/>
                      <w:bCs w:val="0"/>
                      <w:color w:val="000000" w:themeColor="text1"/>
                      <w:kern w:val="0"/>
                      <w:sz w:val="21"/>
                      <w:szCs w:val="21"/>
                      <w:highlight w:val="none"/>
                      <w14:textFill>
                        <w14:solidFill>
                          <w14:schemeClr w14:val="tx1"/>
                        </w14:solidFill>
                      </w14:textFill>
                    </w:rPr>
                    <w:t>（kg/辆）</w:t>
                  </w:r>
                </w:p>
              </w:tc>
              <w:tc>
                <w:tcPr>
                  <w:tcW w:w="775" w:type="pct"/>
                  <w:tcBorders>
                    <w:tl2br w:val="nil"/>
                    <w:tr2bl w:val="nil"/>
                  </w:tcBorders>
                  <w:shd w:val="clear" w:color="auto" w:fill="auto"/>
                  <w:vAlign w:val="center"/>
                </w:tcPr>
                <w:p w14:paraId="32AC2F2B">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大中型车</w:t>
                  </w:r>
                  <w:r>
                    <w:rPr>
                      <w:rFonts w:hint="eastAsia" w:ascii="宋体" w:hAnsi="宋体" w:eastAsia="宋体" w:cs="宋体"/>
                      <w:b w:val="0"/>
                      <w:bCs w:val="0"/>
                      <w:color w:val="000000" w:themeColor="text1"/>
                      <w:kern w:val="0"/>
                      <w:sz w:val="21"/>
                      <w:szCs w:val="21"/>
                      <w:highlight w:val="none"/>
                      <w14:textFill>
                        <w14:solidFill>
                          <w14:schemeClr w14:val="tx1"/>
                        </w14:solidFill>
                      </w14:textFill>
                    </w:rPr>
                    <w:t>（kg/辆）</w:t>
                  </w:r>
                </w:p>
              </w:tc>
              <w:tc>
                <w:tcPr>
                  <w:tcW w:w="824" w:type="pct"/>
                  <w:tcBorders>
                    <w:tl2br w:val="nil"/>
                    <w:tr2bl w:val="nil"/>
                  </w:tcBorders>
                  <w:shd w:val="clear" w:color="auto" w:fill="auto"/>
                  <w:vAlign w:val="center"/>
                </w:tcPr>
                <w:p w14:paraId="6C9BCC2F">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新能源轿车（kg/辆）</w:t>
                  </w:r>
                </w:p>
              </w:tc>
              <w:tc>
                <w:tcPr>
                  <w:tcW w:w="999" w:type="pct"/>
                  <w:tcBorders>
                    <w:tl2br w:val="nil"/>
                    <w:tr2bl w:val="nil"/>
                  </w:tcBorders>
                  <w:shd w:val="clear" w:color="auto" w:fill="auto"/>
                  <w:vAlign w:val="center"/>
                </w:tcPr>
                <w:p w14:paraId="49963934">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新能源客、货车（kg/辆）</w:t>
                  </w:r>
                </w:p>
              </w:tc>
              <w:tc>
                <w:tcPr>
                  <w:tcW w:w="618" w:type="pct"/>
                  <w:vMerge w:val="continue"/>
                  <w:tcBorders>
                    <w:tl2br w:val="nil"/>
                    <w:tr2bl w:val="nil"/>
                  </w:tcBorders>
                  <w:shd w:val="clear" w:color="auto" w:fill="auto"/>
                  <w:vAlign w:val="center"/>
                </w:tcPr>
                <w:p w14:paraId="1B5F4782">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p>
              </w:tc>
            </w:tr>
            <w:tr w14:paraId="6467C18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471958FD">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钢铁</w:t>
                  </w:r>
                </w:p>
              </w:tc>
              <w:tc>
                <w:tcPr>
                  <w:tcW w:w="651" w:type="pct"/>
                  <w:tcBorders>
                    <w:tl2br w:val="nil"/>
                    <w:tr2bl w:val="nil"/>
                  </w:tcBorders>
                  <w:shd w:val="clear" w:color="auto" w:fill="auto"/>
                  <w:vAlign w:val="center"/>
                </w:tcPr>
                <w:p w14:paraId="0006B57B">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300</w:t>
                  </w:r>
                </w:p>
              </w:tc>
              <w:tc>
                <w:tcPr>
                  <w:tcW w:w="775" w:type="pct"/>
                  <w:tcBorders>
                    <w:tl2br w:val="nil"/>
                    <w:tr2bl w:val="nil"/>
                  </w:tcBorders>
                  <w:shd w:val="clear" w:color="auto" w:fill="auto"/>
                  <w:vAlign w:val="center"/>
                </w:tcPr>
                <w:p w14:paraId="788AABCA">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1500</w:t>
                  </w:r>
                </w:p>
              </w:tc>
              <w:tc>
                <w:tcPr>
                  <w:tcW w:w="824" w:type="pct"/>
                  <w:tcBorders>
                    <w:tl2br w:val="nil"/>
                    <w:tr2bl w:val="nil"/>
                  </w:tcBorders>
                  <w:shd w:val="clear" w:color="auto" w:fill="auto"/>
                  <w:vAlign w:val="center"/>
                </w:tcPr>
                <w:p w14:paraId="127339F6">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300</w:t>
                  </w:r>
                </w:p>
              </w:tc>
              <w:tc>
                <w:tcPr>
                  <w:tcW w:w="999" w:type="pct"/>
                  <w:tcBorders>
                    <w:tl2br w:val="nil"/>
                    <w:tr2bl w:val="nil"/>
                  </w:tcBorders>
                  <w:shd w:val="clear" w:color="auto" w:fill="auto"/>
                  <w:vAlign w:val="center"/>
                </w:tcPr>
                <w:p w14:paraId="08EE6BC6">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1500</w:t>
                  </w:r>
                </w:p>
              </w:tc>
              <w:tc>
                <w:tcPr>
                  <w:tcW w:w="618" w:type="pct"/>
                  <w:tcBorders>
                    <w:tl2br w:val="nil"/>
                    <w:tr2bl w:val="nil"/>
                  </w:tcBorders>
                  <w:shd w:val="clear" w:color="auto" w:fill="auto"/>
                  <w:vAlign w:val="center"/>
                </w:tcPr>
                <w:p w14:paraId="536EF9D9">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700</w:t>
                  </w:r>
                </w:p>
              </w:tc>
            </w:tr>
            <w:tr w14:paraId="0347E73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3EFE9B81">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有色金属</w:t>
                  </w:r>
                </w:p>
              </w:tc>
              <w:tc>
                <w:tcPr>
                  <w:tcW w:w="651" w:type="pct"/>
                  <w:tcBorders>
                    <w:tl2br w:val="nil"/>
                    <w:tr2bl w:val="nil"/>
                  </w:tcBorders>
                  <w:shd w:val="clear" w:color="auto" w:fill="auto"/>
                  <w:vAlign w:val="center"/>
                </w:tcPr>
                <w:p w14:paraId="14DE95E8">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80</w:t>
                  </w:r>
                </w:p>
              </w:tc>
              <w:tc>
                <w:tcPr>
                  <w:tcW w:w="775" w:type="pct"/>
                  <w:tcBorders>
                    <w:tl2br w:val="nil"/>
                    <w:tr2bl w:val="nil"/>
                  </w:tcBorders>
                  <w:shd w:val="clear" w:color="auto" w:fill="auto"/>
                  <w:vAlign w:val="center"/>
                </w:tcPr>
                <w:p w14:paraId="7F5308FC">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300</w:t>
                  </w:r>
                </w:p>
              </w:tc>
              <w:tc>
                <w:tcPr>
                  <w:tcW w:w="824" w:type="pct"/>
                  <w:tcBorders>
                    <w:tl2br w:val="nil"/>
                    <w:tr2bl w:val="nil"/>
                  </w:tcBorders>
                  <w:shd w:val="clear" w:color="auto" w:fill="auto"/>
                  <w:vAlign w:val="center"/>
                </w:tcPr>
                <w:p w14:paraId="77350B70">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80</w:t>
                  </w:r>
                </w:p>
              </w:tc>
              <w:tc>
                <w:tcPr>
                  <w:tcW w:w="999" w:type="pct"/>
                  <w:tcBorders>
                    <w:tl2br w:val="nil"/>
                    <w:tr2bl w:val="nil"/>
                  </w:tcBorders>
                  <w:shd w:val="clear" w:color="auto" w:fill="auto"/>
                  <w:vAlign w:val="center"/>
                </w:tcPr>
                <w:p w14:paraId="2821240B">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300</w:t>
                  </w:r>
                </w:p>
              </w:tc>
              <w:tc>
                <w:tcPr>
                  <w:tcW w:w="618" w:type="pct"/>
                  <w:tcBorders>
                    <w:tl2br w:val="nil"/>
                    <w:tr2bl w:val="nil"/>
                  </w:tcBorders>
                  <w:shd w:val="clear" w:color="auto" w:fill="auto"/>
                  <w:vAlign w:val="center"/>
                </w:tcPr>
                <w:p w14:paraId="5864D0C8">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150</w:t>
                  </w:r>
                </w:p>
              </w:tc>
            </w:tr>
            <w:tr w14:paraId="49D526A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74317C56">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可用零部件</w:t>
                  </w:r>
                </w:p>
              </w:tc>
              <w:tc>
                <w:tcPr>
                  <w:tcW w:w="651" w:type="pct"/>
                  <w:tcBorders>
                    <w:tl2br w:val="nil"/>
                    <w:tr2bl w:val="nil"/>
                  </w:tcBorders>
                  <w:shd w:val="clear" w:color="auto" w:fill="auto"/>
                  <w:vAlign w:val="center"/>
                </w:tcPr>
                <w:p w14:paraId="4F7BAACA">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100</w:t>
                  </w:r>
                </w:p>
              </w:tc>
              <w:tc>
                <w:tcPr>
                  <w:tcW w:w="775" w:type="pct"/>
                  <w:tcBorders>
                    <w:tl2br w:val="nil"/>
                    <w:tr2bl w:val="nil"/>
                  </w:tcBorders>
                  <w:shd w:val="clear" w:color="auto" w:fill="auto"/>
                  <w:vAlign w:val="center"/>
                </w:tcPr>
                <w:p w14:paraId="546F52DB">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90</w:t>
                  </w:r>
                </w:p>
              </w:tc>
              <w:tc>
                <w:tcPr>
                  <w:tcW w:w="824" w:type="pct"/>
                  <w:tcBorders>
                    <w:tl2br w:val="nil"/>
                    <w:tr2bl w:val="nil"/>
                  </w:tcBorders>
                  <w:shd w:val="clear" w:color="auto" w:fill="auto"/>
                  <w:vAlign w:val="center"/>
                </w:tcPr>
                <w:p w14:paraId="272B0E91">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100</w:t>
                  </w:r>
                </w:p>
              </w:tc>
              <w:tc>
                <w:tcPr>
                  <w:tcW w:w="999" w:type="pct"/>
                  <w:tcBorders>
                    <w:tl2br w:val="nil"/>
                    <w:tr2bl w:val="nil"/>
                  </w:tcBorders>
                  <w:shd w:val="clear" w:color="auto" w:fill="auto"/>
                  <w:vAlign w:val="center"/>
                </w:tcPr>
                <w:p w14:paraId="0851AD46">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90</w:t>
                  </w:r>
                </w:p>
              </w:tc>
              <w:tc>
                <w:tcPr>
                  <w:tcW w:w="618" w:type="pct"/>
                  <w:tcBorders>
                    <w:tl2br w:val="nil"/>
                    <w:tr2bl w:val="nil"/>
                  </w:tcBorders>
                  <w:shd w:val="clear" w:color="auto" w:fill="auto"/>
                  <w:vAlign w:val="center"/>
                </w:tcPr>
                <w:p w14:paraId="3E82AFC8">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65</w:t>
                  </w:r>
                </w:p>
              </w:tc>
            </w:tr>
            <w:tr w14:paraId="2928F85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7F51710F">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五大总成</w:t>
                  </w:r>
                </w:p>
              </w:tc>
              <w:tc>
                <w:tcPr>
                  <w:tcW w:w="651" w:type="pct"/>
                  <w:tcBorders>
                    <w:tl2br w:val="nil"/>
                    <w:tr2bl w:val="nil"/>
                  </w:tcBorders>
                  <w:shd w:val="clear" w:color="auto" w:fill="auto"/>
                  <w:vAlign w:val="center"/>
                </w:tcPr>
                <w:p w14:paraId="60AEEC44">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600</w:t>
                  </w:r>
                </w:p>
              </w:tc>
              <w:tc>
                <w:tcPr>
                  <w:tcW w:w="775" w:type="pct"/>
                  <w:tcBorders>
                    <w:tl2br w:val="nil"/>
                    <w:tr2bl w:val="nil"/>
                  </w:tcBorders>
                  <w:shd w:val="clear" w:color="auto" w:fill="auto"/>
                  <w:vAlign w:val="center"/>
                </w:tcPr>
                <w:p w14:paraId="1FF47F51">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1900</w:t>
                  </w:r>
                </w:p>
              </w:tc>
              <w:tc>
                <w:tcPr>
                  <w:tcW w:w="824" w:type="pct"/>
                  <w:tcBorders>
                    <w:tl2br w:val="nil"/>
                    <w:tr2bl w:val="nil"/>
                  </w:tcBorders>
                  <w:shd w:val="clear" w:color="auto" w:fill="auto"/>
                  <w:vAlign w:val="center"/>
                </w:tcPr>
                <w:p w14:paraId="20600066">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600</w:t>
                  </w:r>
                </w:p>
              </w:tc>
              <w:tc>
                <w:tcPr>
                  <w:tcW w:w="999" w:type="pct"/>
                  <w:tcBorders>
                    <w:tl2br w:val="nil"/>
                    <w:tr2bl w:val="nil"/>
                  </w:tcBorders>
                  <w:shd w:val="clear" w:color="auto" w:fill="auto"/>
                  <w:vAlign w:val="center"/>
                </w:tcPr>
                <w:p w14:paraId="5AA87529">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1900</w:t>
                  </w:r>
                </w:p>
              </w:tc>
              <w:tc>
                <w:tcPr>
                  <w:tcW w:w="618" w:type="pct"/>
                  <w:tcBorders>
                    <w:tl2br w:val="nil"/>
                    <w:tr2bl w:val="nil"/>
                  </w:tcBorders>
                  <w:shd w:val="clear" w:color="auto" w:fill="auto"/>
                  <w:vAlign w:val="center"/>
                </w:tcPr>
                <w:p w14:paraId="568E770A">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1000</w:t>
                  </w:r>
                </w:p>
              </w:tc>
            </w:tr>
            <w:tr w14:paraId="157AD3A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5F52872A">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轻质物料</w:t>
                  </w:r>
                  <w:r>
                    <w:rPr>
                      <w:rFonts w:hint="eastAsia" w:ascii="宋体" w:hAnsi="宋体" w:eastAsia="宋体" w:cs="宋体"/>
                      <w:color w:val="000000" w:themeColor="text1"/>
                      <w:spacing w:val="-2"/>
                      <w:sz w:val="18"/>
                      <w:szCs w:val="18"/>
                      <w:lang w:eastAsia="zh-CN"/>
                      <w14:textFill>
                        <w14:solidFill>
                          <w14:schemeClr w14:val="tx1"/>
                        </w14:solidFill>
                      </w14:textFill>
                    </w:rPr>
                    <w:t>、</w:t>
                  </w:r>
                  <w:r>
                    <w:rPr>
                      <w:rFonts w:ascii="宋体" w:hAnsi="宋体" w:eastAsia="宋体" w:cs="宋体"/>
                      <w:color w:val="000000" w:themeColor="text1"/>
                      <w:spacing w:val="-2"/>
                      <w:sz w:val="18"/>
                      <w:szCs w:val="18"/>
                      <w14:textFill>
                        <w14:solidFill>
                          <w14:schemeClr w14:val="tx1"/>
                        </w14:solidFill>
                      </w14:textFill>
                    </w:rPr>
                    <w:t>安全带及相关纺织品</w:t>
                  </w:r>
                  <w:r>
                    <w:rPr>
                      <w:rFonts w:hint="eastAsia" w:ascii="宋体" w:hAnsi="宋体" w:eastAsia="宋体" w:cs="宋体"/>
                      <w:color w:val="000000" w:themeColor="text1"/>
                      <w:spacing w:val="-2"/>
                      <w:sz w:val="18"/>
                      <w:szCs w:val="18"/>
                      <w:lang w:eastAsia="zh-CN"/>
                      <w14:textFill>
                        <w14:solidFill>
                          <w14:schemeClr w14:val="tx1"/>
                        </w14:solidFill>
                      </w14:textFill>
                    </w:rPr>
                    <w:t>、</w:t>
                  </w:r>
                  <w:r>
                    <w:rPr>
                      <w:rFonts w:ascii="宋体" w:hAnsi="宋体" w:eastAsia="宋体" w:cs="宋体"/>
                      <w:color w:val="000000" w:themeColor="text1"/>
                      <w:spacing w:val="-1"/>
                      <w:sz w:val="18"/>
                      <w:szCs w:val="18"/>
                      <w14:textFill>
                        <w14:solidFill>
                          <w14:schemeClr w14:val="tx1"/>
                        </w14:solidFill>
                      </w14:textFill>
                    </w:rPr>
                    <w:t>报废机动车破碎残余</w:t>
                  </w:r>
                  <w:r>
                    <w:rPr>
                      <w:rFonts w:ascii="宋体" w:hAnsi="宋体" w:eastAsia="宋体" w:cs="宋体"/>
                      <w:color w:val="000000" w:themeColor="text1"/>
                      <w:sz w:val="18"/>
                      <w:szCs w:val="18"/>
                      <w14:textFill>
                        <w14:solidFill>
                          <w14:schemeClr w14:val="tx1"/>
                        </w14:solidFill>
                      </w14:textFill>
                    </w:rPr>
                    <w:t>物</w:t>
                  </w:r>
                </w:p>
              </w:tc>
              <w:tc>
                <w:tcPr>
                  <w:tcW w:w="651" w:type="pct"/>
                  <w:tcBorders>
                    <w:tl2br w:val="nil"/>
                    <w:tr2bl w:val="nil"/>
                  </w:tcBorders>
                  <w:shd w:val="clear" w:color="auto" w:fill="auto"/>
                  <w:vAlign w:val="center"/>
                </w:tcPr>
                <w:p w14:paraId="1D3DB277">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c>
                <w:tcPr>
                  <w:tcW w:w="775" w:type="pct"/>
                  <w:tcBorders>
                    <w:tl2br w:val="nil"/>
                    <w:tr2bl w:val="nil"/>
                  </w:tcBorders>
                  <w:shd w:val="clear" w:color="auto" w:fill="auto"/>
                  <w:vAlign w:val="center"/>
                </w:tcPr>
                <w:p w14:paraId="174051F1">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w:t>
                  </w:r>
                </w:p>
              </w:tc>
              <w:tc>
                <w:tcPr>
                  <w:tcW w:w="824" w:type="pct"/>
                  <w:tcBorders>
                    <w:tl2br w:val="nil"/>
                    <w:tr2bl w:val="nil"/>
                  </w:tcBorders>
                  <w:shd w:val="clear" w:color="auto" w:fill="auto"/>
                  <w:vAlign w:val="center"/>
                </w:tcPr>
                <w:p w14:paraId="57FCD0A3">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c>
                <w:tcPr>
                  <w:tcW w:w="999" w:type="pct"/>
                  <w:tcBorders>
                    <w:tl2br w:val="nil"/>
                    <w:tr2bl w:val="nil"/>
                  </w:tcBorders>
                  <w:shd w:val="clear" w:color="auto" w:fill="auto"/>
                  <w:vAlign w:val="center"/>
                </w:tcPr>
                <w:p w14:paraId="4D3F61F3">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w:t>
                  </w:r>
                </w:p>
              </w:tc>
              <w:tc>
                <w:tcPr>
                  <w:tcW w:w="618" w:type="pct"/>
                  <w:tcBorders>
                    <w:tl2br w:val="nil"/>
                    <w:tr2bl w:val="nil"/>
                  </w:tcBorders>
                  <w:shd w:val="clear" w:color="auto" w:fill="auto"/>
                  <w:vAlign w:val="center"/>
                </w:tcPr>
                <w:p w14:paraId="44F3B99B">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r>
            <w:tr w14:paraId="28D4559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5EFFD8A2">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ascii="宋体" w:hAnsi="宋体" w:eastAsia="宋体" w:cs="宋体"/>
                      <w:color w:val="000000" w:themeColor="text1"/>
                      <w:spacing w:val="-6"/>
                      <w:sz w:val="18"/>
                      <w:szCs w:val="18"/>
                      <w14:textFill>
                        <w14:solidFill>
                          <w14:schemeClr w14:val="tx1"/>
                        </w14:solidFill>
                      </w14:textFill>
                    </w:rPr>
                    <w:t>内饰材料</w:t>
                  </w:r>
                  <w:r>
                    <w:rPr>
                      <w:rFonts w:ascii="宋体" w:hAnsi="宋体" w:eastAsia="宋体" w:cs="宋体"/>
                      <w:color w:val="000000" w:themeColor="text1"/>
                      <w:spacing w:val="-1"/>
                      <w:sz w:val="18"/>
                      <w:szCs w:val="18"/>
                      <w14:textFill>
                        <w14:solidFill>
                          <w14:schemeClr w14:val="tx1"/>
                        </w14:solidFill>
                      </w14:textFill>
                    </w:rPr>
                    <w:t>海绵及座椅材料</w:t>
                  </w:r>
                </w:p>
              </w:tc>
              <w:tc>
                <w:tcPr>
                  <w:tcW w:w="651" w:type="pct"/>
                  <w:tcBorders>
                    <w:tl2br w:val="nil"/>
                    <w:tr2bl w:val="nil"/>
                  </w:tcBorders>
                  <w:shd w:val="clear" w:color="auto" w:fill="auto"/>
                  <w:vAlign w:val="center"/>
                </w:tcPr>
                <w:p w14:paraId="4FF0C883">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c>
                <w:tcPr>
                  <w:tcW w:w="775" w:type="pct"/>
                  <w:tcBorders>
                    <w:tl2br w:val="nil"/>
                    <w:tr2bl w:val="nil"/>
                  </w:tcBorders>
                  <w:shd w:val="clear" w:color="auto" w:fill="auto"/>
                  <w:vAlign w:val="center"/>
                </w:tcPr>
                <w:p w14:paraId="5C71421F">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20</w:t>
                  </w:r>
                </w:p>
              </w:tc>
              <w:tc>
                <w:tcPr>
                  <w:tcW w:w="824" w:type="pct"/>
                  <w:tcBorders>
                    <w:tl2br w:val="nil"/>
                    <w:tr2bl w:val="nil"/>
                  </w:tcBorders>
                  <w:shd w:val="clear" w:color="auto" w:fill="auto"/>
                  <w:vAlign w:val="center"/>
                </w:tcPr>
                <w:p w14:paraId="76EC1CE9">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c>
                <w:tcPr>
                  <w:tcW w:w="999" w:type="pct"/>
                  <w:tcBorders>
                    <w:tl2br w:val="nil"/>
                    <w:tr2bl w:val="nil"/>
                  </w:tcBorders>
                  <w:shd w:val="clear" w:color="auto" w:fill="auto"/>
                  <w:vAlign w:val="center"/>
                </w:tcPr>
                <w:p w14:paraId="0F7397A2">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20</w:t>
                  </w:r>
                </w:p>
              </w:tc>
              <w:tc>
                <w:tcPr>
                  <w:tcW w:w="618" w:type="pct"/>
                  <w:tcBorders>
                    <w:tl2br w:val="nil"/>
                    <w:tr2bl w:val="nil"/>
                  </w:tcBorders>
                  <w:shd w:val="clear" w:color="auto" w:fill="auto"/>
                  <w:vAlign w:val="center"/>
                </w:tcPr>
                <w:p w14:paraId="42FB3303">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r>
            <w:tr w14:paraId="51244A3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2E75FF38">
                  <w:pPr>
                    <w:wordWrap w:val="0"/>
                    <w:topLinePunct/>
                    <w:adjustRightInd w:val="0"/>
                    <w:snapToGrid w:val="0"/>
                    <w:spacing w:line="240" w:lineRule="auto"/>
                    <w:jc w:val="center"/>
                    <w:rPr>
                      <w:rFonts w:hint="default"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废</w:t>
                  </w:r>
                  <w:r>
                    <w:rPr>
                      <w:rFonts w:hint="eastAsia" w:ascii="宋体" w:hAnsi="宋体" w:cs="宋体"/>
                      <w:b w:val="0"/>
                      <w:bCs w:val="0"/>
                      <w:color w:val="000000" w:themeColor="text1"/>
                      <w:kern w:val="0"/>
                      <w:sz w:val="21"/>
                      <w:szCs w:val="21"/>
                      <w:highlight w:val="none"/>
                      <w:lang w:val="en-US" w:eastAsia="zh-CN"/>
                      <w14:textFill>
                        <w14:solidFill>
                          <w14:schemeClr w14:val="tx1"/>
                        </w14:solidFill>
                      </w14:textFill>
                    </w:rPr>
                    <w:t>轮胎</w:t>
                  </w:r>
                </w:p>
              </w:tc>
              <w:tc>
                <w:tcPr>
                  <w:tcW w:w="651" w:type="pct"/>
                  <w:tcBorders>
                    <w:tl2br w:val="nil"/>
                    <w:tr2bl w:val="nil"/>
                  </w:tcBorders>
                  <w:shd w:val="clear" w:color="auto" w:fill="auto"/>
                  <w:vAlign w:val="center"/>
                </w:tcPr>
                <w:p w14:paraId="13AAD73D">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c>
                <w:tcPr>
                  <w:tcW w:w="775" w:type="pct"/>
                  <w:tcBorders>
                    <w:tl2br w:val="nil"/>
                    <w:tr2bl w:val="nil"/>
                  </w:tcBorders>
                  <w:shd w:val="clear" w:color="auto" w:fill="auto"/>
                  <w:vAlign w:val="center"/>
                </w:tcPr>
                <w:p w14:paraId="0FADD61E">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50</w:t>
                  </w:r>
                </w:p>
              </w:tc>
              <w:tc>
                <w:tcPr>
                  <w:tcW w:w="824" w:type="pct"/>
                  <w:tcBorders>
                    <w:tl2br w:val="nil"/>
                    <w:tr2bl w:val="nil"/>
                  </w:tcBorders>
                  <w:shd w:val="clear" w:color="auto" w:fill="auto"/>
                  <w:vAlign w:val="center"/>
                </w:tcPr>
                <w:p w14:paraId="611192D7">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c>
                <w:tcPr>
                  <w:tcW w:w="999" w:type="pct"/>
                  <w:tcBorders>
                    <w:tl2br w:val="nil"/>
                    <w:tr2bl w:val="nil"/>
                  </w:tcBorders>
                  <w:shd w:val="clear" w:color="auto" w:fill="auto"/>
                  <w:vAlign w:val="center"/>
                </w:tcPr>
                <w:p w14:paraId="1491588E">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50</w:t>
                  </w:r>
                </w:p>
              </w:tc>
              <w:tc>
                <w:tcPr>
                  <w:tcW w:w="618" w:type="pct"/>
                  <w:tcBorders>
                    <w:tl2br w:val="nil"/>
                    <w:tr2bl w:val="nil"/>
                  </w:tcBorders>
                  <w:shd w:val="clear" w:color="auto" w:fill="auto"/>
                  <w:vAlign w:val="center"/>
                </w:tcPr>
                <w:p w14:paraId="2EA33089">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25</w:t>
                  </w:r>
                </w:p>
              </w:tc>
            </w:tr>
            <w:tr w14:paraId="6AF263D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6FF3D869">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ascii="宋体" w:hAnsi="宋体" w:eastAsia="宋体" w:cs="宋体"/>
                      <w:color w:val="000000" w:themeColor="text1"/>
                      <w:spacing w:val="-1"/>
                      <w:sz w:val="18"/>
                      <w:szCs w:val="18"/>
                      <w14:textFill>
                        <w14:solidFill>
                          <w14:schemeClr w14:val="tx1"/>
                        </w14:solidFill>
                      </w14:textFill>
                    </w:rPr>
                    <w:t>废弃车用电子零部件</w:t>
                  </w:r>
                </w:p>
              </w:tc>
              <w:tc>
                <w:tcPr>
                  <w:tcW w:w="651" w:type="pct"/>
                  <w:tcBorders>
                    <w:tl2br w:val="nil"/>
                    <w:tr2bl w:val="nil"/>
                  </w:tcBorders>
                  <w:shd w:val="clear" w:color="auto" w:fill="auto"/>
                  <w:vAlign w:val="center"/>
                </w:tcPr>
                <w:p w14:paraId="75DE1485">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60</w:t>
                  </w:r>
                </w:p>
              </w:tc>
              <w:tc>
                <w:tcPr>
                  <w:tcW w:w="775" w:type="pct"/>
                  <w:tcBorders>
                    <w:tl2br w:val="nil"/>
                    <w:tr2bl w:val="nil"/>
                  </w:tcBorders>
                  <w:shd w:val="clear" w:color="auto" w:fill="auto"/>
                  <w:vAlign w:val="center"/>
                </w:tcPr>
                <w:p w14:paraId="487CAEE8">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300</w:t>
                  </w:r>
                </w:p>
              </w:tc>
              <w:tc>
                <w:tcPr>
                  <w:tcW w:w="824" w:type="pct"/>
                  <w:tcBorders>
                    <w:tl2br w:val="nil"/>
                    <w:tr2bl w:val="nil"/>
                  </w:tcBorders>
                  <w:shd w:val="clear" w:color="auto" w:fill="auto"/>
                  <w:vAlign w:val="center"/>
                </w:tcPr>
                <w:p w14:paraId="75E3F3AB">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60</w:t>
                  </w:r>
                </w:p>
              </w:tc>
              <w:tc>
                <w:tcPr>
                  <w:tcW w:w="999" w:type="pct"/>
                  <w:tcBorders>
                    <w:tl2br w:val="nil"/>
                    <w:tr2bl w:val="nil"/>
                  </w:tcBorders>
                  <w:shd w:val="clear" w:color="auto" w:fill="auto"/>
                  <w:vAlign w:val="center"/>
                </w:tcPr>
                <w:p w14:paraId="3B829DB3">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300</w:t>
                  </w:r>
                </w:p>
              </w:tc>
              <w:tc>
                <w:tcPr>
                  <w:tcW w:w="618" w:type="pct"/>
                  <w:tcBorders>
                    <w:tl2br w:val="nil"/>
                    <w:tr2bl w:val="nil"/>
                  </w:tcBorders>
                  <w:shd w:val="clear" w:color="auto" w:fill="auto"/>
                  <w:vAlign w:val="center"/>
                </w:tcPr>
                <w:p w14:paraId="13669B27">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150</w:t>
                  </w:r>
                </w:p>
              </w:tc>
            </w:tr>
            <w:tr w14:paraId="1D0D4A0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3AF13A44">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废安全气囊</w:t>
                  </w:r>
                </w:p>
              </w:tc>
              <w:tc>
                <w:tcPr>
                  <w:tcW w:w="651" w:type="pct"/>
                  <w:tcBorders>
                    <w:tl2br w:val="nil"/>
                    <w:tr2bl w:val="nil"/>
                  </w:tcBorders>
                  <w:shd w:val="clear" w:color="auto" w:fill="auto"/>
                  <w:vAlign w:val="center"/>
                </w:tcPr>
                <w:p w14:paraId="4F2B6DE5">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w:t>
                  </w:r>
                </w:p>
              </w:tc>
              <w:tc>
                <w:tcPr>
                  <w:tcW w:w="775" w:type="pct"/>
                  <w:tcBorders>
                    <w:tl2br w:val="nil"/>
                    <w:tr2bl w:val="nil"/>
                  </w:tcBorders>
                  <w:shd w:val="clear" w:color="auto" w:fill="auto"/>
                  <w:vAlign w:val="center"/>
                </w:tcPr>
                <w:p w14:paraId="352737AD">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w:t>
                  </w:r>
                </w:p>
              </w:tc>
              <w:tc>
                <w:tcPr>
                  <w:tcW w:w="824" w:type="pct"/>
                  <w:tcBorders>
                    <w:tl2br w:val="nil"/>
                    <w:tr2bl w:val="nil"/>
                  </w:tcBorders>
                  <w:shd w:val="clear" w:color="auto" w:fill="auto"/>
                  <w:vAlign w:val="center"/>
                </w:tcPr>
                <w:p w14:paraId="6C2937F5">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w:t>
                  </w:r>
                </w:p>
              </w:tc>
              <w:tc>
                <w:tcPr>
                  <w:tcW w:w="999" w:type="pct"/>
                  <w:tcBorders>
                    <w:tl2br w:val="nil"/>
                    <w:tr2bl w:val="nil"/>
                  </w:tcBorders>
                  <w:shd w:val="clear" w:color="auto" w:fill="auto"/>
                  <w:vAlign w:val="center"/>
                </w:tcPr>
                <w:p w14:paraId="0D7DCC2F">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w:t>
                  </w:r>
                </w:p>
              </w:tc>
              <w:tc>
                <w:tcPr>
                  <w:tcW w:w="618" w:type="pct"/>
                  <w:tcBorders>
                    <w:tl2br w:val="nil"/>
                    <w:tr2bl w:val="nil"/>
                  </w:tcBorders>
                  <w:shd w:val="clear" w:color="auto" w:fill="auto"/>
                  <w:vAlign w:val="center"/>
                </w:tcPr>
                <w:p w14:paraId="0225A5DA">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p>
              </w:tc>
            </w:tr>
            <w:tr w14:paraId="7EAB5E4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18F1A7EB">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动力电池（锂电池）</w:t>
                  </w:r>
                </w:p>
              </w:tc>
              <w:tc>
                <w:tcPr>
                  <w:tcW w:w="651" w:type="pct"/>
                  <w:tcBorders>
                    <w:tl2br w:val="nil"/>
                    <w:tr2bl w:val="nil"/>
                  </w:tcBorders>
                  <w:shd w:val="clear" w:color="auto" w:fill="auto"/>
                  <w:vAlign w:val="center"/>
                </w:tcPr>
                <w:p w14:paraId="2D1D54B7">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0</w:t>
                  </w:r>
                </w:p>
              </w:tc>
              <w:tc>
                <w:tcPr>
                  <w:tcW w:w="775" w:type="pct"/>
                  <w:tcBorders>
                    <w:tl2br w:val="nil"/>
                    <w:tr2bl w:val="nil"/>
                  </w:tcBorders>
                  <w:shd w:val="clear" w:color="auto" w:fill="auto"/>
                  <w:vAlign w:val="center"/>
                </w:tcPr>
                <w:p w14:paraId="4BE7CE4D">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0</w:t>
                  </w:r>
                </w:p>
              </w:tc>
              <w:tc>
                <w:tcPr>
                  <w:tcW w:w="824" w:type="pct"/>
                  <w:tcBorders>
                    <w:tl2br w:val="nil"/>
                    <w:tr2bl w:val="nil"/>
                  </w:tcBorders>
                  <w:shd w:val="clear" w:color="auto" w:fill="auto"/>
                  <w:vAlign w:val="center"/>
                </w:tcPr>
                <w:p w14:paraId="6039D357">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400</w:t>
                  </w:r>
                </w:p>
              </w:tc>
              <w:tc>
                <w:tcPr>
                  <w:tcW w:w="999" w:type="pct"/>
                  <w:tcBorders>
                    <w:tl2br w:val="nil"/>
                    <w:tr2bl w:val="nil"/>
                  </w:tcBorders>
                  <w:shd w:val="clear" w:color="auto" w:fill="auto"/>
                  <w:vAlign w:val="center"/>
                </w:tcPr>
                <w:p w14:paraId="31232E39">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700</w:t>
                  </w:r>
                </w:p>
              </w:tc>
              <w:tc>
                <w:tcPr>
                  <w:tcW w:w="618" w:type="pct"/>
                  <w:tcBorders>
                    <w:tl2br w:val="nil"/>
                    <w:tr2bl w:val="nil"/>
                  </w:tcBorders>
                  <w:shd w:val="clear" w:color="auto" w:fill="auto"/>
                  <w:vAlign w:val="center"/>
                </w:tcPr>
                <w:p w14:paraId="1262E6CF">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p>
              </w:tc>
            </w:tr>
            <w:tr w14:paraId="642080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7A08DC05">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铅蓄电池</w:t>
                  </w:r>
                </w:p>
              </w:tc>
              <w:tc>
                <w:tcPr>
                  <w:tcW w:w="651" w:type="pct"/>
                  <w:tcBorders>
                    <w:tl2br w:val="nil"/>
                    <w:tr2bl w:val="nil"/>
                  </w:tcBorders>
                  <w:shd w:val="clear" w:color="auto" w:fill="auto"/>
                  <w:vAlign w:val="center"/>
                </w:tcPr>
                <w:p w14:paraId="4D334A49">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10</w:t>
                  </w:r>
                </w:p>
              </w:tc>
              <w:tc>
                <w:tcPr>
                  <w:tcW w:w="775" w:type="pct"/>
                  <w:tcBorders>
                    <w:tl2br w:val="nil"/>
                    <w:tr2bl w:val="nil"/>
                  </w:tcBorders>
                  <w:shd w:val="clear" w:color="auto" w:fill="auto"/>
                  <w:vAlign w:val="center"/>
                </w:tcPr>
                <w:p w14:paraId="65CF117C">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20</w:t>
                  </w:r>
                </w:p>
              </w:tc>
              <w:tc>
                <w:tcPr>
                  <w:tcW w:w="824" w:type="pct"/>
                  <w:tcBorders>
                    <w:tl2br w:val="nil"/>
                    <w:tr2bl w:val="nil"/>
                  </w:tcBorders>
                  <w:shd w:val="clear" w:color="auto" w:fill="auto"/>
                  <w:vAlign w:val="center"/>
                </w:tcPr>
                <w:p w14:paraId="117E8596">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10</w:t>
                  </w:r>
                </w:p>
              </w:tc>
              <w:tc>
                <w:tcPr>
                  <w:tcW w:w="999" w:type="pct"/>
                  <w:tcBorders>
                    <w:tl2br w:val="nil"/>
                    <w:tr2bl w:val="nil"/>
                  </w:tcBorders>
                  <w:shd w:val="clear" w:color="auto" w:fill="auto"/>
                  <w:vAlign w:val="center"/>
                </w:tcPr>
                <w:p w14:paraId="6FBC1C03">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10</w:t>
                  </w:r>
                </w:p>
              </w:tc>
              <w:tc>
                <w:tcPr>
                  <w:tcW w:w="618" w:type="pct"/>
                  <w:tcBorders>
                    <w:tl2br w:val="nil"/>
                    <w:tr2bl w:val="nil"/>
                  </w:tcBorders>
                  <w:shd w:val="clear" w:color="auto" w:fill="auto"/>
                  <w:vAlign w:val="center"/>
                </w:tcPr>
                <w:p w14:paraId="69CD0400">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30</w:t>
                  </w:r>
                </w:p>
              </w:tc>
            </w:tr>
            <w:tr w14:paraId="608DE52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2C7B180F">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废尾气净化装置</w:t>
                  </w:r>
                </w:p>
              </w:tc>
              <w:tc>
                <w:tcPr>
                  <w:tcW w:w="651" w:type="pct"/>
                  <w:tcBorders>
                    <w:tl2br w:val="nil"/>
                    <w:tr2bl w:val="nil"/>
                  </w:tcBorders>
                  <w:shd w:val="clear" w:color="auto" w:fill="auto"/>
                  <w:vAlign w:val="center"/>
                </w:tcPr>
                <w:p w14:paraId="48C36907">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p>
              </w:tc>
              <w:tc>
                <w:tcPr>
                  <w:tcW w:w="775" w:type="pct"/>
                  <w:tcBorders>
                    <w:tl2br w:val="nil"/>
                    <w:tr2bl w:val="nil"/>
                  </w:tcBorders>
                  <w:shd w:val="clear" w:color="auto" w:fill="auto"/>
                  <w:vAlign w:val="center"/>
                </w:tcPr>
                <w:p w14:paraId="70515B69">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p>
              </w:tc>
              <w:tc>
                <w:tcPr>
                  <w:tcW w:w="824" w:type="pct"/>
                  <w:tcBorders>
                    <w:tl2br w:val="nil"/>
                    <w:tr2bl w:val="nil"/>
                  </w:tcBorders>
                  <w:shd w:val="clear" w:color="auto" w:fill="auto"/>
                  <w:vAlign w:val="center"/>
                </w:tcPr>
                <w:p w14:paraId="77F0CA44">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p>
              </w:tc>
              <w:tc>
                <w:tcPr>
                  <w:tcW w:w="999" w:type="pct"/>
                  <w:tcBorders>
                    <w:tl2br w:val="nil"/>
                    <w:tr2bl w:val="nil"/>
                  </w:tcBorders>
                  <w:shd w:val="clear" w:color="auto" w:fill="auto"/>
                  <w:vAlign w:val="center"/>
                </w:tcPr>
                <w:p w14:paraId="31E16D32">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p>
              </w:tc>
              <w:tc>
                <w:tcPr>
                  <w:tcW w:w="618" w:type="pct"/>
                  <w:tcBorders>
                    <w:tl2br w:val="nil"/>
                    <w:tr2bl w:val="nil"/>
                  </w:tcBorders>
                  <w:shd w:val="clear" w:color="auto" w:fill="auto"/>
                  <w:vAlign w:val="center"/>
                </w:tcPr>
                <w:p w14:paraId="13B723F5">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5</w:t>
                  </w:r>
                </w:p>
              </w:tc>
            </w:tr>
            <w:tr w14:paraId="4C7E725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4748ECFF">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ascii="宋体" w:hAnsi="宋体" w:eastAsia="宋体" w:cs="宋体"/>
                      <w:color w:val="000000" w:themeColor="text1"/>
                      <w:spacing w:val="-1"/>
                      <w:sz w:val="18"/>
                      <w:szCs w:val="18"/>
                      <w14:textFill>
                        <w14:solidFill>
                          <w14:schemeClr w14:val="tx1"/>
                        </w14:solidFill>
                      </w14:textFill>
                    </w:rPr>
                    <w:t>废矿物油与含矿物油</w:t>
                  </w:r>
                  <w:r>
                    <w:rPr>
                      <w:rFonts w:ascii="宋体" w:hAnsi="宋体" w:eastAsia="宋体" w:cs="宋体"/>
                      <w:color w:val="000000" w:themeColor="text1"/>
                      <w:spacing w:val="-2"/>
                      <w:sz w:val="18"/>
                      <w:szCs w:val="18"/>
                      <w14:textFill>
                        <w14:solidFill>
                          <w14:schemeClr w14:val="tx1"/>
                        </w14:solidFill>
                      </w14:textFill>
                    </w:rPr>
                    <w:t>废物</w:t>
                  </w:r>
                </w:p>
              </w:tc>
              <w:tc>
                <w:tcPr>
                  <w:tcW w:w="651" w:type="pct"/>
                  <w:tcBorders>
                    <w:tl2br w:val="nil"/>
                    <w:tr2bl w:val="nil"/>
                  </w:tcBorders>
                  <w:shd w:val="clear" w:color="auto" w:fill="auto"/>
                  <w:vAlign w:val="center"/>
                </w:tcPr>
                <w:p w14:paraId="208CC5DE">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2</w:t>
                  </w:r>
                </w:p>
              </w:tc>
              <w:tc>
                <w:tcPr>
                  <w:tcW w:w="775" w:type="pct"/>
                  <w:tcBorders>
                    <w:tl2br w:val="nil"/>
                    <w:tr2bl w:val="nil"/>
                  </w:tcBorders>
                  <w:shd w:val="clear" w:color="auto" w:fill="auto"/>
                  <w:vAlign w:val="center"/>
                </w:tcPr>
                <w:p w14:paraId="72E24E84">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4</w:t>
                  </w:r>
                </w:p>
              </w:tc>
              <w:tc>
                <w:tcPr>
                  <w:tcW w:w="824" w:type="pct"/>
                  <w:tcBorders>
                    <w:tl2br w:val="nil"/>
                    <w:tr2bl w:val="nil"/>
                  </w:tcBorders>
                  <w:shd w:val="clear" w:color="auto" w:fill="auto"/>
                  <w:vAlign w:val="center"/>
                </w:tcPr>
                <w:p w14:paraId="6A1D73F1">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p>
              </w:tc>
              <w:tc>
                <w:tcPr>
                  <w:tcW w:w="999" w:type="pct"/>
                  <w:tcBorders>
                    <w:tl2br w:val="nil"/>
                    <w:tr2bl w:val="nil"/>
                  </w:tcBorders>
                  <w:shd w:val="clear" w:color="auto" w:fill="auto"/>
                  <w:vAlign w:val="center"/>
                </w:tcPr>
                <w:p w14:paraId="389E3EF6">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p>
              </w:tc>
              <w:tc>
                <w:tcPr>
                  <w:tcW w:w="618" w:type="pct"/>
                  <w:tcBorders>
                    <w:tl2br w:val="nil"/>
                    <w:tr2bl w:val="nil"/>
                  </w:tcBorders>
                  <w:shd w:val="clear" w:color="auto" w:fill="auto"/>
                  <w:vAlign w:val="center"/>
                </w:tcPr>
                <w:p w14:paraId="00589D0A">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3.5</w:t>
                  </w:r>
                </w:p>
              </w:tc>
            </w:tr>
            <w:tr w14:paraId="36E0B84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002252C8">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废有机溶剂与含有机溶剂废物</w:t>
                  </w:r>
                </w:p>
              </w:tc>
              <w:tc>
                <w:tcPr>
                  <w:tcW w:w="651" w:type="pct"/>
                  <w:tcBorders>
                    <w:tl2br w:val="nil"/>
                    <w:tr2bl w:val="nil"/>
                  </w:tcBorders>
                  <w:shd w:val="clear" w:color="auto" w:fill="auto"/>
                  <w:vAlign w:val="center"/>
                </w:tcPr>
                <w:p w14:paraId="6BF873F2">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4</w:t>
                  </w:r>
                </w:p>
              </w:tc>
              <w:tc>
                <w:tcPr>
                  <w:tcW w:w="775" w:type="pct"/>
                  <w:tcBorders>
                    <w:tl2br w:val="nil"/>
                    <w:tr2bl w:val="nil"/>
                  </w:tcBorders>
                  <w:shd w:val="clear" w:color="auto" w:fill="auto"/>
                  <w:vAlign w:val="center"/>
                </w:tcPr>
                <w:p w14:paraId="0C543F0B">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10</w:t>
                  </w:r>
                </w:p>
              </w:tc>
              <w:tc>
                <w:tcPr>
                  <w:tcW w:w="824" w:type="pct"/>
                  <w:tcBorders>
                    <w:tl2br w:val="nil"/>
                    <w:tr2bl w:val="nil"/>
                  </w:tcBorders>
                  <w:shd w:val="clear" w:color="auto" w:fill="auto"/>
                  <w:vAlign w:val="center"/>
                </w:tcPr>
                <w:p w14:paraId="4DDD5475">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2</w:t>
                  </w:r>
                </w:p>
              </w:tc>
              <w:tc>
                <w:tcPr>
                  <w:tcW w:w="999" w:type="pct"/>
                  <w:tcBorders>
                    <w:tl2br w:val="nil"/>
                    <w:tr2bl w:val="nil"/>
                  </w:tcBorders>
                  <w:shd w:val="clear" w:color="auto" w:fill="auto"/>
                  <w:vAlign w:val="center"/>
                </w:tcPr>
                <w:p w14:paraId="50BB4563">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5</w:t>
                  </w:r>
                </w:p>
              </w:tc>
              <w:tc>
                <w:tcPr>
                  <w:tcW w:w="618" w:type="pct"/>
                  <w:tcBorders>
                    <w:tl2br w:val="nil"/>
                    <w:tr2bl w:val="nil"/>
                  </w:tcBorders>
                  <w:shd w:val="clear" w:color="auto" w:fill="auto"/>
                  <w:vAlign w:val="center"/>
                </w:tcPr>
                <w:p w14:paraId="73B89862">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w:t>
                  </w:r>
                </w:p>
              </w:tc>
            </w:tr>
            <w:tr w14:paraId="7E9B28B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4DE7DACC">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制冷剂</w:t>
                  </w:r>
                </w:p>
              </w:tc>
              <w:tc>
                <w:tcPr>
                  <w:tcW w:w="651" w:type="pct"/>
                  <w:tcBorders>
                    <w:tl2br w:val="nil"/>
                    <w:tr2bl w:val="nil"/>
                  </w:tcBorders>
                  <w:shd w:val="clear" w:color="auto" w:fill="auto"/>
                  <w:vAlign w:val="center"/>
                </w:tcPr>
                <w:p w14:paraId="2CF5AFC1">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1</w:t>
                  </w:r>
                </w:p>
              </w:tc>
              <w:tc>
                <w:tcPr>
                  <w:tcW w:w="775" w:type="pct"/>
                  <w:tcBorders>
                    <w:tl2br w:val="nil"/>
                    <w:tr2bl w:val="nil"/>
                  </w:tcBorders>
                  <w:shd w:val="clear" w:color="auto" w:fill="auto"/>
                  <w:vAlign w:val="center"/>
                </w:tcPr>
                <w:p w14:paraId="17AF81F0">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3</w:t>
                  </w:r>
                </w:p>
              </w:tc>
              <w:tc>
                <w:tcPr>
                  <w:tcW w:w="824" w:type="pct"/>
                  <w:tcBorders>
                    <w:tl2br w:val="nil"/>
                    <w:tr2bl w:val="nil"/>
                  </w:tcBorders>
                  <w:shd w:val="clear" w:color="auto" w:fill="auto"/>
                  <w:vAlign w:val="center"/>
                </w:tcPr>
                <w:p w14:paraId="4232801F">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1</w:t>
                  </w:r>
                </w:p>
              </w:tc>
              <w:tc>
                <w:tcPr>
                  <w:tcW w:w="999" w:type="pct"/>
                  <w:tcBorders>
                    <w:tl2br w:val="nil"/>
                    <w:tr2bl w:val="nil"/>
                  </w:tcBorders>
                  <w:shd w:val="clear" w:color="auto" w:fill="auto"/>
                  <w:vAlign w:val="center"/>
                </w:tcPr>
                <w:p w14:paraId="1D9E0213">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3</w:t>
                  </w:r>
                </w:p>
              </w:tc>
              <w:tc>
                <w:tcPr>
                  <w:tcW w:w="618" w:type="pct"/>
                  <w:tcBorders>
                    <w:tl2br w:val="nil"/>
                    <w:tr2bl w:val="nil"/>
                  </w:tcBorders>
                  <w:shd w:val="clear" w:color="auto" w:fill="auto"/>
                  <w:vAlign w:val="center"/>
                </w:tcPr>
                <w:p w14:paraId="323448B7">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0</w:t>
                  </w:r>
                </w:p>
              </w:tc>
            </w:tr>
            <w:tr w14:paraId="2E0715C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03780AC7">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线路板</w:t>
                  </w:r>
                </w:p>
              </w:tc>
              <w:tc>
                <w:tcPr>
                  <w:tcW w:w="651" w:type="pct"/>
                  <w:tcBorders>
                    <w:tl2br w:val="nil"/>
                    <w:tr2bl w:val="nil"/>
                  </w:tcBorders>
                  <w:shd w:val="clear" w:color="auto" w:fill="auto"/>
                  <w:vAlign w:val="center"/>
                </w:tcPr>
                <w:p w14:paraId="471B32E9">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w:t>
                  </w:r>
                </w:p>
              </w:tc>
              <w:tc>
                <w:tcPr>
                  <w:tcW w:w="775" w:type="pct"/>
                  <w:tcBorders>
                    <w:tl2br w:val="nil"/>
                    <w:tr2bl w:val="nil"/>
                  </w:tcBorders>
                  <w:shd w:val="clear" w:color="auto" w:fill="auto"/>
                  <w:vAlign w:val="center"/>
                </w:tcPr>
                <w:p w14:paraId="783B3DA5">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5</w:t>
                  </w:r>
                </w:p>
              </w:tc>
              <w:tc>
                <w:tcPr>
                  <w:tcW w:w="824" w:type="pct"/>
                  <w:tcBorders>
                    <w:tl2br w:val="nil"/>
                    <w:tr2bl w:val="nil"/>
                  </w:tcBorders>
                  <w:shd w:val="clear" w:color="auto" w:fill="auto"/>
                  <w:vAlign w:val="center"/>
                </w:tcPr>
                <w:p w14:paraId="701D2CE6">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3</w:t>
                  </w:r>
                </w:p>
              </w:tc>
              <w:tc>
                <w:tcPr>
                  <w:tcW w:w="999" w:type="pct"/>
                  <w:tcBorders>
                    <w:tl2br w:val="nil"/>
                    <w:tr2bl w:val="nil"/>
                  </w:tcBorders>
                  <w:shd w:val="clear" w:color="auto" w:fill="auto"/>
                  <w:vAlign w:val="center"/>
                </w:tcPr>
                <w:p w14:paraId="1C4D10C2">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5</w:t>
                  </w:r>
                </w:p>
              </w:tc>
              <w:tc>
                <w:tcPr>
                  <w:tcW w:w="618" w:type="pct"/>
                  <w:tcBorders>
                    <w:tl2br w:val="nil"/>
                    <w:tr2bl w:val="nil"/>
                  </w:tcBorders>
                  <w:shd w:val="clear" w:color="auto" w:fill="auto"/>
                  <w:vAlign w:val="center"/>
                </w:tcPr>
                <w:p w14:paraId="147649FA">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1</w:t>
                  </w:r>
                </w:p>
              </w:tc>
            </w:tr>
            <w:tr w14:paraId="1BC646B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jc w:val="center"/>
              </w:trPr>
              <w:tc>
                <w:tcPr>
                  <w:tcW w:w="1130" w:type="pct"/>
                  <w:tcBorders>
                    <w:tl2br w:val="nil"/>
                    <w:tr2bl w:val="nil"/>
                  </w:tcBorders>
                  <w:shd w:val="clear" w:color="auto" w:fill="auto"/>
                  <w:vAlign w:val="center"/>
                </w:tcPr>
                <w:p w14:paraId="1589E675">
                  <w:pPr>
                    <w:wordWrap w:val="0"/>
                    <w:topLinePunct/>
                    <w:adjustRightInd w:val="0"/>
                    <w:snapToGrid w:val="0"/>
                    <w:spacing w:line="240" w:lineRule="auto"/>
                    <w:jc w:val="both"/>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 xml:space="preserve">   液化气罐</w:t>
                  </w:r>
                </w:p>
              </w:tc>
              <w:tc>
                <w:tcPr>
                  <w:tcW w:w="651" w:type="pct"/>
                  <w:tcBorders>
                    <w:tl2br w:val="nil"/>
                    <w:tr2bl w:val="nil"/>
                  </w:tcBorders>
                  <w:shd w:val="clear" w:color="auto" w:fill="auto"/>
                  <w:vAlign w:val="center"/>
                </w:tcPr>
                <w:p w14:paraId="6F0774E9">
                  <w:pPr>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tc>
              <w:tc>
                <w:tcPr>
                  <w:tcW w:w="775" w:type="pct"/>
                  <w:tcBorders>
                    <w:tl2br w:val="nil"/>
                    <w:tr2bl w:val="nil"/>
                  </w:tcBorders>
                  <w:shd w:val="clear" w:color="auto" w:fill="auto"/>
                  <w:vAlign w:val="center"/>
                </w:tcPr>
                <w:p w14:paraId="4B54DEFC">
                  <w:pPr>
                    <w:jc w:val="center"/>
                    <w:rPr>
                      <w:rFonts w:hint="eastAsia"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10</w:t>
                  </w:r>
                </w:p>
              </w:tc>
              <w:tc>
                <w:tcPr>
                  <w:tcW w:w="824" w:type="pct"/>
                  <w:tcBorders>
                    <w:tl2br w:val="nil"/>
                    <w:tr2bl w:val="nil"/>
                  </w:tcBorders>
                  <w:shd w:val="clear" w:color="auto" w:fill="auto"/>
                  <w:vAlign w:val="center"/>
                </w:tcPr>
                <w:p w14:paraId="0075F95A">
                  <w:pPr>
                    <w:wordWrap w:val="0"/>
                    <w:topLinePunct/>
                    <w:adjustRightInd w:val="0"/>
                    <w:snapToGrid w:val="0"/>
                    <w:spacing w:line="240" w:lineRule="auto"/>
                    <w:jc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tc>
              <w:tc>
                <w:tcPr>
                  <w:tcW w:w="999" w:type="pct"/>
                  <w:tcBorders>
                    <w:tl2br w:val="nil"/>
                    <w:tr2bl w:val="nil"/>
                  </w:tcBorders>
                  <w:shd w:val="clear" w:color="auto" w:fill="auto"/>
                  <w:vAlign w:val="center"/>
                </w:tcPr>
                <w:p w14:paraId="592A5232">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tc>
              <w:tc>
                <w:tcPr>
                  <w:tcW w:w="618" w:type="pct"/>
                  <w:tcBorders>
                    <w:tl2br w:val="nil"/>
                    <w:tr2bl w:val="nil"/>
                  </w:tcBorders>
                  <w:shd w:val="clear" w:color="auto" w:fill="auto"/>
                  <w:vAlign w:val="center"/>
                </w:tcPr>
                <w:p w14:paraId="291CBD29">
                  <w:pPr>
                    <w:wordWrap w:val="0"/>
                    <w:topLinePunct/>
                    <w:spacing w:line="240" w:lineRule="auto"/>
                    <w:jc w:val="center"/>
                    <w:textAlignment w:val="cente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tc>
            </w:tr>
          </w:tbl>
          <w:p w14:paraId="77738795">
            <w:pPr>
              <w:rPr>
                <w:rFonts w:hint="eastAsia" w:ascii="宋体" w:hAnsi="宋体" w:eastAsia="宋体" w:cs="宋体"/>
                <w:color w:val="000000" w:themeColor="text1"/>
                <w14:textFill>
                  <w14:solidFill>
                    <w14:schemeClr w14:val="tx1"/>
                  </w14:solidFill>
                </w14:textFill>
              </w:rPr>
            </w:pPr>
          </w:p>
          <w:p w14:paraId="382AA726">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b/>
                <w:color w:val="000000" w:themeColor="text1"/>
                <w:sz w:val="21"/>
                <w:szCs w:val="21"/>
                <w:highlight w:val="none"/>
                <w14:textFill>
                  <w14:solidFill>
                    <w14:schemeClr w14:val="tx1"/>
                  </w14:solidFill>
                </w14:textFill>
              </w:rPr>
            </w:pPr>
          </w:p>
          <w:p w14:paraId="738A17FE">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b/>
                <w:color w:val="000000" w:themeColor="text1"/>
                <w:sz w:val="21"/>
                <w:szCs w:val="21"/>
                <w:highlight w:val="none"/>
                <w14:textFill>
                  <w14:solidFill>
                    <w14:schemeClr w14:val="tx1"/>
                  </w14:solidFill>
                </w14:textFill>
              </w:rPr>
            </w:pPr>
          </w:p>
          <w:p w14:paraId="25B915BA">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b/>
                <w:color w:val="000000" w:themeColor="text1"/>
                <w:sz w:val="21"/>
                <w:szCs w:val="21"/>
                <w:highlight w:val="none"/>
                <w14:textFill>
                  <w14:solidFill>
                    <w14:schemeClr w14:val="tx1"/>
                  </w14:solidFill>
                </w14:textFill>
              </w:rPr>
            </w:pPr>
          </w:p>
          <w:p w14:paraId="2F6D0C16">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表2-6</w:t>
            </w:r>
            <w:r>
              <w:rPr>
                <w:rFonts w:hint="eastAsia" w:ascii="宋体" w:hAnsi="宋体" w:cs="宋体"/>
                <w:b/>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1"/>
                <w:szCs w:val="21"/>
                <w:highlight w:val="none"/>
                <w14:textFill>
                  <w14:solidFill>
                    <w14:schemeClr w14:val="tx1"/>
                  </w14:solidFill>
                </w14:textFill>
              </w:rPr>
              <w:t>机动车回收、拆解物料平衡明细表 单位：t/a</w:t>
            </w:r>
          </w:p>
          <w:tbl>
            <w:tblPr>
              <w:tblStyle w:val="25"/>
              <w:tblW w:w="4961"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473"/>
              <w:gridCol w:w="1206"/>
              <w:gridCol w:w="936"/>
              <w:gridCol w:w="1040"/>
              <w:gridCol w:w="1028"/>
              <w:gridCol w:w="1100"/>
              <w:gridCol w:w="1009"/>
              <w:gridCol w:w="1107"/>
            </w:tblGrid>
            <w:tr w14:paraId="7B98C6F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00" w:hRule="atLeast"/>
              </w:trPr>
              <w:tc>
                <w:tcPr>
                  <w:tcW w:w="1064" w:type="pct"/>
                  <w:gridSpan w:val="2"/>
                  <w:vMerge w:val="restart"/>
                  <w:tcBorders>
                    <w:tl2br w:val="nil"/>
                    <w:tr2bl w:val="nil"/>
                  </w:tcBorders>
                  <w:shd w:val="clear" w:color="auto" w:fill="auto"/>
                  <w:vAlign w:val="center"/>
                </w:tcPr>
                <w:p w14:paraId="651E45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拆解件名称</w:t>
                  </w:r>
                </w:p>
              </w:tc>
              <w:tc>
                <w:tcPr>
                  <w:tcW w:w="1249" w:type="pct"/>
                  <w:gridSpan w:val="2"/>
                  <w:tcBorders>
                    <w:tl2br w:val="nil"/>
                    <w:tr2bl w:val="nil"/>
                  </w:tcBorders>
                  <w:shd w:val="clear" w:color="auto" w:fill="auto"/>
                  <w:vAlign w:val="center"/>
                </w:tcPr>
                <w:p w14:paraId="211766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传统燃油机动车</w:t>
                  </w:r>
                </w:p>
              </w:tc>
              <w:tc>
                <w:tcPr>
                  <w:tcW w:w="1347" w:type="pct"/>
                  <w:gridSpan w:val="2"/>
                  <w:tcBorders>
                    <w:tl2br w:val="nil"/>
                    <w:tr2bl w:val="nil"/>
                  </w:tcBorders>
                  <w:shd w:val="clear" w:color="auto" w:fill="auto"/>
                  <w:vAlign w:val="center"/>
                </w:tcPr>
                <w:p w14:paraId="5DBB516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新能源车</w:t>
                  </w:r>
                </w:p>
              </w:tc>
              <w:tc>
                <w:tcPr>
                  <w:tcW w:w="639" w:type="pct"/>
                  <w:vMerge w:val="restart"/>
                  <w:tcBorders>
                    <w:tl2br w:val="nil"/>
                    <w:tr2bl w:val="nil"/>
                  </w:tcBorders>
                  <w:shd w:val="clear" w:color="auto" w:fill="auto"/>
                  <w:vAlign w:val="center"/>
                </w:tcPr>
                <w:p w14:paraId="29108D8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农机</w:t>
                  </w:r>
                </w:p>
              </w:tc>
              <w:tc>
                <w:tcPr>
                  <w:tcW w:w="698" w:type="pct"/>
                  <w:vMerge w:val="restart"/>
                  <w:tcBorders>
                    <w:tl2br w:val="nil"/>
                    <w:tr2bl w:val="nil"/>
                  </w:tcBorders>
                  <w:shd w:val="clear" w:color="auto" w:fill="auto"/>
                  <w:vAlign w:val="center"/>
                </w:tcPr>
                <w:p w14:paraId="0C6B3C90">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总和</w:t>
                  </w:r>
                </w:p>
              </w:tc>
            </w:tr>
            <w:tr w14:paraId="470B399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40" w:hRule="atLeast"/>
              </w:trPr>
              <w:tc>
                <w:tcPr>
                  <w:tcW w:w="1064" w:type="pct"/>
                  <w:gridSpan w:val="2"/>
                  <w:vMerge w:val="continue"/>
                  <w:tcBorders>
                    <w:tl2br w:val="nil"/>
                    <w:tr2bl w:val="nil"/>
                  </w:tcBorders>
                  <w:shd w:val="clear" w:color="auto" w:fill="auto"/>
                  <w:vAlign w:val="center"/>
                </w:tcPr>
                <w:p w14:paraId="56E40F27">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591" w:type="pct"/>
                  <w:tcBorders>
                    <w:tl2br w:val="nil"/>
                    <w:tr2bl w:val="nil"/>
                  </w:tcBorders>
                  <w:shd w:val="clear" w:color="auto" w:fill="auto"/>
                  <w:vAlign w:val="center"/>
                </w:tcPr>
                <w:p w14:paraId="190B10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小型车</w:t>
                  </w:r>
                </w:p>
              </w:tc>
              <w:tc>
                <w:tcPr>
                  <w:tcW w:w="658" w:type="pct"/>
                  <w:tcBorders>
                    <w:tl2br w:val="nil"/>
                    <w:tr2bl w:val="nil"/>
                  </w:tcBorders>
                  <w:shd w:val="clear" w:color="auto" w:fill="auto"/>
                  <w:vAlign w:val="center"/>
                </w:tcPr>
                <w:p w14:paraId="46B373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大中型车</w:t>
                  </w:r>
                </w:p>
              </w:tc>
              <w:tc>
                <w:tcPr>
                  <w:tcW w:w="651" w:type="pct"/>
                  <w:tcBorders>
                    <w:tl2br w:val="nil"/>
                    <w:tr2bl w:val="nil"/>
                  </w:tcBorders>
                  <w:shd w:val="clear" w:color="auto" w:fill="auto"/>
                  <w:vAlign w:val="center"/>
                </w:tcPr>
                <w:p w14:paraId="24D01E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新能源轿车</w:t>
                  </w:r>
                </w:p>
              </w:tc>
              <w:tc>
                <w:tcPr>
                  <w:tcW w:w="696" w:type="pct"/>
                  <w:tcBorders>
                    <w:tl2br w:val="nil"/>
                    <w:tr2bl w:val="nil"/>
                  </w:tcBorders>
                  <w:shd w:val="clear" w:color="auto" w:fill="auto"/>
                  <w:vAlign w:val="center"/>
                </w:tcPr>
                <w:p w14:paraId="6E197B6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新能源客、货车</w:t>
                  </w:r>
                </w:p>
              </w:tc>
              <w:tc>
                <w:tcPr>
                  <w:tcW w:w="639" w:type="pct"/>
                  <w:vMerge w:val="continue"/>
                  <w:tcBorders>
                    <w:tl2br w:val="nil"/>
                    <w:tr2bl w:val="nil"/>
                  </w:tcBorders>
                  <w:shd w:val="clear" w:color="auto" w:fill="auto"/>
                  <w:vAlign w:val="center"/>
                </w:tcPr>
                <w:p w14:paraId="32B36004">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98" w:type="pct"/>
                  <w:vMerge w:val="continue"/>
                  <w:tcBorders>
                    <w:tl2br w:val="nil"/>
                    <w:tr2bl w:val="nil"/>
                  </w:tcBorders>
                  <w:shd w:val="clear" w:color="auto" w:fill="auto"/>
                  <w:vAlign w:val="center"/>
                </w:tcPr>
                <w:p w14:paraId="04A2C09B">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6CBF7AF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00" w:hRule="atLeast"/>
              </w:trPr>
              <w:tc>
                <w:tcPr>
                  <w:tcW w:w="5000" w:type="pct"/>
                  <w:gridSpan w:val="8"/>
                  <w:tcBorders>
                    <w:tl2br w:val="nil"/>
                    <w:tr2bl w:val="nil"/>
                  </w:tcBorders>
                  <w:shd w:val="clear" w:color="auto" w:fill="auto"/>
                  <w:vAlign w:val="center"/>
                </w:tcPr>
                <w:p w14:paraId="69A80C7F">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输入</w:t>
                  </w:r>
                </w:p>
              </w:tc>
            </w:tr>
            <w:tr w14:paraId="16886BF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1064" w:type="pct"/>
                  <w:gridSpan w:val="2"/>
                  <w:tcBorders>
                    <w:tl2br w:val="nil"/>
                    <w:tr2bl w:val="nil"/>
                  </w:tcBorders>
                  <w:shd w:val="clear" w:color="auto" w:fill="auto"/>
                  <w:vAlign w:val="center"/>
                </w:tcPr>
                <w:p w14:paraId="070D8C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待拆解车</w:t>
                  </w:r>
                </w:p>
              </w:tc>
              <w:tc>
                <w:tcPr>
                  <w:tcW w:w="591" w:type="pct"/>
                  <w:tcBorders>
                    <w:tl2br w:val="nil"/>
                    <w:tr2bl w:val="nil"/>
                  </w:tcBorders>
                  <w:shd w:val="clear" w:color="auto" w:fill="auto"/>
                  <w:vAlign w:val="center"/>
                </w:tcPr>
                <w:p w14:paraId="2075195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sum(C2:C25)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8652.887</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58" w:type="pct"/>
                  <w:tcBorders>
                    <w:tl2br w:val="nil"/>
                    <w:tr2bl w:val="nil"/>
                  </w:tcBorders>
                  <w:shd w:val="clear" w:color="auto" w:fill="auto"/>
                  <w:vAlign w:val="center"/>
                </w:tcPr>
                <w:p w14:paraId="1606F9E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sum(D2:D25)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21209.545</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51" w:type="pct"/>
                  <w:tcBorders>
                    <w:tl2br w:val="nil"/>
                    <w:tr2bl w:val="nil"/>
                  </w:tcBorders>
                  <w:shd w:val="clear" w:color="auto" w:fill="auto"/>
                  <w:vAlign w:val="center"/>
                </w:tcPr>
                <w:p w14:paraId="16A3B19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sum(E2:E25)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978.8976</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96" w:type="pct"/>
                  <w:tcBorders>
                    <w:tl2br w:val="nil"/>
                    <w:tr2bl w:val="nil"/>
                  </w:tcBorders>
                  <w:shd w:val="clear" w:color="auto" w:fill="auto"/>
                  <w:vAlign w:val="center"/>
                </w:tcPr>
                <w:p w14:paraId="65AC28E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sum(F2:F25)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1965.2454</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39" w:type="pct"/>
                  <w:tcBorders>
                    <w:tl2br w:val="nil"/>
                    <w:tr2bl w:val="nil"/>
                  </w:tcBorders>
                  <w:shd w:val="clear" w:color="auto" w:fill="auto"/>
                  <w:vAlign w:val="center"/>
                </w:tcPr>
                <w:p w14:paraId="0B4E8B5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sum(G2:G25)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4383.47</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98" w:type="pct"/>
                  <w:tcBorders>
                    <w:tl2br w:val="nil"/>
                    <w:tr2bl w:val="nil"/>
                  </w:tcBorders>
                  <w:shd w:val="clear" w:color="auto" w:fill="auto"/>
                  <w:vAlign w:val="center"/>
                </w:tcPr>
                <w:p w14:paraId="4EAB6CB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sum(H2:H25)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38190.045</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r>
            <w:tr w14:paraId="038A461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46" w:hRule="atLeast"/>
              </w:trPr>
              <w:tc>
                <w:tcPr>
                  <w:tcW w:w="5000" w:type="pct"/>
                  <w:gridSpan w:val="8"/>
                  <w:tcBorders>
                    <w:tl2br w:val="nil"/>
                    <w:tr2bl w:val="nil"/>
                  </w:tcBorders>
                  <w:shd w:val="clear" w:color="auto" w:fill="auto"/>
                  <w:vAlign w:val="center"/>
                </w:tcPr>
                <w:p w14:paraId="427DADC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输出</w:t>
                  </w:r>
                </w:p>
              </w:tc>
            </w:tr>
            <w:tr w14:paraId="3FB32F3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161" w:hRule="atLeast"/>
              </w:trPr>
              <w:tc>
                <w:tcPr>
                  <w:tcW w:w="300" w:type="pct"/>
                  <w:vMerge w:val="restart"/>
                  <w:tcBorders>
                    <w:tl2br w:val="nil"/>
                    <w:tr2bl w:val="nil"/>
                  </w:tcBorders>
                  <w:shd w:val="clear" w:color="auto" w:fill="auto"/>
                  <w:vAlign w:val="center"/>
                </w:tcPr>
                <w:p w14:paraId="3B8414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成品</w:t>
                  </w:r>
                </w:p>
              </w:tc>
              <w:tc>
                <w:tcPr>
                  <w:tcW w:w="763" w:type="pct"/>
                  <w:tcBorders>
                    <w:tl2br w:val="nil"/>
                    <w:tr2bl w:val="nil"/>
                  </w:tcBorders>
                  <w:shd w:val="clear" w:color="auto" w:fill="auto"/>
                  <w:vAlign w:val="center"/>
                </w:tcPr>
                <w:p w14:paraId="17321AB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钢铁</w:t>
                  </w:r>
                </w:p>
              </w:tc>
              <w:tc>
                <w:tcPr>
                  <w:tcW w:w="591" w:type="pct"/>
                  <w:tcBorders>
                    <w:tl2br w:val="nil"/>
                    <w:tr2bl w:val="nil"/>
                  </w:tcBorders>
                  <w:shd w:val="clear" w:color="auto" w:fill="auto"/>
                  <w:vAlign w:val="center"/>
                </w:tcPr>
                <w:p w14:paraId="519E076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2100</w:t>
                  </w:r>
                </w:p>
              </w:tc>
              <w:tc>
                <w:tcPr>
                  <w:tcW w:w="658" w:type="pct"/>
                  <w:tcBorders>
                    <w:tl2br w:val="nil"/>
                    <w:tr2bl w:val="nil"/>
                  </w:tcBorders>
                  <w:shd w:val="clear" w:color="auto" w:fill="auto"/>
                  <w:vAlign w:val="center"/>
                </w:tcPr>
                <w:p w14:paraId="581368E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7500</w:t>
                  </w:r>
                </w:p>
              </w:tc>
              <w:tc>
                <w:tcPr>
                  <w:tcW w:w="651" w:type="pct"/>
                  <w:tcBorders>
                    <w:tl2br w:val="nil"/>
                    <w:tr2bl w:val="nil"/>
                  </w:tcBorders>
                  <w:shd w:val="clear" w:color="auto" w:fill="auto"/>
                  <w:vAlign w:val="center"/>
                </w:tcPr>
                <w:p w14:paraId="70A444D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180</w:t>
                  </w:r>
                </w:p>
              </w:tc>
              <w:tc>
                <w:tcPr>
                  <w:tcW w:w="696" w:type="pct"/>
                  <w:tcBorders>
                    <w:tl2br w:val="nil"/>
                    <w:tr2bl w:val="nil"/>
                  </w:tcBorders>
                  <w:shd w:val="clear" w:color="auto" w:fill="auto"/>
                  <w:vAlign w:val="center"/>
                </w:tcPr>
                <w:p w14:paraId="1D2278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600</w:t>
                  </w:r>
                </w:p>
              </w:tc>
              <w:tc>
                <w:tcPr>
                  <w:tcW w:w="639" w:type="pct"/>
                  <w:tcBorders>
                    <w:tl2br w:val="nil"/>
                    <w:tr2bl w:val="nil"/>
                  </w:tcBorders>
                  <w:shd w:val="clear" w:color="auto" w:fill="auto"/>
                  <w:vAlign w:val="center"/>
                </w:tcPr>
                <w:p w14:paraId="6D22700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1400</w:t>
                  </w:r>
                </w:p>
              </w:tc>
              <w:tc>
                <w:tcPr>
                  <w:tcW w:w="698" w:type="pct"/>
                  <w:tcBorders>
                    <w:tl2br w:val="nil"/>
                    <w:tr2bl w:val="nil"/>
                  </w:tcBorders>
                  <w:shd w:val="clear" w:color="auto" w:fill="auto"/>
                  <w:vAlign w:val="center"/>
                </w:tcPr>
                <w:p w14:paraId="537F362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11780</w:t>
                  </w:r>
                </w:p>
              </w:tc>
            </w:tr>
            <w:tr w14:paraId="77D9DC3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5518950D">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502040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有色金属</w:t>
                  </w:r>
                </w:p>
              </w:tc>
              <w:tc>
                <w:tcPr>
                  <w:tcW w:w="591" w:type="pct"/>
                  <w:tcBorders>
                    <w:tl2br w:val="nil"/>
                    <w:tr2bl w:val="nil"/>
                  </w:tcBorders>
                  <w:shd w:val="clear" w:color="auto" w:fill="auto"/>
                  <w:vAlign w:val="center"/>
                </w:tcPr>
                <w:p w14:paraId="1A9845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560</w:t>
                  </w:r>
                </w:p>
              </w:tc>
              <w:tc>
                <w:tcPr>
                  <w:tcW w:w="658" w:type="pct"/>
                  <w:tcBorders>
                    <w:tl2br w:val="nil"/>
                    <w:tr2bl w:val="nil"/>
                  </w:tcBorders>
                  <w:shd w:val="clear" w:color="auto" w:fill="auto"/>
                  <w:vAlign w:val="center"/>
                </w:tcPr>
                <w:p w14:paraId="71D0C1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1500</w:t>
                  </w:r>
                </w:p>
              </w:tc>
              <w:tc>
                <w:tcPr>
                  <w:tcW w:w="651" w:type="pct"/>
                  <w:tcBorders>
                    <w:tl2br w:val="nil"/>
                    <w:tr2bl w:val="nil"/>
                  </w:tcBorders>
                  <w:shd w:val="clear" w:color="auto" w:fill="auto"/>
                  <w:vAlign w:val="center"/>
                </w:tcPr>
                <w:p w14:paraId="3E0969D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48</w:t>
                  </w:r>
                </w:p>
              </w:tc>
              <w:tc>
                <w:tcPr>
                  <w:tcW w:w="696" w:type="pct"/>
                  <w:tcBorders>
                    <w:tl2br w:val="nil"/>
                    <w:tr2bl w:val="nil"/>
                  </w:tcBorders>
                  <w:shd w:val="clear" w:color="auto" w:fill="auto"/>
                  <w:vAlign w:val="center"/>
                </w:tcPr>
                <w:p w14:paraId="7FDE73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120</w:t>
                  </w:r>
                </w:p>
              </w:tc>
              <w:tc>
                <w:tcPr>
                  <w:tcW w:w="639" w:type="pct"/>
                  <w:tcBorders>
                    <w:tl2br w:val="nil"/>
                    <w:tr2bl w:val="nil"/>
                  </w:tcBorders>
                  <w:shd w:val="clear" w:color="auto" w:fill="auto"/>
                  <w:vAlign w:val="center"/>
                </w:tcPr>
                <w:p w14:paraId="4B9024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300</w:t>
                  </w:r>
                </w:p>
              </w:tc>
              <w:tc>
                <w:tcPr>
                  <w:tcW w:w="698" w:type="pct"/>
                  <w:tcBorders>
                    <w:tl2br w:val="nil"/>
                    <w:tr2bl w:val="nil"/>
                  </w:tcBorders>
                  <w:shd w:val="clear" w:color="auto" w:fill="auto"/>
                  <w:vAlign w:val="center"/>
                </w:tcPr>
                <w:p w14:paraId="628AF92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2528</w:t>
                  </w:r>
                </w:p>
              </w:tc>
            </w:tr>
            <w:tr w14:paraId="2ECEF73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468C9894">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46147C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可用零部件</w:t>
                  </w:r>
                </w:p>
              </w:tc>
              <w:tc>
                <w:tcPr>
                  <w:tcW w:w="591" w:type="pct"/>
                  <w:tcBorders>
                    <w:tl2br w:val="nil"/>
                    <w:tr2bl w:val="nil"/>
                  </w:tcBorders>
                  <w:shd w:val="clear" w:color="auto" w:fill="auto"/>
                  <w:vAlign w:val="center"/>
                </w:tcPr>
                <w:p w14:paraId="2481DD2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700</w:t>
                  </w:r>
                </w:p>
              </w:tc>
              <w:tc>
                <w:tcPr>
                  <w:tcW w:w="658" w:type="pct"/>
                  <w:tcBorders>
                    <w:tl2br w:val="nil"/>
                    <w:tr2bl w:val="nil"/>
                  </w:tcBorders>
                  <w:shd w:val="clear" w:color="auto" w:fill="auto"/>
                  <w:vAlign w:val="center"/>
                </w:tcPr>
                <w:p w14:paraId="29B660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450</w:t>
                  </w:r>
                </w:p>
              </w:tc>
              <w:tc>
                <w:tcPr>
                  <w:tcW w:w="651" w:type="pct"/>
                  <w:tcBorders>
                    <w:tl2br w:val="nil"/>
                    <w:tr2bl w:val="nil"/>
                  </w:tcBorders>
                  <w:shd w:val="clear" w:color="auto" w:fill="auto"/>
                  <w:vAlign w:val="center"/>
                </w:tcPr>
                <w:p w14:paraId="1121A78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w:t>
                  </w:r>
                </w:p>
              </w:tc>
              <w:tc>
                <w:tcPr>
                  <w:tcW w:w="696" w:type="pct"/>
                  <w:tcBorders>
                    <w:tl2br w:val="nil"/>
                    <w:tr2bl w:val="nil"/>
                  </w:tcBorders>
                  <w:shd w:val="clear" w:color="auto" w:fill="auto"/>
                  <w:vAlign w:val="center"/>
                </w:tcPr>
                <w:p w14:paraId="6D00759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w:t>
                  </w:r>
                </w:p>
              </w:tc>
              <w:tc>
                <w:tcPr>
                  <w:tcW w:w="639" w:type="pct"/>
                  <w:tcBorders>
                    <w:tl2br w:val="nil"/>
                    <w:tr2bl w:val="nil"/>
                  </w:tcBorders>
                  <w:shd w:val="clear" w:color="auto" w:fill="auto"/>
                  <w:vAlign w:val="center"/>
                </w:tcPr>
                <w:p w14:paraId="785FA1F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w:t>
                  </w:r>
                </w:p>
              </w:tc>
              <w:tc>
                <w:tcPr>
                  <w:tcW w:w="698" w:type="pct"/>
                  <w:tcBorders>
                    <w:tl2br w:val="nil"/>
                    <w:tr2bl w:val="nil"/>
                  </w:tcBorders>
                  <w:shd w:val="clear" w:color="auto" w:fill="auto"/>
                  <w:vAlign w:val="center"/>
                </w:tcPr>
                <w:p w14:paraId="353827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1376</w:t>
                  </w:r>
                </w:p>
              </w:tc>
            </w:tr>
            <w:tr w14:paraId="63FB27F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00" w:type="pct"/>
                  <w:vMerge w:val="continue"/>
                  <w:tcBorders>
                    <w:tl2br w:val="nil"/>
                    <w:tr2bl w:val="nil"/>
                  </w:tcBorders>
                  <w:shd w:val="clear" w:color="auto" w:fill="auto"/>
                  <w:vAlign w:val="center"/>
                </w:tcPr>
                <w:p w14:paraId="367B1E6F">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1747416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五大总成</w:t>
                  </w:r>
                </w:p>
              </w:tc>
              <w:tc>
                <w:tcPr>
                  <w:tcW w:w="591" w:type="pct"/>
                  <w:tcBorders>
                    <w:tl2br w:val="nil"/>
                    <w:tr2bl w:val="nil"/>
                  </w:tcBorders>
                  <w:shd w:val="clear" w:color="auto" w:fill="auto"/>
                  <w:vAlign w:val="center"/>
                </w:tcPr>
                <w:p w14:paraId="06787E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4200</w:t>
                  </w:r>
                </w:p>
              </w:tc>
              <w:tc>
                <w:tcPr>
                  <w:tcW w:w="658" w:type="pct"/>
                  <w:tcBorders>
                    <w:tl2br w:val="nil"/>
                    <w:tr2bl w:val="nil"/>
                  </w:tcBorders>
                  <w:shd w:val="clear" w:color="auto" w:fill="auto"/>
                  <w:vAlign w:val="center"/>
                </w:tcPr>
                <w:p w14:paraId="5B0CF52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9500</w:t>
                  </w:r>
                </w:p>
              </w:tc>
              <w:tc>
                <w:tcPr>
                  <w:tcW w:w="651" w:type="pct"/>
                  <w:tcBorders>
                    <w:tl2br w:val="nil"/>
                    <w:tr2bl w:val="nil"/>
                  </w:tcBorders>
                  <w:shd w:val="clear" w:color="auto" w:fill="auto"/>
                  <w:vAlign w:val="center"/>
                </w:tcPr>
                <w:p w14:paraId="6FF6AD3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360</w:t>
                  </w:r>
                </w:p>
              </w:tc>
              <w:tc>
                <w:tcPr>
                  <w:tcW w:w="696" w:type="pct"/>
                  <w:tcBorders>
                    <w:tl2br w:val="nil"/>
                    <w:tr2bl w:val="nil"/>
                  </w:tcBorders>
                  <w:shd w:val="clear" w:color="auto" w:fill="auto"/>
                  <w:vAlign w:val="center"/>
                </w:tcPr>
                <w:p w14:paraId="3F5F9F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760</w:t>
                  </w:r>
                </w:p>
              </w:tc>
              <w:tc>
                <w:tcPr>
                  <w:tcW w:w="639" w:type="pct"/>
                  <w:tcBorders>
                    <w:tl2br w:val="nil"/>
                    <w:tr2bl w:val="nil"/>
                  </w:tcBorders>
                  <w:shd w:val="clear" w:color="auto" w:fill="auto"/>
                  <w:vAlign w:val="center"/>
                </w:tcPr>
                <w:p w14:paraId="56C13A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2000</w:t>
                  </w:r>
                </w:p>
              </w:tc>
              <w:tc>
                <w:tcPr>
                  <w:tcW w:w="698" w:type="pct"/>
                  <w:tcBorders>
                    <w:tl2br w:val="nil"/>
                    <w:tr2bl w:val="nil"/>
                  </w:tcBorders>
                  <w:shd w:val="clear" w:color="auto" w:fill="auto"/>
                  <w:vAlign w:val="center"/>
                </w:tcPr>
                <w:p w14:paraId="07B51E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16820</w:t>
                  </w:r>
                </w:p>
              </w:tc>
            </w:tr>
            <w:tr w14:paraId="5CE1531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95" w:hRule="atLeast"/>
              </w:trPr>
              <w:tc>
                <w:tcPr>
                  <w:tcW w:w="300" w:type="pct"/>
                  <w:vMerge w:val="restart"/>
                  <w:tcBorders>
                    <w:tl2br w:val="nil"/>
                    <w:tr2bl w:val="nil"/>
                  </w:tcBorders>
                  <w:shd w:val="clear" w:color="auto" w:fill="auto"/>
                  <w:vAlign w:val="center"/>
                </w:tcPr>
                <w:p w14:paraId="741C1E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 xml:space="preserve">一般固废 </w:t>
                  </w:r>
                </w:p>
              </w:tc>
              <w:tc>
                <w:tcPr>
                  <w:tcW w:w="4699" w:type="pct"/>
                  <w:gridSpan w:val="7"/>
                  <w:tcBorders>
                    <w:tl2br w:val="nil"/>
                    <w:tr2bl w:val="nil"/>
                  </w:tcBorders>
                  <w:shd w:val="clear" w:color="auto" w:fill="auto"/>
                  <w:vAlign w:val="center"/>
                </w:tcPr>
                <w:p w14:paraId="0A21B70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具有环境风险的一般固废</w:t>
                  </w:r>
                </w:p>
              </w:tc>
            </w:tr>
            <w:tr w14:paraId="14E6A5F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55" w:hRule="atLeast"/>
              </w:trPr>
              <w:tc>
                <w:tcPr>
                  <w:tcW w:w="300" w:type="pct"/>
                  <w:vMerge w:val="continue"/>
                  <w:tcBorders>
                    <w:tl2br w:val="nil"/>
                    <w:tr2bl w:val="nil"/>
                  </w:tcBorders>
                  <w:shd w:val="clear" w:color="auto" w:fill="auto"/>
                  <w:vAlign w:val="center"/>
                </w:tcPr>
                <w:p w14:paraId="11E75D9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275831F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废弃车用电子零部件</w:t>
                  </w:r>
                </w:p>
              </w:tc>
              <w:tc>
                <w:tcPr>
                  <w:tcW w:w="591" w:type="pct"/>
                  <w:tcBorders>
                    <w:tl2br w:val="nil"/>
                    <w:tr2bl w:val="nil"/>
                  </w:tcBorders>
                  <w:shd w:val="clear" w:color="auto" w:fill="auto"/>
                  <w:vAlign w:val="center"/>
                </w:tcPr>
                <w:p w14:paraId="09BE92F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w:t>
                  </w:r>
                </w:p>
              </w:tc>
              <w:tc>
                <w:tcPr>
                  <w:tcW w:w="658" w:type="pct"/>
                  <w:tcBorders>
                    <w:tl2br w:val="nil"/>
                    <w:tr2bl w:val="nil"/>
                  </w:tcBorders>
                  <w:shd w:val="clear" w:color="auto" w:fill="auto"/>
                  <w:vAlign w:val="center"/>
                </w:tcPr>
                <w:p w14:paraId="192AF5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750</w:t>
                  </w:r>
                </w:p>
              </w:tc>
              <w:tc>
                <w:tcPr>
                  <w:tcW w:w="651" w:type="pct"/>
                  <w:tcBorders>
                    <w:tl2br w:val="nil"/>
                    <w:tr2bl w:val="nil"/>
                  </w:tcBorders>
                  <w:shd w:val="clear" w:color="auto" w:fill="auto"/>
                  <w:vAlign w:val="center"/>
                </w:tcPr>
                <w:p w14:paraId="729EE28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696" w:type="pct"/>
                  <w:tcBorders>
                    <w:tl2br w:val="nil"/>
                    <w:tr2bl w:val="nil"/>
                  </w:tcBorders>
                  <w:shd w:val="clear" w:color="auto" w:fill="auto"/>
                  <w:vAlign w:val="center"/>
                </w:tcPr>
                <w:p w14:paraId="02632DD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w:t>
                  </w:r>
                </w:p>
              </w:tc>
              <w:tc>
                <w:tcPr>
                  <w:tcW w:w="639" w:type="pct"/>
                  <w:tcBorders>
                    <w:tl2br w:val="nil"/>
                    <w:tr2bl w:val="nil"/>
                  </w:tcBorders>
                  <w:shd w:val="clear" w:color="auto" w:fill="auto"/>
                  <w:vAlign w:val="center"/>
                </w:tcPr>
                <w:p w14:paraId="7ABFD8F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w:t>
                  </w:r>
                </w:p>
              </w:tc>
              <w:tc>
                <w:tcPr>
                  <w:tcW w:w="698" w:type="pct"/>
                  <w:tcBorders>
                    <w:tl2br w:val="nil"/>
                    <w:tr2bl w:val="nil"/>
                  </w:tcBorders>
                  <w:shd w:val="clear" w:color="auto" w:fill="auto"/>
                  <w:vAlign w:val="center"/>
                </w:tcPr>
                <w:p w14:paraId="29CABB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1688</w:t>
                  </w:r>
                </w:p>
              </w:tc>
            </w:tr>
            <w:tr w14:paraId="612757F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199" w:hRule="atLeast"/>
              </w:trPr>
              <w:tc>
                <w:tcPr>
                  <w:tcW w:w="300" w:type="pct"/>
                  <w:vMerge w:val="continue"/>
                  <w:tcBorders>
                    <w:tl2br w:val="nil"/>
                    <w:tr2bl w:val="nil"/>
                  </w:tcBorders>
                  <w:shd w:val="clear" w:color="auto" w:fill="auto"/>
                  <w:vAlign w:val="center"/>
                </w:tcPr>
                <w:p w14:paraId="03CE6530">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333060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废安全气囊</w:t>
                  </w:r>
                </w:p>
              </w:tc>
              <w:tc>
                <w:tcPr>
                  <w:tcW w:w="591" w:type="pct"/>
                  <w:tcBorders>
                    <w:tl2br w:val="nil"/>
                    <w:tr2bl w:val="nil"/>
                  </w:tcBorders>
                  <w:shd w:val="clear" w:color="auto" w:fill="auto"/>
                  <w:vAlign w:val="center"/>
                </w:tcPr>
                <w:p w14:paraId="4E0FFA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658" w:type="pct"/>
                  <w:tcBorders>
                    <w:tl2br w:val="nil"/>
                    <w:tr2bl w:val="nil"/>
                  </w:tcBorders>
                  <w:shd w:val="clear" w:color="auto" w:fill="auto"/>
                  <w:vAlign w:val="center"/>
                </w:tcPr>
                <w:p w14:paraId="3E24BE5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651" w:type="pct"/>
                  <w:tcBorders>
                    <w:tl2br w:val="nil"/>
                    <w:tr2bl w:val="nil"/>
                  </w:tcBorders>
                  <w:shd w:val="clear" w:color="auto" w:fill="auto"/>
                  <w:vAlign w:val="center"/>
                </w:tcPr>
                <w:p w14:paraId="05862E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0.6</w:t>
                  </w:r>
                </w:p>
              </w:tc>
              <w:tc>
                <w:tcPr>
                  <w:tcW w:w="696" w:type="pct"/>
                  <w:tcBorders>
                    <w:tl2br w:val="nil"/>
                    <w:tr2bl w:val="nil"/>
                  </w:tcBorders>
                  <w:shd w:val="clear" w:color="auto" w:fill="auto"/>
                  <w:vAlign w:val="center"/>
                </w:tcPr>
                <w:p w14:paraId="4C96331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0.4</w:t>
                  </w:r>
                </w:p>
              </w:tc>
              <w:tc>
                <w:tcPr>
                  <w:tcW w:w="639" w:type="pct"/>
                  <w:tcBorders>
                    <w:tl2br w:val="nil"/>
                    <w:tr2bl w:val="nil"/>
                  </w:tcBorders>
                  <w:shd w:val="clear" w:color="auto" w:fill="auto"/>
                  <w:vAlign w:val="center"/>
                </w:tcPr>
                <w:p w14:paraId="29F0F34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8" w:type="pct"/>
                  <w:tcBorders>
                    <w:tl2br w:val="nil"/>
                    <w:tr2bl w:val="nil"/>
                  </w:tcBorders>
                  <w:shd w:val="clear" w:color="auto" w:fill="auto"/>
                  <w:vAlign w:val="center"/>
                </w:tcPr>
                <w:p w14:paraId="758C81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w:t>
                  </w:r>
                </w:p>
              </w:tc>
            </w:tr>
            <w:tr w14:paraId="3E7EC02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77" w:hRule="atLeast"/>
              </w:trPr>
              <w:tc>
                <w:tcPr>
                  <w:tcW w:w="300" w:type="pct"/>
                  <w:vMerge w:val="continue"/>
                  <w:tcBorders>
                    <w:tl2br w:val="nil"/>
                    <w:tr2bl w:val="nil"/>
                  </w:tcBorders>
                  <w:shd w:val="clear" w:color="auto" w:fill="auto"/>
                  <w:vAlign w:val="center"/>
                </w:tcPr>
                <w:p w14:paraId="4E547786">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6C0B3EFE">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动力电池（锂电池）</w:t>
                  </w:r>
                </w:p>
              </w:tc>
              <w:tc>
                <w:tcPr>
                  <w:tcW w:w="591" w:type="pct"/>
                  <w:tcBorders>
                    <w:tl2br w:val="nil"/>
                    <w:tr2bl w:val="nil"/>
                  </w:tcBorders>
                  <w:shd w:val="clear" w:color="auto" w:fill="auto"/>
                  <w:vAlign w:val="center"/>
                </w:tcPr>
                <w:p w14:paraId="22AABA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58" w:type="pct"/>
                  <w:tcBorders>
                    <w:tl2br w:val="nil"/>
                    <w:tr2bl w:val="nil"/>
                  </w:tcBorders>
                  <w:shd w:val="clear" w:color="auto" w:fill="auto"/>
                  <w:vAlign w:val="center"/>
                </w:tcPr>
                <w:p w14:paraId="7F145B7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51" w:type="pct"/>
                  <w:tcBorders>
                    <w:tl2br w:val="nil"/>
                    <w:tr2bl w:val="nil"/>
                  </w:tcBorders>
                  <w:shd w:val="clear" w:color="auto" w:fill="auto"/>
                  <w:vAlign w:val="center"/>
                </w:tcPr>
                <w:p w14:paraId="1011AA2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240</w:t>
                  </w:r>
                </w:p>
              </w:tc>
              <w:tc>
                <w:tcPr>
                  <w:tcW w:w="696" w:type="pct"/>
                  <w:tcBorders>
                    <w:tl2br w:val="nil"/>
                    <w:tr2bl w:val="nil"/>
                  </w:tcBorders>
                  <w:shd w:val="clear" w:color="auto" w:fill="auto"/>
                  <w:vAlign w:val="center"/>
                </w:tcPr>
                <w:p w14:paraId="1DBB9DE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280</w:t>
                  </w:r>
                </w:p>
              </w:tc>
              <w:tc>
                <w:tcPr>
                  <w:tcW w:w="639" w:type="pct"/>
                  <w:tcBorders>
                    <w:tl2br w:val="nil"/>
                    <w:tr2bl w:val="nil"/>
                  </w:tcBorders>
                  <w:shd w:val="clear" w:color="auto" w:fill="auto"/>
                  <w:vAlign w:val="center"/>
                </w:tcPr>
                <w:p w14:paraId="255CDE1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8" w:type="pct"/>
                  <w:tcBorders>
                    <w:tl2br w:val="nil"/>
                    <w:tr2bl w:val="nil"/>
                  </w:tcBorders>
                  <w:shd w:val="clear" w:color="auto" w:fill="auto"/>
                  <w:vAlign w:val="center"/>
                </w:tcPr>
                <w:p w14:paraId="732D339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520</w:t>
                  </w:r>
                </w:p>
              </w:tc>
            </w:tr>
            <w:tr w14:paraId="72151DE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257A3D89">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45FF154E">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液化气罐</w:t>
                  </w:r>
                </w:p>
              </w:tc>
              <w:tc>
                <w:tcPr>
                  <w:tcW w:w="591" w:type="pct"/>
                  <w:tcBorders>
                    <w:tl2br w:val="nil"/>
                    <w:tr2bl w:val="nil"/>
                  </w:tcBorders>
                  <w:shd w:val="clear" w:color="auto" w:fill="auto"/>
                  <w:vAlign w:val="center"/>
                </w:tcPr>
                <w:p w14:paraId="6C4F8921">
                  <w:pPr>
                    <w:jc w:val="center"/>
                    <w:rPr>
                      <w:rFonts w:hint="default"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cs="宋体"/>
                      <w:i w:val="0"/>
                      <w:iCs w:val="0"/>
                      <w:color w:val="000000" w:themeColor="text1"/>
                      <w:sz w:val="18"/>
                      <w:szCs w:val="18"/>
                      <w:u w:val="none"/>
                      <w:lang w:val="en-US" w:eastAsia="zh-CN"/>
                      <w14:textFill>
                        <w14:solidFill>
                          <w14:schemeClr w14:val="tx1"/>
                        </w14:solidFill>
                      </w14:textFill>
                    </w:rPr>
                    <w:t>0</w:t>
                  </w:r>
                </w:p>
              </w:tc>
              <w:tc>
                <w:tcPr>
                  <w:tcW w:w="658" w:type="pct"/>
                  <w:tcBorders>
                    <w:tl2br w:val="nil"/>
                    <w:tr2bl w:val="nil"/>
                  </w:tcBorders>
                  <w:shd w:val="clear" w:color="auto" w:fill="auto"/>
                  <w:vAlign w:val="center"/>
                </w:tcPr>
                <w:p w14:paraId="53D6293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651" w:type="pct"/>
                  <w:tcBorders>
                    <w:tl2br w:val="nil"/>
                    <w:tr2bl w:val="nil"/>
                  </w:tcBorders>
                  <w:shd w:val="clear" w:color="auto" w:fill="auto"/>
                  <w:vAlign w:val="center"/>
                </w:tcPr>
                <w:p w14:paraId="273487E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6" w:type="pct"/>
                  <w:tcBorders>
                    <w:tl2br w:val="nil"/>
                    <w:tr2bl w:val="nil"/>
                  </w:tcBorders>
                  <w:shd w:val="clear" w:color="auto" w:fill="auto"/>
                  <w:vAlign w:val="center"/>
                </w:tcPr>
                <w:p w14:paraId="7295822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39" w:type="pct"/>
                  <w:tcBorders>
                    <w:tl2br w:val="nil"/>
                    <w:tr2bl w:val="nil"/>
                  </w:tcBorders>
                  <w:shd w:val="clear" w:color="auto" w:fill="auto"/>
                  <w:vAlign w:val="center"/>
                </w:tcPr>
                <w:p w14:paraId="7712B1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8" w:type="pct"/>
                  <w:tcBorders>
                    <w:tl2br w:val="nil"/>
                    <w:tr2bl w:val="nil"/>
                  </w:tcBorders>
                  <w:shd w:val="clear" w:color="auto" w:fill="auto"/>
                  <w:vAlign w:val="center"/>
                </w:tcPr>
                <w:p w14:paraId="413AB6B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r>
            <w:tr w14:paraId="01C30A4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69284C58">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0373CA59">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制冷剂</w:t>
                  </w:r>
                </w:p>
              </w:tc>
              <w:tc>
                <w:tcPr>
                  <w:tcW w:w="591" w:type="pct"/>
                  <w:tcBorders>
                    <w:tl2br w:val="nil"/>
                    <w:tr2bl w:val="nil"/>
                  </w:tcBorders>
                  <w:shd w:val="clear" w:color="auto" w:fill="auto"/>
                  <w:vAlign w:val="center"/>
                </w:tcPr>
                <w:p w14:paraId="3BB8688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0.7</w:t>
                  </w:r>
                </w:p>
              </w:tc>
              <w:tc>
                <w:tcPr>
                  <w:tcW w:w="658" w:type="pct"/>
                  <w:tcBorders>
                    <w:tl2br w:val="nil"/>
                    <w:tr2bl w:val="nil"/>
                  </w:tcBorders>
                  <w:shd w:val="clear" w:color="auto" w:fill="auto"/>
                  <w:vAlign w:val="center"/>
                </w:tcPr>
                <w:p w14:paraId="16079920">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651" w:type="pct"/>
                  <w:tcBorders>
                    <w:tl2br w:val="nil"/>
                    <w:tr2bl w:val="nil"/>
                  </w:tcBorders>
                  <w:shd w:val="clear" w:color="auto" w:fill="auto"/>
                  <w:vAlign w:val="center"/>
                </w:tcPr>
                <w:p w14:paraId="21411468">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0.06</w:t>
                  </w:r>
                </w:p>
              </w:tc>
              <w:tc>
                <w:tcPr>
                  <w:tcW w:w="696" w:type="pct"/>
                  <w:tcBorders>
                    <w:tl2br w:val="nil"/>
                    <w:tr2bl w:val="nil"/>
                  </w:tcBorders>
                  <w:shd w:val="clear" w:color="auto" w:fill="auto"/>
                  <w:vAlign w:val="center"/>
                </w:tcPr>
                <w:p w14:paraId="70C259C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0.12</w:t>
                  </w:r>
                </w:p>
              </w:tc>
              <w:tc>
                <w:tcPr>
                  <w:tcW w:w="639" w:type="pct"/>
                  <w:tcBorders>
                    <w:tl2br w:val="nil"/>
                    <w:tr2bl w:val="nil"/>
                  </w:tcBorders>
                  <w:shd w:val="clear" w:color="auto" w:fill="auto"/>
                  <w:vAlign w:val="center"/>
                </w:tcPr>
                <w:p w14:paraId="272F70BC">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8" w:type="pct"/>
                  <w:tcBorders>
                    <w:tl2br w:val="nil"/>
                    <w:tr2bl w:val="nil"/>
                  </w:tcBorders>
                  <w:shd w:val="clear" w:color="auto" w:fill="auto"/>
                  <w:vAlign w:val="center"/>
                </w:tcPr>
                <w:p w14:paraId="5745AD03">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2.38</w:t>
                  </w:r>
                </w:p>
              </w:tc>
            </w:tr>
            <w:tr w14:paraId="155AE13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00B558FA">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4F3C7CAC">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轻质物料</w:t>
                  </w:r>
                  <w:r>
                    <w:rPr>
                      <w:rFonts w:hint="eastAsia" w:ascii="宋体" w:hAnsi="宋体" w:eastAsia="宋体" w:cs="宋体"/>
                      <w:color w:val="000000" w:themeColor="text1"/>
                      <w:spacing w:val="-2"/>
                      <w:sz w:val="18"/>
                      <w:szCs w:val="18"/>
                      <w:lang w:eastAsia="zh-CN"/>
                      <w14:textFill>
                        <w14:solidFill>
                          <w14:schemeClr w14:val="tx1"/>
                        </w14:solidFill>
                      </w14:textFill>
                    </w:rPr>
                    <w:t>、</w:t>
                  </w:r>
                  <w:r>
                    <w:rPr>
                      <w:rFonts w:hint="eastAsia" w:ascii="宋体" w:hAnsi="宋体" w:eastAsia="宋体" w:cs="宋体"/>
                      <w:color w:val="000000" w:themeColor="text1"/>
                      <w:spacing w:val="-2"/>
                      <w:sz w:val="18"/>
                      <w:szCs w:val="18"/>
                      <w14:textFill>
                        <w14:solidFill>
                          <w14:schemeClr w14:val="tx1"/>
                        </w14:solidFill>
                      </w14:textFill>
                    </w:rPr>
                    <w:t>安全带及相关纺织品</w:t>
                  </w:r>
                  <w:r>
                    <w:rPr>
                      <w:rFonts w:hint="eastAsia" w:ascii="宋体" w:hAnsi="宋体" w:eastAsia="宋体" w:cs="宋体"/>
                      <w:color w:val="000000" w:themeColor="text1"/>
                      <w:spacing w:val="-2"/>
                      <w:sz w:val="18"/>
                      <w:szCs w:val="18"/>
                      <w:lang w:eastAsia="zh-CN"/>
                      <w14:textFill>
                        <w14:solidFill>
                          <w14:schemeClr w14:val="tx1"/>
                        </w14:solidFill>
                      </w14:textFill>
                    </w:rPr>
                    <w:t>、</w:t>
                  </w:r>
                  <w:r>
                    <w:rPr>
                      <w:rFonts w:hint="eastAsia" w:ascii="宋体" w:hAnsi="宋体" w:eastAsia="宋体" w:cs="宋体"/>
                      <w:color w:val="000000" w:themeColor="text1"/>
                      <w:spacing w:val="-1"/>
                      <w:sz w:val="18"/>
                      <w:szCs w:val="18"/>
                      <w14:textFill>
                        <w14:solidFill>
                          <w14:schemeClr w14:val="tx1"/>
                        </w14:solidFill>
                      </w14:textFill>
                    </w:rPr>
                    <w:t>报废机动车残余</w:t>
                  </w:r>
                  <w:r>
                    <w:rPr>
                      <w:rFonts w:hint="eastAsia" w:ascii="宋体" w:hAnsi="宋体" w:eastAsia="宋体" w:cs="宋体"/>
                      <w:color w:val="000000" w:themeColor="text1"/>
                      <w:sz w:val="18"/>
                      <w:szCs w:val="18"/>
                      <w14:textFill>
                        <w14:solidFill>
                          <w14:schemeClr w14:val="tx1"/>
                        </w14:solidFill>
                      </w14:textFill>
                    </w:rPr>
                    <w:t>物</w:t>
                  </w:r>
                </w:p>
              </w:tc>
              <w:tc>
                <w:tcPr>
                  <w:tcW w:w="591" w:type="pct"/>
                  <w:tcBorders>
                    <w:tl2br w:val="nil"/>
                    <w:tr2bl w:val="nil"/>
                  </w:tcBorders>
                  <w:shd w:val="clear" w:color="auto" w:fill="auto"/>
                  <w:vAlign w:val="center"/>
                </w:tcPr>
                <w:p w14:paraId="28DBFC21">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175</w:t>
                  </w:r>
                </w:p>
              </w:tc>
              <w:tc>
                <w:tcPr>
                  <w:tcW w:w="658" w:type="pct"/>
                  <w:tcBorders>
                    <w:tl2br w:val="nil"/>
                    <w:tr2bl w:val="nil"/>
                  </w:tcBorders>
                  <w:shd w:val="clear" w:color="auto" w:fill="auto"/>
                  <w:vAlign w:val="center"/>
                </w:tcPr>
                <w:p w14:paraId="1B3BD08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w:t>
                  </w:r>
                </w:p>
              </w:tc>
              <w:tc>
                <w:tcPr>
                  <w:tcW w:w="651" w:type="pct"/>
                  <w:tcBorders>
                    <w:tl2br w:val="nil"/>
                    <w:tr2bl w:val="nil"/>
                  </w:tcBorders>
                  <w:shd w:val="clear" w:color="auto" w:fill="auto"/>
                  <w:vAlign w:val="center"/>
                </w:tcPr>
                <w:p w14:paraId="598B8682">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696" w:type="pct"/>
                  <w:tcBorders>
                    <w:tl2br w:val="nil"/>
                    <w:tr2bl w:val="nil"/>
                  </w:tcBorders>
                  <w:shd w:val="clear" w:color="auto" w:fill="auto"/>
                  <w:vAlign w:val="center"/>
                </w:tcPr>
                <w:p w14:paraId="591A1FC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639" w:type="pct"/>
                  <w:tcBorders>
                    <w:tl2br w:val="nil"/>
                    <w:tr2bl w:val="nil"/>
                  </w:tcBorders>
                  <w:shd w:val="clear" w:color="auto" w:fill="auto"/>
                  <w:vAlign w:val="center"/>
                </w:tcPr>
                <w:p w14:paraId="13D8D9AD">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698" w:type="pct"/>
                  <w:tcBorders>
                    <w:tl2br w:val="nil"/>
                    <w:tr2bl w:val="nil"/>
                  </w:tcBorders>
                  <w:shd w:val="clear" w:color="auto" w:fill="auto"/>
                  <w:vAlign w:val="center"/>
                </w:tcPr>
                <w:p w14:paraId="701594A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402</w:t>
                  </w:r>
                </w:p>
              </w:tc>
            </w:tr>
            <w:tr w14:paraId="53F0C51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7B7B8C57">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13366F3E">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废旧轮胎</w:t>
                  </w:r>
                </w:p>
              </w:tc>
              <w:tc>
                <w:tcPr>
                  <w:tcW w:w="591" w:type="pct"/>
                  <w:tcBorders>
                    <w:tl2br w:val="nil"/>
                    <w:tr2bl w:val="nil"/>
                  </w:tcBorders>
                  <w:shd w:val="clear" w:color="auto" w:fill="auto"/>
                  <w:vAlign w:val="center"/>
                </w:tcPr>
                <w:p w14:paraId="7D87F2B3">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175</w:t>
                  </w:r>
                </w:p>
              </w:tc>
              <w:tc>
                <w:tcPr>
                  <w:tcW w:w="658" w:type="pct"/>
                  <w:tcBorders>
                    <w:tl2br w:val="nil"/>
                    <w:tr2bl w:val="nil"/>
                  </w:tcBorders>
                  <w:shd w:val="clear" w:color="auto" w:fill="auto"/>
                  <w:vAlign w:val="center"/>
                </w:tcPr>
                <w:p w14:paraId="74275D62">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250</w:t>
                  </w:r>
                </w:p>
              </w:tc>
              <w:tc>
                <w:tcPr>
                  <w:tcW w:w="651" w:type="pct"/>
                  <w:tcBorders>
                    <w:tl2br w:val="nil"/>
                    <w:tr2bl w:val="nil"/>
                  </w:tcBorders>
                  <w:shd w:val="clear" w:color="auto" w:fill="auto"/>
                  <w:vAlign w:val="center"/>
                </w:tcPr>
                <w:p w14:paraId="70D2A6FE">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696" w:type="pct"/>
                  <w:tcBorders>
                    <w:tl2br w:val="nil"/>
                    <w:tr2bl w:val="nil"/>
                  </w:tcBorders>
                  <w:shd w:val="clear" w:color="auto" w:fill="auto"/>
                  <w:vAlign w:val="center"/>
                </w:tcPr>
                <w:p w14:paraId="26A7707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p>
              </w:tc>
              <w:tc>
                <w:tcPr>
                  <w:tcW w:w="639" w:type="pct"/>
                  <w:tcBorders>
                    <w:tl2br w:val="nil"/>
                    <w:tr2bl w:val="nil"/>
                  </w:tcBorders>
                  <w:shd w:val="clear" w:color="auto" w:fill="auto"/>
                  <w:vAlign w:val="center"/>
                </w:tcPr>
                <w:p w14:paraId="057180D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698" w:type="pct"/>
                  <w:tcBorders>
                    <w:tl2br w:val="nil"/>
                    <w:tr2bl w:val="nil"/>
                  </w:tcBorders>
                  <w:shd w:val="clear" w:color="auto" w:fill="auto"/>
                  <w:vAlign w:val="center"/>
                </w:tcPr>
                <w:p w14:paraId="64696F52">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510</w:t>
                  </w:r>
                </w:p>
              </w:tc>
            </w:tr>
            <w:tr w14:paraId="662AD09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4D11616E">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75E57DBF">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内饰材料</w:t>
                  </w:r>
                  <w:r>
                    <w:rPr>
                      <w:rFonts w:hint="eastAsia" w:ascii="宋体" w:hAnsi="宋体" w:eastAsia="宋体" w:cs="宋体"/>
                      <w:color w:val="000000" w:themeColor="text1"/>
                      <w:spacing w:val="-1"/>
                      <w:sz w:val="18"/>
                      <w:szCs w:val="18"/>
                      <w14:textFill>
                        <w14:solidFill>
                          <w14:schemeClr w14:val="tx1"/>
                        </w14:solidFill>
                      </w14:textFill>
                    </w:rPr>
                    <w:t>海绵及座椅材料</w:t>
                  </w:r>
                </w:p>
              </w:tc>
              <w:tc>
                <w:tcPr>
                  <w:tcW w:w="591" w:type="pct"/>
                  <w:tcBorders>
                    <w:tl2br w:val="nil"/>
                    <w:tr2bl w:val="nil"/>
                  </w:tcBorders>
                  <w:shd w:val="clear" w:color="auto" w:fill="auto"/>
                  <w:vAlign w:val="center"/>
                </w:tcPr>
                <w:p w14:paraId="5C17AD2D">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175</w:t>
                  </w:r>
                </w:p>
              </w:tc>
              <w:tc>
                <w:tcPr>
                  <w:tcW w:w="658" w:type="pct"/>
                  <w:tcBorders>
                    <w:tl2br w:val="nil"/>
                    <w:tr2bl w:val="nil"/>
                  </w:tcBorders>
                  <w:shd w:val="clear" w:color="auto" w:fill="auto"/>
                  <w:vAlign w:val="center"/>
                </w:tcPr>
                <w:p w14:paraId="0999DFD3">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100</w:t>
                  </w:r>
                </w:p>
              </w:tc>
              <w:tc>
                <w:tcPr>
                  <w:tcW w:w="651" w:type="pct"/>
                  <w:tcBorders>
                    <w:tl2br w:val="nil"/>
                    <w:tr2bl w:val="nil"/>
                  </w:tcBorders>
                  <w:shd w:val="clear" w:color="auto" w:fill="auto"/>
                  <w:vAlign w:val="center"/>
                </w:tcPr>
                <w:p w14:paraId="6F1EE8A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696" w:type="pct"/>
                  <w:tcBorders>
                    <w:tl2br w:val="nil"/>
                    <w:tr2bl w:val="nil"/>
                  </w:tcBorders>
                  <w:shd w:val="clear" w:color="auto" w:fill="auto"/>
                  <w:vAlign w:val="center"/>
                </w:tcPr>
                <w:p w14:paraId="05BB0E14">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639" w:type="pct"/>
                  <w:tcBorders>
                    <w:tl2br w:val="nil"/>
                    <w:tr2bl w:val="nil"/>
                  </w:tcBorders>
                  <w:shd w:val="clear" w:color="auto" w:fill="auto"/>
                  <w:vAlign w:val="center"/>
                </w:tcPr>
                <w:p w14:paraId="2DA57BC8">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698" w:type="pct"/>
                  <w:tcBorders>
                    <w:tl2br w:val="nil"/>
                    <w:tr2bl w:val="nil"/>
                  </w:tcBorders>
                  <w:shd w:val="clear" w:color="auto" w:fill="auto"/>
                  <w:vAlign w:val="center"/>
                </w:tcPr>
                <w:p w14:paraId="44CA9115">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348</w:t>
                  </w:r>
                </w:p>
              </w:tc>
            </w:tr>
            <w:tr w14:paraId="4C2006F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4D5D1520">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699" w:type="pct"/>
                  <w:gridSpan w:val="7"/>
                  <w:tcBorders>
                    <w:tl2br w:val="nil"/>
                    <w:tr2bl w:val="nil"/>
                  </w:tcBorders>
                  <w:shd w:val="clear" w:color="auto" w:fill="auto"/>
                  <w:vAlign w:val="center"/>
                </w:tcPr>
                <w:p w14:paraId="3DA89B1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其它一般固废</w:t>
                  </w:r>
                </w:p>
              </w:tc>
            </w:tr>
            <w:tr w14:paraId="3381324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64469C8D">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09FB1A07">
                  <w:pPr>
                    <w:keepNext w:val="0"/>
                    <w:keepLines w:val="0"/>
                    <w:widowControl/>
                    <w:suppressLineNumbers w:val="0"/>
                    <w:jc w:val="center"/>
                    <w:textAlignment w:val="center"/>
                    <w:rPr>
                      <w:rFonts w:hint="eastAsia" w:ascii="宋体" w:hAnsi="宋体" w:eastAsia="宋体" w:cs="宋体"/>
                      <w:color w:val="000000" w:themeColor="text1"/>
                      <w:spacing w:val="-6"/>
                      <w:sz w:val="18"/>
                      <w:szCs w:val="18"/>
                      <w:lang w:val="en-US" w:eastAsia="zh-CN"/>
                      <w14:textFill>
                        <w14:solidFill>
                          <w14:schemeClr w14:val="tx1"/>
                        </w14:solidFill>
                      </w14:textFill>
                    </w:rPr>
                  </w:pPr>
                  <w:r>
                    <w:rPr>
                      <w:rFonts w:hint="eastAsia" w:ascii="宋体" w:hAnsi="宋体" w:eastAsia="宋体" w:cs="宋体"/>
                      <w:color w:val="000000" w:themeColor="text1"/>
                      <w:spacing w:val="-6"/>
                      <w:sz w:val="18"/>
                      <w:szCs w:val="18"/>
                      <w:lang w:val="en-US" w:eastAsia="zh-CN"/>
                      <w14:textFill>
                        <w14:solidFill>
                          <w14:schemeClr w14:val="tx1"/>
                        </w14:solidFill>
                      </w14:textFill>
                    </w:rPr>
                    <w:t>其它不可用废物</w:t>
                  </w:r>
                </w:p>
              </w:tc>
              <w:tc>
                <w:tcPr>
                  <w:tcW w:w="591" w:type="pct"/>
                  <w:tcBorders>
                    <w:tl2br w:val="nil"/>
                    <w:tr2bl w:val="nil"/>
                  </w:tcBorders>
                  <w:shd w:val="clear" w:color="auto" w:fill="auto"/>
                  <w:vAlign w:val="center"/>
                </w:tcPr>
                <w:p w14:paraId="7B17450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w:t>
                  </w:r>
                </w:p>
              </w:tc>
              <w:tc>
                <w:tcPr>
                  <w:tcW w:w="658" w:type="pct"/>
                  <w:tcBorders>
                    <w:tl2br w:val="nil"/>
                    <w:tr2bl w:val="nil"/>
                  </w:tcBorders>
                  <w:shd w:val="clear" w:color="auto" w:fill="auto"/>
                  <w:vAlign w:val="center"/>
                </w:tcPr>
                <w:p w14:paraId="58581AD2">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750</w:t>
                  </w:r>
                </w:p>
              </w:tc>
              <w:tc>
                <w:tcPr>
                  <w:tcW w:w="651" w:type="pct"/>
                  <w:tcBorders>
                    <w:tl2br w:val="nil"/>
                    <w:tr2bl w:val="nil"/>
                  </w:tcBorders>
                  <w:shd w:val="clear" w:color="auto" w:fill="auto"/>
                  <w:vAlign w:val="center"/>
                </w:tcPr>
                <w:p w14:paraId="7916E6E9">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696" w:type="pct"/>
                  <w:tcBorders>
                    <w:tl2br w:val="nil"/>
                    <w:tr2bl w:val="nil"/>
                  </w:tcBorders>
                  <w:shd w:val="clear" w:color="auto" w:fill="auto"/>
                  <w:vAlign w:val="center"/>
                </w:tcPr>
                <w:p w14:paraId="5890A12D">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w:t>
                  </w:r>
                </w:p>
              </w:tc>
              <w:tc>
                <w:tcPr>
                  <w:tcW w:w="639" w:type="pct"/>
                  <w:tcBorders>
                    <w:tl2br w:val="nil"/>
                    <w:tr2bl w:val="nil"/>
                  </w:tcBorders>
                  <w:shd w:val="clear" w:color="auto" w:fill="auto"/>
                  <w:vAlign w:val="center"/>
                </w:tcPr>
                <w:p w14:paraId="3D25188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w:t>
                  </w:r>
                </w:p>
              </w:tc>
              <w:tc>
                <w:tcPr>
                  <w:tcW w:w="698" w:type="pct"/>
                  <w:tcBorders>
                    <w:tl2br w:val="nil"/>
                    <w:tr2bl w:val="nil"/>
                  </w:tcBorders>
                  <w:shd w:val="clear" w:color="auto" w:fill="auto"/>
                  <w:vAlign w:val="center"/>
                </w:tcPr>
                <w:p w14:paraId="3786EC03">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1688</w:t>
                  </w:r>
                </w:p>
              </w:tc>
            </w:tr>
            <w:tr w14:paraId="561379A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3" w:hRule="atLeast"/>
              </w:trPr>
              <w:tc>
                <w:tcPr>
                  <w:tcW w:w="300" w:type="pct"/>
                  <w:vMerge w:val="restart"/>
                  <w:tcBorders>
                    <w:tl2br w:val="nil"/>
                    <w:tr2bl w:val="nil"/>
                  </w:tcBorders>
                  <w:shd w:val="clear" w:color="auto" w:fill="auto"/>
                  <w:vAlign w:val="center"/>
                </w:tcPr>
                <w:p w14:paraId="15077F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危险废物</w:t>
                  </w:r>
                </w:p>
              </w:tc>
              <w:tc>
                <w:tcPr>
                  <w:tcW w:w="763" w:type="pct"/>
                  <w:tcBorders>
                    <w:tl2br w:val="nil"/>
                    <w:tr2bl w:val="nil"/>
                  </w:tcBorders>
                  <w:shd w:val="clear" w:color="auto" w:fill="auto"/>
                  <w:vAlign w:val="center"/>
                </w:tcPr>
                <w:p w14:paraId="212832A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铅蓄电池</w:t>
                  </w:r>
                </w:p>
              </w:tc>
              <w:tc>
                <w:tcPr>
                  <w:tcW w:w="591" w:type="pct"/>
                  <w:tcBorders>
                    <w:tl2br w:val="nil"/>
                    <w:tr2bl w:val="nil"/>
                  </w:tcBorders>
                  <w:shd w:val="clear" w:color="auto" w:fill="auto"/>
                  <w:vAlign w:val="center"/>
                </w:tcPr>
                <w:p w14:paraId="3292CC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w:t>
                  </w:r>
                </w:p>
              </w:tc>
              <w:tc>
                <w:tcPr>
                  <w:tcW w:w="658" w:type="pct"/>
                  <w:tcBorders>
                    <w:tl2br w:val="nil"/>
                    <w:tr2bl w:val="nil"/>
                  </w:tcBorders>
                  <w:shd w:val="clear" w:color="auto" w:fill="auto"/>
                  <w:vAlign w:val="center"/>
                </w:tcPr>
                <w:p w14:paraId="7C51E83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100</w:t>
                  </w:r>
                </w:p>
              </w:tc>
              <w:tc>
                <w:tcPr>
                  <w:tcW w:w="651" w:type="pct"/>
                  <w:tcBorders>
                    <w:tl2br w:val="nil"/>
                    <w:tr2bl w:val="nil"/>
                  </w:tcBorders>
                  <w:shd w:val="clear" w:color="auto" w:fill="auto"/>
                  <w:vAlign w:val="center"/>
                </w:tcPr>
                <w:p w14:paraId="4F9E0B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696" w:type="pct"/>
                  <w:tcBorders>
                    <w:tl2br w:val="nil"/>
                    <w:tr2bl w:val="nil"/>
                  </w:tcBorders>
                  <w:shd w:val="clear" w:color="auto" w:fill="auto"/>
                  <w:vAlign w:val="center"/>
                </w:tcPr>
                <w:p w14:paraId="33E6327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639" w:type="pct"/>
                  <w:tcBorders>
                    <w:tl2br w:val="nil"/>
                    <w:tr2bl w:val="nil"/>
                  </w:tcBorders>
                  <w:shd w:val="clear" w:color="auto" w:fill="auto"/>
                  <w:vAlign w:val="center"/>
                </w:tcPr>
                <w:p w14:paraId="45ED61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60</w:t>
                  </w:r>
                </w:p>
              </w:tc>
              <w:tc>
                <w:tcPr>
                  <w:tcW w:w="698" w:type="pct"/>
                  <w:tcBorders>
                    <w:tl2br w:val="nil"/>
                    <w:tr2bl w:val="nil"/>
                  </w:tcBorders>
                  <w:shd w:val="clear" w:color="auto" w:fill="auto"/>
                  <w:vAlign w:val="center"/>
                </w:tcPr>
                <w:p w14:paraId="5802980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240</w:t>
                  </w:r>
                </w:p>
              </w:tc>
            </w:tr>
            <w:tr w14:paraId="7D0FB0E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55" w:hRule="atLeast"/>
              </w:trPr>
              <w:tc>
                <w:tcPr>
                  <w:tcW w:w="300" w:type="pct"/>
                  <w:vMerge w:val="continue"/>
                  <w:tcBorders>
                    <w:tl2br w:val="nil"/>
                    <w:tr2bl w:val="nil"/>
                  </w:tcBorders>
                  <w:shd w:val="clear" w:color="auto" w:fill="auto"/>
                  <w:vAlign w:val="center"/>
                </w:tcPr>
                <w:p w14:paraId="697AA27F">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512738C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废尾气净化装置</w:t>
                  </w:r>
                </w:p>
              </w:tc>
              <w:tc>
                <w:tcPr>
                  <w:tcW w:w="591" w:type="pct"/>
                  <w:tcBorders>
                    <w:tl2br w:val="nil"/>
                    <w:tr2bl w:val="nil"/>
                  </w:tcBorders>
                  <w:shd w:val="clear" w:color="auto" w:fill="auto"/>
                  <w:vAlign w:val="center"/>
                </w:tcPr>
                <w:p w14:paraId="03EE931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w:t>
                  </w:r>
                </w:p>
              </w:tc>
              <w:tc>
                <w:tcPr>
                  <w:tcW w:w="658" w:type="pct"/>
                  <w:tcBorders>
                    <w:tl2br w:val="nil"/>
                    <w:tr2bl w:val="nil"/>
                  </w:tcBorders>
                  <w:shd w:val="clear" w:color="auto" w:fill="auto"/>
                  <w:vAlign w:val="center"/>
                </w:tcPr>
                <w:p w14:paraId="1A8E24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651" w:type="pct"/>
                  <w:tcBorders>
                    <w:tl2br w:val="nil"/>
                    <w:tr2bl w:val="nil"/>
                  </w:tcBorders>
                  <w:shd w:val="clear" w:color="auto" w:fill="auto"/>
                  <w:vAlign w:val="center"/>
                </w:tcPr>
                <w:p w14:paraId="1455F8E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6" w:type="pct"/>
                  <w:tcBorders>
                    <w:tl2br w:val="nil"/>
                    <w:tr2bl w:val="nil"/>
                  </w:tcBorders>
                  <w:shd w:val="clear" w:color="auto" w:fill="auto"/>
                  <w:vAlign w:val="center"/>
                </w:tcPr>
                <w:p w14:paraId="25CD3FA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39" w:type="pct"/>
                  <w:tcBorders>
                    <w:tl2br w:val="nil"/>
                    <w:tr2bl w:val="nil"/>
                  </w:tcBorders>
                  <w:shd w:val="clear" w:color="auto" w:fill="auto"/>
                  <w:vAlign w:val="center"/>
                </w:tcPr>
                <w:p w14:paraId="73CDA88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698" w:type="pct"/>
                  <w:tcBorders>
                    <w:tl2br w:val="nil"/>
                    <w:tr2bl w:val="nil"/>
                  </w:tcBorders>
                  <w:shd w:val="clear" w:color="auto" w:fill="auto"/>
                  <w:vAlign w:val="center"/>
                </w:tcPr>
                <w:p w14:paraId="54F9C9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r>
            <w:tr w14:paraId="6F4CC94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300" w:type="pct"/>
                  <w:vMerge w:val="continue"/>
                  <w:tcBorders>
                    <w:tl2br w:val="nil"/>
                    <w:tr2bl w:val="nil"/>
                  </w:tcBorders>
                  <w:shd w:val="clear" w:color="auto" w:fill="auto"/>
                  <w:vAlign w:val="center"/>
                </w:tcPr>
                <w:p w14:paraId="6B1528B7">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top"/>
                </w:tcPr>
                <w:p w14:paraId="022049F5">
                  <w:pPr>
                    <w:spacing w:before="20" w:line="220" w:lineRule="auto"/>
                    <w:ind w:right="-61" w:rightChars="0"/>
                    <w:rPr>
                      <w:rFonts w:hint="eastAsia" w:ascii="宋体" w:hAnsi="宋体" w:eastAsia="宋体" w:cs="宋体"/>
                      <w:color w:val="000000" w:themeColor="text1"/>
                      <w:kern w:val="2"/>
                      <w:sz w:val="18"/>
                      <w:szCs w:val="18"/>
                      <w:highlight w:val="darkGray"/>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14:textFill>
                        <w14:solidFill>
                          <w14:schemeClr w14:val="tx1"/>
                        </w14:solidFill>
                      </w14:textFill>
                    </w:rPr>
                    <w:t>废矿物油与含矿物油</w:t>
                  </w:r>
                  <w:r>
                    <w:rPr>
                      <w:rFonts w:hint="eastAsia" w:ascii="宋体" w:hAnsi="宋体" w:eastAsia="宋体" w:cs="宋体"/>
                      <w:color w:val="000000" w:themeColor="text1"/>
                      <w:spacing w:val="-2"/>
                      <w:sz w:val="18"/>
                      <w:szCs w:val="18"/>
                      <w:highlight w:val="none"/>
                      <w14:textFill>
                        <w14:solidFill>
                          <w14:schemeClr w14:val="tx1"/>
                        </w14:solidFill>
                      </w14:textFill>
                    </w:rPr>
                    <w:t>废物</w:t>
                  </w:r>
                </w:p>
              </w:tc>
              <w:tc>
                <w:tcPr>
                  <w:tcW w:w="591" w:type="pct"/>
                  <w:tcBorders>
                    <w:tl2br w:val="nil"/>
                    <w:tr2bl w:val="nil"/>
                  </w:tcBorders>
                  <w:shd w:val="clear" w:color="auto" w:fill="auto"/>
                  <w:vAlign w:val="center"/>
                </w:tcPr>
                <w:p w14:paraId="6942D09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658" w:type="pct"/>
                  <w:tcBorders>
                    <w:tl2br w:val="nil"/>
                    <w:tr2bl w:val="nil"/>
                  </w:tcBorders>
                  <w:shd w:val="clear" w:color="auto" w:fill="auto"/>
                  <w:vAlign w:val="center"/>
                </w:tcPr>
                <w:p w14:paraId="1A06CD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651" w:type="pct"/>
                  <w:tcBorders>
                    <w:tl2br w:val="nil"/>
                    <w:tr2bl w:val="nil"/>
                  </w:tcBorders>
                  <w:shd w:val="clear" w:color="auto" w:fill="auto"/>
                  <w:vAlign w:val="center"/>
                </w:tcPr>
                <w:p w14:paraId="6423D4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6" w:type="pct"/>
                  <w:tcBorders>
                    <w:tl2br w:val="nil"/>
                    <w:tr2bl w:val="nil"/>
                  </w:tcBorders>
                  <w:shd w:val="clear" w:color="auto" w:fill="auto"/>
                  <w:vAlign w:val="center"/>
                </w:tcPr>
                <w:p w14:paraId="24D4C3E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39" w:type="pct"/>
                  <w:tcBorders>
                    <w:tl2br w:val="nil"/>
                    <w:tr2bl w:val="nil"/>
                  </w:tcBorders>
                  <w:shd w:val="clear" w:color="auto" w:fill="auto"/>
                  <w:vAlign w:val="center"/>
                </w:tcPr>
                <w:p w14:paraId="3CDFF84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w:t>
                  </w:r>
                </w:p>
              </w:tc>
              <w:tc>
                <w:tcPr>
                  <w:tcW w:w="698" w:type="pct"/>
                  <w:tcBorders>
                    <w:tl2br w:val="nil"/>
                    <w:tr2bl w:val="nil"/>
                  </w:tcBorders>
                  <w:shd w:val="clear" w:color="auto" w:fill="auto"/>
                  <w:vAlign w:val="center"/>
                </w:tcPr>
                <w:p w14:paraId="4B7A15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20.5</w:t>
                  </w:r>
                </w:p>
              </w:tc>
            </w:tr>
            <w:tr w14:paraId="74CFC43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55" w:hRule="atLeast"/>
              </w:trPr>
              <w:tc>
                <w:tcPr>
                  <w:tcW w:w="300" w:type="pct"/>
                  <w:vMerge w:val="continue"/>
                  <w:tcBorders>
                    <w:tl2br w:val="nil"/>
                    <w:tr2bl w:val="nil"/>
                  </w:tcBorders>
                  <w:shd w:val="clear" w:color="auto" w:fill="auto"/>
                  <w:vAlign w:val="center"/>
                </w:tcPr>
                <w:p w14:paraId="434D828A">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top"/>
                </w:tcPr>
                <w:p w14:paraId="68FE9394">
                  <w:pPr>
                    <w:spacing w:before="146" w:line="241" w:lineRule="auto"/>
                    <w:ind w:right="-61" w:rightChars="0"/>
                    <w:rPr>
                      <w:rFonts w:hint="eastAsia" w:ascii="宋体" w:hAnsi="宋体" w:eastAsia="宋体" w:cs="宋体"/>
                      <w:color w:val="000000" w:themeColor="text1"/>
                      <w:kern w:val="2"/>
                      <w:sz w:val="18"/>
                      <w:szCs w:val="18"/>
                      <w:highlight w:val="darkGray"/>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14:textFill>
                        <w14:solidFill>
                          <w14:schemeClr w14:val="tx1"/>
                        </w14:solidFill>
                      </w14:textFill>
                    </w:rPr>
                    <w:t>废有机溶剂与含有机</w:t>
                  </w:r>
                  <w:r>
                    <w:rPr>
                      <w:rFonts w:hint="eastAsia" w:ascii="宋体" w:hAnsi="宋体" w:eastAsia="宋体" w:cs="宋体"/>
                      <w:color w:val="000000" w:themeColor="text1"/>
                      <w:spacing w:val="-2"/>
                      <w:sz w:val="18"/>
                      <w:szCs w:val="18"/>
                      <w:highlight w:val="none"/>
                      <w14:textFill>
                        <w14:solidFill>
                          <w14:schemeClr w14:val="tx1"/>
                        </w14:solidFill>
                      </w14:textFill>
                    </w:rPr>
                    <w:t>溶剂废物</w:t>
                  </w:r>
                </w:p>
              </w:tc>
              <w:tc>
                <w:tcPr>
                  <w:tcW w:w="591" w:type="pct"/>
                  <w:tcBorders>
                    <w:tl2br w:val="nil"/>
                    <w:tr2bl w:val="nil"/>
                  </w:tcBorders>
                  <w:shd w:val="clear" w:color="auto" w:fill="auto"/>
                  <w:vAlign w:val="center"/>
                </w:tcPr>
                <w:p w14:paraId="131575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w:t>
                  </w:r>
                </w:p>
              </w:tc>
              <w:tc>
                <w:tcPr>
                  <w:tcW w:w="658" w:type="pct"/>
                  <w:tcBorders>
                    <w:tl2br w:val="nil"/>
                    <w:tr2bl w:val="nil"/>
                  </w:tcBorders>
                  <w:shd w:val="clear" w:color="auto" w:fill="auto"/>
                  <w:vAlign w:val="center"/>
                </w:tcPr>
                <w:p w14:paraId="65674C8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c>
                <w:tcPr>
                  <w:tcW w:w="651" w:type="pct"/>
                  <w:tcBorders>
                    <w:tl2br w:val="nil"/>
                    <w:tr2bl w:val="nil"/>
                  </w:tcBorders>
                  <w:shd w:val="clear" w:color="auto" w:fill="auto"/>
                  <w:vAlign w:val="center"/>
                </w:tcPr>
                <w:p w14:paraId="443FCD1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696" w:type="pct"/>
                  <w:tcBorders>
                    <w:tl2br w:val="nil"/>
                    <w:tr2bl w:val="nil"/>
                  </w:tcBorders>
                  <w:shd w:val="clear" w:color="auto" w:fill="auto"/>
                  <w:vAlign w:val="center"/>
                </w:tcPr>
                <w:p w14:paraId="0FBDC1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639" w:type="pct"/>
                  <w:tcBorders>
                    <w:tl2br w:val="nil"/>
                    <w:tr2bl w:val="nil"/>
                  </w:tcBorders>
                  <w:shd w:val="clear" w:color="auto" w:fill="auto"/>
                  <w:vAlign w:val="center"/>
                </w:tcPr>
                <w:p w14:paraId="7D432B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698" w:type="pct"/>
                  <w:tcBorders>
                    <w:tl2br w:val="nil"/>
                    <w:tr2bl w:val="nil"/>
                  </w:tcBorders>
                  <w:shd w:val="clear" w:color="auto" w:fill="auto"/>
                  <w:vAlign w:val="center"/>
                </w:tcPr>
                <w:p w14:paraId="03F618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87.2</w:t>
                  </w:r>
                </w:p>
              </w:tc>
            </w:tr>
            <w:tr w14:paraId="324961C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00" w:type="pct"/>
                  <w:vMerge w:val="continue"/>
                  <w:tcBorders>
                    <w:tl2br w:val="nil"/>
                    <w:tr2bl w:val="nil"/>
                  </w:tcBorders>
                  <w:shd w:val="clear" w:color="auto" w:fill="auto"/>
                  <w:vAlign w:val="center"/>
                </w:tcPr>
                <w:p w14:paraId="6C9EE7AB">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5EFDA5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线路板</w:t>
                  </w:r>
                </w:p>
              </w:tc>
              <w:tc>
                <w:tcPr>
                  <w:tcW w:w="591" w:type="pct"/>
                  <w:tcBorders>
                    <w:tl2br w:val="nil"/>
                    <w:tr2bl w:val="nil"/>
                  </w:tcBorders>
                  <w:shd w:val="clear" w:color="auto" w:fill="auto"/>
                  <w:vAlign w:val="center"/>
                </w:tcPr>
                <w:p w14:paraId="421DB2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w:t>
                  </w:r>
                </w:p>
              </w:tc>
              <w:tc>
                <w:tcPr>
                  <w:tcW w:w="658" w:type="pct"/>
                  <w:tcBorders>
                    <w:tl2br w:val="nil"/>
                    <w:tr2bl w:val="nil"/>
                  </w:tcBorders>
                  <w:shd w:val="clear" w:color="auto" w:fill="auto"/>
                  <w:vAlign w:val="center"/>
                </w:tcPr>
                <w:p w14:paraId="5F97CCE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651" w:type="pct"/>
                  <w:tcBorders>
                    <w:tl2br w:val="nil"/>
                    <w:tr2bl w:val="nil"/>
                  </w:tcBorders>
                  <w:shd w:val="clear" w:color="auto" w:fill="auto"/>
                  <w:vAlign w:val="center"/>
                </w:tcPr>
                <w:p w14:paraId="3EB11C8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696" w:type="pct"/>
                  <w:tcBorders>
                    <w:tl2br w:val="nil"/>
                    <w:tr2bl w:val="nil"/>
                  </w:tcBorders>
                  <w:shd w:val="clear" w:color="auto" w:fill="auto"/>
                  <w:vAlign w:val="center"/>
                </w:tcPr>
                <w:p w14:paraId="0EC8D6C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639" w:type="pct"/>
                  <w:tcBorders>
                    <w:tl2br w:val="nil"/>
                    <w:tr2bl w:val="nil"/>
                  </w:tcBorders>
                  <w:shd w:val="clear" w:color="auto" w:fill="auto"/>
                  <w:vAlign w:val="center"/>
                </w:tcPr>
                <w:p w14:paraId="3452DA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698" w:type="pct"/>
                  <w:tcBorders>
                    <w:tl2br w:val="nil"/>
                    <w:tr2bl w:val="nil"/>
                  </w:tcBorders>
                  <w:shd w:val="clear" w:color="auto" w:fill="auto"/>
                  <w:vAlign w:val="center"/>
                </w:tcPr>
                <w:p w14:paraId="5685AB4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51.8</w:t>
                  </w:r>
                </w:p>
              </w:tc>
            </w:tr>
            <w:tr w14:paraId="4845DD6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00" w:type="pct"/>
                  <w:vMerge w:val="continue"/>
                  <w:tcBorders>
                    <w:tl2br w:val="nil"/>
                    <w:tr2bl w:val="nil"/>
                  </w:tcBorders>
                  <w:shd w:val="clear" w:color="auto" w:fill="auto"/>
                  <w:vAlign w:val="center"/>
                </w:tcPr>
                <w:p w14:paraId="05947630">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51E0B082">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废活性炭</w:t>
                  </w:r>
                </w:p>
              </w:tc>
              <w:tc>
                <w:tcPr>
                  <w:tcW w:w="591" w:type="pct"/>
                  <w:tcBorders>
                    <w:tl2br w:val="nil"/>
                    <w:tr2bl w:val="nil"/>
                  </w:tcBorders>
                  <w:shd w:val="clear" w:color="auto" w:fill="auto"/>
                  <w:vAlign w:val="center"/>
                </w:tcPr>
                <w:p w14:paraId="4183B5C5">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1.16</w:t>
                  </w:r>
                </w:p>
              </w:tc>
              <w:tc>
                <w:tcPr>
                  <w:tcW w:w="658" w:type="pct"/>
                  <w:tcBorders>
                    <w:tl2br w:val="nil"/>
                    <w:tr2bl w:val="nil"/>
                  </w:tcBorders>
                  <w:shd w:val="clear" w:color="auto" w:fill="auto"/>
                  <w:vAlign w:val="center"/>
                </w:tcPr>
                <w:p w14:paraId="658B02B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1.94</w:t>
                  </w:r>
                </w:p>
              </w:tc>
              <w:tc>
                <w:tcPr>
                  <w:tcW w:w="651" w:type="pct"/>
                  <w:tcBorders>
                    <w:tl2br w:val="nil"/>
                    <w:tr2bl w:val="nil"/>
                  </w:tcBorders>
                  <w:shd w:val="clear" w:color="auto" w:fill="auto"/>
                  <w:vAlign w:val="center"/>
                </w:tcPr>
                <w:p w14:paraId="0F7CF48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0.033</w:t>
                  </w:r>
                </w:p>
              </w:tc>
              <w:tc>
                <w:tcPr>
                  <w:tcW w:w="696" w:type="pct"/>
                  <w:tcBorders>
                    <w:tl2br w:val="nil"/>
                    <w:tr2bl w:val="nil"/>
                  </w:tcBorders>
                  <w:shd w:val="clear" w:color="auto" w:fill="auto"/>
                  <w:vAlign w:val="center"/>
                </w:tcPr>
                <w:p w14:paraId="110E5B1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0.055</w:t>
                  </w:r>
                </w:p>
              </w:tc>
              <w:tc>
                <w:tcPr>
                  <w:tcW w:w="639" w:type="pct"/>
                  <w:tcBorders>
                    <w:tl2br w:val="nil"/>
                    <w:tr2bl w:val="nil"/>
                  </w:tcBorders>
                  <w:shd w:val="clear" w:color="auto" w:fill="auto"/>
                  <w:vAlign w:val="center"/>
                </w:tcPr>
                <w:p w14:paraId="1CC9875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0.365</w:t>
                  </w:r>
                </w:p>
              </w:tc>
              <w:tc>
                <w:tcPr>
                  <w:tcW w:w="698" w:type="pct"/>
                  <w:tcBorders>
                    <w:tl2br w:val="nil"/>
                    <w:tr2bl w:val="nil"/>
                  </w:tcBorders>
                  <w:shd w:val="clear" w:color="auto" w:fill="auto"/>
                  <w:vAlign w:val="center"/>
                </w:tcPr>
                <w:p w14:paraId="25941087">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3.553</w:t>
                  </w:r>
                </w:p>
              </w:tc>
            </w:tr>
            <w:tr w14:paraId="47A5C35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00" w:type="pct"/>
                  <w:vMerge w:val="continue"/>
                  <w:tcBorders>
                    <w:tl2br w:val="nil"/>
                    <w:tr2bl w:val="nil"/>
                  </w:tcBorders>
                  <w:shd w:val="clear" w:color="auto" w:fill="auto"/>
                  <w:vAlign w:val="center"/>
                </w:tcPr>
                <w:p w14:paraId="69476A6D">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5701409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含汞废物</w:t>
                  </w:r>
                </w:p>
              </w:tc>
              <w:tc>
                <w:tcPr>
                  <w:tcW w:w="591" w:type="pct"/>
                  <w:tcBorders>
                    <w:tl2br w:val="nil"/>
                    <w:tr2bl w:val="nil"/>
                  </w:tcBorders>
                  <w:shd w:val="clear" w:color="auto" w:fill="auto"/>
                  <w:vAlign w:val="center"/>
                </w:tcPr>
                <w:p w14:paraId="6F2150FF">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w:t>
                  </w:r>
                </w:p>
              </w:tc>
              <w:tc>
                <w:tcPr>
                  <w:tcW w:w="658" w:type="pct"/>
                  <w:tcBorders>
                    <w:tl2br w:val="nil"/>
                    <w:tr2bl w:val="nil"/>
                  </w:tcBorders>
                  <w:shd w:val="clear" w:color="auto" w:fill="auto"/>
                  <w:vAlign w:val="center"/>
                </w:tcPr>
                <w:p w14:paraId="2CC5108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651" w:type="pct"/>
                  <w:tcBorders>
                    <w:tl2br w:val="nil"/>
                    <w:tr2bl w:val="nil"/>
                  </w:tcBorders>
                  <w:shd w:val="clear" w:color="auto" w:fill="auto"/>
                  <w:vAlign w:val="center"/>
                </w:tcPr>
                <w:p w14:paraId="4FE5C23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6" w:type="pct"/>
                  <w:tcBorders>
                    <w:tl2br w:val="nil"/>
                    <w:tr2bl w:val="nil"/>
                  </w:tcBorders>
                  <w:shd w:val="clear" w:color="auto" w:fill="auto"/>
                  <w:vAlign w:val="center"/>
                </w:tcPr>
                <w:p w14:paraId="597509D7">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39" w:type="pct"/>
                  <w:tcBorders>
                    <w:tl2br w:val="nil"/>
                    <w:tr2bl w:val="nil"/>
                  </w:tcBorders>
                  <w:shd w:val="clear" w:color="auto" w:fill="auto"/>
                  <w:vAlign w:val="center"/>
                </w:tcPr>
                <w:p w14:paraId="4BADBFC2">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698" w:type="pct"/>
                  <w:tcBorders>
                    <w:tl2br w:val="nil"/>
                    <w:tr2bl w:val="nil"/>
                  </w:tcBorders>
                  <w:shd w:val="clear" w:color="auto" w:fill="auto"/>
                  <w:vAlign w:val="center"/>
                </w:tcPr>
                <w:p w14:paraId="5A2D677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r>
            <w:tr w14:paraId="61EFF19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00" w:type="pct"/>
                  <w:vMerge w:val="continue"/>
                  <w:tcBorders>
                    <w:tl2br w:val="nil"/>
                    <w:tr2bl w:val="nil"/>
                  </w:tcBorders>
                  <w:shd w:val="clear" w:color="auto" w:fill="auto"/>
                  <w:vAlign w:val="center"/>
                </w:tcPr>
                <w:p w14:paraId="1912103A">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56473C89">
                  <w:pPr>
                    <w:keepNext w:val="0"/>
                    <w:keepLines w:val="0"/>
                    <w:widowControl/>
                    <w:suppressLineNumbers w:val="0"/>
                    <w:jc w:val="center"/>
                    <w:textAlignment w:val="center"/>
                    <w:rPr>
                      <w:rFonts w:hint="eastAsia" w:ascii="宋体" w:hAnsi="宋体" w:eastAsia="宋体" w:cs="宋体"/>
                      <w:color w:val="000000" w:themeColor="text1"/>
                      <w:spacing w:val="-2"/>
                      <w:sz w:val="18"/>
                      <w:szCs w:val="18"/>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石棉废物</w:t>
                  </w:r>
                </w:p>
              </w:tc>
              <w:tc>
                <w:tcPr>
                  <w:tcW w:w="591" w:type="pct"/>
                  <w:tcBorders>
                    <w:tl2br w:val="nil"/>
                    <w:tr2bl w:val="nil"/>
                  </w:tcBorders>
                  <w:shd w:val="clear" w:color="auto" w:fill="auto"/>
                  <w:vAlign w:val="center"/>
                </w:tcPr>
                <w:p w14:paraId="0EEC36FA">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w:t>
                  </w:r>
                </w:p>
              </w:tc>
              <w:tc>
                <w:tcPr>
                  <w:tcW w:w="658" w:type="pct"/>
                  <w:tcBorders>
                    <w:tl2br w:val="nil"/>
                    <w:tr2bl w:val="nil"/>
                  </w:tcBorders>
                  <w:shd w:val="clear" w:color="auto" w:fill="auto"/>
                  <w:vAlign w:val="center"/>
                </w:tcPr>
                <w:p w14:paraId="79A0E4E5">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651" w:type="pct"/>
                  <w:tcBorders>
                    <w:tl2br w:val="nil"/>
                    <w:tr2bl w:val="nil"/>
                  </w:tcBorders>
                  <w:shd w:val="clear" w:color="auto" w:fill="auto"/>
                  <w:vAlign w:val="center"/>
                </w:tcPr>
                <w:p w14:paraId="13B9A84A">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6" w:type="pct"/>
                  <w:tcBorders>
                    <w:tl2br w:val="nil"/>
                    <w:tr2bl w:val="nil"/>
                  </w:tcBorders>
                  <w:shd w:val="clear" w:color="auto" w:fill="auto"/>
                  <w:vAlign w:val="center"/>
                </w:tcPr>
                <w:p w14:paraId="476078EA">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39" w:type="pct"/>
                  <w:tcBorders>
                    <w:tl2br w:val="nil"/>
                    <w:tr2bl w:val="nil"/>
                  </w:tcBorders>
                  <w:shd w:val="clear" w:color="auto" w:fill="auto"/>
                  <w:vAlign w:val="center"/>
                </w:tcPr>
                <w:p w14:paraId="5F5D6A2B">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698" w:type="pct"/>
                  <w:tcBorders>
                    <w:tl2br w:val="nil"/>
                    <w:tr2bl w:val="nil"/>
                  </w:tcBorders>
                  <w:shd w:val="clear" w:color="auto" w:fill="auto"/>
                  <w:vAlign w:val="center"/>
                </w:tcPr>
                <w:p w14:paraId="2E557706">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r>
            <w:tr w14:paraId="1AB962B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825" w:hRule="atLeast"/>
              </w:trPr>
              <w:tc>
                <w:tcPr>
                  <w:tcW w:w="300" w:type="pct"/>
                  <w:vMerge w:val="restart"/>
                  <w:tcBorders>
                    <w:tl2br w:val="nil"/>
                    <w:tr2bl w:val="nil"/>
                  </w:tcBorders>
                  <w:shd w:val="clear" w:color="auto" w:fill="auto"/>
                  <w:vAlign w:val="center"/>
                </w:tcPr>
                <w:p w14:paraId="1DBE8E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废气</w:t>
                  </w:r>
                </w:p>
              </w:tc>
              <w:tc>
                <w:tcPr>
                  <w:tcW w:w="763" w:type="pct"/>
                  <w:tcBorders>
                    <w:tl2br w:val="nil"/>
                    <w:tr2bl w:val="nil"/>
                  </w:tcBorders>
                  <w:shd w:val="clear" w:color="auto" w:fill="auto"/>
                  <w:vAlign w:val="center"/>
                </w:tcPr>
                <w:p w14:paraId="34476BD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非甲烷总烃0.5%的损失率</w:t>
                  </w:r>
                </w:p>
              </w:tc>
              <w:tc>
                <w:tcPr>
                  <w:tcW w:w="591" w:type="pct"/>
                  <w:tcBorders>
                    <w:tl2br w:val="nil"/>
                    <w:tr2bl w:val="nil"/>
                  </w:tcBorders>
                  <w:shd w:val="clear" w:color="auto" w:fill="auto"/>
                  <w:vAlign w:val="center"/>
                </w:tcPr>
                <w:p w14:paraId="0E80724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0.21</w:t>
                  </w:r>
                </w:p>
              </w:tc>
              <w:tc>
                <w:tcPr>
                  <w:tcW w:w="658" w:type="pct"/>
                  <w:tcBorders>
                    <w:tl2br w:val="nil"/>
                    <w:tr2bl w:val="nil"/>
                  </w:tcBorders>
                  <w:shd w:val="clear" w:color="auto" w:fill="auto"/>
                  <w:vAlign w:val="center"/>
                </w:tcPr>
                <w:p w14:paraId="022ADF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0.35</w:t>
                  </w:r>
                </w:p>
              </w:tc>
              <w:tc>
                <w:tcPr>
                  <w:tcW w:w="651" w:type="pct"/>
                  <w:tcBorders>
                    <w:tl2br w:val="nil"/>
                    <w:tr2bl w:val="nil"/>
                  </w:tcBorders>
                  <w:shd w:val="clear" w:color="auto" w:fill="auto"/>
                  <w:vAlign w:val="center"/>
                </w:tcPr>
                <w:p w14:paraId="47B258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0.006</w:t>
                  </w:r>
                </w:p>
              </w:tc>
              <w:tc>
                <w:tcPr>
                  <w:tcW w:w="696" w:type="pct"/>
                  <w:tcBorders>
                    <w:tl2br w:val="nil"/>
                    <w:tr2bl w:val="nil"/>
                  </w:tcBorders>
                  <w:shd w:val="clear" w:color="auto" w:fill="auto"/>
                  <w:vAlign w:val="center"/>
                </w:tcPr>
                <w:p w14:paraId="699F8F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0.01</w:t>
                  </w:r>
                </w:p>
              </w:tc>
              <w:tc>
                <w:tcPr>
                  <w:tcW w:w="639" w:type="pct"/>
                  <w:tcBorders>
                    <w:tl2br w:val="nil"/>
                    <w:tr2bl w:val="nil"/>
                  </w:tcBorders>
                  <w:shd w:val="clear" w:color="auto" w:fill="auto"/>
                  <w:vAlign w:val="center"/>
                </w:tcPr>
                <w:p w14:paraId="478200D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0.065</w:t>
                  </w:r>
                </w:p>
              </w:tc>
              <w:tc>
                <w:tcPr>
                  <w:tcW w:w="698" w:type="pct"/>
                  <w:tcBorders>
                    <w:tl2br w:val="nil"/>
                    <w:tr2bl w:val="nil"/>
                  </w:tcBorders>
                  <w:shd w:val="clear" w:color="auto" w:fill="auto"/>
                  <w:vAlign w:val="center"/>
                </w:tcPr>
                <w:p w14:paraId="186C11F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0.641</w:t>
                  </w:r>
                </w:p>
              </w:tc>
            </w:tr>
            <w:tr w14:paraId="66D0BF5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5" w:hRule="atLeast"/>
              </w:trPr>
              <w:tc>
                <w:tcPr>
                  <w:tcW w:w="300" w:type="pct"/>
                  <w:vMerge w:val="continue"/>
                  <w:tcBorders>
                    <w:tl2br w:val="nil"/>
                    <w:tr2bl w:val="nil"/>
                  </w:tcBorders>
                  <w:shd w:val="clear" w:color="auto" w:fill="auto"/>
                  <w:vAlign w:val="center"/>
                </w:tcPr>
                <w:p w14:paraId="293A820E">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37E92E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切割颗粒物1.</w:t>
                  </w:r>
                  <w:r>
                    <w:rPr>
                      <w:rFonts w:hint="eastAsia" w:ascii="宋体" w:hAnsi="宋体" w:cs="宋体"/>
                      <w:color w:val="000000" w:themeColor="text1"/>
                      <w:sz w:val="18"/>
                      <w:szCs w:val="18"/>
                      <w:lang w:val="en-US" w:eastAsia="zh-CN" w:bidi="ar"/>
                      <w14:textFill>
                        <w14:solidFill>
                          <w14:schemeClr w14:val="tx1"/>
                        </w14:solidFill>
                      </w14:textFill>
                    </w:rPr>
                    <w:t>1</w:t>
                  </w:r>
                  <w:r>
                    <w:rPr>
                      <w:rFonts w:hint="eastAsia" w:ascii="宋体" w:hAnsi="宋体" w:eastAsia="宋体" w:cs="宋体"/>
                      <w:color w:val="000000" w:themeColor="text1"/>
                      <w:sz w:val="18"/>
                      <w:szCs w:val="18"/>
                      <w:lang w:val="en-US" w:eastAsia="zh-CN" w:bidi="ar"/>
                      <w14:textFill>
                        <w14:solidFill>
                          <w14:schemeClr w14:val="tx1"/>
                        </w14:solidFill>
                      </w14:textFill>
                    </w:rPr>
                    <w:t>克/吨-原料</w:t>
                  </w:r>
                </w:p>
              </w:tc>
              <w:tc>
                <w:tcPr>
                  <w:tcW w:w="591" w:type="pct"/>
                  <w:tcBorders>
                    <w:tl2br w:val="nil"/>
                    <w:tr2bl w:val="nil"/>
                  </w:tcBorders>
                  <w:shd w:val="clear" w:color="auto" w:fill="auto"/>
                  <w:vAlign w:val="center"/>
                </w:tcPr>
                <w:p w14:paraId="01DDC1F5">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2.31</w:t>
                  </w:r>
                </w:p>
              </w:tc>
              <w:tc>
                <w:tcPr>
                  <w:tcW w:w="658" w:type="pct"/>
                  <w:tcBorders>
                    <w:tl2br w:val="nil"/>
                    <w:tr2bl w:val="nil"/>
                  </w:tcBorders>
                  <w:shd w:val="clear" w:color="auto" w:fill="auto"/>
                  <w:vAlign w:val="center"/>
                </w:tcPr>
                <w:p w14:paraId="7FDCE28C">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8.25</w:t>
                  </w:r>
                </w:p>
              </w:tc>
              <w:tc>
                <w:tcPr>
                  <w:tcW w:w="651" w:type="pct"/>
                  <w:tcBorders>
                    <w:tl2br w:val="nil"/>
                    <w:tr2bl w:val="nil"/>
                  </w:tcBorders>
                  <w:shd w:val="clear" w:color="auto" w:fill="auto"/>
                  <w:vAlign w:val="center"/>
                </w:tcPr>
                <w:p w14:paraId="347AC0E0">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0.198</w:t>
                  </w:r>
                </w:p>
              </w:tc>
              <w:tc>
                <w:tcPr>
                  <w:tcW w:w="696" w:type="pct"/>
                  <w:tcBorders>
                    <w:tl2br w:val="nil"/>
                    <w:tr2bl w:val="nil"/>
                  </w:tcBorders>
                  <w:shd w:val="clear" w:color="auto" w:fill="auto"/>
                  <w:vAlign w:val="center"/>
                </w:tcPr>
                <w:p w14:paraId="12C0599E">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0.66</w:t>
                  </w:r>
                </w:p>
              </w:tc>
              <w:tc>
                <w:tcPr>
                  <w:tcW w:w="639" w:type="pct"/>
                  <w:tcBorders>
                    <w:tl2br w:val="nil"/>
                    <w:tr2bl w:val="nil"/>
                  </w:tcBorders>
                  <w:shd w:val="clear" w:color="auto" w:fill="auto"/>
                  <w:vAlign w:val="center"/>
                </w:tcPr>
                <w:p w14:paraId="24BECBFD">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1.54</w:t>
                  </w:r>
                </w:p>
              </w:tc>
              <w:tc>
                <w:tcPr>
                  <w:tcW w:w="698" w:type="pct"/>
                  <w:tcBorders>
                    <w:tl2br w:val="nil"/>
                    <w:tr2bl w:val="nil"/>
                  </w:tcBorders>
                  <w:shd w:val="clear" w:color="auto" w:fill="auto"/>
                  <w:vAlign w:val="center"/>
                </w:tcPr>
                <w:p w14:paraId="7003001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12.958</w:t>
                  </w:r>
                </w:p>
              </w:tc>
            </w:tr>
            <w:tr w14:paraId="0851A7A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52" w:hRule="atLeast"/>
              </w:trPr>
              <w:tc>
                <w:tcPr>
                  <w:tcW w:w="300" w:type="pct"/>
                  <w:vMerge w:val="continue"/>
                  <w:tcBorders>
                    <w:tl2br w:val="nil"/>
                    <w:tr2bl w:val="nil"/>
                  </w:tcBorders>
                  <w:shd w:val="clear" w:color="auto" w:fill="auto"/>
                  <w:vAlign w:val="center"/>
                </w:tcPr>
                <w:p w14:paraId="2EAB31F1">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763" w:type="pct"/>
                  <w:tcBorders>
                    <w:tl2br w:val="nil"/>
                    <w:tr2bl w:val="nil"/>
                  </w:tcBorders>
                  <w:shd w:val="clear" w:color="auto" w:fill="auto"/>
                  <w:vAlign w:val="center"/>
                </w:tcPr>
                <w:p w14:paraId="5F9E0977">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尼龙粉尘按废安全气囊产生量的1‰</w:t>
                  </w:r>
                </w:p>
              </w:tc>
              <w:tc>
                <w:tcPr>
                  <w:tcW w:w="591" w:type="pct"/>
                  <w:tcBorders>
                    <w:tl2br w:val="nil"/>
                    <w:tr2bl w:val="nil"/>
                  </w:tcBorders>
                  <w:shd w:val="clear" w:color="auto" w:fill="auto"/>
                  <w:vAlign w:val="center"/>
                </w:tcPr>
                <w:p w14:paraId="5FFFDC5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0.007</w:t>
                  </w:r>
                </w:p>
              </w:tc>
              <w:tc>
                <w:tcPr>
                  <w:tcW w:w="658" w:type="pct"/>
                  <w:tcBorders>
                    <w:tl2br w:val="nil"/>
                    <w:tr2bl w:val="nil"/>
                  </w:tcBorders>
                  <w:shd w:val="clear" w:color="auto" w:fill="auto"/>
                  <w:vAlign w:val="center"/>
                </w:tcPr>
                <w:p w14:paraId="277211B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0.005</w:t>
                  </w:r>
                </w:p>
              </w:tc>
              <w:tc>
                <w:tcPr>
                  <w:tcW w:w="651" w:type="pct"/>
                  <w:tcBorders>
                    <w:tl2br w:val="nil"/>
                    <w:tr2bl w:val="nil"/>
                  </w:tcBorders>
                  <w:shd w:val="clear" w:color="auto" w:fill="auto"/>
                  <w:vAlign w:val="center"/>
                </w:tcPr>
                <w:p w14:paraId="2505745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0.0006</w:t>
                  </w:r>
                </w:p>
              </w:tc>
              <w:tc>
                <w:tcPr>
                  <w:tcW w:w="696" w:type="pct"/>
                  <w:tcBorders>
                    <w:tl2br w:val="nil"/>
                    <w:tr2bl w:val="nil"/>
                  </w:tcBorders>
                  <w:shd w:val="clear" w:color="auto" w:fill="auto"/>
                  <w:vAlign w:val="center"/>
                </w:tcPr>
                <w:p w14:paraId="2999968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0.0004</w:t>
                  </w:r>
                </w:p>
              </w:tc>
              <w:tc>
                <w:tcPr>
                  <w:tcW w:w="639" w:type="pct"/>
                  <w:tcBorders>
                    <w:tl2br w:val="nil"/>
                    <w:tr2bl w:val="nil"/>
                  </w:tcBorders>
                  <w:shd w:val="clear" w:color="auto" w:fill="auto"/>
                  <w:vAlign w:val="center"/>
                </w:tcPr>
                <w:p w14:paraId="48B1751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c>
                <w:tcPr>
                  <w:tcW w:w="698" w:type="pct"/>
                  <w:tcBorders>
                    <w:tl2br w:val="nil"/>
                    <w:tr2bl w:val="nil"/>
                  </w:tcBorders>
                  <w:shd w:val="clear" w:color="auto" w:fill="auto"/>
                  <w:vAlign w:val="center"/>
                </w:tcPr>
                <w:p w14:paraId="1252832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0.013</w:t>
                  </w:r>
                </w:p>
              </w:tc>
            </w:tr>
            <w:tr w14:paraId="4510D9E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95" w:hRule="atLeast"/>
              </w:trPr>
              <w:tc>
                <w:tcPr>
                  <w:tcW w:w="1064" w:type="pct"/>
                  <w:gridSpan w:val="2"/>
                  <w:tcBorders>
                    <w:tl2br w:val="nil"/>
                    <w:tr2bl w:val="nil"/>
                  </w:tcBorders>
                  <w:shd w:val="clear" w:color="auto" w:fill="auto"/>
                  <w:vAlign w:val="center"/>
                </w:tcPr>
                <w:p w14:paraId="74ED13B2">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总计</w:t>
                  </w:r>
                </w:p>
              </w:tc>
              <w:tc>
                <w:tcPr>
                  <w:tcW w:w="591" w:type="pct"/>
                  <w:tcBorders>
                    <w:tl2br w:val="nil"/>
                    <w:tr2bl w:val="nil"/>
                  </w:tcBorders>
                  <w:shd w:val="clear" w:color="auto" w:fill="auto"/>
                  <w:vAlign w:val="center"/>
                </w:tcPr>
                <w:p w14:paraId="5063414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sum(C2:C25)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8652.887</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58" w:type="pct"/>
                  <w:tcBorders>
                    <w:tl2br w:val="nil"/>
                    <w:tr2bl w:val="nil"/>
                  </w:tcBorders>
                  <w:shd w:val="clear" w:color="auto" w:fill="auto"/>
                  <w:vAlign w:val="center"/>
                </w:tcPr>
                <w:p w14:paraId="243291D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sum(D2:D25)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21209.545</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51" w:type="pct"/>
                  <w:tcBorders>
                    <w:tl2br w:val="nil"/>
                    <w:tr2bl w:val="nil"/>
                  </w:tcBorders>
                  <w:shd w:val="clear" w:color="auto" w:fill="auto"/>
                  <w:vAlign w:val="center"/>
                </w:tcPr>
                <w:p w14:paraId="21E5314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sum(E2:E25)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978.8976</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96" w:type="pct"/>
                  <w:tcBorders>
                    <w:tl2br w:val="nil"/>
                    <w:tr2bl w:val="nil"/>
                  </w:tcBorders>
                  <w:shd w:val="clear" w:color="auto" w:fill="auto"/>
                  <w:vAlign w:val="center"/>
                </w:tcPr>
                <w:p w14:paraId="26BA41C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sum(F2:F25)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1965.2454</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39" w:type="pct"/>
                  <w:tcBorders>
                    <w:tl2br w:val="nil"/>
                    <w:tr2bl w:val="nil"/>
                  </w:tcBorders>
                  <w:shd w:val="clear" w:color="auto" w:fill="auto"/>
                  <w:vAlign w:val="center"/>
                </w:tcPr>
                <w:p w14:paraId="5984925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sum(G2:G25)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4383.47</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698" w:type="pct"/>
                  <w:tcBorders>
                    <w:tl2br w:val="nil"/>
                    <w:tr2bl w:val="nil"/>
                  </w:tcBorders>
                  <w:shd w:val="clear" w:color="auto" w:fill="auto"/>
                  <w:vAlign w:val="center"/>
                </w:tcPr>
                <w:p w14:paraId="5A24013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sum(H2:H25)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38190.045</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r>
            <w:tr w14:paraId="2909ED3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5000" w:type="pct"/>
                  <w:gridSpan w:val="8"/>
                  <w:tcBorders>
                    <w:tl2br w:val="nil"/>
                    <w:tr2bl w:val="nil"/>
                  </w:tcBorders>
                  <w:shd w:val="clear" w:color="auto" w:fill="auto"/>
                  <w:vAlign w:val="center"/>
                </w:tcPr>
                <w:p w14:paraId="3AE8FED5">
                  <w:pPr>
                    <w:keepNext w:val="0"/>
                    <w:keepLines w:val="0"/>
                    <w:widowControl/>
                    <w:suppressLineNumbers w:val="0"/>
                    <w:jc w:val="both"/>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注：废活性炭为吸附非甲烷总烃产生的定期更换物，不纳入全厂物料平衡，活性炭是最常用的一种吸附剂，活性炭吸附能力受载气流率、吸附质气体含水量、自身含水量及吸附质气体浓度及性质等因素有关，一般的气用活性炭达到饱和吸附时的吸附量约为35%，应用于净化设备可取20～25%的吸附量，即每吨活性炭可吸附200～250kg的废气。本次环评取每公斤活性炭吸附污染物0.22kg</w:t>
                  </w:r>
                </w:p>
                <w:p w14:paraId="4EE7BC80">
                  <w:pPr>
                    <w:pStyle w:val="11"/>
                    <w:ind w:left="0" w:leftChars="0" w:firstLine="360" w:firstLineChars="200"/>
                    <w:rPr>
                      <w:rFonts w:hint="eastAsia"/>
                      <w:color w:val="000000" w:themeColor="text1"/>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《排放源统计调查产排污核算方法和系数手册》中机械行业系数“C33-C37 行业核算环节”-下料环节-等离子切割工艺的产尘系数：1. 10kg/t 原料，</w:t>
                  </w:r>
                </w:p>
              </w:tc>
            </w:tr>
          </w:tbl>
          <w:p w14:paraId="3C320B63">
            <w:pPr>
              <w:pStyle w:val="23"/>
              <w:ind w:left="0" w:leftChars="0" w:firstLine="632" w:firstLineChars="300"/>
              <w:rPr>
                <w:rFonts w:hint="default" w:ascii="宋体" w:hAnsi="宋体" w:eastAsia="宋体" w:cs="宋体"/>
                <w:b/>
                <w:color w:val="000000" w:themeColor="text1"/>
                <w:lang w:val="en-US" w:eastAsia="zh-CN"/>
                <w14:textFill>
                  <w14:solidFill>
                    <w14:schemeClr w14:val="tx1"/>
                  </w14:solidFill>
                </w14:textFill>
              </w:rPr>
            </w:pPr>
            <w:r>
              <w:rPr>
                <w:rFonts w:hint="eastAsia" w:ascii="宋体" w:hAnsi="宋体" w:cs="宋体"/>
                <w:b/>
                <w:color w:val="000000" w:themeColor="text1"/>
                <w:lang w:val="en-US" w:eastAsia="zh-CN"/>
                <w14:textFill>
                  <w14:solidFill>
                    <w14:schemeClr w14:val="tx1"/>
                  </w14:solidFill>
                </w14:textFill>
              </w:rPr>
              <w:t>全厂物料平衡详见下图</w:t>
            </w:r>
          </w:p>
          <w:tbl>
            <w:tblPr>
              <w:tblStyle w:val="25"/>
              <w:tblW w:w="43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6"/>
              <w:gridCol w:w="846"/>
              <w:gridCol w:w="846"/>
              <w:gridCol w:w="2699"/>
              <w:gridCol w:w="1286"/>
            </w:tblGrid>
            <w:tr w14:paraId="2B7DC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756" w:type="pct"/>
                  <w:tcBorders>
                    <w:top w:val="single" w:color="000000" w:sz="8" w:space="0"/>
                    <w:left w:val="single" w:color="000000" w:sz="8" w:space="0"/>
                    <w:right w:val="single" w:color="000000" w:sz="8" w:space="0"/>
                  </w:tcBorders>
                  <w:shd w:val="clear" w:color="auto" w:fill="auto"/>
                  <w:vAlign w:val="center"/>
                </w:tcPr>
                <w:p w14:paraId="1299553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输入</w:t>
                  </w:r>
                </w:p>
              </w:tc>
              <w:tc>
                <w:tcPr>
                  <w:tcW w:w="4243" w:type="pct"/>
                  <w:gridSpan w:val="4"/>
                  <w:tcBorders>
                    <w:top w:val="single" w:color="000000" w:sz="8" w:space="0"/>
                    <w:left w:val="single" w:color="000000" w:sz="8" w:space="0"/>
                    <w:right w:val="single" w:color="000000" w:sz="8" w:space="0"/>
                  </w:tcBorders>
                  <w:shd w:val="clear" w:color="auto" w:fill="auto"/>
                  <w:vAlign w:val="center"/>
                </w:tcPr>
                <w:p w14:paraId="6E8142B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输出</w:t>
                  </w:r>
                </w:p>
              </w:tc>
            </w:tr>
            <w:tr w14:paraId="20D57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756" w:type="pct"/>
                  <w:vMerge w:val="restart"/>
                  <w:tcBorders>
                    <w:top w:val="single" w:color="000000" w:sz="8" w:space="0"/>
                    <w:left w:val="single" w:color="000000" w:sz="8" w:space="0"/>
                    <w:right w:val="single" w:color="000000" w:sz="8" w:space="0"/>
                  </w:tcBorders>
                  <w:shd w:val="clear" w:color="auto" w:fill="auto"/>
                  <w:vAlign w:val="center"/>
                </w:tcPr>
                <w:p w14:paraId="6854168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拆解汽车</w:t>
                  </w:r>
                </w:p>
                <w:p w14:paraId="4EBAF7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37233.63967</w:t>
                  </w:r>
                </w:p>
              </w:tc>
              <w:tc>
                <w:tcPr>
                  <w:tcW w:w="1240" w:type="pct"/>
                  <w:gridSpan w:val="2"/>
                  <w:vMerge w:val="restart"/>
                  <w:tcBorders>
                    <w:top w:val="single" w:color="000000" w:sz="8" w:space="0"/>
                    <w:left w:val="single" w:color="000000" w:sz="8" w:space="0"/>
                    <w:right w:val="single" w:color="000000" w:sz="8" w:space="0"/>
                  </w:tcBorders>
                  <w:shd w:val="pct10" w:color="auto" w:fill="auto"/>
                  <w:vAlign w:val="center"/>
                </w:tcPr>
                <w:p w14:paraId="040007C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成品</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sum(A1:A4)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32504</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2029" w:type="pct"/>
                  <w:tcBorders>
                    <w:top w:val="single" w:color="000000" w:sz="8" w:space="0"/>
                    <w:left w:val="single" w:color="000000" w:sz="8" w:space="0"/>
                    <w:bottom w:val="single" w:color="000000" w:sz="8" w:space="0"/>
                    <w:right w:val="single" w:color="000000" w:sz="8" w:space="0"/>
                  </w:tcBorders>
                  <w:shd w:val="pct10" w:color="auto" w:fill="auto"/>
                  <w:vAlign w:val="center"/>
                </w:tcPr>
                <w:p w14:paraId="1DE6F21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钢铁</w:t>
                  </w:r>
                </w:p>
              </w:tc>
              <w:tc>
                <w:tcPr>
                  <w:tcW w:w="972" w:type="pct"/>
                  <w:tcBorders>
                    <w:top w:val="single" w:color="000000" w:sz="8" w:space="0"/>
                    <w:left w:val="single" w:color="000000" w:sz="8" w:space="0"/>
                    <w:bottom w:val="single" w:color="000000" w:sz="8" w:space="0"/>
                    <w:right w:val="single" w:color="000000" w:sz="8" w:space="0"/>
                  </w:tcBorders>
                  <w:shd w:val="pct10" w:color="auto" w:fill="auto"/>
                  <w:vAlign w:val="center"/>
                </w:tcPr>
                <w:p w14:paraId="66DB853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11780</w:t>
                  </w:r>
                </w:p>
              </w:tc>
            </w:tr>
            <w:tr w14:paraId="168CE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0AFD430C">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10" w:color="auto" w:fill="auto"/>
                  <w:vAlign w:val="center"/>
                </w:tcPr>
                <w:p w14:paraId="158EF785">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10" w:color="auto" w:fill="auto"/>
                  <w:vAlign w:val="center"/>
                </w:tcPr>
                <w:p w14:paraId="355100D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有色金属</w:t>
                  </w:r>
                </w:p>
              </w:tc>
              <w:tc>
                <w:tcPr>
                  <w:tcW w:w="972" w:type="pct"/>
                  <w:tcBorders>
                    <w:top w:val="single" w:color="000000" w:sz="8" w:space="0"/>
                    <w:left w:val="single" w:color="000000" w:sz="8" w:space="0"/>
                    <w:bottom w:val="single" w:color="000000" w:sz="8" w:space="0"/>
                    <w:right w:val="single" w:color="000000" w:sz="8" w:space="0"/>
                  </w:tcBorders>
                  <w:shd w:val="pct10" w:color="auto" w:fill="auto"/>
                  <w:vAlign w:val="center"/>
                </w:tcPr>
                <w:p w14:paraId="24B8043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2528</w:t>
                  </w:r>
                </w:p>
              </w:tc>
            </w:tr>
            <w:tr w14:paraId="0E921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6DD1CC14">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10" w:color="auto" w:fill="auto"/>
                  <w:vAlign w:val="center"/>
                </w:tcPr>
                <w:p w14:paraId="2388AA32">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10" w:color="auto" w:fill="auto"/>
                  <w:vAlign w:val="center"/>
                </w:tcPr>
                <w:p w14:paraId="61739D0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可用零部件</w:t>
                  </w:r>
                </w:p>
              </w:tc>
              <w:tc>
                <w:tcPr>
                  <w:tcW w:w="972" w:type="pct"/>
                  <w:tcBorders>
                    <w:top w:val="single" w:color="000000" w:sz="8" w:space="0"/>
                    <w:left w:val="single" w:color="000000" w:sz="8" w:space="0"/>
                    <w:bottom w:val="single" w:color="000000" w:sz="8" w:space="0"/>
                    <w:right w:val="single" w:color="000000" w:sz="8" w:space="0"/>
                  </w:tcBorders>
                  <w:shd w:val="pct10" w:color="auto" w:fill="auto"/>
                  <w:vAlign w:val="center"/>
                </w:tcPr>
                <w:p w14:paraId="617074F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1376</w:t>
                  </w:r>
                </w:p>
              </w:tc>
            </w:tr>
            <w:tr w14:paraId="48FD3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56" w:type="pct"/>
                  <w:vMerge w:val="continue"/>
                  <w:tcBorders>
                    <w:left w:val="single" w:color="000000" w:sz="8" w:space="0"/>
                    <w:right w:val="single" w:color="000000" w:sz="8" w:space="0"/>
                  </w:tcBorders>
                  <w:shd w:val="clear" w:color="auto" w:fill="auto"/>
                  <w:vAlign w:val="center"/>
                </w:tcPr>
                <w:p w14:paraId="30768143">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bottom w:val="single" w:color="000000" w:sz="8" w:space="0"/>
                    <w:right w:val="single" w:color="000000" w:sz="8" w:space="0"/>
                  </w:tcBorders>
                  <w:shd w:val="pct10" w:color="auto" w:fill="auto"/>
                  <w:vAlign w:val="center"/>
                </w:tcPr>
                <w:p w14:paraId="58CCB48F">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10" w:color="auto" w:fill="auto"/>
                  <w:vAlign w:val="center"/>
                </w:tcPr>
                <w:p w14:paraId="3879C7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五大总成</w:t>
                  </w:r>
                </w:p>
              </w:tc>
              <w:tc>
                <w:tcPr>
                  <w:tcW w:w="972" w:type="pct"/>
                  <w:tcBorders>
                    <w:top w:val="single" w:color="000000" w:sz="8" w:space="0"/>
                    <w:left w:val="single" w:color="000000" w:sz="8" w:space="0"/>
                    <w:bottom w:val="single" w:color="000000" w:sz="8" w:space="0"/>
                    <w:right w:val="single" w:color="000000" w:sz="8" w:space="0"/>
                  </w:tcBorders>
                  <w:shd w:val="pct10" w:color="auto" w:fill="auto"/>
                  <w:vAlign w:val="center"/>
                </w:tcPr>
                <w:p w14:paraId="7F94FF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16820</w:t>
                  </w:r>
                </w:p>
              </w:tc>
            </w:tr>
            <w:tr w14:paraId="2CDAD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00DD6A8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p>
              </w:tc>
              <w:tc>
                <w:tcPr>
                  <w:tcW w:w="613" w:type="pct"/>
                  <w:vMerge w:val="restart"/>
                  <w:tcBorders>
                    <w:left w:val="single" w:color="000000" w:sz="8" w:space="0"/>
                    <w:right w:val="single" w:color="000000" w:sz="8" w:space="0"/>
                  </w:tcBorders>
                  <w:shd w:val="pct20" w:color="auto" w:fill="auto"/>
                  <w:vAlign w:val="center"/>
                </w:tcPr>
                <w:p w14:paraId="7EBF6CE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一般固废</w:t>
                  </w:r>
                </w:p>
                <w:p w14:paraId="16155F4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5211.38</w:t>
                  </w:r>
                </w:p>
              </w:tc>
              <w:tc>
                <w:tcPr>
                  <w:tcW w:w="627" w:type="pct"/>
                  <w:vMerge w:val="restart"/>
                  <w:tcBorders>
                    <w:top w:val="single" w:color="000000" w:sz="8" w:space="0"/>
                    <w:left w:val="single" w:color="000000" w:sz="8" w:space="0"/>
                    <w:right w:val="single" w:color="000000" w:sz="8" w:space="0"/>
                  </w:tcBorders>
                  <w:shd w:val="pct20" w:color="auto" w:fill="auto"/>
                  <w:vAlign w:val="center"/>
                </w:tcPr>
                <w:p w14:paraId="7405476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具有环境风险</w:t>
                  </w:r>
                </w:p>
                <w:p w14:paraId="4B0149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sum(A1:A8)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3533.38</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74EFA79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废弃车用电子零部件</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4D91428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1688</w:t>
                  </w:r>
                </w:p>
              </w:tc>
            </w:tr>
            <w:tr w14:paraId="76CE5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jc w:val="center"/>
              </w:trPr>
              <w:tc>
                <w:tcPr>
                  <w:tcW w:w="756" w:type="pct"/>
                  <w:vMerge w:val="continue"/>
                  <w:tcBorders>
                    <w:left w:val="single" w:color="000000" w:sz="8" w:space="0"/>
                    <w:right w:val="single" w:color="000000" w:sz="8" w:space="0"/>
                  </w:tcBorders>
                  <w:shd w:val="clear" w:color="auto" w:fill="auto"/>
                  <w:vAlign w:val="center"/>
                </w:tcPr>
                <w:p w14:paraId="215B7BCB">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right w:val="single" w:color="000000" w:sz="8" w:space="0"/>
                  </w:tcBorders>
                  <w:shd w:val="pct20" w:color="auto" w:fill="auto"/>
                  <w:vAlign w:val="center"/>
                </w:tcPr>
                <w:p w14:paraId="4AC0C6CF">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vMerge w:val="continue"/>
                  <w:tcBorders>
                    <w:left w:val="single" w:color="000000" w:sz="8" w:space="0"/>
                    <w:right w:val="single" w:color="000000" w:sz="8" w:space="0"/>
                  </w:tcBorders>
                  <w:shd w:val="pct20" w:color="auto" w:fill="auto"/>
                  <w:vAlign w:val="center"/>
                </w:tcPr>
                <w:p w14:paraId="76A741B8">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4EF875E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废安全气囊</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56719DF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w:t>
                  </w:r>
                </w:p>
              </w:tc>
            </w:tr>
            <w:tr w14:paraId="0AB1A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 w:hRule="atLeast"/>
                <w:jc w:val="center"/>
              </w:trPr>
              <w:tc>
                <w:tcPr>
                  <w:tcW w:w="756" w:type="pct"/>
                  <w:vMerge w:val="continue"/>
                  <w:tcBorders>
                    <w:left w:val="single" w:color="000000" w:sz="8" w:space="0"/>
                    <w:right w:val="single" w:color="000000" w:sz="8" w:space="0"/>
                  </w:tcBorders>
                  <w:shd w:val="clear" w:color="auto" w:fill="auto"/>
                  <w:vAlign w:val="center"/>
                </w:tcPr>
                <w:p w14:paraId="6319B1E2">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right w:val="single" w:color="000000" w:sz="8" w:space="0"/>
                  </w:tcBorders>
                  <w:shd w:val="pct20" w:color="auto" w:fill="auto"/>
                  <w:vAlign w:val="center"/>
                </w:tcPr>
                <w:p w14:paraId="511C2C97">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vMerge w:val="continue"/>
                  <w:tcBorders>
                    <w:left w:val="single" w:color="000000" w:sz="8" w:space="0"/>
                    <w:right w:val="single" w:color="000000" w:sz="8" w:space="0"/>
                  </w:tcBorders>
                  <w:shd w:val="pct20" w:color="auto" w:fill="auto"/>
                  <w:vAlign w:val="center"/>
                </w:tcPr>
                <w:p w14:paraId="05500E51">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7238F81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动力电池（锂电池）</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15D1A7E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520</w:t>
                  </w:r>
                </w:p>
              </w:tc>
            </w:tr>
            <w:tr w14:paraId="339EA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0ED8FBC7">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right w:val="single" w:color="000000" w:sz="8" w:space="0"/>
                  </w:tcBorders>
                  <w:shd w:val="pct20" w:color="auto" w:fill="auto"/>
                  <w:vAlign w:val="center"/>
                </w:tcPr>
                <w:p w14:paraId="16AA0469">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vMerge w:val="continue"/>
                  <w:tcBorders>
                    <w:left w:val="single" w:color="000000" w:sz="8" w:space="0"/>
                    <w:right w:val="single" w:color="000000" w:sz="8" w:space="0"/>
                  </w:tcBorders>
                  <w:shd w:val="pct20" w:color="auto" w:fill="auto"/>
                  <w:vAlign w:val="center"/>
                </w:tcPr>
                <w:p w14:paraId="657B20E2">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20FD7A78">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 xml:space="preserve"> </w:t>
                  </w:r>
                  <w:r>
                    <w:rPr>
                      <w:rFonts w:hint="eastAsia" w:ascii="宋体" w:hAnsi="宋体" w:cs="宋体"/>
                      <w:color w:val="000000" w:themeColor="text1"/>
                      <w:sz w:val="18"/>
                      <w:szCs w:val="18"/>
                      <w:lang w:val="en-US" w:eastAsia="zh-CN" w:bidi="ar"/>
                      <w14:textFill>
                        <w14:solidFill>
                          <w14:schemeClr w14:val="tx1"/>
                        </w14:solidFill>
                      </w14:textFill>
                    </w:rPr>
                    <w:t xml:space="preserve">       </w:t>
                  </w:r>
                  <w:r>
                    <w:rPr>
                      <w:rFonts w:hint="eastAsia" w:ascii="宋体" w:hAnsi="宋体" w:eastAsia="宋体" w:cs="宋体"/>
                      <w:color w:val="000000" w:themeColor="text1"/>
                      <w:sz w:val="18"/>
                      <w:szCs w:val="18"/>
                      <w:lang w:val="en-US" w:eastAsia="zh-CN" w:bidi="ar"/>
                      <w14:textFill>
                        <w14:solidFill>
                          <w14:schemeClr w14:val="tx1"/>
                        </w14:solidFill>
                      </w14:textFill>
                    </w:rPr>
                    <w:t>液化气罐</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79CE888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50</w:t>
                  </w:r>
                </w:p>
              </w:tc>
            </w:tr>
            <w:tr w14:paraId="1776A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6943C20A">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right w:val="single" w:color="000000" w:sz="8" w:space="0"/>
                  </w:tcBorders>
                  <w:shd w:val="pct20" w:color="auto" w:fill="auto"/>
                  <w:vAlign w:val="center"/>
                </w:tcPr>
                <w:p w14:paraId="14264592">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vMerge w:val="continue"/>
                  <w:tcBorders>
                    <w:left w:val="single" w:color="000000" w:sz="8" w:space="0"/>
                    <w:right w:val="single" w:color="000000" w:sz="8" w:space="0"/>
                  </w:tcBorders>
                  <w:shd w:val="pct20" w:color="auto" w:fill="auto"/>
                  <w:vAlign w:val="center"/>
                </w:tcPr>
                <w:p w14:paraId="1AFF0DA3">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166E108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制冷剂</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0A9C83C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2.38</w:t>
                  </w:r>
                </w:p>
              </w:tc>
            </w:tr>
            <w:tr w14:paraId="0703A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7A73C4B3">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right w:val="single" w:color="000000" w:sz="8" w:space="0"/>
                  </w:tcBorders>
                  <w:shd w:val="pct20" w:color="auto" w:fill="auto"/>
                  <w:vAlign w:val="center"/>
                </w:tcPr>
                <w:p w14:paraId="2C418BBE">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vMerge w:val="continue"/>
                  <w:tcBorders>
                    <w:left w:val="single" w:color="000000" w:sz="8" w:space="0"/>
                    <w:right w:val="single" w:color="000000" w:sz="8" w:space="0"/>
                  </w:tcBorders>
                  <w:shd w:val="pct20" w:color="auto" w:fill="auto"/>
                  <w:vAlign w:val="center"/>
                </w:tcPr>
                <w:p w14:paraId="11677250">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55D0180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轻质物料</w:t>
                  </w:r>
                  <w:r>
                    <w:rPr>
                      <w:rFonts w:hint="eastAsia" w:ascii="宋体" w:hAnsi="宋体" w:eastAsia="宋体" w:cs="宋体"/>
                      <w:color w:val="000000" w:themeColor="text1"/>
                      <w:spacing w:val="-2"/>
                      <w:sz w:val="18"/>
                      <w:szCs w:val="18"/>
                      <w:lang w:eastAsia="zh-CN"/>
                      <w14:textFill>
                        <w14:solidFill>
                          <w14:schemeClr w14:val="tx1"/>
                        </w14:solidFill>
                      </w14:textFill>
                    </w:rPr>
                    <w:t>、</w:t>
                  </w:r>
                  <w:r>
                    <w:rPr>
                      <w:rFonts w:hint="eastAsia" w:ascii="宋体" w:hAnsi="宋体" w:eastAsia="宋体" w:cs="宋体"/>
                      <w:color w:val="000000" w:themeColor="text1"/>
                      <w:spacing w:val="-2"/>
                      <w:sz w:val="18"/>
                      <w:szCs w:val="18"/>
                      <w14:textFill>
                        <w14:solidFill>
                          <w14:schemeClr w14:val="tx1"/>
                        </w14:solidFill>
                      </w14:textFill>
                    </w:rPr>
                    <w:t>安全带及相关纺织品</w:t>
                  </w:r>
                  <w:r>
                    <w:rPr>
                      <w:rFonts w:hint="eastAsia" w:ascii="宋体" w:hAnsi="宋体" w:eastAsia="宋体" w:cs="宋体"/>
                      <w:color w:val="000000" w:themeColor="text1"/>
                      <w:spacing w:val="-2"/>
                      <w:sz w:val="18"/>
                      <w:szCs w:val="18"/>
                      <w:lang w:eastAsia="zh-CN"/>
                      <w14:textFill>
                        <w14:solidFill>
                          <w14:schemeClr w14:val="tx1"/>
                        </w14:solidFill>
                      </w14:textFill>
                    </w:rPr>
                    <w:t>、</w:t>
                  </w:r>
                  <w:r>
                    <w:rPr>
                      <w:rFonts w:hint="eastAsia" w:ascii="宋体" w:hAnsi="宋体" w:eastAsia="宋体" w:cs="宋体"/>
                      <w:color w:val="000000" w:themeColor="text1"/>
                      <w:spacing w:val="-1"/>
                      <w:sz w:val="18"/>
                      <w:szCs w:val="18"/>
                      <w14:textFill>
                        <w14:solidFill>
                          <w14:schemeClr w14:val="tx1"/>
                        </w14:solidFill>
                      </w14:textFill>
                    </w:rPr>
                    <w:t>报废机动车残余</w:t>
                  </w:r>
                  <w:r>
                    <w:rPr>
                      <w:rFonts w:hint="eastAsia" w:ascii="宋体" w:hAnsi="宋体" w:eastAsia="宋体" w:cs="宋体"/>
                      <w:color w:val="000000" w:themeColor="text1"/>
                      <w:sz w:val="18"/>
                      <w:szCs w:val="18"/>
                      <w14:textFill>
                        <w14:solidFill>
                          <w14:schemeClr w14:val="tx1"/>
                        </w14:solidFill>
                      </w14:textFill>
                    </w:rPr>
                    <w:t>物</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31E5FF5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402</w:t>
                  </w:r>
                </w:p>
              </w:tc>
            </w:tr>
            <w:tr w14:paraId="0A82B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7896C4C2">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right w:val="single" w:color="000000" w:sz="8" w:space="0"/>
                  </w:tcBorders>
                  <w:shd w:val="pct20" w:color="auto" w:fill="auto"/>
                  <w:vAlign w:val="center"/>
                </w:tcPr>
                <w:p w14:paraId="3A08226F">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vMerge w:val="continue"/>
                  <w:tcBorders>
                    <w:left w:val="single" w:color="000000" w:sz="8" w:space="0"/>
                    <w:right w:val="single" w:color="000000" w:sz="8" w:space="0"/>
                  </w:tcBorders>
                  <w:shd w:val="pct20" w:color="auto" w:fill="auto"/>
                  <w:vAlign w:val="center"/>
                </w:tcPr>
                <w:p w14:paraId="618233C0">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532F2C4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废旧轮胎</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63292E2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510</w:t>
                  </w:r>
                </w:p>
              </w:tc>
            </w:tr>
            <w:tr w14:paraId="30D6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1A4AC37E">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right w:val="single" w:color="000000" w:sz="8" w:space="0"/>
                  </w:tcBorders>
                  <w:shd w:val="pct20" w:color="auto" w:fill="auto"/>
                  <w:vAlign w:val="center"/>
                </w:tcPr>
                <w:p w14:paraId="2F6D3A92">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vMerge w:val="continue"/>
                  <w:tcBorders>
                    <w:left w:val="single" w:color="000000" w:sz="8" w:space="0"/>
                    <w:bottom w:val="single" w:color="000000" w:sz="8" w:space="0"/>
                    <w:right w:val="single" w:color="000000" w:sz="8" w:space="0"/>
                  </w:tcBorders>
                  <w:shd w:val="pct20" w:color="auto" w:fill="auto"/>
                  <w:vAlign w:val="center"/>
                </w:tcPr>
                <w:p w14:paraId="6F13BF63">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281F1DD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内饰材料</w:t>
                  </w:r>
                  <w:r>
                    <w:rPr>
                      <w:rFonts w:hint="eastAsia" w:ascii="宋体" w:hAnsi="宋体" w:eastAsia="宋体" w:cs="宋体"/>
                      <w:color w:val="000000" w:themeColor="text1"/>
                      <w:spacing w:val="-1"/>
                      <w:sz w:val="18"/>
                      <w:szCs w:val="18"/>
                      <w14:textFill>
                        <w14:solidFill>
                          <w14:schemeClr w14:val="tx1"/>
                        </w14:solidFill>
                      </w14:textFill>
                    </w:rPr>
                    <w:t>海绵及座椅材料</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35725DF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348</w:t>
                  </w:r>
                </w:p>
              </w:tc>
            </w:tr>
            <w:tr w14:paraId="04063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1FA7A599">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13" w:type="pct"/>
                  <w:vMerge w:val="continue"/>
                  <w:tcBorders>
                    <w:left w:val="single" w:color="000000" w:sz="8" w:space="0"/>
                    <w:bottom w:val="single" w:color="000000" w:sz="8" w:space="0"/>
                    <w:right w:val="single" w:color="000000" w:sz="8" w:space="0"/>
                  </w:tcBorders>
                  <w:shd w:val="pct20" w:color="auto" w:fill="auto"/>
                  <w:vAlign w:val="center"/>
                </w:tcPr>
                <w:p w14:paraId="1983BE0F">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7" w:type="pct"/>
                  <w:tcBorders>
                    <w:top w:val="single" w:color="000000" w:sz="8" w:space="0"/>
                    <w:left w:val="single" w:color="000000" w:sz="8" w:space="0"/>
                    <w:bottom w:val="single" w:color="000000" w:sz="8" w:space="0"/>
                    <w:right w:val="single" w:color="000000" w:sz="8" w:space="0"/>
                  </w:tcBorders>
                  <w:shd w:val="pct20" w:color="auto" w:fill="auto"/>
                  <w:vAlign w:val="center"/>
                </w:tcPr>
                <w:p w14:paraId="470699AD">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其它</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1688</w:t>
                  </w:r>
                </w:p>
              </w:tc>
              <w:tc>
                <w:tcPr>
                  <w:tcW w:w="2029" w:type="pct"/>
                  <w:tcBorders>
                    <w:top w:val="single" w:color="000000" w:sz="8" w:space="0"/>
                    <w:left w:val="single" w:color="000000" w:sz="8" w:space="0"/>
                    <w:bottom w:val="single" w:color="000000" w:sz="8" w:space="0"/>
                    <w:right w:val="single" w:color="000000" w:sz="8" w:space="0"/>
                  </w:tcBorders>
                  <w:shd w:val="pct20" w:color="auto" w:fill="auto"/>
                  <w:vAlign w:val="center"/>
                </w:tcPr>
                <w:p w14:paraId="377F1B2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6"/>
                      <w:sz w:val="18"/>
                      <w:szCs w:val="18"/>
                      <w:lang w:val="en-US" w:eastAsia="zh-CN"/>
                      <w14:textFill>
                        <w14:solidFill>
                          <w14:schemeClr w14:val="tx1"/>
                        </w14:solidFill>
                      </w14:textFill>
                    </w:rPr>
                  </w:pPr>
                  <w:r>
                    <w:rPr>
                      <w:rFonts w:hint="eastAsia" w:ascii="宋体" w:hAnsi="宋体" w:eastAsia="宋体" w:cs="宋体"/>
                      <w:color w:val="000000" w:themeColor="text1"/>
                      <w:spacing w:val="-6"/>
                      <w:sz w:val="18"/>
                      <w:szCs w:val="18"/>
                      <w:lang w:val="en-US" w:eastAsia="zh-CN"/>
                      <w14:textFill>
                        <w14:solidFill>
                          <w14:schemeClr w14:val="tx1"/>
                        </w14:solidFill>
                      </w14:textFill>
                    </w:rPr>
                    <w:t>其它不可用废物</w:t>
                  </w:r>
                </w:p>
              </w:tc>
              <w:tc>
                <w:tcPr>
                  <w:tcW w:w="972" w:type="pct"/>
                  <w:tcBorders>
                    <w:top w:val="single" w:color="000000" w:sz="8" w:space="0"/>
                    <w:left w:val="single" w:color="000000" w:sz="8" w:space="0"/>
                    <w:bottom w:val="single" w:color="000000" w:sz="8" w:space="0"/>
                    <w:right w:val="single" w:color="000000" w:sz="8" w:space="0"/>
                  </w:tcBorders>
                  <w:shd w:val="pct20" w:color="auto" w:fill="auto"/>
                  <w:vAlign w:val="center"/>
                </w:tcPr>
                <w:p w14:paraId="6527CC6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1688</w:t>
                  </w:r>
                </w:p>
              </w:tc>
            </w:tr>
            <w:tr w14:paraId="1F874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56" w:type="pct"/>
                  <w:vMerge w:val="continue"/>
                  <w:tcBorders>
                    <w:left w:val="single" w:color="000000" w:sz="8" w:space="0"/>
                    <w:right w:val="single" w:color="000000" w:sz="8" w:space="0"/>
                  </w:tcBorders>
                  <w:shd w:val="clear" w:color="auto" w:fill="auto"/>
                  <w:vAlign w:val="center"/>
                </w:tcPr>
                <w:p w14:paraId="207F954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1240" w:type="pct"/>
                  <w:gridSpan w:val="2"/>
                  <w:vMerge w:val="restart"/>
                  <w:tcBorders>
                    <w:top w:val="single" w:color="000000" w:sz="8" w:space="0"/>
                    <w:left w:val="single" w:color="000000" w:sz="8" w:space="0"/>
                    <w:right w:val="single" w:color="000000" w:sz="8" w:space="0"/>
                  </w:tcBorders>
                  <w:shd w:val="pct30" w:color="auto" w:fill="auto"/>
                  <w:vAlign w:val="center"/>
                </w:tcPr>
                <w:p w14:paraId="13BD1A7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危险废物</w:t>
                  </w:r>
                </w:p>
                <w:p w14:paraId="673F89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447.5</w:t>
                  </w:r>
                </w:p>
              </w:tc>
              <w:tc>
                <w:tcPr>
                  <w:tcW w:w="2029" w:type="pct"/>
                  <w:tcBorders>
                    <w:top w:val="single" w:color="000000" w:sz="8" w:space="0"/>
                    <w:left w:val="single" w:color="000000" w:sz="8" w:space="0"/>
                    <w:right w:val="single" w:color="000000" w:sz="8" w:space="0"/>
                  </w:tcBorders>
                  <w:shd w:val="pct30" w:color="auto" w:fill="auto"/>
                  <w:vAlign w:val="center"/>
                </w:tcPr>
                <w:p w14:paraId="27109AC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铅蓄电池</w:t>
                  </w:r>
                </w:p>
              </w:tc>
              <w:tc>
                <w:tcPr>
                  <w:tcW w:w="972" w:type="pct"/>
                  <w:tcBorders>
                    <w:top w:val="single" w:color="000000" w:sz="8" w:space="0"/>
                    <w:left w:val="single" w:color="000000" w:sz="8" w:space="0"/>
                    <w:bottom w:val="single" w:color="000000" w:sz="8" w:space="0"/>
                    <w:right w:val="single" w:color="000000" w:sz="8" w:space="0"/>
                  </w:tcBorders>
                  <w:shd w:val="pct30" w:color="auto" w:fill="auto"/>
                  <w:vAlign w:val="center"/>
                </w:tcPr>
                <w:p w14:paraId="4B3193A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240</w:t>
                  </w:r>
                </w:p>
              </w:tc>
            </w:tr>
            <w:tr w14:paraId="5F2C6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756" w:type="pct"/>
                  <w:vMerge w:val="continue"/>
                  <w:tcBorders>
                    <w:left w:val="single" w:color="000000" w:sz="8" w:space="0"/>
                    <w:right w:val="single" w:color="000000" w:sz="8" w:space="0"/>
                  </w:tcBorders>
                  <w:shd w:val="clear" w:color="auto" w:fill="auto"/>
                  <w:vAlign w:val="center"/>
                </w:tcPr>
                <w:p w14:paraId="50384DB9">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30" w:color="auto" w:fill="auto"/>
                  <w:vAlign w:val="center"/>
                </w:tcPr>
                <w:p w14:paraId="5D3F72E0">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30" w:color="auto" w:fill="auto"/>
                  <w:vAlign w:val="center"/>
                </w:tcPr>
                <w:p w14:paraId="02CDB0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废尾气净化装置</w:t>
                  </w:r>
                </w:p>
              </w:tc>
              <w:tc>
                <w:tcPr>
                  <w:tcW w:w="972" w:type="pct"/>
                  <w:tcBorders>
                    <w:top w:val="single" w:color="000000" w:sz="8" w:space="0"/>
                    <w:left w:val="single" w:color="000000" w:sz="8" w:space="0"/>
                    <w:bottom w:val="single" w:color="000000" w:sz="8" w:space="0"/>
                    <w:right w:val="single" w:color="000000" w:sz="8" w:space="0"/>
                  </w:tcBorders>
                  <w:shd w:val="pct30" w:color="auto" w:fill="auto"/>
                  <w:vAlign w:val="center"/>
                </w:tcPr>
                <w:p w14:paraId="1FA2437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r>
            <w:tr w14:paraId="78E7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vMerge w:val="continue"/>
                  <w:tcBorders>
                    <w:left w:val="single" w:color="000000" w:sz="8" w:space="0"/>
                    <w:right w:val="single" w:color="000000" w:sz="8" w:space="0"/>
                  </w:tcBorders>
                  <w:shd w:val="clear" w:color="auto" w:fill="auto"/>
                  <w:vAlign w:val="center"/>
                </w:tcPr>
                <w:p w14:paraId="397E9B3D">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30" w:color="auto" w:fill="auto"/>
                  <w:vAlign w:val="center"/>
                </w:tcPr>
                <w:p w14:paraId="07E36D4B">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30" w:color="auto" w:fill="auto"/>
                  <w:vAlign w:val="top"/>
                </w:tcPr>
                <w:p w14:paraId="0AC808EC">
                  <w:pPr>
                    <w:keepNext w:val="0"/>
                    <w:keepLines w:val="0"/>
                    <w:pageBreakBefore w:val="0"/>
                    <w:kinsoku/>
                    <w:wordWrap/>
                    <w:overflowPunct/>
                    <w:topLinePunct w:val="0"/>
                    <w:autoSpaceDE/>
                    <w:autoSpaceDN/>
                    <w:bidi w:val="0"/>
                    <w:adjustRightInd/>
                    <w:snapToGrid/>
                    <w:spacing w:line="240" w:lineRule="atLeast"/>
                    <w:ind w:right="-61" w:rightChars="0"/>
                    <w:rPr>
                      <w:rFonts w:hint="eastAsia" w:ascii="宋体" w:hAnsi="宋体" w:eastAsia="宋体" w:cs="宋体"/>
                      <w:color w:val="000000" w:themeColor="text1"/>
                      <w:kern w:val="2"/>
                      <w:sz w:val="18"/>
                      <w:szCs w:val="18"/>
                      <w:highlight w:val="darkGray"/>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14:textFill>
                        <w14:solidFill>
                          <w14:schemeClr w14:val="tx1"/>
                        </w14:solidFill>
                      </w14:textFill>
                    </w:rPr>
                    <w:t>废矿物油与含矿物油</w:t>
                  </w:r>
                  <w:r>
                    <w:rPr>
                      <w:rFonts w:hint="eastAsia" w:ascii="宋体" w:hAnsi="宋体" w:eastAsia="宋体" w:cs="宋体"/>
                      <w:color w:val="000000" w:themeColor="text1"/>
                      <w:spacing w:val="-2"/>
                      <w:sz w:val="18"/>
                      <w:szCs w:val="18"/>
                      <w:highlight w:val="none"/>
                      <w14:textFill>
                        <w14:solidFill>
                          <w14:schemeClr w14:val="tx1"/>
                        </w14:solidFill>
                      </w14:textFill>
                    </w:rPr>
                    <w:t>废物</w:t>
                  </w:r>
                </w:p>
              </w:tc>
              <w:tc>
                <w:tcPr>
                  <w:tcW w:w="972" w:type="pct"/>
                  <w:tcBorders>
                    <w:top w:val="single" w:color="000000" w:sz="8" w:space="0"/>
                    <w:left w:val="single" w:color="000000" w:sz="8" w:space="0"/>
                    <w:bottom w:val="single" w:color="000000" w:sz="8" w:space="0"/>
                    <w:right w:val="single" w:color="000000" w:sz="8" w:space="0"/>
                  </w:tcBorders>
                  <w:shd w:val="pct30" w:color="auto" w:fill="auto"/>
                  <w:vAlign w:val="center"/>
                </w:tcPr>
                <w:p w14:paraId="555089A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20.5</w:t>
                  </w:r>
                </w:p>
              </w:tc>
            </w:tr>
            <w:tr w14:paraId="3E2DB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jc w:val="center"/>
              </w:trPr>
              <w:tc>
                <w:tcPr>
                  <w:tcW w:w="756" w:type="pct"/>
                  <w:vMerge w:val="continue"/>
                  <w:tcBorders>
                    <w:left w:val="single" w:color="000000" w:sz="8" w:space="0"/>
                    <w:right w:val="single" w:color="000000" w:sz="8" w:space="0"/>
                  </w:tcBorders>
                  <w:shd w:val="clear" w:color="auto" w:fill="auto"/>
                  <w:vAlign w:val="center"/>
                </w:tcPr>
                <w:p w14:paraId="76309220">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30" w:color="auto" w:fill="auto"/>
                  <w:vAlign w:val="center"/>
                </w:tcPr>
                <w:p w14:paraId="3CB18601">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30" w:color="auto" w:fill="auto"/>
                  <w:vAlign w:val="top"/>
                </w:tcPr>
                <w:p w14:paraId="509DFB25">
                  <w:pPr>
                    <w:keepNext w:val="0"/>
                    <w:keepLines w:val="0"/>
                    <w:pageBreakBefore w:val="0"/>
                    <w:kinsoku/>
                    <w:wordWrap/>
                    <w:overflowPunct/>
                    <w:topLinePunct w:val="0"/>
                    <w:autoSpaceDE/>
                    <w:autoSpaceDN/>
                    <w:bidi w:val="0"/>
                    <w:adjustRightInd/>
                    <w:snapToGrid/>
                    <w:spacing w:line="240" w:lineRule="atLeast"/>
                    <w:ind w:right="-61" w:rightChars="0"/>
                    <w:rPr>
                      <w:rFonts w:hint="eastAsia" w:ascii="宋体" w:hAnsi="宋体" w:eastAsia="宋体" w:cs="宋体"/>
                      <w:color w:val="000000" w:themeColor="text1"/>
                      <w:kern w:val="2"/>
                      <w:sz w:val="18"/>
                      <w:szCs w:val="18"/>
                      <w:highlight w:val="darkGray"/>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14:textFill>
                        <w14:solidFill>
                          <w14:schemeClr w14:val="tx1"/>
                        </w14:solidFill>
                      </w14:textFill>
                    </w:rPr>
                    <w:t>废有机溶剂与含有机</w:t>
                  </w:r>
                  <w:r>
                    <w:rPr>
                      <w:rFonts w:hint="eastAsia" w:ascii="宋体" w:hAnsi="宋体" w:eastAsia="宋体" w:cs="宋体"/>
                      <w:color w:val="000000" w:themeColor="text1"/>
                      <w:spacing w:val="-2"/>
                      <w:sz w:val="18"/>
                      <w:szCs w:val="18"/>
                      <w:highlight w:val="none"/>
                      <w14:textFill>
                        <w14:solidFill>
                          <w14:schemeClr w14:val="tx1"/>
                        </w14:solidFill>
                      </w14:textFill>
                    </w:rPr>
                    <w:t>溶剂废物</w:t>
                  </w:r>
                </w:p>
              </w:tc>
              <w:tc>
                <w:tcPr>
                  <w:tcW w:w="972" w:type="pct"/>
                  <w:tcBorders>
                    <w:top w:val="single" w:color="000000" w:sz="8" w:space="0"/>
                    <w:left w:val="single" w:color="000000" w:sz="8" w:space="0"/>
                    <w:bottom w:val="single" w:color="000000" w:sz="8" w:space="0"/>
                    <w:right w:val="single" w:color="000000" w:sz="8" w:space="0"/>
                  </w:tcBorders>
                  <w:shd w:val="pct30" w:color="auto" w:fill="auto"/>
                  <w:vAlign w:val="center"/>
                </w:tcPr>
                <w:p w14:paraId="3FC3622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87.2</w:t>
                  </w:r>
                </w:p>
              </w:tc>
            </w:tr>
            <w:tr w14:paraId="72F0E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756" w:type="pct"/>
                  <w:vMerge w:val="continue"/>
                  <w:tcBorders>
                    <w:left w:val="single" w:color="000000" w:sz="8" w:space="0"/>
                    <w:right w:val="single" w:color="000000" w:sz="8" w:space="0"/>
                  </w:tcBorders>
                  <w:shd w:val="clear" w:color="auto" w:fill="auto"/>
                  <w:vAlign w:val="center"/>
                </w:tcPr>
                <w:p w14:paraId="768EC8BB">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30" w:color="auto" w:fill="auto"/>
                  <w:vAlign w:val="center"/>
                </w:tcPr>
                <w:p w14:paraId="2111DA71">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30" w:color="auto" w:fill="auto"/>
                  <w:vAlign w:val="center"/>
                </w:tcPr>
                <w:p w14:paraId="5AC3332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线路板</w:t>
                  </w:r>
                </w:p>
              </w:tc>
              <w:tc>
                <w:tcPr>
                  <w:tcW w:w="972" w:type="pct"/>
                  <w:tcBorders>
                    <w:top w:val="single" w:color="000000" w:sz="8" w:space="0"/>
                    <w:left w:val="single" w:color="000000" w:sz="8" w:space="0"/>
                    <w:bottom w:val="single" w:color="000000" w:sz="8" w:space="0"/>
                    <w:right w:val="single" w:color="000000" w:sz="8" w:space="0"/>
                  </w:tcBorders>
                  <w:shd w:val="pct30" w:color="auto" w:fill="auto"/>
                  <w:vAlign w:val="center"/>
                </w:tcPr>
                <w:p w14:paraId="5C19D6B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51.8</w:t>
                  </w:r>
                </w:p>
              </w:tc>
            </w:tr>
            <w:tr w14:paraId="3FC51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756" w:type="pct"/>
                  <w:vMerge w:val="continue"/>
                  <w:tcBorders>
                    <w:left w:val="single" w:color="000000" w:sz="8" w:space="0"/>
                    <w:right w:val="single" w:color="000000" w:sz="8" w:space="0"/>
                  </w:tcBorders>
                  <w:shd w:val="clear" w:color="auto" w:fill="auto"/>
                  <w:vAlign w:val="center"/>
                </w:tcPr>
                <w:p w14:paraId="182B16B6">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30" w:color="auto" w:fill="auto"/>
                  <w:vAlign w:val="center"/>
                </w:tcPr>
                <w:p w14:paraId="6B12F182">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right w:val="single" w:color="000000" w:sz="8" w:space="0"/>
                  </w:tcBorders>
                  <w:shd w:val="pct30" w:color="auto" w:fill="auto"/>
                  <w:vAlign w:val="center"/>
                </w:tcPr>
                <w:p w14:paraId="4C86A7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含汞废物</w:t>
                  </w:r>
                </w:p>
              </w:tc>
              <w:tc>
                <w:tcPr>
                  <w:tcW w:w="972" w:type="pct"/>
                  <w:tcBorders>
                    <w:top w:val="single" w:color="000000" w:sz="8" w:space="0"/>
                    <w:left w:val="single" w:color="000000" w:sz="8" w:space="0"/>
                    <w:bottom w:val="single" w:color="000000" w:sz="8" w:space="0"/>
                    <w:right w:val="single" w:color="000000" w:sz="8" w:space="0"/>
                  </w:tcBorders>
                  <w:shd w:val="pct30" w:color="auto" w:fill="auto"/>
                  <w:vAlign w:val="center"/>
                </w:tcPr>
                <w:p w14:paraId="0B92F1C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r>
            <w:tr w14:paraId="1A0EA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56" w:type="pct"/>
                  <w:vMerge w:val="continue"/>
                  <w:tcBorders>
                    <w:left w:val="single" w:color="000000" w:sz="8" w:space="0"/>
                    <w:right w:val="single" w:color="000000" w:sz="8" w:space="0"/>
                  </w:tcBorders>
                  <w:shd w:val="clear" w:color="auto" w:fill="auto"/>
                  <w:vAlign w:val="center"/>
                </w:tcPr>
                <w:p w14:paraId="49D70841">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bottom w:val="single" w:color="000000" w:sz="8" w:space="0"/>
                    <w:right w:val="single" w:color="000000" w:sz="8" w:space="0"/>
                  </w:tcBorders>
                  <w:shd w:val="pct30" w:color="auto" w:fill="auto"/>
                  <w:vAlign w:val="center"/>
                </w:tcPr>
                <w:p w14:paraId="1C027668">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30" w:color="auto" w:fill="auto"/>
                  <w:vAlign w:val="center"/>
                </w:tcPr>
                <w:p w14:paraId="1660E9F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2"/>
                      <w:sz w:val="18"/>
                      <w:szCs w:val="18"/>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石棉废物</w:t>
                  </w:r>
                </w:p>
              </w:tc>
              <w:tc>
                <w:tcPr>
                  <w:tcW w:w="972" w:type="pct"/>
                  <w:tcBorders>
                    <w:top w:val="single" w:color="000000" w:sz="8" w:space="0"/>
                    <w:left w:val="single" w:color="000000" w:sz="8" w:space="0"/>
                    <w:bottom w:val="single" w:color="000000" w:sz="8" w:space="0"/>
                    <w:right w:val="single" w:color="000000" w:sz="8" w:space="0"/>
                  </w:tcBorders>
                  <w:shd w:val="pct30" w:color="auto" w:fill="auto"/>
                  <w:vAlign w:val="center"/>
                </w:tcPr>
                <w:p w14:paraId="14EF4469">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r>
            <w:tr w14:paraId="45B0E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jc w:val="center"/>
              </w:trPr>
              <w:tc>
                <w:tcPr>
                  <w:tcW w:w="756" w:type="pct"/>
                  <w:vMerge w:val="continue"/>
                  <w:tcBorders>
                    <w:left w:val="single" w:color="000000" w:sz="8" w:space="0"/>
                    <w:right w:val="single" w:color="000000" w:sz="8" w:space="0"/>
                  </w:tcBorders>
                  <w:shd w:val="clear" w:color="auto" w:fill="auto"/>
                  <w:vAlign w:val="center"/>
                </w:tcPr>
                <w:p w14:paraId="469F7CC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1240" w:type="pct"/>
                  <w:gridSpan w:val="2"/>
                  <w:vMerge w:val="restart"/>
                  <w:tcBorders>
                    <w:top w:val="single" w:color="000000" w:sz="8" w:space="0"/>
                    <w:left w:val="single" w:color="000000" w:sz="8" w:space="0"/>
                    <w:right w:val="single" w:color="000000" w:sz="8" w:space="0"/>
                  </w:tcBorders>
                  <w:shd w:val="pct50" w:color="auto" w:fill="auto"/>
                  <w:vAlign w:val="center"/>
                </w:tcPr>
                <w:p w14:paraId="738F6A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废气</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instrText xml:space="preserve"> = sum(A1:A4) \* MERGEFORMAT </w:instrTex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2.959673333</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fldChar w:fldCharType="end"/>
                  </w:r>
                </w:p>
              </w:tc>
              <w:tc>
                <w:tcPr>
                  <w:tcW w:w="2029" w:type="pct"/>
                  <w:tcBorders>
                    <w:top w:val="single" w:color="000000" w:sz="8" w:space="0"/>
                    <w:left w:val="single" w:color="000000" w:sz="8" w:space="0"/>
                    <w:bottom w:val="single" w:color="000000" w:sz="8" w:space="0"/>
                    <w:right w:val="single" w:color="000000" w:sz="8" w:space="0"/>
                  </w:tcBorders>
                  <w:shd w:val="pct50" w:color="auto" w:fill="auto"/>
                  <w:vAlign w:val="center"/>
                </w:tcPr>
                <w:p w14:paraId="5140121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非甲烷总烃0.5%的损失率</w:t>
                  </w:r>
                </w:p>
              </w:tc>
              <w:tc>
                <w:tcPr>
                  <w:tcW w:w="972" w:type="pct"/>
                  <w:tcBorders>
                    <w:top w:val="single" w:color="000000" w:sz="8" w:space="0"/>
                    <w:left w:val="single" w:color="000000" w:sz="8" w:space="0"/>
                    <w:bottom w:val="single" w:color="000000" w:sz="8" w:space="0"/>
                    <w:right w:val="single" w:color="000000" w:sz="8" w:space="0"/>
                  </w:tcBorders>
                  <w:shd w:val="pct50" w:color="auto" w:fill="auto"/>
                  <w:vAlign w:val="center"/>
                </w:tcPr>
                <w:p w14:paraId="676AF46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0.641</w:t>
                  </w:r>
                </w:p>
              </w:tc>
            </w:tr>
            <w:tr w14:paraId="5D521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 w:hRule="atLeast"/>
                <w:jc w:val="center"/>
              </w:trPr>
              <w:tc>
                <w:tcPr>
                  <w:tcW w:w="756" w:type="pct"/>
                  <w:vMerge w:val="continue"/>
                  <w:tcBorders>
                    <w:left w:val="single" w:color="000000" w:sz="8" w:space="0"/>
                    <w:right w:val="single" w:color="000000" w:sz="8" w:space="0"/>
                  </w:tcBorders>
                  <w:shd w:val="clear" w:color="auto" w:fill="auto"/>
                  <w:vAlign w:val="center"/>
                </w:tcPr>
                <w:p w14:paraId="0FD47CFF">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50" w:color="auto" w:fill="auto"/>
                  <w:vAlign w:val="center"/>
                </w:tcPr>
                <w:p w14:paraId="366A7147">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50" w:color="auto" w:fill="auto"/>
                  <w:vAlign w:val="center"/>
                </w:tcPr>
                <w:p w14:paraId="773550D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切割颗粒物1.0克/吨-原料</w:t>
                  </w:r>
                </w:p>
              </w:tc>
              <w:tc>
                <w:tcPr>
                  <w:tcW w:w="972" w:type="pct"/>
                  <w:tcBorders>
                    <w:top w:val="single" w:color="000000" w:sz="8" w:space="0"/>
                    <w:left w:val="single" w:color="000000" w:sz="8" w:space="0"/>
                    <w:bottom w:val="single" w:color="000000" w:sz="8" w:space="0"/>
                    <w:right w:val="single" w:color="000000" w:sz="8" w:space="0"/>
                  </w:tcBorders>
                  <w:shd w:val="pct50" w:color="auto" w:fill="auto"/>
                  <w:vAlign w:val="center"/>
                </w:tcPr>
                <w:p w14:paraId="7D39485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0.01178</w:t>
                  </w:r>
                </w:p>
              </w:tc>
            </w:tr>
            <w:tr w14:paraId="694E2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756" w:type="pct"/>
                  <w:vMerge w:val="continue"/>
                  <w:tcBorders>
                    <w:left w:val="single" w:color="000000" w:sz="8" w:space="0"/>
                    <w:right w:val="single" w:color="000000" w:sz="8" w:space="0"/>
                  </w:tcBorders>
                  <w:shd w:val="clear" w:color="auto" w:fill="auto"/>
                  <w:vAlign w:val="center"/>
                </w:tcPr>
                <w:p w14:paraId="7E4D603E">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right w:val="single" w:color="000000" w:sz="8" w:space="0"/>
                  </w:tcBorders>
                  <w:shd w:val="pct50" w:color="auto" w:fill="auto"/>
                  <w:vAlign w:val="center"/>
                </w:tcPr>
                <w:p w14:paraId="033F5050">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50" w:color="auto" w:fill="auto"/>
                  <w:vAlign w:val="center"/>
                </w:tcPr>
                <w:p w14:paraId="43840F4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color w:val="000000" w:themeColor="text1"/>
                      <w:sz w:val="18"/>
                      <w:szCs w:val="18"/>
                      <w:lang w:val="en-US" w:eastAsia="zh-CN" w:bidi="ar"/>
                      <w14:textFill>
                        <w14:solidFill>
                          <w14:schemeClr w14:val="tx1"/>
                        </w14:solidFill>
                      </w14:textFill>
                    </w:rPr>
                    <w:t>拆解颗粒物机动车重量的0.03‰</w:t>
                  </w:r>
                </w:p>
              </w:tc>
              <w:tc>
                <w:tcPr>
                  <w:tcW w:w="972" w:type="pct"/>
                  <w:tcBorders>
                    <w:top w:val="single" w:color="000000" w:sz="8" w:space="0"/>
                    <w:left w:val="single" w:color="000000" w:sz="8" w:space="0"/>
                    <w:bottom w:val="single" w:color="000000" w:sz="8" w:space="0"/>
                    <w:right w:val="single" w:color="000000" w:sz="8" w:space="0"/>
                  </w:tcBorders>
                  <w:shd w:val="pct50" w:color="auto" w:fill="auto"/>
                  <w:vAlign w:val="center"/>
                </w:tcPr>
                <w:p w14:paraId="271715B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2.293893333</w:t>
                  </w:r>
                </w:p>
              </w:tc>
            </w:tr>
            <w:tr w14:paraId="165D3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 w:hRule="atLeast"/>
                <w:jc w:val="center"/>
              </w:trPr>
              <w:tc>
                <w:tcPr>
                  <w:tcW w:w="756" w:type="pct"/>
                  <w:vMerge w:val="continue"/>
                  <w:tcBorders>
                    <w:left w:val="single" w:color="000000" w:sz="8" w:space="0"/>
                    <w:bottom w:val="single" w:color="000000" w:sz="8" w:space="0"/>
                    <w:right w:val="single" w:color="000000" w:sz="8" w:space="0"/>
                  </w:tcBorders>
                  <w:shd w:val="clear" w:color="auto" w:fill="auto"/>
                  <w:vAlign w:val="center"/>
                </w:tcPr>
                <w:p w14:paraId="01D36D41">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0" w:type="pct"/>
                  <w:gridSpan w:val="2"/>
                  <w:vMerge w:val="continue"/>
                  <w:tcBorders>
                    <w:left w:val="single" w:color="000000" w:sz="8" w:space="0"/>
                    <w:bottom w:val="single" w:color="000000" w:sz="8" w:space="0"/>
                    <w:right w:val="single" w:color="000000" w:sz="8" w:space="0"/>
                  </w:tcBorders>
                  <w:shd w:val="pct50" w:color="auto" w:fill="auto"/>
                  <w:vAlign w:val="center"/>
                </w:tcPr>
                <w:p w14:paraId="10A18239">
                  <w:pPr>
                    <w:keepNext w:val="0"/>
                    <w:keepLines w:val="0"/>
                    <w:pageBreakBefore w:val="0"/>
                    <w:kinsoku/>
                    <w:wordWrap/>
                    <w:overflowPunct/>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029" w:type="pct"/>
                  <w:tcBorders>
                    <w:top w:val="single" w:color="000000" w:sz="8" w:space="0"/>
                    <w:left w:val="single" w:color="000000" w:sz="8" w:space="0"/>
                    <w:bottom w:val="single" w:color="000000" w:sz="8" w:space="0"/>
                    <w:right w:val="single" w:color="000000" w:sz="8" w:space="0"/>
                  </w:tcBorders>
                  <w:shd w:val="pct50" w:color="auto" w:fill="auto"/>
                  <w:vAlign w:val="center"/>
                </w:tcPr>
                <w:p w14:paraId="35B843EE">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尼龙粉尘按废安全气囊产生量的1‰</w:t>
                  </w:r>
                </w:p>
              </w:tc>
              <w:tc>
                <w:tcPr>
                  <w:tcW w:w="972" w:type="pct"/>
                  <w:tcBorders>
                    <w:top w:val="single" w:color="000000" w:sz="8" w:space="0"/>
                    <w:left w:val="single" w:color="000000" w:sz="8" w:space="0"/>
                    <w:bottom w:val="single" w:color="000000" w:sz="8" w:space="0"/>
                    <w:right w:val="single" w:color="000000" w:sz="8" w:space="0"/>
                  </w:tcBorders>
                  <w:shd w:val="pct50" w:color="auto" w:fill="auto"/>
                  <w:vAlign w:val="center"/>
                </w:tcPr>
                <w:p w14:paraId="3E3C51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0.013</w:t>
                  </w:r>
                </w:p>
              </w:tc>
            </w:tr>
          </w:tbl>
          <w:p w14:paraId="40C00ADE">
            <w:pPr>
              <w:pStyle w:val="23"/>
              <w:ind w:left="0" w:leftChars="0" w:firstLine="0" w:firstLineChars="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注：物料平衡中危险废物未包含废活性炭及含油抹布</w:t>
            </w:r>
          </w:p>
          <w:p w14:paraId="5DE186E8">
            <w:pPr>
              <w:pStyle w:val="4"/>
              <w:spacing w:before="120" w:after="12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图2-1   物料平衡图   单位（吨/年）</w:t>
            </w:r>
          </w:p>
          <w:p w14:paraId="57D391B3">
            <w:pPr>
              <w:pStyle w:val="4"/>
              <w:spacing w:before="120" w:after="120"/>
              <w:rPr>
                <w:rFonts w:hint="eastAsia" w:ascii="宋体" w:hAnsi="宋体" w:cs="宋体"/>
                <w:color w:val="000000" w:themeColor="text1"/>
                <w:sz w:val="24"/>
                <w:szCs w:val="24"/>
                <w:lang w:val="en-US" w:eastAsia="zh-CN"/>
                <w14:textFill>
                  <w14:solidFill>
                    <w14:schemeClr w14:val="tx1"/>
                  </w14:solidFill>
                </w14:textFill>
              </w:rPr>
            </w:pPr>
          </w:p>
          <w:p w14:paraId="5506393B">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项目水平衡</w:t>
            </w:r>
          </w:p>
          <w:p w14:paraId="7D36753B">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（1）生活用水</w:t>
            </w:r>
          </w:p>
          <w:p w14:paraId="71DBDDDB">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lang w:eastAsia="zh-CN"/>
                <w14:textFill>
                  <w14:solidFill>
                    <w14:schemeClr w14:val="tx1"/>
                  </w14:solidFill>
                </w14:textFill>
              </w:rPr>
              <w:t>本项目全厂职工人数为</w:t>
            </w:r>
            <w:r>
              <w:rPr>
                <w:rFonts w:hint="eastAsia" w:ascii="宋体" w:hAnsi="宋体" w:eastAsia="宋体" w:cs="宋体"/>
                <w:color w:val="000000" w:themeColor="text1"/>
                <w:szCs w:val="28"/>
                <w:lang w:val="en-US" w:eastAsia="zh-CN"/>
                <w14:textFill>
                  <w14:solidFill>
                    <w14:schemeClr w14:val="tx1"/>
                  </w14:solidFill>
                </w14:textFill>
              </w:rPr>
              <w:t>13</w:t>
            </w:r>
            <w:r>
              <w:rPr>
                <w:rFonts w:hint="eastAsia" w:ascii="宋体" w:hAnsi="宋体" w:eastAsia="宋体" w:cs="宋体"/>
                <w:color w:val="000000" w:themeColor="text1"/>
                <w:szCs w:val="28"/>
                <w:lang w:eastAsia="zh-CN"/>
                <w14:textFill>
                  <w14:solidFill>
                    <w14:schemeClr w14:val="tx1"/>
                  </w14:solidFill>
                </w14:textFill>
              </w:rPr>
              <w:t>人</w:t>
            </w:r>
            <w:r>
              <w:rPr>
                <w:rFonts w:hint="eastAsia" w:ascii="宋体" w:hAnsi="宋体" w:eastAsia="宋体" w:cs="宋体"/>
                <w:color w:val="000000" w:themeColor="text1"/>
                <w:szCs w:val="28"/>
                <w:lang w:val="en-US" w:eastAsia="zh-CN"/>
                <w14:textFill>
                  <w14:solidFill>
                    <w14:schemeClr w14:val="tx1"/>
                  </w14:solidFill>
                </w14:textFill>
              </w:rPr>
              <w:t>,</w:t>
            </w:r>
            <w:r>
              <w:rPr>
                <w:rFonts w:hint="eastAsia" w:ascii="宋体" w:hAnsi="宋体" w:eastAsia="宋体" w:cs="宋体"/>
                <w:color w:val="000000" w:themeColor="text1"/>
                <w:szCs w:val="28"/>
                <w14:textFill>
                  <w14:solidFill>
                    <w14:schemeClr w14:val="tx1"/>
                  </w14:solidFill>
                </w14:textFill>
              </w:rPr>
              <w:t>平均系数</w:t>
            </w:r>
            <w:r>
              <w:rPr>
                <w:rFonts w:hint="eastAsia" w:ascii="宋体" w:hAnsi="宋体" w:eastAsia="宋体" w:cs="宋体"/>
                <w:color w:val="000000" w:themeColor="text1"/>
                <w:szCs w:val="28"/>
                <w:lang w:val="en-US" w:eastAsia="zh-CN"/>
                <w14:textFill>
                  <w14:solidFill>
                    <w14:schemeClr w14:val="tx1"/>
                  </w14:solidFill>
                </w14:textFill>
              </w:rPr>
              <w:t>8</w:t>
            </w:r>
            <w:r>
              <w:rPr>
                <w:rFonts w:hint="eastAsia" w:ascii="宋体" w:hAnsi="宋体" w:eastAsia="宋体" w:cs="宋体"/>
                <w:color w:val="000000" w:themeColor="text1"/>
                <w:szCs w:val="28"/>
                <w14:textFill>
                  <w14:solidFill>
                    <w14:schemeClr w14:val="tx1"/>
                  </w14:solidFill>
                </w14:textFill>
              </w:rPr>
              <w:t>0L/人·d，则员工生活用水量</w:t>
            </w:r>
            <w:r>
              <w:rPr>
                <w:rFonts w:hint="eastAsia" w:ascii="宋体" w:hAnsi="宋体" w:eastAsia="宋体" w:cs="宋体"/>
                <w:color w:val="000000" w:themeColor="text1"/>
                <w:szCs w:val="28"/>
                <w:lang w:val="en-US" w:eastAsia="zh-CN"/>
                <w14:textFill>
                  <w14:solidFill>
                    <w14:schemeClr w14:val="tx1"/>
                  </w14:solidFill>
                </w14:textFill>
              </w:rPr>
              <w:t>312</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/a（1</w:t>
            </w:r>
            <w:r>
              <w:rPr>
                <w:rFonts w:hint="eastAsia" w:ascii="宋体" w:hAnsi="宋体" w:eastAsia="宋体" w:cs="宋体"/>
                <w:color w:val="000000" w:themeColor="text1"/>
                <w:szCs w:val="28"/>
                <w:lang w:val="en-US" w:eastAsia="zh-CN"/>
                <w14:textFill>
                  <w14:solidFill>
                    <w14:schemeClr w14:val="tx1"/>
                  </w14:solidFill>
                </w14:textFill>
              </w:rPr>
              <w:t>.04</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/d）。排污系数取0.</w:t>
            </w:r>
            <w:r>
              <w:rPr>
                <w:rFonts w:hint="eastAsia" w:ascii="宋体" w:hAnsi="宋体" w:eastAsia="宋体" w:cs="宋体"/>
                <w:color w:val="000000" w:themeColor="text1"/>
                <w:szCs w:val="28"/>
                <w:lang w:val="en-US" w:eastAsia="zh-CN"/>
                <w14:textFill>
                  <w14:solidFill>
                    <w14:schemeClr w14:val="tx1"/>
                  </w14:solidFill>
                </w14:textFill>
              </w:rPr>
              <w:t>85</w:t>
            </w:r>
            <w:r>
              <w:rPr>
                <w:rFonts w:hint="eastAsia" w:ascii="宋体" w:hAnsi="宋体" w:eastAsia="宋体" w:cs="宋体"/>
                <w:color w:val="000000" w:themeColor="text1"/>
                <w:szCs w:val="28"/>
                <w14:textFill>
                  <w14:solidFill>
                    <w14:schemeClr w14:val="tx1"/>
                  </w14:solidFill>
                </w14:textFill>
              </w:rPr>
              <w:t>，则生活污水产生量为</w:t>
            </w:r>
            <w:r>
              <w:rPr>
                <w:rFonts w:hint="eastAsia" w:ascii="宋体" w:hAnsi="宋体" w:eastAsia="宋体" w:cs="宋体"/>
                <w:color w:val="000000" w:themeColor="text1"/>
                <w:szCs w:val="28"/>
                <w:lang w:val="en-US" w:eastAsia="zh-CN"/>
                <w14:textFill>
                  <w14:solidFill>
                    <w14:schemeClr w14:val="tx1"/>
                  </w14:solidFill>
                </w14:textFill>
              </w:rPr>
              <w:t>265.2</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/a（</w:t>
            </w:r>
            <w:r>
              <w:rPr>
                <w:rFonts w:hint="eastAsia" w:ascii="宋体" w:hAnsi="宋体" w:eastAsia="宋体" w:cs="宋体"/>
                <w:color w:val="000000" w:themeColor="text1"/>
                <w:szCs w:val="28"/>
                <w:lang w:val="en-US" w:eastAsia="zh-CN"/>
                <w14:textFill>
                  <w14:solidFill>
                    <w14:schemeClr w14:val="tx1"/>
                  </w14:solidFill>
                </w14:textFill>
              </w:rPr>
              <w:t>0.884</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/d）。</w:t>
            </w:r>
          </w:p>
          <w:p w14:paraId="449D657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）初期雨水</w:t>
            </w:r>
          </w:p>
          <w:p w14:paraId="4E868BD9">
            <w:pPr>
              <w:pStyle w:val="2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项目厂区地面硬化、防渗处理，贮存及运输过程中，各种污染物滴漏在路面，当下雨形成地表径流，污染物会随着径流带入周边水体，造成一定的环境污染。初期雨水</w:t>
            </w:r>
            <w:r>
              <w:rPr>
                <w:rFonts w:hint="eastAsia" w:ascii="宋体" w:hAnsi="宋体" w:eastAsia="宋体" w:cs="宋体"/>
                <w:color w:val="000000" w:themeColor="text1"/>
                <w:sz w:val="24"/>
                <w:szCs w:val="28"/>
                <w:lang w:eastAsia="zh-CN"/>
                <w14:textFill>
                  <w14:solidFill>
                    <w14:schemeClr w14:val="tx1"/>
                  </w14:solidFill>
                </w14:textFill>
              </w:rPr>
              <w:t>经</w:t>
            </w:r>
            <w:r>
              <w:rPr>
                <w:rFonts w:hint="eastAsia" w:ascii="宋体" w:hAnsi="宋体" w:eastAsia="宋体" w:cs="宋体"/>
                <w:color w:val="000000" w:themeColor="text1"/>
                <w:sz w:val="24"/>
                <w:szCs w:val="28"/>
                <w14:textFill>
                  <w14:solidFill>
                    <w14:schemeClr w14:val="tx1"/>
                  </w14:solidFill>
                </w14:textFill>
              </w:rPr>
              <w:t>隔油池处理，排入市政污水管网。</w:t>
            </w:r>
          </w:p>
          <w:p w14:paraId="1ABB993B">
            <w:pPr>
              <w:pStyle w:val="2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根据《石油化工企业给水排水系统设计规范》（SH3015-2019）中的6.3.3初期雨水的计算情况进行估算，其规定按降水深度1</w:t>
            </w:r>
            <w:r>
              <w:rPr>
                <w:rFonts w:hint="eastAsia" w:ascii="宋体" w:hAnsi="宋体" w:cs="宋体"/>
                <w:color w:val="000000" w:themeColor="text1"/>
                <w:sz w:val="24"/>
                <w:szCs w:val="28"/>
                <w:lang w:val="en-US" w:eastAsia="zh-CN"/>
                <w14:textFill>
                  <w14:solidFill>
                    <w14:schemeClr w14:val="tx1"/>
                  </w14:solidFill>
                </w14:textFill>
              </w:rPr>
              <w:t>0</w:t>
            </w:r>
            <w:r>
              <w:rPr>
                <w:rFonts w:hint="eastAsia" w:ascii="宋体" w:hAnsi="宋体" w:eastAsia="宋体" w:cs="宋体"/>
                <w:color w:val="000000" w:themeColor="text1"/>
                <w:sz w:val="24"/>
                <w:szCs w:val="28"/>
                <w14:textFill>
                  <w14:solidFill>
                    <w14:schemeClr w14:val="tx1"/>
                  </w14:solidFill>
                </w14:textFill>
              </w:rPr>
              <w:t>-</w:t>
            </w:r>
            <w:r>
              <w:rPr>
                <w:rFonts w:hint="eastAsia" w:ascii="宋体" w:hAnsi="宋体" w:cs="宋体"/>
                <w:color w:val="000000" w:themeColor="text1"/>
                <w:sz w:val="24"/>
                <w:szCs w:val="28"/>
                <w:lang w:val="en-US" w:eastAsia="zh-CN"/>
                <w14:textFill>
                  <w14:solidFill>
                    <w14:schemeClr w14:val="tx1"/>
                  </w14:solidFill>
                </w14:textFill>
              </w:rPr>
              <w:t>15</w:t>
            </w:r>
            <w:r>
              <w:rPr>
                <w:rFonts w:hint="eastAsia" w:ascii="宋体" w:hAnsi="宋体" w:eastAsia="宋体" w:cs="宋体"/>
                <w:color w:val="000000" w:themeColor="text1"/>
                <w:sz w:val="24"/>
                <w:szCs w:val="28"/>
                <w14:textFill>
                  <w14:solidFill>
                    <w14:schemeClr w14:val="tx1"/>
                  </w14:solidFill>
                </w14:textFill>
              </w:rPr>
              <w:t>mm与污染区面积的乘积计算初期雨水。本项目污染区包括待拆解汽车的贮存区、车辆进出道路，厂区内落地的初期雨水面积约为</w:t>
            </w:r>
            <w:r>
              <w:rPr>
                <w:rFonts w:hint="eastAsia" w:ascii="宋体" w:hAnsi="宋体" w:cs="宋体"/>
                <w:color w:val="000000" w:themeColor="text1"/>
                <w:sz w:val="24"/>
                <w:szCs w:val="28"/>
                <w:lang w:val="en-US" w:eastAsia="zh-CN"/>
                <w14:textFill>
                  <w14:solidFill>
                    <w14:schemeClr w14:val="tx1"/>
                  </w14:solidFill>
                </w14:textFill>
              </w:rPr>
              <w:t>2.2万</w:t>
            </w:r>
            <w:r>
              <w:rPr>
                <w:rFonts w:hint="eastAsia" w:ascii="宋体" w:hAnsi="宋体" w:eastAsia="宋体" w:cs="宋体"/>
                <w:color w:val="000000" w:themeColor="text1"/>
                <w:sz w:val="24"/>
                <w:szCs w:val="28"/>
                <w14:textFill>
                  <w14:solidFill>
                    <w14:schemeClr w14:val="tx1"/>
                  </w14:solidFill>
                </w14:textFill>
              </w:rPr>
              <w:t>m²，初期雨水量取0.02m，径流系数为0.4-1.0（本评价取0.</w:t>
            </w:r>
            <w:r>
              <w:rPr>
                <w:rFonts w:hint="eastAsia" w:ascii="宋体" w:hAnsi="宋体" w:eastAsia="宋体" w:cs="宋体"/>
                <w:color w:val="000000" w:themeColor="text1"/>
                <w:sz w:val="24"/>
                <w:szCs w:val="28"/>
                <w:lang w:val="en-US" w:eastAsia="zh-CN"/>
                <w14:textFill>
                  <w14:solidFill>
                    <w14:schemeClr w14:val="tx1"/>
                  </w14:solidFill>
                </w14:textFill>
              </w:rPr>
              <w:t>8</w:t>
            </w:r>
            <w:r>
              <w:rPr>
                <w:rFonts w:hint="eastAsia" w:ascii="宋体" w:hAnsi="宋体" w:eastAsia="宋体" w:cs="宋体"/>
                <w:color w:val="000000" w:themeColor="text1"/>
                <w:sz w:val="24"/>
                <w:szCs w:val="28"/>
                <w14:textFill>
                  <w14:solidFill>
                    <w14:schemeClr w14:val="tx1"/>
                  </w14:solidFill>
                </w14:textFill>
              </w:rPr>
              <w:t>），则初期雨水量为：</w:t>
            </w:r>
            <w:r>
              <w:rPr>
                <w:rFonts w:hint="eastAsia" w:ascii="宋体" w:hAnsi="宋体" w:cs="宋体"/>
                <w:color w:val="000000" w:themeColor="text1"/>
                <w:sz w:val="24"/>
                <w:szCs w:val="28"/>
                <w:lang w:val="en-US" w:eastAsia="zh-CN"/>
                <w14:textFill>
                  <w14:solidFill>
                    <w14:schemeClr w14:val="tx1"/>
                  </w14:solidFill>
                </w14:textFill>
              </w:rPr>
              <w:t>22000</w:t>
            </w:r>
            <w:r>
              <w:rPr>
                <w:rFonts w:hint="eastAsia" w:ascii="宋体" w:hAnsi="宋体" w:eastAsia="宋体" w:cs="宋体"/>
                <w:color w:val="000000" w:themeColor="text1"/>
                <w:sz w:val="24"/>
                <w:szCs w:val="28"/>
                <w14:textFill>
                  <w14:solidFill>
                    <w14:schemeClr w14:val="tx1"/>
                  </w14:solidFill>
                </w14:textFill>
              </w:rPr>
              <w:t>×0.0</w:t>
            </w:r>
            <w:r>
              <w:rPr>
                <w:rFonts w:hint="eastAsia" w:ascii="宋体" w:hAnsi="宋体" w:cs="宋体"/>
                <w:color w:val="000000" w:themeColor="text1"/>
                <w:sz w:val="24"/>
                <w:szCs w:val="28"/>
                <w:lang w:val="en-US" w:eastAsia="zh-CN"/>
                <w14:textFill>
                  <w14:solidFill>
                    <w14:schemeClr w14:val="tx1"/>
                  </w14:solidFill>
                </w14:textFill>
              </w:rPr>
              <w:t>15</w:t>
            </w:r>
            <w:r>
              <w:rPr>
                <w:rFonts w:hint="eastAsia" w:ascii="宋体" w:hAnsi="宋体" w:eastAsia="宋体" w:cs="宋体"/>
                <w:color w:val="000000" w:themeColor="text1"/>
                <w:sz w:val="24"/>
                <w:szCs w:val="28"/>
                <w14:textFill>
                  <w14:solidFill>
                    <w14:schemeClr w14:val="tx1"/>
                  </w14:solidFill>
                </w14:textFill>
              </w:rPr>
              <w:t>×0.</w:t>
            </w:r>
            <w:r>
              <w:rPr>
                <w:rFonts w:hint="eastAsia" w:ascii="宋体" w:hAnsi="宋体" w:eastAsia="宋体" w:cs="宋体"/>
                <w:color w:val="000000" w:themeColor="text1"/>
                <w:sz w:val="24"/>
                <w:szCs w:val="28"/>
                <w:lang w:val="en-US" w:eastAsia="zh-CN"/>
                <w14:textFill>
                  <w14:solidFill>
                    <w14:schemeClr w14:val="tx1"/>
                  </w14:solidFill>
                </w14:textFill>
              </w:rPr>
              <w:t>8</w:t>
            </w:r>
            <w:r>
              <w:rPr>
                <w:rFonts w:hint="eastAsia" w:ascii="宋体" w:hAnsi="宋体" w:eastAsia="宋体" w:cs="宋体"/>
                <w:color w:val="000000" w:themeColor="text1"/>
                <w:sz w:val="24"/>
                <w:szCs w:val="28"/>
                <w14:textFill>
                  <w14:solidFill>
                    <w14:schemeClr w14:val="tx1"/>
                  </w14:solidFill>
                </w14:textFill>
              </w:rPr>
              <w:t>=</w:t>
            </w:r>
            <w:r>
              <w:rPr>
                <w:rFonts w:hint="eastAsia" w:ascii="宋体" w:hAnsi="宋体" w:cs="宋体"/>
                <w:color w:val="000000" w:themeColor="text1"/>
                <w:sz w:val="24"/>
                <w:szCs w:val="28"/>
                <w:lang w:val="en-US" w:eastAsia="zh-CN"/>
                <w14:textFill>
                  <w14:solidFill>
                    <w14:schemeClr w14:val="tx1"/>
                  </w14:solidFill>
                </w14:textFill>
              </w:rPr>
              <w:t>264</w:t>
            </w:r>
            <w:r>
              <w:rPr>
                <w:rFonts w:hint="eastAsia" w:ascii="宋体" w:hAnsi="宋体" w:eastAsia="宋体" w:cs="宋体"/>
                <w:color w:val="000000" w:themeColor="text1"/>
                <w:sz w:val="24"/>
                <w:szCs w:val="28"/>
                <w14:textFill>
                  <w14:solidFill>
                    <w14:schemeClr w14:val="tx1"/>
                  </w14:solidFill>
                </w14:textFill>
              </w:rPr>
              <w:t>m</w:t>
            </w:r>
            <w:r>
              <w:rPr>
                <w:rFonts w:hint="eastAsia" w:ascii="宋体" w:hAnsi="宋体" w:eastAsia="宋体" w:cs="宋体"/>
                <w:color w:val="000000" w:themeColor="text1"/>
                <w:sz w:val="24"/>
                <w:szCs w:val="28"/>
                <w:vertAlign w:val="superscript"/>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/次。</w:t>
            </w:r>
          </w:p>
          <w:p w14:paraId="264CBF42">
            <w:pPr>
              <w:spacing w:line="360" w:lineRule="auto"/>
              <w:ind w:firstLine="482"/>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综上，项目用水总量为</w:t>
            </w:r>
            <w:r>
              <w:rPr>
                <w:rFonts w:hint="eastAsia" w:ascii="宋体" w:hAnsi="宋体" w:eastAsia="宋体" w:cs="宋体"/>
                <w:color w:val="000000" w:themeColor="text1"/>
                <w:szCs w:val="28"/>
                <w:lang w:val="en-US" w:eastAsia="zh-CN"/>
                <w14:textFill>
                  <w14:solidFill>
                    <w14:schemeClr w14:val="tx1"/>
                  </w14:solidFill>
                </w14:textFill>
              </w:rPr>
              <w:t>312</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/a（</w:t>
            </w:r>
            <w:r>
              <w:rPr>
                <w:rFonts w:hint="eastAsia" w:ascii="宋体" w:hAnsi="宋体" w:eastAsia="宋体" w:cs="宋体"/>
                <w:color w:val="000000" w:themeColor="text1"/>
                <w:szCs w:val="28"/>
                <w:lang w:val="en-US" w:eastAsia="zh-CN"/>
                <w14:textFill>
                  <w14:solidFill>
                    <w14:schemeClr w14:val="tx1"/>
                  </w14:solidFill>
                </w14:textFill>
              </w:rPr>
              <w:t>1.04</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/d），污水产生总量为</w:t>
            </w:r>
            <w:r>
              <w:rPr>
                <w:rFonts w:hint="eastAsia" w:ascii="宋体" w:hAnsi="宋体" w:eastAsia="宋体" w:cs="宋体"/>
                <w:color w:val="000000" w:themeColor="text1"/>
                <w:szCs w:val="28"/>
                <w:lang w:val="en-US" w:eastAsia="zh-CN"/>
                <w14:textFill>
                  <w14:solidFill>
                    <w14:schemeClr w14:val="tx1"/>
                  </w14:solidFill>
                </w14:textFill>
              </w:rPr>
              <w:t>26</w:t>
            </w:r>
            <w:r>
              <w:rPr>
                <w:rFonts w:hint="eastAsia" w:ascii="宋体" w:hAnsi="宋体" w:cs="宋体"/>
                <w:color w:val="000000" w:themeColor="text1"/>
                <w:szCs w:val="28"/>
                <w:lang w:val="en-US" w:eastAsia="zh-CN"/>
                <w14:textFill>
                  <w14:solidFill>
                    <w14:schemeClr w14:val="tx1"/>
                  </w14:solidFill>
                </w14:textFill>
              </w:rPr>
              <w:t>5.</w:t>
            </w:r>
            <w:r>
              <w:rPr>
                <w:rFonts w:hint="eastAsia" w:ascii="宋体" w:hAnsi="宋体" w:eastAsia="宋体" w:cs="宋体"/>
                <w:color w:val="000000" w:themeColor="text1"/>
                <w:szCs w:val="28"/>
                <w:lang w:val="en-US" w:eastAsia="zh-CN"/>
                <w14:textFill>
                  <w14:solidFill>
                    <w14:schemeClr w14:val="tx1"/>
                  </w14:solidFill>
                </w14:textFill>
              </w:rPr>
              <w:t>2</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/a（</w:t>
            </w:r>
            <w:r>
              <w:rPr>
                <w:rFonts w:hint="eastAsia" w:ascii="宋体" w:hAnsi="宋体" w:eastAsia="宋体" w:cs="宋体"/>
                <w:color w:val="000000" w:themeColor="text1"/>
                <w:szCs w:val="28"/>
                <w:lang w:val="en-US" w:eastAsia="zh-CN"/>
                <w14:textFill>
                  <w14:solidFill>
                    <w14:schemeClr w14:val="tx1"/>
                  </w14:solidFill>
                </w14:textFill>
              </w:rPr>
              <w:t>0.88</w:t>
            </w:r>
            <w:r>
              <w:rPr>
                <w:rFonts w:hint="eastAsia" w:ascii="宋体" w:hAnsi="宋体" w:eastAsia="宋体" w:cs="宋体"/>
                <w:color w:val="000000" w:themeColor="text1"/>
                <w:kern w:val="0"/>
                <w:szCs w:val="28"/>
                <w14:textFill>
                  <w14:solidFill>
                    <w14:schemeClr w14:val="tx1"/>
                  </w14:solidFill>
                </w14:textFill>
              </w:rPr>
              <w:t>m</w:t>
            </w:r>
            <w:r>
              <w:rPr>
                <w:rFonts w:hint="eastAsia" w:ascii="宋体" w:hAnsi="宋体" w:eastAsia="宋体" w:cs="宋体"/>
                <w:color w:val="000000" w:themeColor="text1"/>
                <w:kern w:val="0"/>
                <w:szCs w:val="28"/>
                <w:vertAlign w:val="superscript"/>
                <w14:textFill>
                  <w14:solidFill>
                    <w14:schemeClr w14:val="tx1"/>
                  </w14:solidFill>
                </w14:textFill>
              </w:rPr>
              <w:t>3</w:t>
            </w:r>
            <w:r>
              <w:rPr>
                <w:rFonts w:hint="eastAsia" w:ascii="宋体" w:hAnsi="宋体" w:eastAsia="宋体" w:cs="宋体"/>
                <w:color w:val="000000" w:themeColor="text1"/>
                <w:szCs w:val="28"/>
                <w14:textFill>
                  <w14:solidFill>
                    <w14:schemeClr w14:val="tx1"/>
                  </w14:solidFill>
                </w14:textFill>
              </w:rPr>
              <w:t>/d）。</w:t>
            </w:r>
          </w:p>
          <w:p w14:paraId="3BBD5E81">
            <w:pPr>
              <w:spacing w:line="360" w:lineRule="auto"/>
              <w:ind w:firstLine="48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项目用水主要是生活用水。</w:t>
            </w:r>
          </w:p>
          <w:p w14:paraId="57FDB0F5">
            <w:pPr>
              <w:spacing w:line="360" w:lineRule="auto"/>
              <w:ind w:firstLine="48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水平衡图见</w:t>
            </w:r>
            <w:r>
              <w:rPr>
                <w:rFonts w:hint="eastAsia" w:ascii="宋体" w:hAnsi="宋体" w:eastAsia="宋体" w:cs="宋体"/>
                <w:color w:val="000000" w:themeColor="text1"/>
                <w:sz w:val="24"/>
                <w:szCs w:val="24"/>
                <w:lang w:eastAsia="zh-CN"/>
                <w14:textFill>
                  <w14:solidFill>
                    <w14:schemeClr w14:val="tx1"/>
                  </w14:solidFill>
                </w14:textFill>
              </w:rPr>
              <w:t>下图</w:t>
            </w:r>
          </w:p>
          <w:p w14:paraId="6FFCDC09">
            <w:pPr>
              <w:pStyle w:val="24"/>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871220</wp:posOffset>
                      </wp:positionH>
                      <wp:positionV relativeFrom="paragraph">
                        <wp:posOffset>99695</wp:posOffset>
                      </wp:positionV>
                      <wp:extent cx="1254760" cy="286385"/>
                      <wp:effectExtent l="0" t="0" r="0" b="0"/>
                      <wp:wrapNone/>
                      <wp:docPr id="11" name="矩形 11"/>
                      <wp:cNvGraphicFramePr/>
                      <a:graphic xmlns:a="http://schemas.openxmlformats.org/drawingml/2006/main">
                        <a:graphicData uri="http://schemas.microsoft.com/office/word/2010/wordprocessingShape">
                          <wps:wsp>
                            <wps:cNvSpPr/>
                            <wps:spPr>
                              <a:xfrm>
                                <a:off x="0" y="0"/>
                                <a:ext cx="1254760"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7EA98">
                                  <w:pPr>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损耗</w:t>
                                  </w:r>
                                  <w:r>
                                    <w:rPr>
                                      <w:rFonts w:hint="eastAsia"/>
                                      <w:color w:val="000000" w:themeColor="text1"/>
                                      <w:sz w:val="21"/>
                                      <w:szCs w:val="21"/>
                                      <w:lang w:val="en-US" w:eastAsia="zh-CN"/>
                                      <w14:textFill>
                                        <w14:solidFill>
                                          <w14:schemeClr w14:val="tx1"/>
                                        </w14:solidFill>
                                      </w14:textFill>
                                    </w:rPr>
                                    <w:t>55.8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6pt;margin-top:7.85pt;height:22.55pt;width:98.8pt;z-index:251666432;v-text-anchor:middle;mso-width-relative:page;mso-height-relative:page;" filled="f" stroked="f" coordsize="21600,21600" o:gfxdata="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NlzA7XAAAACQEAAA8A&#10;AAAAAAAAAQAgAAAAIgAAAGRycy9kb3ducmV2LnhtbFBLAQIUABQAAAAIAIdO4kACYq3TUQIAAJgE&#10;AAAOAAAAAAAAAAEAIAAAACYBAABkcnMvZTJvRG9jLnhtbFBLBQYAAAAABgAGAFkBAADpBQAAAAA=&#10;">
                      <v:fill on="f" focussize="0,0"/>
                      <v:stroke on="f" weight="2pt"/>
                      <v:imagedata o:title=""/>
                      <o:lock v:ext="edit" aspectratio="f"/>
                      <v:textbox>
                        <w:txbxContent>
                          <w:p w14:paraId="5A97EA98">
                            <w:pPr>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损耗</w:t>
                            </w:r>
                            <w:r>
                              <w:rPr>
                                <w:rFonts w:hint="eastAsia"/>
                                <w:color w:val="000000" w:themeColor="text1"/>
                                <w:sz w:val="21"/>
                                <w:szCs w:val="21"/>
                                <w:lang w:val="en-US" w:eastAsia="zh-CN"/>
                                <w14:textFill>
                                  <w14:solidFill>
                                    <w14:schemeClr w14:val="tx1"/>
                                  </w14:solidFill>
                                </w14:textFill>
                              </w:rPr>
                              <w:t>55.8</w:t>
                            </w:r>
                          </w:p>
                        </w:txbxContent>
                      </v:textbox>
                    </v:rect>
                  </w:pict>
                </mc:Fallback>
              </mc:AlternateContent>
            </w:r>
          </w:p>
          <w:p w14:paraId="66E5D661">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978535</wp:posOffset>
                      </wp:positionH>
                      <wp:positionV relativeFrom="paragraph">
                        <wp:posOffset>111125</wp:posOffset>
                      </wp:positionV>
                      <wp:extent cx="191135" cy="71120"/>
                      <wp:effectExtent l="5080" t="0" r="57150" b="18415"/>
                      <wp:wrapNone/>
                      <wp:docPr id="8" name="曲线连接符 8"/>
                      <wp:cNvGraphicFramePr/>
                      <a:graphic xmlns:a="http://schemas.openxmlformats.org/drawingml/2006/main">
                        <a:graphicData uri="http://schemas.microsoft.com/office/word/2010/wordprocessingShape">
                          <wps:wsp>
                            <wps:cNvCnPr>
                              <a:stCxn id="1" idx="0"/>
                            </wps:cNvCnPr>
                            <wps:spPr>
                              <a:xfrm rot="16200000">
                                <a:off x="2130425" y="2003425"/>
                                <a:ext cx="191135" cy="71120"/>
                              </a:xfrm>
                              <a:prstGeom prst="curvedConnector3">
                                <a:avLst>
                                  <a:gd name="adj1" fmla="val 50000"/>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margin-left:77.05pt;margin-top:8.75pt;height:5.6pt;width:15.05pt;rotation:-5898240f;z-index:251665408;mso-width-relative:page;mso-height-relative:page;" filled="f" stroked="t" coordsize="21600,21600" o:gfxdata="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fJQRj1wAAAAkBAAAPAAAA&#10;AAAAAAEAIAAAACIAAABkcnMvZG93bnJldi54bWxQSwECFAAUAAAACACHTuJAwnpn3E8CAABrBAAA&#10;DgAAAAAAAAABACAAAAAmAQAAZHJzL2Uyb0RvYy54bWxQSwUGAAAAAAYABgBZAQAA5wUAAAAA&#10;" adj="10800">
                      <v:fill on="f" focussize="0,0"/>
                      <v:stroke color="#4A7EBB [3204]" joinstyle="round" dashstyle="dashDot" endarrow="open"/>
                      <v:imagedata o:title=""/>
                      <o:lock v:ext="edit" aspectratio="f"/>
                    </v:shape>
                  </w:pict>
                </mc:Fallback>
              </mc:AlternateContent>
            </w:r>
          </w:p>
          <w:p w14:paraId="5EB2DD67">
            <w:pPr>
              <w:pStyle w:val="24"/>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3540760</wp:posOffset>
                      </wp:positionH>
                      <wp:positionV relativeFrom="paragraph">
                        <wp:posOffset>69850</wp:posOffset>
                      </wp:positionV>
                      <wp:extent cx="567055" cy="286385"/>
                      <wp:effectExtent l="12700" t="12700" r="17145" b="18415"/>
                      <wp:wrapNone/>
                      <wp:docPr id="12" name="矩形 12"/>
                      <wp:cNvGraphicFramePr/>
                      <a:graphic xmlns:a="http://schemas.openxmlformats.org/drawingml/2006/main">
                        <a:graphicData uri="http://schemas.microsoft.com/office/word/2010/wordprocessingShape">
                          <wps:wsp>
                            <wps:cNvSpPr/>
                            <wps:spPr>
                              <a:xfrm>
                                <a:off x="0" y="0"/>
                                <a:ext cx="567055" cy="286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42A008">
                                  <w:pPr>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清运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8pt;margin-top:5.5pt;height:22.55pt;width:44.65pt;z-index:251710464;v-text-anchor:middle;mso-width-relative:page;mso-height-relative:page;" filled="f" stroked="t" coordsize="21600,21600" o:gfxdata="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RTdny1wAAAAkBAAAPAAAAAAAAAAEAIAAAACIAAABkcnMvZG93&#10;bnJldi54bWxQSwECFAAUAAAACACHTuJACExnx3MCAADhBAAADgAAAAAAAAABACAAAAAmAQAAZHJz&#10;L2Uyb0RvYy54bWxQSwUGAAAAAAYABgBZAQAACwYAAAAA&#10;">
                      <v:fill on="f" focussize="0,0"/>
                      <v:stroke weight="2pt" color="#385D8A [3204]" joinstyle="round"/>
                      <v:imagedata o:title=""/>
                      <o:lock v:ext="edit" aspectratio="f"/>
                      <v:textbox>
                        <w:txbxContent>
                          <w:p w14:paraId="7442A008">
                            <w:pPr>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清运</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1926590</wp:posOffset>
                      </wp:positionH>
                      <wp:positionV relativeFrom="paragraph">
                        <wp:posOffset>74930</wp:posOffset>
                      </wp:positionV>
                      <wp:extent cx="1254760" cy="286385"/>
                      <wp:effectExtent l="12700" t="0" r="27940" b="25400"/>
                      <wp:wrapNone/>
                      <wp:docPr id="3" name="矩形 3"/>
                      <wp:cNvGraphicFramePr/>
                      <a:graphic xmlns:a="http://schemas.openxmlformats.org/drawingml/2006/main">
                        <a:graphicData uri="http://schemas.microsoft.com/office/word/2010/wordprocessingShape">
                          <wps:wsp>
                            <wps:cNvSpPr/>
                            <wps:spPr>
                              <a:xfrm>
                                <a:off x="0" y="0"/>
                                <a:ext cx="1254760" cy="286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940084">
                                  <w:pPr>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生活污水</w:t>
                                  </w:r>
                                  <w:r>
                                    <w:rPr>
                                      <w:rFonts w:hint="eastAsia"/>
                                      <w:color w:val="000000" w:themeColor="text1"/>
                                      <w:sz w:val="21"/>
                                      <w:szCs w:val="21"/>
                                      <w:lang w:val="en-US" w:eastAsia="zh-CN"/>
                                      <w14:textFill>
                                        <w14:solidFill>
                                          <w14:schemeClr w14:val="tx1"/>
                                        </w14:solidFill>
                                      </w14:textFill>
                                    </w:rPr>
                                    <w:t>265.2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7pt;margin-top:5.9pt;height:22.55pt;width:98.8pt;z-index:251664384;v-text-anchor:middle;mso-width-relative:page;mso-height-relative:page;" filled="f" stroked="t" coordsize="21600,21600" o:gfxdata="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Y1ycNYAAAAJAQAADwAAAAAAAAABACAAAAAiAAAAZHJzL2Rvd25y&#10;ZXYueG1sUEsBAhQAFAAAAAgAh07iQCU+FyNyAgAA4AQAAA4AAAAAAAAAAQAgAAAAJQEAAGRycy9l&#10;Mm9Eb2MueG1sUEsFBgAAAAAGAAYAWQEAAAkGAAAAAA==&#10;">
                      <v:fill on="f" focussize="0,0"/>
                      <v:stroke weight="2pt" color="#385D8A [3204]" joinstyle="round"/>
                      <v:imagedata o:title=""/>
                      <o:lock v:ext="edit" aspectratio="f"/>
                      <v:textbox>
                        <w:txbxContent>
                          <w:p w14:paraId="3A940084">
                            <w:pPr>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生活污水</w:t>
                            </w:r>
                            <w:r>
                              <w:rPr>
                                <w:rFonts w:hint="eastAsia"/>
                                <w:color w:val="000000" w:themeColor="text1"/>
                                <w:sz w:val="21"/>
                                <w:szCs w:val="21"/>
                                <w:lang w:val="en-US" w:eastAsia="zh-CN"/>
                                <w14:textFill>
                                  <w14:solidFill>
                                    <w14:schemeClr w14:val="tx1"/>
                                  </w14:solidFill>
                                </w14:textFill>
                              </w:rPr>
                              <w:t>265.2</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514985</wp:posOffset>
                      </wp:positionH>
                      <wp:positionV relativeFrom="paragraph">
                        <wp:posOffset>67310</wp:posOffset>
                      </wp:positionV>
                      <wp:extent cx="1047115" cy="316865"/>
                      <wp:effectExtent l="12700" t="0" r="26035" b="13335"/>
                      <wp:wrapNone/>
                      <wp:docPr id="1" name="矩形 1"/>
                      <wp:cNvGraphicFramePr/>
                      <a:graphic xmlns:a="http://schemas.openxmlformats.org/drawingml/2006/main">
                        <a:graphicData uri="http://schemas.microsoft.com/office/word/2010/wordprocessingShape">
                          <wps:wsp>
                            <wps:cNvSpPr/>
                            <wps:spPr>
                              <a:xfrm>
                                <a:off x="1812290" y="1550670"/>
                                <a:ext cx="1047115" cy="3168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06A5DD">
                                  <w:pPr>
                                    <w:jc w:val="both"/>
                                    <w:rPr>
                                      <w:rFonts w:hint="eastAsia"/>
                                      <w:color w:val="000000" w:themeColor="text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生活用水</w:t>
                                  </w:r>
                                  <w:r>
                                    <w:rPr>
                                      <w:rFonts w:hint="eastAsia"/>
                                      <w:color w:val="000000" w:themeColor="text1"/>
                                      <w:sz w:val="21"/>
                                      <w:szCs w:val="21"/>
                                      <w:lang w:val="en-US" w:eastAsia="zh-CN"/>
                                      <w14:textFill>
                                        <w14:solidFill>
                                          <w14:schemeClr w14:val="tx1"/>
                                        </w14:solidFill>
                                      </w14:textFill>
                                    </w:rPr>
                                    <w:t>312</w:t>
                                  </w:r>
                                </w:p>
                                <w:p w14:paraId="7051764B">
                                  <w:pPr>
                                    <w:pStyle w:val="24"/>
                                    <w:rPr>
                                      <w:rFonts w:hint="eastAsia"/>
                                      <w:lang w:eastAsia="zh-CN"/>
                                    </w:rPr>
                                  </w:pPr>
                                </w:p>
                                <w:p w14:paraId="7E28E50E">
                                  <w:pPr>
                                    <w:pStyle w:val="24"/>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5pt;margin-top:5.3pt;height:24.95pt;width:82.45pt;z-index:251662336;v-text-anchor:middle;mso-width-relative:page;mso-height-relative:page;" filled="f" stroked="t" coordsize="21600,21600" o:gfxdata="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AxpTHWAAAACAEAAA8AAAAAAAAAAQAgAAAA&#10;IgAAAGRycy9kb3ducmV2LnhtbFBLAQIUABQAAAAIAIdO4kCS0npffwIAAOwEAAAOAAAAAAAAAAEA&#10;IAAAACUBAABkcnMvZTJvRG9jLnhtbFBLBQYAAAAABgAGAFkBAAAWBgAAAAA=&#10;">
                      <v:fill on="f" focussize="0,0"/>
                      <v:stroke weight="2pt" color="#385D8A [3204]" joinstyle="round"/>
                      <v:imagedata o:title=""/>
                      <o:lock v:ext="edit" aspectratio="f"/>
                      <v:textbox>
                        <w:txbxContent>
                          <w:p w14:paraId="6C06A5DD">
                            <w:pPr>
                              <w:jc w:val="both"/>
                              <w:rPr>
                                <w:rFonts w:hint="eastAsia"/>
                                <w:color w:val="000000" w:themeColor="text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生活用水</w:t>
                            </w:r>
                            <w:r>
                              <w:rPr>
                                <w:rFonts w:hint="eastAsia"/>
                                <w:color w:val="000000" w:themeColor="text1"/>
                                <w:sz w:val="21"/>
                                <w:szCs w:val="21"/>
                                <w:lang w:val="en-US" w:eastAsia="zh-CN"/>
                                <w14:textFill>
                                  <w14:solidFill>
                                    <w14:schemeClr w14:val="tx1"/>
                                  </w14:solidFill>
                                </w14:textFill>
                              </w:rPr>
                              <w:t>312</w:t>
                            </w:r>
                          </w:p>
                          <w:p w14:paraId="7051764B">
                            <w:pPr>
                              <w:pStyle w:val="24"/>
                              <w:rPr>
                                <w:rFonts w:hint="eastAsia"/>
                                <w:lang w:eastAsia="zh-CN"/>
                              </w:rPr>
                            </w:pPr>
                          </w:p>
                          <w:p w14:paraId="7E28E50E">
                            <w:pPr>
                              <w:pStyle w:val="24"/>
                              <w:rPr>
                                <w:rFonts w:hint="eastAsia"/>
                                <w:lang w:eastAsia="zh-CN"/>
                              </w:rPr>
                            </w:pP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1562100</wp:posOffset>
                      </wp:positionH>
                      <wp:positionV relativeFrom="paragraph">
                        <wp:posOffset>226060</wp:posOffset>
                      </wp:positionV>
                      <wp:extent cx="356870" cy="3810"/>
                      <wp:effectExtent l="0" t="46355" r="5080" b="64135"/>
                      <wp:wrapNone/>
                      <wp:docPr id="2" name="直接箭头连接符 2"/>
                      <wp:cNvGraphicFramePr/>
                      <a:graphic xmlns:a="http://schemas.openxmlformats.org/drawingml/2006/main">
                        <a:graphicData uri="http://schemas.microsoft.com/office/word/2010/wordprocessingShape">
                          <wps:wsp>
                            <wps:cNvCnPr/>
                            <wps:spPr>
                              <a:xfrm>
                                <a:off x="2598420" y="1705610"/>
                                <a:ext cx="356870"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pt;margin-top:17.8pt;height:0.3pt;width:28.1pt;z-index:251663360;mso-width-relative:page;mso-height-relative:page;" filled="f" stroked="t" coordsize="21600,21600" o:gfxdata="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&#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69K11wAAAAkBAAAPAAAAAAAAAAEAIAAAACIAAABk&#10;cnMvZG93bnJldi54bWxQSwECFAAUAAAACACHTuJAJexmvAcCAADVAwAADgAAAAAAAAABACAAAAAm&#10;AQAAZHJzL2Uyb0RvYy54bWxQSwUGAAAAAAYABgBZAQAAnwUAAAAA&#10;">
                      <v:fill on="f" focussize="0,0"/>
                      <v:stroke color="#000000 [3213]" joinstyle="round" endarrow="open"/>
                      <v:imagedata o:title=""/>
                      <o:lock v:ext="edit" aspectratio="f"/>
                    </v:shape>
                  </w:pict>
                </mc:Fallback>
              </mc:AlternateContent>
            </w:r>
          </w:p>
          <w:p w14:paraId="20C2AB21">
            <w:pP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3186430</wp:posOffset>
                      </wp:positionH>
                      <wp:positionV relativeFrom="paragraph">
                        <wp:posOffset>28575</wp:posOffset>
                      </wp:positionV>
                      <wp:extent cx="356870" cy="3810"/>
                      <wp:effectExtent l="0" t="46355" r="11430" b="51435"/>
                      <wp:wrapNone/>
                      <wp:docPr id="5" name="直接箭头连接符 5"/>
                      <wp:cNvGraphicFramePr/>
                      <a:graphic xmlns:a="http://schemas.openxmlformats.org/drawingml/2006/main">
                        <a:graphicData uri="http://schemas.microsoft.com/office/word/2010/wordprocessingShape">
                          <wps:wsp>
                            <wps:cNvCnPr/>
                            <wps:spPr>
                              <a:xfrm>
                                <a:off x="0" y="0"/>
                                <a:ext cx="356870"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0.9pt;margin-top:2.25pt;height:0.3pt;width:28.1pt;z-index:251709440;mso-width-relative:page;mso-height-relative:page;" filled="f" stroked="t" coordsize="21600,21600" o:gfxdata="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nU2fNYAAAAHAQAADwAAAAAAAAABACAAAAAiAAAAZHJzL2Rvd25yZXYueG1s&#10;UEsBAhQAFAAAAAgAh07iQJ2/DUf6AQAAyQMAAA4AAAAAAAAAAQAgAAAAJQEAAGRycy9lMm9Eb2Mu&#10;eG1sUEsFBgAAAAAGAAYAWQEAAJEFAAAAAA==&#10;">
                      <v:fill on="f" focussize="0,0"/>
                      <v:stroke color="#000000 [3213]" joinstyle="round" endarrow="open"/>
                      <v:imagedata o:title=""/>
                      <o:lock v:ext="edit" aspectratio="f"/>
                    </v:shape>
                  </w:pict>
                </mc:Fallback>
              </mc:AlternateContent>
            </w:r>
          </w:p>
          <w:p w14:paraId="05AF7A07">
            <w:pPr>
              <w:pStyle w:val="24"/>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532130</wp:posOffset>
                      </wp:positionH>
                      <wp:positionV relativeFrom="paragraph">
                        <wp:posOffset>196215</wp:posOffset>
                      </wp:positionV>
                      <wp:extent cx="975995" cy="286385"/>
                      <wp:effectExtent l="12700" t="12700" r="14605" b="18415"/>
                      <wp:wrapNone/>
                      <wp:docPr id="19" name="矩形 19"/>
                      <wp:cNvGraphicFramePr/>
                      <a:graphic xmlns:a="http://schemas.openxmlformats.org/drawingml/2006/main">
                        <a:graphicData uri="http://schemas.microsoft.com/office/word/2010/wordprocessingShape">
                          <wps:wsp>
                            <wps:cNvSpPr/>
                            <wps:spPr>
                              <a:xfrm>
                                <a:off x="0" y="0"/>
                                <a:ext cx="975995" cy="286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FA3BFE">
                                  <w:pPr>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初期雨水</w:t>
                                  </w:r>
                                  <w:r>
                                    <w:rPr>
                                      <w:rFonts w:hint="eastAsia"/>
                                      <w:color w:val="000000" w:themeColor="text1"/>
                                      <w:sz w:val="21"/>
                                      <w:szCs w:val="21"/>
                                      <w:highlight w:val="none"/>
                                      <w:lang w:val="en-US" w:eastAsia="zh-CN"/>
                                      <w14:textFill>
                                        <w14:solidFill>
                                          <w14:schemeClr w14:val="tx1"/>
                                        </w14:solidFill>
                                      </w14:textFill>
                                    </w:rPr>
                                    <w:t>264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pt;margin-top:15.45pt;height:22.55pt;width:76.85pt;z-index:251668480;v-text-anchor:middle;mso-width-relative:page;mso-height-relative:page;" filled="f" stroked="t" coordsize="21600,21600" o:gfxdata="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94v041wAAAAgBAAAPAAAAAAAAAAEAIAAAACIAAABkcnMvZG93&#10;bnJldi54bWxQSwECFAAUAAAACACHTuJAZCFFJ3MCAADhBAAADgAAAAAAAAABACAAAAAmAQAAZHJz&#10;L2Uyb0RvYy54bWxQSwUGAAAAAAYABgBZAQAACwYAAAAA&#10;">
                      <v:fill on="f" focussize="0,0"/>
                      <v:stroke weight="2pt" color="#385D8A [3204]" joinstyle="round"/>
                      <v:imagedata o:title=""/>
                      <o:lock v:ext="edit" aspectratio="f"/>
                      <v:textbox>
                        <w:txbxContent>
                          <w:p w14:paraId="69FA3BFE">
                            <w:pPr>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初期雨水</w:t>
                            </w:r>
                            <w:r>
                              <w:rPr>
                                <w:rFonts w:hint="eastAsia"/>
                                <w:color w:val="000000" w:themeColor="text1"/>
                                <w:sz w:val="21"/>
                                <w:szCs w:val="21"/>
                                <w:highlight w:val="none"/>
                                <w:lang w:val="en-US" w:eastAsia="zh-CN"/>
                                <w14:textFill>
                                  <w14:solidFill>
                                    <w14:schemeClr w14:val="tx1"/>
                                  </w14:solidFill>
                                </w14:textFill>
                              </w:rPr>
                              <w:t>264</w:t>
                            </w:r>
                          </w:p>
                        </w:txbxContent>
                      </v:textbox>
                    </v:rect>
                  </w:pict>
                </mc:Fallback>
              </mc:AlternateContent>
            </w:r>
          </w:p>
          <w:p w14:paraId="615141BC">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2992755</wp:posOffset>
                      </wp:positionH>
                      <wp:positionV relativeFrom="paragraph">
                        <wp:posOffset>8890</wp:posOffset>
                      </wp:positionV>
                      <wp:extent cx="1453515" cy="301625"/>
                      <wp:effectExtent l="12700" t="12700" r="19685" b="15875"/>
                      <wp:wrapNone/>
                      <wp:docPr id="18" name="矩形 18"/>
                      <wp:cNvGraphicFramePr/>
                      <a:graphic xmlns:a="http://schemas.openxmlformats.org/drawingml/2006/main">
                        <a:graphicData uri="http://schemas.microsoft.com/office/word/2010/wordprocessingShape">
                          <wps:wsp>
                            <wps:cNvSpPr/>
                            <wps:spPr>
                              <a:xfrm>
                                <a:off x="0" y="0"/>
                                <a:ext cx="1453515" cy="301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5056D2">
                                  <w:pPr>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四平市污水处理厂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65pt;margin-top:0.7pt;height:23.75pt;width:114.45pt;z-index:251667456;v-text-anchor:middle;mso-width-relative:page;mso-height-relative:page;" filled="f" stroked="t" coordsize="21600,21600" o:gfxdata="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8AIVUNYAAAAIAQAADwAAAAAAAAABACAAAAAiAAAAZHJzL2Rv&#10;d25yZXYueG1sUEsBAhQAFAAAAAgAh07iQJX/r911AgAA4gQAAA4AAAAAAAAAAQAgAAAAJQEAAGRy&#10;cy9lMm9Eb2MueG1sUEsFBgAAAAAGAAYAWQEAAAwGAAAAAA==&#10;">
                      <v:fill on="f" focussize="0,0"/>
                      <v:stroke weight="2pt" color="#385D8A [3204]" joinstyle="round"/>
                      <v:imagedata o:title=""/>
                      <o:lock v:ext="edit" aspectratio="f"/>
                      <v:textbox>
                        <w:txbxContent>
                          <w:p w14:paraId="4A5056D2">
                            <w:pPr>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四平市污水处理厂</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2673350</wp:posOffset>
                      </wp:positionH>
                      <wp:positionV relativeFrom="paragraph">
                        <wp:posOffset>146050</wp:posOffset>
                      </wp:positionV>
                      <wp:extent cx="304800" cy="7620"/>
                      <wp:effectExtent l="0" t="46990" r="0" b="46990"/>
                      <wp:wrapNone/>
                      <wp:docPr id="21" name="直接箭头连接符 21"/>
                      <wp:cNvGraphicFramePr/>
                      <a:graphic xmlns:a="http://schemas.openxmlformats.org/drawingml/2006/main">
                        <a:graphicData uri="http://schemas.microsoft.com/office/word/2010/wordprocessingShape">
                          <wps:wsp>
                            <wps:cNvCnPr/>
                            <wps:spPr>
                              <a:xfrm flipV="1">
                                <a:off x="0" y="0"/>
                                <a:ext cx="30480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0.5pt;margin-top:11.5pt;height:0.6pt;width:24pt;z-index:251670528;mso-width-relative:page;mso-height-relative:page;" filled="f" stroked="t" coordsize="21600,21600" o:gfxdata="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bV9XLXAAAACQEAAA8AAAAAAAAAAQAgAAAAIgAAAGRycy9k&#10;b3ducmV2LnhtbFBLAQIUABQAAAAIAIdO4kDrK7RtAwIAANUDAAAOAAAAAAAAAAEAIAAAACYBAABk&#10;cnMvZTJvRG9jLnhtbFBLBQYAAAAABgAGAFkBAACbBQAAAAA=&#10;">
                      <v:fill on="f" focussize="0,0"/>
                      <v:stroke color="#000000 [3213]" joinstyle="round"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1834515</wp:posOffset>
                      </wp:positionH>
                      <wp:positionV relativeFrom="paragraph">
                        <wp:posOffset>11430</wp:posOffset>
                      </wp:positionV>
                      <wp:extent cx="818515" cy="301625"/>
                      <wp:effectExtent l="12700" t="12700" r="19685" b="15875"/>
                      <wp:wrapNone/>
                      <wp:docPr id="10" name="矩形 10"/>
                      <wp:cNvGraphicFramePr/>
                      <a:graphic xmlns:a="http://schemas.openxmlformats.org/drawingml/2006/main">
                        <a:graphicData uri="http://schemas.microsoft.com/office/word/2010/wordprocessingShape">
                          <wps:wsp>
                            <wps:cNvSpPr/>
                            <wps:spPr>
                              <a:xfrm>
                                <a:off x="0" y="0"/>
                                <a:ext cx="818515" cy="301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5B47FB">
                                  <w:pPr>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隔油沉淀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45pt;margin-top:0.9pt;height:23.75pt;width:64.45pt;z-index:251700224;v-text-anchor:middle;mso-width-relative:page;mso-height-relative:page;" filled="f" stroked="t" coordsize="21600,21600" o:gfxdata="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hSs1zWAAAACAEAAA8AAAAAAAAAAQAgAAAAIgAAAGRycy9kb3du&#10;cmV2LnhtbFBLAQIUABQAAAAIAIdO4kApBm2UcwIAAOEEAAAOAAAAAAAAAAEAIAAAACUBAABkcnMv&#10;ZTJvRG9jLnhtbFBLBQYAAAAABgAGAFkBAAAKBgAAAAA=&#10;">
                      <v:fill on="f" focussize="0,0"/>
                      <v:stroke weight="2pt" color="#385D8A [3204]" joinstyle="round"/>
                      <v:imagedata o:title=""/>
                      <o:lock v:ext="edit" aspectratio="f"/>
                      <v:textbox>
                        <w:txbxContent>
                          <w:p w14:paraId="685B47FB">
                            <w:pPr>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隔油沉淀</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1499870</wp:posOffset>
                      </wp:positionH>
                      <wp:positionV relativeFrom="paragraph">
                        <wp:posOffset>144780</wp:posOffset>
                      </wp:positionV>
                      <wp:extent cx="314325" cy="2540"/>
                      <wp:effectExtent l="0" t="46990" r="3175" b="52070"/>
                      <wp:wrapNone/>
                      <wp:docPr id="20" name="直接箭头连接符 20"/>
                      <wp:cNvGraphicFramePr/>
                      <a:graphic xmlns:a="http://schemas.openxmlformats.org/drawingml/2006/main">
                        <a:graphicData uri="http://schemas.microsoft.com/office/word/2010/wordprocessingShape">
                          <wps:wsp>
                            <wps:cNvCnPr/>
                            <wps:spPr>
                              <a:xfrm>
                                <a:off x="0" y="0"/>
                                <a:ext cx="31432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8.1pt;margin-top:11.4pt;height:0.2pt;width:24.75pt;z-index:251669504;mso-width-relative:page;mso-height-relative:page;" filled="f" stroked="t" coordsize="21600,21600" o:gfxdata="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3t9aNYAAAAJAQAADwAAAAAAAAABACAAAAAiAAAAZHJzL2Rvd25yZXYueG1s&#10;UEsBAhQAFAAAAAgAh07iQLAR5br6AQAAywMAAA4AAAAAAAAAAQAgAAAAJQEAAGRycy9lMm9Eb2Mu&#10;eG1sUEsFBgAAAAAGAAYAWQEAAJEFAAAAAA==&#10;">
                      <v:fill on="f" focussize="0,0"/>
                      <v:stroke color="#000000 [3213]" joinstyle="round" endarrow="open"/>
                      <v:imagedata o:title=""/>
                      <o:lock v:ext="edit" aspectratio="f"/>
                    </v:shape>
                  </w:pict>
                </mc:Fallback>
              </mc:AlternateContent>
            </w:r>
          </w:p>
          <w:p w14:paraId="372CE13E">
            <w:pPr>
              <w:pStyle w:val="37"/>
              <w:rPr>
                <w:rFonts w:hint="eastAsia" w:ascii="宋体" w:hAnsi="宋体" w:eastAsia="宋体" w:cs="宋体"/>
                <w:color w:val="000000" w:themeColor="text1"/>
                <w14:textFill>
                  <w14:solidFill>
                    <w14:schemeClr w14:val="tx1"/>
                  </w14:solidFill>
                </w14:textFill>
              </w:rPr>
            </w:pPr>
          </w:p>
          <w:p w14:paraId="4C058F0B">
            <w:pPr>
              <w:pStyle w:val="37"/>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 图2-</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 xml:space="preserve">项目水平衡（全年） </w:t>
            </w:r>
            <w:r>
              <w:rPr>
                <w:rFonts w:hint="eastAsia" w:ascii="宋体" w:hAnsi="宋体" w:eastAsia="宋体" w:cs="宋体"/>
                <w:color w:val="000000" w:themeColor="text1"/>
                <w:sz w:val="21"/>
                <w:szCs w:val="21"/>
                <w14:textFill>
                  <w14:solidFill>
                    <w14:schemeClr w14:val="tx1"/>
                  </w14:solidFill>
                </w14:textFill>
              </w:rPr>
              <w:t>单位（t/a）</w:t>
            </w:r>
          </w:p>
          <w:p w14:paraId="41624931">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劳动定员</w:t>
            </w:r>
            <w:r>
              <w:rPr>
                <w:rFonts w:hint="eastAsia" w:ascii="宋体" w:hAnsi="宋体" w:eastAsia="宋体" w:cs="宋体"/>
                <w:color w:val="000000" w:themeColor="text1"/>
                <w:sz w:val="24"/>
                <w:szCs w:val="24"/>
                <w:lang w:val="en-US" w:eastAsia="zh-CN"/>
                <w14:textFill>
                  <w14:solidFill>
                    <w14:schemeClr w14:val="tx1"/>
                  </w14:solidFill>
                </w14:textFill>
              </w:rPr>
              <w:t>及工作制度</w:t>
            </w:r>
          </w:p>
          <w:p w14:paraId="499A4D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全厂</w:t>
            </w:r>
            <w:r>
              <w:rPr>
                <w:rFonts w:hint="eastAsia" w:ascii="宋体" w:hAnsi="宋体" w:eastAsia="宋体" w:cs="宋体"/>
                <w:color w:val="000000" w:themeColor="text1"/>
                <w:sz w:val="24"/>
                <w:szCs w:val="24"/>
                <w:highlight w:val="none"/>
                <w14:textFill>
                  <w14:solidFill>
                    <w14:schemeClr w14:val="tx1"/>
                  </w14:solidFill>
                </w14:textFill>
              </w:rPr>
              <w:t>劳动定员</w:t>
            </w:r>
            <w:r>
              <w:rPr>
                <w:rFonts w:hint="eastAsia" w:ascii="宋体" w:hAnsi="宋体" w:eastAsia="宋体" w:cs="宋体"/>
                <w:color w:val="000000" w:themeColor="text1"/>
                <w:sz w:val="24"/>
                <w:szCs w:val="24"/>
                <w:highlight w:val="none"/>
                <w:lang w:val="en-US" w:eastAsia="zh-CN"/>
                <w14:textFill>
                  <w14:solidFill>
                    <w14:schemeClr w14:val="tx1"/>
                  </w14:solidFill>
                </w14:textFill>
              </w:rPr>
              <w:t>13</w:t>
            </w:r>
            <w:r>
              <w:rPr>
                <w:rFonts w:hint="eastAsia" w:ascii="宋体" w:hAnsi="宋体" w:eastAsia="宋体" w:cs="宋体"/>
                <w:color w:val="000000" w:themeColor="text1"/>
                <w:sz w:val="24"/>
                <w:szCs w:val="24"/>
                <w:highlight w:val="none"/>
                <w14:textFill>
                  <w14:solidFill>
                    <w14:schemeClr w14:val="tx1"/>
                  </w14:solidFill>
                </w14:textFill>
              </w:rPr>
              <w:t>人，</w:t>
            </w:r>
            <w:r>
              <w:rPr>
                <w:rFonts w:hint="eastAsia" w:ascii="宋体" w:hAnsi="宋体" w:eastAsia="宋体" w:cs="宋体"/>
                <w:color w:val="000000" w:themeColor="text1"/>
                <w:sz w:val="24"/>
                <w:szCs w:val="24"/>
                <w:highlight w:val="none"/>
                <w:lang w:eastAsia="zh-CN"/>
                <w14:textFill>
                  <w14:solidFill>
                    <w14:schemeClr w14:val="tx1"/>
                  </w14:solidFill>
                </w14:textFill>
              </w:rPr>
              <w:t>本次扩建项目从全厂人员调剂无新增人员，</w:t>
            </w:r>
            <w:r>
              <w:rPr>
                <w:rFonts w:hint="eastAsia" w:ascii="宋体" w:hAnsi="宋体" w:eastAsia="宋体" w:cs="宋体"/>
                <w:color w:val="000000" w:themeColor="text1"/>
                <w:sz w:val="24"/>
                <w:szCs w:val="24"/>
                <w:highlight w:val="none"/>
                <w14:textFill>
                  <w14:solidFill>
                    <w14:schemeClr w14:val="tx1"/>
                  </w14:solidFill>
                </w14:textFill>
              </w:rPr>
              <w:t>每天</w:t>
            </w:r>
            <w:r>
              <w:rPr>
                <w:rFonts w:hint="eastAsia" w:ascii="宋体" w:hAnsi="宋体" w:cs="宋体"/>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t>小时工作，年生产300天</w:t>
            </w:r>
            <w:r>
              <w:rPr>
                <w:rFonts w:hint="eastAsia" w:ascii="宋体" w:hAnsi="宋体" w:eastAsia="宋体" w:cs="宋体"/>
                <w:color w:val="000000" w:themeColor="text1"/>
                <w:sz w:val="24"/>
                <w:szCs w:val="24"/>
                <w14:textFill>
                  <w14:solidFill>
                    <w14:schemeClr w14:val="tx1"/>
                  </w14:solidFill>
                </w14:textFill>
              </w:rPr>
              <w:t>。</w:t>
            </w:r>
          </w:p>
          <w:p w14:paraId="1829786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 xml:space="preserve">储运工程              </w:t>
            </w:r>
          </w:p>
          <w:p w14:paraId="2C7DDCBD">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0" w:rightChars="0" w:firstLine="1476" w:firstLineChars="700"/>
              <w:jc w:val="both"/>
              <w:textAlignment w:val="auto"/>
              <w:outlineLvl w:val="9"/>
              <w:rPr>
                <w:rFonts w:hint="default" w:ascii="宋体" w:hAnsi="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 xml:space="preserve"> 表2-7    企业储运工程合理性分析</w:t>
            </w:r>
          </w:p>
          <w:tbl>
            <w:tblPr>
              <w:tblStyle w:val="26"/>
              <w:tblW w:w="4997" w:type="pct"/>
              <w:tblInd w:w="0" w:type="dxa"/>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Layout w:type="autofit"/>
              <w:tblCellMar>
                <w:top w:w="0" w:type="dxa"/>
                <w:left w:w="108" w:type="dxa"/>
                <w:bottom w:w="0" w:type="dxa"/>
                <w:right w:w="108" w:type="dxa"/>
              </w:tblCellMar>
            </w:tblPr>
            <w:tblGrid>
              <w:gridCol w:w="625"/>
              <w:gridCol w:w="971"/>
              <w:gridCol w:w="846"/>
              <w:gridCol w:w="666"/>
              <w:gridCol w:w="608"/>
              <w:gridCol w:w="3069"/>
              <w:gridCol w:w="678"/>
              <w:gridCol w:w="498"/>
            </w:tblGrid>
            <w:tr w14:paraId="78216CB1">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rPr>
                <w:trHeight w:val="208" w:hRule="atLeast"/>
              </w:trPr>
              <w:tc>
                <w:tcPr>
                  <w:tcW w:w="960" w:type="pct"/>
                  <w:gridSpan w:val="2"/>
                  <w:tcBorders>
                    <w:tl2br w:val="nil"/>
                    <w:tr2bl w:val="nil"/>
                  </w:tcBorders>
                </w:tcPr>
                <w:p w14:paraId="4D63401A">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firstLine="900" w:firstLineChars="50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名称</w:t>
                  </w:r>
                </w:p>
              </w:tc>
              <w:tc>
                <w:tcPr>
                  <w:tcW w:w="504" w:type="pct"/>
                  <w:tcBorders>
                    <w:tl2br w:val="nil"/>
                    <w:tr2bl w:val="nil"/>
                  </w:tcBorders>
                </w:tcPr>
                <w:p w14:paraId="11A31FB5">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用量/产生量</w:t>
                  </w:r>
                </w:p>
              </w:tc>
              <w:tc>
                <w:tcPr>
                  <w:tcW w:w="388" w:type="pct"/>
                  <w:tcBorders>
                    <w:tl2br w:val="nil"/>
                    <w:tr2bl w:val="nil"/>
                  </w:tcBorders>
                </w:tcPr>
                <w:p w14:paraId="4643A20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最大储存量</w:t>
                  </w:r>
                </w:p>
              </w:tc>
              <w:tc>
                <w:tcPr>
                  <w:tcW w:w="407" w:type="pct"/>
                  <w:tcBorders>
                    <w:tl2br w:val="nil"/>
                    <w:tr2bl w:val="nil"/>
                  </w:tcBorders>
                </w:tcPr>
                <w:p w14:paraId="3FA0E9A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周转</w:t>
                  </w:r>
                </w:p>
                <w:p w14:paraId="1A974B5E">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周期</w:t>
                  </w:r>
                </w:p>
              </w:tc>
              <w:tc>
                <w:tcPr>
                  <w:tcW w:w="1951" w:type="pct"/>
                  <w:tcBorders>
                    <w:tl2br w:val="nil"/>
                    <w:tr2bl w:val="nil"/>
                  </w:tcBorders>
                </w:tcPr>
                <w:p w14:paraId="576DC07A">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说明</w:t>
                  </w:r>
                </w:p>
              </w:tc>
              <w:tc>
                <w:tcPr>
                  <w:tcW w:w="450" w:type="pct"/>
                  <w:tcBorders>
                    <w:tl2br w:val="nil"/>
                    <w:tr2bl w:val="nil"/>
                  </w:tcBorders>
                  <w:shd w:val="clear" w:color="auto" w:fill="auto"/>
                  <w:vAlign w:val="top"/>
                </w:tcPr>
                <w:p w14:paraId="62A13F59">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是否满足需求</w:t>
                  </w:r>
                </w:p>
              </w:tc>
              <w:tc>
                <w:tcPr>
                  <w:tcW w:w="337" w:type="pct"/>
                  <w:tcBorders>
                    <w:tl2br w:val="nil"/>
                    <w:tr2bl w:val="nil"/>
                  </w:tcBorders>
                  <w:shd w:val="clear" w:color="auto" w:fill="auto"/>
                  <w:vAlign w:val="top"/>
                </w:tcPr>
                <w:p w14:paraId="2F3B1884">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default"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运输</w:t>
                  </w:r>
                </w:p>
              </w:tc>
            </w:tr>
            <w:tr w14:paraId="168DA9B3">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c>
                <w:tcPr>
                  <w:tcW w:w="960" w:type="pct"/>
                  <w:gridSpan w:val="2"/>
                  <w:tcBorders>
                    <w:tl2br w:val="nil"/>
                    <w:tr2bl w:val="nil"/>
                  </w:tcBorders>
                </w:tcPr>
                <w:p w14:paraId="31532BB0">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报废汽车</w:t>
                  </w:r>
                </w:p>
              </w:tc>
              <w:tc>
                <w:tcPr>
                  <w:tcW w:w="504" w:type="pct"/>
                  <w:tcBorders>
                    <w:tl2br w:val="nil"/>
                    <w:tr2bl w:val="nil"/>
                  </w:tcBorders>
                </w:tcPr>
                <w:p w14:paraId="030989E3">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150000</w:t>
                  </w:r>
                </w:p>
              </w:tc>
              <w:tc>
                <w:tcPr>
                  <w:tcW w:w="388" w:type="pct"/>
                  <w:tcBorders>
                    <w:tl2br w:val="nil"/>
                    <w:tr2bl w:val="nil"/>
                  </w:tcBorders>
                </w:tcPr>
                <w:p w14:paraId="4982B9A0">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1000</w:t>
                  </w:r>
                </w:p>
              </w:tc>
              <w:tc>
                <w:tcPr>
                  <w:tcW w:w="407" w:type="pct"/>
                  <w:tcBorders>
                    <w:tl2br w:val="nil"/>
                    <w:tr2bl w:val="nil"/>
                  </w:tcBorders>
                </w:tcPr>
                <w:p w14:paraId="0F4E8713">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10天</w:t>
                  </w:r>
                </w:p>
              </w:tc>
              <w:tc>
                <w:tcPr>
                  <w:tcW w:w="1951" w:type="pct"/>
                  <w:tcBorders>
                    <w:tl2br w:val="nil"/>
                    <w:tr2bl w:val="nil"/>
                  </w:tcBorders>
                </w:tcPr>
                <w:p w14:paraId="62F7709E">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未拆解的报废机动车贮存区总占地1.5万</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满足本次扩建需求</w:t>
                  </w:r>
                </w:p>
              </w:tc>
              <w:tc>
                <w:tcPr>
                  <w:tcW w:w="450" w:type="pct"/>
                  <w:tcBorders>
                    <w:tl2br w:val="nil"/>
                    <w:tr2bl w:val="nil"/>
                  </w:tcBorders>
                  <w:shd w:val="clear" w:color="auto" w:fill="auto"/>
                  <w:vAlign w:val="top"/>
                </w:tcPr>
                <w:p w14:paraId="6C88731C">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w:t>
                  </w:r>
                </w:p>
              </w:tc>
              <w:tc>
                <w:tcPr>
                  <w:tcW w:w="337" w:type="pct"/>
                  <w:tcBorders>
                    <w:tl2br w:val="nil"/>
                    <w:tr2bl w:val="nil"/>
                  </w:tcBorders>
                  <w:shd w:val="clear" w:color="auto" w:fill="auto"/>
                  <w:vAlign w:val="top"/>
                </w:tcPr>
                <w:p w14:paraId="3E77652E">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default"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汽车</w:t>
                  </w:r>
                </w:p>
              </w:tc>
            </w:tr>
            <w:tr w14:paraId="794B4E3E">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c>
                <w:tcPr>
                  <w:tcW w:w="376" w:type="pct"/>
                  <w:vMerge w:val="restart"/>
                  <w:tcBorders>
                    <w:tl2br w:val="nil"/>
                    <w:tr2bl w:val="nil"/>
                  </w:tcBorders>
                </w:tcPr>
                <w:p w14:paraId="510B8111">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危险</w:t>
                  </w:r>
                </w:p>
                <w:p w14:paraId="53BB49C3">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废物</w:t>
                  </w:r>
                </w:p>
              </w:tc>
              <w:tc>
                <w:tcPr>
                  <w:tcW w:w="583" w:type="pct"/>
                  <w:tcBorders>
                    <w:tl2br w:val="nil"/>
                    <w:tr2bl w:val="nil"/>
                  </w:tcBorders>
                </w:tcPr>
                <w:p w14:paraId="7F23EB5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铅蓄电池</w:t>
                  </w:r>
                </w:p>
              </w:tc>
              <w:tc>
                <w:tcPr>
                  <w:tcW w:w="504" w:type="pct"/>
                  <w:tcBorders>
                    <w:tl2br w:val="nil"/>
                    <w:tr2bl w:val="nil"/>
                  </w:tcBorders>
                </w:tcPr>
                <w:p w14:paraId="68564CE5">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240</w:t>
                  </w:r>
                </w:p>
              </w:tc>
              <w:tc>
                <w:tcPr>
                  <w:tcW w:w="388" w:type="pct"/>
                  <w:tcBorders>
                    <w:tl2br w:val="nil"/>
                    <w:tr2bl w:val="nil"/>
                  </w:tcBorders>
                </w:tcPr>
                <w:p w14:paraId="7859C7AC">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cs="宋体"/>
                      <w:b w:val="0"/>
                      <w:bCs w:val="0"/>
                      <w:color w:val="000000" w:themeColor="text1"/>
                      <w:sz w:val="18"/>
                      <w:szCs w:val="18"/>
                      <w:vertAlign w:val="baseline"/>
                      <w:lang w:val="en-US" w:eastAsia="zh-CN"/>
                      <w14:textFill>
                        <w14:solidFill>
                          <w14:schemeClr w14:val="tx1"/>
                        </w14:solidFill>
                      </w14:textFill>
                    </w:rPr>
                    <w:t>8</w:t>
                  </w:r>
                </w:p>
              </w:tc>
              <w:tc>
                <w:tcPr>
                  <w:tcW w:w="407" w:type="pct"/>
                  <w:tcBorders>
                    <w:tl2br w:val="nil"/>
                    <w:tr2bl w:val="nil"/>
                  </w:tcBorders>
                </w:tcPr>
                <w:p w14:paraId="19CD58A7">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cs="宋体"/>
                      <w:b w:val="0"/>
                      <w:bCs w:val="0"/>
                      <w:color w:val="000000" w:themeColor="text1"/>
                      <w:sz w:val="18"/>
                      <w:szCs w:val="18"/>
                      <w:vertAlign w:val="baseline"/>
                      <w:lang w:val="en-US" w:eastAsia="zh-CN"/>
                      <w14:textFill>
                        <w14:solidFill>
                          <w14:schemeClr w14:val="tx1"/>
                        </w14:solidFill>
                      </w14:textFill>
                    </w:rPr>
                    <w:t>10</w:t>
                  </w: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天</w:t>
                  </w:r>
                </w:p>
              </w:tc>
              <w:tc>
                <w:tcPr>
                  <w:tcW w:w="1951" w:type="pct"/>
                  <w:tcBorders>
                    <w:tl2br w:val="nil"/>
                    <w:tr2bl w:val="nil"/>
                  </w:tcBorders>
                  <w:shd w:val="clear" w:color="auto" w:fill="auto"/>
                  <w:vAlign w:val="top"/>
                </w:tcPr>
                <w:p w14:paraId="58FC5DC4">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危废间120</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按密度2.5</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电池高度为0.2m,储存</w:t>
                  </w:r>
                  <w:r>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t>面积</w:t>
                  </w:r>
                  <w:r>
                    <w:rPr>
                      <w:rFonts w:hint="eastAsia" w:ascii="宋体" w:hAnsi="宋体" w:cs="宋体"/>
                      <w:b w:val="0"/>
                      <w:bCs w:val="0"/>
                      <w:color w:val="000000" w:themeColor="text1"/>
                      <w:kern w:val="2"/>
                      <w:sz w:val="18"/>
                      <w:szCs w:val="18"/>
                      <w:vertAlign w:val="baseline"/>
                      <w:lang w:val="en-US" w:eastAsia="zh-CN" w:bidi="ar-SA"/>
                      <w14:textFill>
                        <w14:solidFill>
                          <w14:schemeClr w14:val="tx1"/>
                        </w14:solidFill>
                      </w14:textFill>
                    </w:rPr>
                    <w:t>16</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满足本次扩建需求</w:t>
                  </w:r>
                </w:p>
              </w:tc>
              <w:tc>
                <w:tcPr>
                  <w:tcW w:w="450" w:type="pct"/>
                  <w:tcBorders>
                    <w:tl2br w:val="nil"/>
                    <w:tr2bl w:val="nil"/>
                  </w:tcBorders>
                  <w:shd w:val="clear" w:color="auto" w:fill="auto"/>
                  <w:vAlign w:val="top"/>
                </w:tcPr>
                <w:p w14:paraId="6A98C97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w:t>
                  </w:r>
                </w:p>
              </w:tc>
              <w:tc>
                <w:tcPr>
                  <w:tcW w:w="337" w:type="pct"/>
                  <w:tcBorders>
                    <w:tl2br w:val="nil"/>
                    <w:tr2bl w:val="nil"/>
                  </w:tcBorders>
                  <w:shd w:val="clear" w:color="auto" w:fill="auto"/>
                  <w:vAlign w:val="top"/>
                </w:tcPr>
                <w:p w14:paraId="00610748">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汽车</w:t>
                  </w:r>
                </w:p>
              </w:tc>
            </w:tr>
            <w:tr w14:paraId="50151A54">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c>
                <w:tcPr>
                  <w:tcW w:w="376" w:type="pct"/>
                  <w:vMerge w:val="continue"/>
                  <w:tcBorders>
                    <w:tl2br w:val="nil"/>
                    <w:tr2bl w:val="nil"/>
                  </w:tcBorders>
                </w:tcPr>
                <w:p w14:paraId="6C88E93F">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583" w:type="pct"/>
                  <w:tcBorders>
                    <w:tl2br w:val="nil"/>
                    <w:tr2bl w:val="nil"/>
                  </w:tcBorders>
                </w:tcPr>
                <w:p w14:paraId="5AFB4006">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废油废液</w:t>
                  </w:r>
                </w:p>
              </w:tc>
              <w:tc>
                <w:tcPr>
                  <w:tcW w:w="504" w:type="pct"/>
                  <w:tcBorders>
                    <w:tl2br w:val="nil"/>
                    <w:tr2bl w:val="nil"/>
                  </w:tcBorders>
                </w:tcPr>
                <w:p w14:paraId="506329FC">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107.7</w:t>
                  </w:r>
                </w:p>
              </w:tc>
              <w:tc>
                <w:tcPr>
                  <w:tcW w:w="388" w:type="pct"/>
                  <w:tcBorders>
                    <w:tl2br w:val="nil"/>
                    <w:tr2bl w:val="nil"/>
                  </w:tcBorders>
                </w:tcPr>
                <w:p w14:paraId="3BA59E24">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w:t>
                  </w:r>
                </w:p>
              </w:tc>
              <w:tc>
                <w:tcPr>
                  <w:tcW w:w="407" w:type="pct"/>
                  <w:tcBorders>
                    <w:tl2br w:val="nil"/>
                    <w:tr2bl w:val="nil"/>
                  </w:tcBorders>
                </w:tcPr>
                <w:p w14:paraId="32E27F4E">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20天</w:t>
                  </w:r>
                </w:p>
              </w:tc>
              <w:tc>
                <w:tcPr>
                  <w:tcW w:w="1951" w:type="pct"/>
                  <w:tcBorders>
                    <w:tl2br w:val="nil"/>
                    <w:tr2bl w:val="nil"/>
                  </w:tcBorders>
                  <w:shd w:val="clear" w:color="auto" w:fill="auto"/>
                  <w:vAlign w:val="top"/>
                </w:tcPr>
                <w:p w14:paraId="61D7661B">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危废间120</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按密度0.8</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高度为0.5m,储存</w:t>
                  </w:r>
                  <w:r>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t>面积25</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满足本次扩建需求</w:t>
                  </w:r>
                </w:p>
              </w:tc>
              <w:tc>
                <w:tcPr>
                  <w:tcW w:w="450" w:type="pct"/>
                  <w:tcBorders>
                    <w:tl2br w:val="nil"/>
                    <w:tr2bl w:val="nil"/>
                  </w:tcBorders>
                  <w:shd w:val="clear" w:color="auto" w:fill="auto"/>
                  <w:vAlign w:val="top"/>
                </w:tcPr>
                <w:p w14:paraId="667EEA60">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w:t>
                  </w:r>
                </w:p>
              </w:tc>
              <w:tc>
                <w:tcPr>
                  <w:tcW w:w="337" w:type="pct"/>
                  <w:tcBorders>
                    <w:tl2br w:val="nil"/>
                    <w:tr2bl w:val="nil"/>
                  </w:tcBorders>
                  <w:shd w:val="clear" w:color="auto" w:fill="auto"/>
                  <w:vAlign w:val="top"/>
                </w:tcPr>
                <w:p w14:paraId="7053405C">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汽车</w:t>
                  </w:r>
                </w:p>
              </w:tc>
            </w:tr>
            <w:tr w14:paraId="016A7CA8">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c>
                <w:tcPr>
                  <w:tcW w:w="376" w:type="pct"/>
                  <w:vMerge w:val="continue"/>
                  <w:tcBorders>
                    <w:tl2br w:val="nil"/>
                    <w:tr2bl w:val="nil"/>
                  </w:tcBorders>
                </w:tcPr>
                <w:p w14:paraId="15ADD0FA">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583" w:type="pct"/>
                  <w:tcBorders>
                    <w:tl2br w:val="nil"/>
                    <w:tr2bl w:val="nil"/>
                  </w:tcBorders>
                </w:tcPr>
                <w:p w14:paraId="4832AE9F">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其它</w:t>
                  </w:r>
                </w:p>
              </w:tc>
              <w:tc>
                <w:tcPr>
                  <w:tcW w:w="504" w:type="pct"/>
                  <w:tcBorders>
                    <w:tl2br w:val="nil"/>
                    <w:tr2bl w:val="nil"/>
                  </w:tcBorders>
                </w:tcPr>
                <w:p w14:paraId="732A0E76">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default"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cs="宋体"/>
                      <w:b w:val="0"/>
                      <w:bCs w:val="0"/>
                      <w:color w:val="000000" w:themeColor="text1"/>
                      <w:sz w:val="18"/>
                      <w:szCs w:val="18"/>
                      <w:vertAlign w:val="baseline"/>
                      <w:lang w:val="en-US" w:eastAsia="zh-CN"/>
                      <w14:textFill>
                        <w14:solidFill>
                          <w14:schemeClr w14:val="tx1"/>
                        </w14:solidFill>
                      </w14:textFill>
                    </w:rPr>
                    <w:t>103.45</w:t>
                  </w:r>
                </w:p>
              </w:tc>
              <w:tc>
                <w:tcPr>
                  <w:tcW w:w="388" w:type="pct"/>
                  <w:tcBorders>
                    <w:tl2br w:val="nil"/>
                    <w:tr2bl w:val="nil"/>
                  </w:tcBorders>
                </w:tcPr>
                <w:p w14:paraId="7A486093">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w:t>
                  </w:r>
                </w:p>
              </w:tc>
              <w:tc>
                <w:tcPr>
                  <w:tcW w:w="407" w:type="pct"/>
                  <w:tcBorders>
                    <w:tl2br w:val="nil"/>
                    <w:tr2bl w:val="nil"/>
                  </w:tcBorders>
                </w:tcPr>
                <w:p w14:paraId="389A9607">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20天</w:t>
                  </w:r>
                </w:p>
              </w:tc>
              <w:tc>
                <w:tcPr>
                  <w:tcW w:w="1951" w:type="pct"/>
                  <w:tcBorders>
                    <w:tl2br w:val="nil"/>
                    <w:tr2bl w:val="nil"/>
                  </w:tcBorders>
                  <w:shd w:val="clear" w:color="auto" w:fill="auto"/>
                  <w:vAlign w:val="top"/>
                </w:tcPr>
                <w:p w14:paraId="56EB813F">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危废间120</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按密度1.08</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高度为0.5m,储存</w:t>
                  </w:r>
                  <w:r>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t>面积20</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满足本次扩建需求</w:t>
                  </w:r>
                </w:p>
              </w:tc>
              <w:tc>
                <w:tcPr>
                  <w:tcW w:w="450" w:type="pct"/>
                  <w:tcBorders>
                    <w:tl2br w:val="nil"/>
                    <w:tr2bl w:val="nil"/>
                  </w:tcBorders>
                  <w:shd w:val="clear" w:color="auto" w:fill="auto"/>
                  <w:vAlign w:val="top"/>
                </w:tcPr>
                <w:p w14:paraId="34BE3CA5">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w:t>
                  </w:r>
                </w:p>
              </w:tc>
              <w:tc>
                <w:tcPr>
                  <w:tcW w:w="337" w:type="pct"/>
                  <w:tcBorders>
                    <w:tl2br w:val="nil"/>
                    <w:tr2bl w:val="nil"/>
                  </w:tcBorders>
                  <w:shd w:val="clear" w:color="auto" w:fill="auto"/>
                  <w:vAlign w:val="top"/>
                </w:tcPr>
                <w:p w14:paraId="2FBA90B7">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汽车</w:t>
                  </w:r>
                </w:p>
              </w:tc>
            </w:tr>
            <w:tr w14:paraId="311FDC20">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c>
                <w:tcPr>
                  <w:tcW w:w="376" w:type="pct"/>
                  <w:vMerge w:val="restart"/>
                  <w:tcBorders>
                    <w:tl2br w:val="nil"/>
                    <w:tr2bl w:val="nil"/>
                  </w:tcBorders>
                </w:tcPr>
                <w:p w14:paraId="54B6EAD1">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一般</w:t>
                  </w:r>
                </w:p>
                <w:p w14:paraId="344F6625">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固废</w:t>
                  </w:r>
                </w:p>
              </w:tc>
              <w:tc>
                <w:tcPr>
                  <w:tcW w:w="583" w:type="pct"/>
                  <w:tcBorders>
                    <w:tl2br w:val="nil"/>
                    <w:tr2bl w:val="nil"/>
                  </w:tcBorders>
                </w:tcPr>
                <w:p w14:paraId="5B1872DF">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动力电池</w:t>
                  </w:r>
                </w:p>
              </w:tc>
              <w:tc>
                <w:tcPr>
                  <w:tcW w:w="504" w:type="pct"/>
                  <w:tcBorders>
                    <w:tl2br w:val="nil"/>
                    <w:tr2bl w:val="nil"/>
                  </w:tcBorders>
                </w:tcPr>
                <w:p w14:paraId="02FC7907">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520</w:t>
                  </w:r>
                </w:p>
              </w:tc>
              <w:tc>
                <w:tcPr>
                  <w:tcW w:w="388" w:type="pct"/>
                  <w:tcBorders>
                    <w:tl2br w:val="nil"/>
                    <w:tr2bl w:val="nil"/>
                  </w:tcBorders>
                </w:tcPr>
                <w:p w14:paraId="591BEC3B">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30</w:t>
                  </w:r>
                </w:p>
              </w:tc>
              <w:tc>
                <w:tcPr>
                  <w:tcW w:w="407" w:type="pct"/>
                  <w:tcBorders>
                    <w:tl2br w:val="nil"/>
                    <w:tr2bl w:val="nil"/>
                  </w:tcBorders>
                </w:tcPr>
                <w:p w14:paraId="1C8F70F4">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10天</w:t>
                  </w:r>
                </w:p>
              </w:tc>
              <w:tc>
                <w:tcPr>
                  <w:tcW w:w="1951" w:type="pct"/>
                  <w:tcBorders>
                    <w:tl2br w:val="nil"/>
                    <w:tr2bl w:val="nil"/>
                  </w:tcBorders>
                  <w:shd w:val="clear" w:color="auto" w:fill="auto"/>
                  <w:vAlign w:val="top"/>
                </w:tcPr>
                <w:p w14:paraId="7A5EDC6B">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储存间120</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按密度2.5</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 xml:space="preserve"> 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高度为0.1m,储存</w:t>
                  </w:r>
                  <w:r>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t>面积40</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满足本次扩建需求</w:t>
                  </w:r>
                </w:p>
              </w:tc>
              <w:tc>
                <w:tcPr>
                  <w:tcW w:w="450" w:type="pct"/>
                  <w:tcBorders>
                    <w:tl2br w:val="nil"/>
                    <w:tr2bl w:val="nil"/>
                  </w:tcBorders>
                  <w:shd w:val="clear" w:color="auto" w:fill="auto"/>
                  <w:vAlign w:val="top"/>
                </w:tcPr>
                <w:p w14:paraId="04A3632A">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w:t>
                  </w:r>
                </w:p>
              </w:tc>
              <w:tc>
                <w:tcPr>
                  <w:tcW w:w="337" w:type="pct"/>
                  <w:tcBorders>
                    <w:tl2br w:val="nil"/>
                    <w:tr2bl w:val="nil"/>
                  </w:tcBorders>
                  <w:shd w:val="clear" w:color="auto" w:fill="auto"/>
                  <w:vAlign w:val="top"/>
                </w:tcPr>
                <w:p w14:paraId="510A6837">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汽车</w:t>
                  </w:r>
                </w:p>
              </w:tc>
            </w:tr>
            <w:tr w14:paraId="17A24029">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c>
                <w:tcPr>
                  <w:tcW w:w="376" w:type="pct"/>
                  <w:vMerge w:val="continue"/>
                  <w:tcBorders>
                    <w:tl2br w:val="nil"/>
                    <w:tr2bl w:val="nil"/>
                  </w:tcBorders>
                </w:tcPr>
                <w:p w14:paraId="58842140">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p>
              </w:tc>
              <w:tc>
                <w:tcPr>
                  <w:tcW w:w="583" w:type="pct"/>
                  <w:tcBorders>
                    <w:tl2br w:val="nil"/>
                    <w:tr2bl w:val="nil"/>
                  </w:tcBorders>
                </w:tcPr>
                <w:p w14:paraId="1C408F2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其它</w:t>
                  </w:r>
                </w:p>
              </w:tc>
              <w:tc>
                <w:tcPr>
                  <w:tcW w:w="504" w:type="pct"/>
                  <w:tcBorders>
                    <w:tl2br w:val="nil"/>
                    <w:tr2bl w:val="nil"/>
                  </w:tcBorders>
                </w:tcPr>
                <w:p w14:paraId="224C820E">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4691.38</w:t>
                  </w:r>
                </w:p>
              </w:tc>
              <w:tc>
                <w:tcPr>
                  <w:tcW w:w="388" w:type="pct"/>
                  <w:tcBorders>
                    <w:tl2br w:val="nil"/>
                    <w:tr2bl w:val="nil"/>
                  </w:tcBorders>
                </w:tcPr>
                <w:p w14:paraId="1DD72ACC">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250</w:t>
                  </w:r>
                </w:p>
              </w:tc>
              <w:tc>
                <w:tcPr>
                  <w:tcW w:w="407" w:type="pct"/>
                  <w:tcBorders>
                    <w:tl2br w:val="nil"/>
                    <w:tr2bl w:val="nil"/>
                  </w:tcBorders>
                </w:tcPr>
                <w:p w14:paraId="40954B06">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15天</w:t>
                  </w:r>
                </w:p>
              </w:tc>
              <w:tc>
                <w:tcPr>
                  <w:tcW w:w="1951" w:type="pct"/>
                  <w:tcBorders>
                    <w:tl2br w:val="nil"/>
                    <w:tr2bl w:val="nil"/>
                  </w:tcBorders>
                  <w:shd w:val="clear" w:color="auto" w:fill="auto"/>
                  <w:vAlign w:val="top"/>
                </w:tcPr>
                <w:p w14:paraId="40BF1995">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堆场</w:t>
                  </w:r>
                  <w:r>
                    <w:rPr>
                      <w:rFonts w:hint="eastAsia" w:ascii="宋体" w:hAnsi="宋体" w:eastAsia="宋体" w:cs="宋体"/>
                      <w:b w:val="0"/>
                      <w:bCs w:val="0"/>
                      <w:color w:val="000000" w:themeColor="text1"/>
                      <w:sz w:val="18"/>
                      <w:szCs w:val="18"/>
                      <w:highlight w:val="none"/>
                      <w14:textFill>
                        <w14:solidFill>
                          <w14:schemeClr w14:val="tx1"/>
                        </w14:solidFill>
                      </w14:textFill>
                    </w:rPr>
                    <w:t>占地约</w:t>
                  </w: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500</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按密度2</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堆存高度按1.0m,堆存面积125</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满足本次扩建需求</w:t>
                  </w:r>
                </w:p>
              </w:tc>
              <w:tc>
                <w:tcPr>
                  <w:tcW w:w="450" w:type="pct"/>
                  <w:tcBorders>
                    <w:tl2br w:val="nil"/>
                    <w:tr2bl w:val="nil"/>
                  </w:tcBorders>
                  <w:shd w:val="clear" w:color="auto" w:fill="auto"/>
                  <w:vAlign w:val="top"/>
                </w:tcPr>
                <w:p w14:paraId="77CF0E39">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w:t>
                  </w:r>
                </w:p>
              </w:tc>
              <w:tc>
                <w:tcPr>
                  <w:tcW w:w="337" w:type="pct"/>
                  <w:tcBorders>
                    <w:tl2br w:val="nil"/>
                    <w:tr2bl w:val="nil"/>
                  </w:tcBorders>
                  <w:shd w:val="clear" w:color="auto" w:fill="auto"/>
                  <w:vAlign w:val="top"/>
                </w:tcPr>
                <w:p w14:paraId="0F6D0686">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汽车</w:t>
                  </w:r>
                </w:p>
              </w:tc>
            </w:tr>
            <w:tr w14:paraId="5233DA2B">
              <w:tblPrEx>
                <w:tblBorders>
                  <w:top w:val="single" w:color="auto" w:sz="8" w:space="0"/>
                  <w:left w:val="single" w:color="auto" w:sz="4" w:space="0"/>
                  <w:bottom w:val="single" w:color="auto" w:sz="8" w:space="0"/>
                  <w:right w:val="single" w:color="auto" w:sz="8" w:space="0"/>
                  <w:insideH w:val="single" w:color="auto" w:sz="4" w:space="0"/>
                  <w:insideV w:val="single" w:color="auto" w:sz="2" w:space="0"/>
                </w:tblBorders>
                <w:tblCellMar>
                  <w:top w:w="0" w:type="dxa"/>
                  <w:left w:w="108" w:type="dxa"/>
                  <w:bottom w:w="0" w:type="dxa"/>
                  <w:right w:w="108" w:type="dxa"/>
                </w:tblCellMar>
              </w:tblPrEx>
              <w:tc>
                <w:tcPr>
                  <w:tcW w:w="960" w:type="pct"/>
                  <w:gridSpan w:val="2"/>
                  <w:tcBorders>
                    <w:tl2br w:val="nil"/>
                    <w:tr2bl w:val="nil"/>
                  </w:tcBorders>
                </w:tcPr>
                <w:p w14:paraId="75AF1841">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成品</w:t>
                  </w:r>
                </w:p>
              </w:tc>
              <w:tc>
                <w:tcPr>
                  <w:tcW w:w="504" w:type="pct"/>
                  <w:tcBorders>
                    <w:tl2br w:val="nil"/>
                    <w:tr2bl w:val="nil"/>
                  </w:tcBorders>
                </w:tcPr>
                <w:p w14:paraId="7A2A88CE">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32504</w:t>
                  </w:r>
                </w:p>
              </w:tc>
              <w:tc>
                <w:tcPr>
                  <w:tcW w:w="388" w:type="pct"/>
                  <w:tcBorders>
                    <w:tl2br w:val="nil"/>
                    <w:tr2bl w:val="nil"/>
                  </w:tcBorders>
                </w:tcPr>
                <w:p w14:paraId="4D3FC1AC">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17750</w:t>
                  </w:r>
                </w:p>
              </w:tc>
              <w:tc>
                <w:tcPr>
                  <w:tcW w:w="407" w:type="pct"/>
                  <w:tcBorders>
                    <w:tl2br w:val="nil"/>
                    <w:tr2bl w:val="nil"/>
                  </w:tcBorders>
                </w:tcPr>
                <w:p w14:paraId="0B98CC5C">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15天</w:t>
                  </w:r>
                </w:p>
              </w:tc>
              <w:tc>
                <w:tcPr>
                  <w:tcW w:w="1951" w:type="pct"/>
                  <w:tcBorders>
                    <w:tl2br w:val="nil"/>
                    <w:tr2bl w:val="nil"/>
                  </w:tcBorders>
                </w:tcPr>
                <w:p w14:paraId="027133F6">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堆场</w:t>
                  </w:r>
                  <w:r>
                    <w:rPr>
                      <w:rFonts w:hint="eastAsia" w:ascii="宋体" w:hAnsi="宋体" w:eastAsia="宋体" w:cs="宋体"/>
                      <w:b w:val="0"/>
                      <w:bCs w:val="0"/>
                      <w:color w:val="000000" w:themeColor="text1"/>
                      <w:sz w:val="18"/>
                      <w:szCs w:val="18"/>
                      <w:highlight w:val="none"/>
                      <w14:textFill>
                        <w14:solidFill>
                          <w14:schemeClr w14:val="tx1"/>
                        </w14:solidFill>
                      </w14:textFill>
                    </w:rPr>
                    <w:t>占地约</w:t>
                  </w: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3000</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按密度5</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堆存高度按1.5m,堆存面积2366.7</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满足本次扩建需求</w:t>
                  </w:r>
                </w:p>
              </w:tc>
              <w:tc>
                <w:tcPr>
                  <w:tcW w:w="450" w:type="pct"/>
                  <w:tcBorders>
                    <w:tl2br w:val="nil"/>
                    <w:tr2bl w:val="nil"/>
                  </w:tcBorders>
                </w:tcPr>
                <w:p w14:paraId="275728DB">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right="0" w:rightChars="0"/>
                    <w:jc w:val="both"/>
                    <w:textAlignment w:val="auto"/>
                    <w:outlineLvl w:val="9"/>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是</w:t>
                  </w:r>
                </w:p>
                <w:p w14:paraId="255E29F5">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p>
              </w:tc>
              <w:tc>
                <w:tcPr>
                  <w:tcW w:w="337" w:type="pct"/>
                  <w:tcBorders>
                    <w:tl2br w:val="nil"/>
                    <w:tr2bl w:val="nil"/>
                  </w:tcBorders>
                </w:tcPr>
                <w:p w14:paraId="7B8B0BFB">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汽车</w:t>
                  </w:r>
                </w:p>
              </w:tc>
            </w:tr>
          </w:tbl>
          <w:p w14:paraId="0D56E1A1">
            <w:pPr>
              <w:pStyle w:val="37"/>
              <w:jc w:val="both"/>
              <w:rPr>
                <w:rFonts w:hint="eastAsia" w:ascii="宋体" w:hAnsi="宋体" w:eastAsia="宋体" w:cs="宋体"/>
                <w:b w:val="0"/>
                <w:color w:val="000000" w:themeColor="text1"/>
                <w14:textFill>
                  <w14:solidFill>
                    <w14:schemeClr w14:val="tx1"/>
                  </w14:solidFill>
                </w14:textFill>
              </w:rPr>
            </w:pPr>
          </w:p>
          <w:p w14:paraId="12C10663">
            <w:pPr>
              <w:pStyle w:val="37"/>
              <w:jc w:val="both"/>
              <w:rPr>
                <w:rFonts w:hint="eastAsia" w:ascii="宋体" w:hAnsi="宋体" w:eastAsia="宋体" w:cs="宋体"/>
                <w:b w:val="0"/>
                <w:color w:val="000000" w:themeColor="text1"/>
                <w14:textFill>
                  <w14:solidFill>
                    <w14:schemeClr w14:val="tx1"/>
                  </w14:solidFill>
                </w14:textFill>
              </w:rPr>
            </w:pPr>
          </w:p>
          <w:p w14:paraId="6E5E173A">
            <w:pPr>
              <w:pStyle w:val="37"/>
              <w:jc w:val="both"/>
              <w:rPr>
                <w:rFonts w:hint="eastAsia" w:ascii="宋体" w:hAnsi="宋体" w:eastAsia="宋体" w:cs="宋体"/>
                <w:b w:val="0"/>
                <w:color w:val="000000" w:themeColor="text1"/>
                <w14:textFill>
                  <w14:solidFill>
                    <w14:schemeClr w14:val="tx1"/>
                  </w14:solidFill>
                </w14:textFill>
              </w:rPr>
            </w:pPr>
          </w:p>
          <w:p w14:paraId="17F9C84D">
            <w:pPr>
              <w:pStyle w:val="37"/>
              <w:jc w:val="both"/>
              <w:rPr>
                <w:rFonts w:hint="eastAsia" w:ascii="宋体" w:hAnsi="宋体" w:eastAsia="宋体" w:cs="宋体"/>
                <w:b w:val="0"/>
                <w:color w:val="000000" w:themeColor="text1"/>
                <w14:textFill>
                  <w14:solidFill>
                    <w14:schemeClr w14:val="tx1"/>
                  </w14:solidFill>
                </w14:textFill>
              </w:rPr>
            </w:pPr>
          </w:p>
          <w:p w14:paraId="1B9CC4B9">
            <w:pPr>
              <w:pStyle w:val="37"/>
              <w:jc w:val="both"/>
              <w:rPr>
                <w:rFonts w:hint="eastAsia" w:ascii="宋体" w:hAnsi="宋体" w:eastAsia="宋体" w:cs="宋体"/>
                <w:b w:val="0"/>
                <w:color w:val="000000" w:themeColor="text1"/>
                <w14:textFill>
                  <w14:solidFill>
                    <w14:schemeClr w14:val="tx1"/>
                  </w14:solidFill>
                </w14:textFill>
              </w:rPr>
            </w:pPr>
          </w:p>
          <w:p w14:paraId="3568DDD2">
            <w:pPr>
              <w:pStyle w:val="37"/>
              <w:jc w:val="both"/>
              <w:rPr>
                <w:rFonts w:hint="eastAsia" w:ascii="宋体" w:hAnsi="宋体" w:eastAsia="宋体" w:cs="宋体"/>
                <w:b w:val="0"/>
                <w:color w:val="000000" w:themeColor="text1"/>
                <w14:textFill>
                  <w14:solidFill>
                    <w14:schemeClr w14:val="tx1"/>
                  </w14:solidFill>
                </w14:textFill>
              </w:rPr>
            </w:pPr>
          </w:p>
          <w:p w14:paraId="44E33B3A">
            <w:pPr>
              <w:pStyle w:val="37"/>
              <w:jc w:val="both"/>
              <w:rPr>
                <w:rFonts w:hint="eastAsia" w:ascii="宋体" w:hAnsi="宋体" w:eastAsia="宋体" w:cs="宋体"/>
                <w:b w:val="0"/>
                <w:color w:val="000000" w:themeColor="text1"/>
                <w14:textFill>
                  <w14:solidFill>
                    <w14:schemeClr w14:val="tx1"/>
                  </w14:solidFill>
                </w14:textFill>
              </w:rPr>
            </w:pPr>
          </w:p>
          <w:p w14:paraId="1D021B9C">
            <w:pPr>
              <w:pStyle w:val="37"/>
              <w:jc w:val="both"/>
              <w:rPr>
                <w:rFonts w:hint="eastAsia" w:ascii="宋体" w:hAnsi="宋体" w:eastAsia="宋体" w:cs="宋体"/>
                <w:b w:val="0"/>
                <w:color w:val="000000" w:themeColor="text1"/>
                <w14:textFill>
                  <w14:solidFill>
                    <w14:schemeClr w14:val="tx1"/>
                  </w14:solidFill>
                </w14:textFill>
              </w:rPr>
            </w:pPr>
          </w:p>
          <w:p w14:paraId="6DA67683">
            <w:pPr>
              <w:pStyle w:val="37"/>
              <w:jc w:val="both"/>
              <w:rPr>
                <w:rFonts w:hint="eastAsia" w:ascii="宋体" w:hAnsi="宋体" w:eastAsia="宋体" w:cs="宋体"/>
                <w:b w:val="0"/>
                <w:color w:val="000000" w:themeColor="text1"/>
                <w14:textFill>
                  <w14:solidFill>
                    <w14:schemeClr w14:val="tx1"/>
                  </w14:solidFill>
                </w14:textFill>
              </w:rPr>
            </w:pPr>
          </w:p>
          <w:p w14:paraId="277852F9">
            <w:pPr>
              <w:pStyle w:val="37"/>
              <w:jc w:val="both"/>
              <w:rPr>
                <w:rFonts w:hint="eastAsia" w:ascii="宋体" w:hAnsi="宋体" w:eastAsia="宋体" w:cs="宋体"/>
                <w:b w:val="0"/>
                <w:color w:val="000000" w:themeColor="text1"/>
                <w14:textFill>
                  <w14:solidFill>
                    <w14:schemeClr w14:val="tx1"/>
                  </w14:solidFill>
                </w14:textFill>
              </w:rPr>
            </w:pPr>
          </w:p>
          <w:p w14:paraId="7A98DE2D">
            <w:pPr>
              <w:pStyle w:val="37"/>
              <w:jc w:val="both"/>
              <w:rPr>
                <w:rFonts w:hint="eastAsia" w:ascii="宋体" w:hAnsi="宋体" w:eastAsia="宋体" w:cs="宋体"/>
                <w:b w:val="0"/>
                <w:color w:val="000000" w:themeColor="text1"/>
                <w14:textFill>
                  <w14:solidFill>
                    <w14:schemeClr w14:val="tx1"/>
                  </w14:solidFill>
                </w14:textFill>
              </w:rPr>
            </w:pPr>
          </w:p>
          <w:p w14:paraId="462CF5EF">
            <w:pPr>
              <w:pStyle w:val="37"/>
              <w:jc w:val="both"/>
              <w:rPr>
                <w:rFonts w:hint="eastAsia" w:ascii="宋体" w:hAnsi="宋体" w:eastAsia="宋体" w:cs="宋体"/>
                <w:b w:val="0"/>
                <w:color w:val="000000" w:themeColor="text1"/>
                <w14:textFill>
                  <w14:solidFill>
                    <w14:schemeClr w14:val="tx1"/>
                  </w14:solidFill>
                </w14:textFill>
              </w:rPr>
            </w:pPr>
          </w:p>
          <w:p w14:paraId="02A5CC68">
            <w:pPr>
              <w:pStyle w:val="37"/>
              <w:jc w:val="both"/>
              <w:rPr>
                <w:rFonts w:hint="eastAsia" w:ascii="宋体" w:hAnsi="宋体" w:eastAsia="宋体" w:cs="宋体"/>
                <w:b w:val="0"/>
                <w:color w:val="000000" w:themeColor="text1"/>
                <w14:textFill>
                  <w14:solidFill>
                    <w14:schemeClr w14:val="tx1"/>
                  </w14:solidFill>
                </w14:textFill>
              </w:rPr>
            </w:pPr>
          </w:p>
          <w:p w14:paraId="0D6649AA">
            <w:pPr>
              <w:pStyle w:val="37"/>
              <w:jc w:val="both"/>
              <w:rPr>
                <w:rFonts w:hint="eastAsia" w:ascii="宋体" w:hAnsi="宋体" w:eastAsia="宋体" w:cs="宋体"/>
                <w:b w:val="0"/>
                <w:color w:val="000000" w:themeColor="text1"/>
                <w14:textFill>
                  <w14:solidFill>
                    <w14:schemeClr w14:val="tx1"/>
                  </w14:solidFill>
                </w14:textFill>
              </w:rPr>
            </w:pPr>
          </w:p>
          <w:p w14:paraId="2097FB06">
            <w:pPr>
              <w:pStyle w:val="37"/>
              <w:jc w:val="both"/>
              <w:rPr>
                <w:rFonts w:hint="eastAsia" w:ascii="宋体" w:hAnsi="宋体" w:eastAsia="宋体" w:cs="宋体"/>
                <w:b w:val="0"/>
                <w:color w:val="000000" w:themeColor="text1"/>
                <w14:textFill>
                  <w14:solidFill>
                    <w14:schemeClr w14:val="tx1"/>
                  </w14:solidFill>
                </w14:textFill>
              </w:rPr>
            </w:pPr>
          </w:p>
          <w:p w14:paraId="6597DB3C">
            <w:pPr>
              <w:pStyle w:val="37"/>
              <w:jc w:val="both"/>
              <w:rPr>
                <w:rFonts w:hint="eastAsia" w:ascii="宋体" w:hAnsi="宋体" w:eastAsia="宋体" w:cs="宋体"/>
                <w:b w:val="0"/>
                <w:color w:val="000000" w:themeColor="text1"/>
                <w14:textFill>
                  <w14:solidFill>
                    <w14:schemeClr w14:val="tx1"/>
                  </w14:solidFill>
                </w14:textFill>
              </w:rPr>
            </w:pPr>
          </w:p>
          <w:p w14:paraId="366873F5">
            <w:pPr>
              <w:pStyle w:val="37"/>
              <w:jc w:val="both"/>
              <w:rPr>
                <w:rFonts w:hint="eastAsia" w:ascii="宋体" w:hAnsi="宋体" w:eastAsia="宋体" w:cs="宋体"/>
                <w:b w:val="0"/>
                <w:color w:val="000000" w:themeColor="text1"/>
                <w14:textFill>
                  <w14:solidFill>
                    <w14:schemeClr w14:val="tx1"/>
                  </w14:solidFill>
                </w14:textFill>
              </w:rPr>
            </w:pPr>
          </w:p>
          <w:p w14:paraId="35AB83BC">
            <w:pPr>
              <w:pStyle w:val="37"/>
              <w:jc w:val="both"/>
              <w:rPr>
                <w:rFonts w:hint="eastAsia" w:ascii="宋体" w:hAnsi="宋体" w:eastAsia="宋体" w:cs="宋体"/>
                <w:b w:val="0"/>
                <w:color w:val="000000" w:themeColor="text1"/>
                <w14:textFill>
                  <w14:solidFill>
                    <w14:schemeClr w14:val="tx1"/>
                  </w14:solidFill>
                </w14:textFill>
              </w:rPr>
            </w:pPr>
          </w:p>
          <w:p w14:paraId="7C900B93">
            <w:pPr>
              <w:pStyle w:val="37"/>
              <w:jc w:val="both"/>
              <w:rPr>
                <w:rFonts w:hint="eastAsia" w:ascii="宋体" w:hAnsi="宋体" w:eastAsia="宋体" w:cs="宋体"/>
                <w:b w:val="0"/>
                <w:color w:val="000000" w:themeColor="text1"/>
                <w14:textFill>
                  <w14:solidFill>
                    <w14:schemeClr w14:val="tx1"/>
                  </w14:solidFill>
                </w14:textFill>
              </w:rPr>
            </w:pPr>
          </w:p>
        </w:tc>
      </w:tr>
      <w:tr w14:paraId="605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 w:hRule="atLeast"/>
          <w:jc w:val="center"/>
        </w:trPr>
        <w:tc>
          <w:tcPr>
            <w:tcW w:w="194" w:type="pct"/>
            <w:tcBorders>
              <w:tl2br w:val="nil"/>
              <w:tr2bl w:val="nil"/>
            </w:tcBorders>
            <w:vAlign w:val="center"/>
          </w:tcPr>
          <w:p w14:paraId="20A1A21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工艺流程和产排污环节</w:t>
            </w:r>
          </w:p>
        </w:tc>
        <w:tc>
          <w:tcPr>
            <w:tcW w:w="4805" w:type="pct"/>
            <w:tcBorders>
              <w:tl2br w:val="nil"/>
              <w:tr2bl w:val="nil"/>
            </w:tcBorders>
            <w:vAlign w:val="top"/>
          </w:tcPr>
          <w:p w14:paraId="73CF59CB">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工艺流程：</w:t>
            </w:r>
          </w:p>
          <w:p w14:paraId="432A7AFE">
            <w:pPr>
              <w:adjustRightInd w:val="0"/>
              <w:spacing w:line="360" w:lineRule="auto"/>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（1）燃料汽车拆解</w:t>
            </w:r>
          </w:p>
          <w:p w14:paraId="47B01CC7">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燃料汽车包括</w:t>
            </w:r>
            <w:r>
              <w:rPr>
                <w:rFonts w:hint="eastAsia" w:ascii="宋体" w:hAnsi="宋体" w:eastAsia="宋体" w:cs="宋体"/>
                <w:bCs/>
                <w:color w:val="000000" w:themeColor="text1"/>
                <w:sz w:val="24"/>
                <w:szCs w:val="24"/>
                <w:lang w:eastAsia="zh-CN"/>
                <w14:textFill>
                  <w14:solidFill>
                    <w14:schemeClr w14:val="tx1"/>
                  </w14:solidFill>
                </w14:textFill>
              </w:rPr>
              <w:t>机动</w:t>
            </w:r>
            <w:r>
              <w:rPr>
                <w:rFonts w:hint="eastAsia" w:ascii="宋体" w:hAnsi="宋体" w:eastAsia="宋体" w:cs="宋体"/>
                <w:bCs/>
                <w:color w:val="000000" w:themeColor="text1"/>
                <w:sz w:val="24"/>
                <w:szCs w:val="24"/>
                <w14:textFill>
                  <w14:solidFill>
                    <w14:schemeClr w14:val="tx1"/>
                  </w14:solidFill>
                </w14:textFill>
              </w:rPr>
              <w:t>汽车</w:t>
            </w:r>
            <w:r>
              <w:rPr>
                <w:rFonts w:hint="eastAsia" w:ascii="宋体" w:hAnsi="宋体" w:eastAsia="宋体" w:cs="宋体"/>
                <w:bCs/>
                <w:color w:val="000000" w:themeColor="text1"/>
                <w:sz w:val="24"/>
                <w:szCs w:val="24"/>
                <w:lang w:eastAsia="zh-CN"/>
                <w14:textFill>
                  <w14:solidFill>
                    <w14:schemeClr w14:val="tx1"/>
                  </w14:solidFill>
                </w14:textFill>
              </w:rPr>
              <w:t>和农机车</w:t>
            </w:r>
            <w:r>
              <w:rPr>
                <w:rFonts w:hint="eastAsia" w:ascii="宋体" w:hAnsi="宋体" w:eastAsia="宋体" w:cs="宋体"/>
                <w:bCs/>
                <w:color w:val="000000" w:themeColor="text1"/>
                <w:sz w:val="24"/>
                <w:szCs w:val="24"/>
                <w14:textFill>
                  <w14:solidFill>
                    <w14:schemeClr w14:val="tx1"/>
                  </w14:solidFill>
                </w14:textFill>
              </w:rPr>
              <w:t>。</w:t>
            </w:r>
          </w:p>
          <w:p w14:paraId="0CA8F41A">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1）检查和登记</w:t>
            </w:r>
          </w:p>
          <w:p w14:paraId="2875FF01">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①检查报废汽车发动机、散热器、变速器、差速器、油箱等总成部件的密封、破损情况。对于出现泄漏的总成部件，应立即收集泄漏的液体或封住泄漏处，防止废液渗入地下。</w:t>
            </w:r>
          </w:p>
          <w:p w14:paraId="1EEAB336">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②对报废汽车进行登记注册并拍照，将其主要信息录入电脑数据库并在车身醒目位置贴上显示信息的标签。（信息包括：报废汽车车主[单位或个人]名称、证件号码、牌照号码、车型、品牌型号、车身颜色、重量、发动机号、车辆识别代号[或车架号]、出厂年份、接收或收购日期。）</w:t>
            </w:r>
          </w:p>
          <w:p w14:paraId="35ABD769">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③将报废汽车的机动车辆登记证书、号牌、行驶证交公安机关交通管理部门办理注销登记。向报废汽车车主发送《报废汽车回收证明》及有关注销材料。</w:t>
            </w:r>
          </w:p>
          <w:p w14:paraId="407F21E3">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2）拆解预处理</w:t>
            </w:r>
          </w:p>
          <w:p w14:paraId="32390BAA">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①拆除蓄电池、液化气罐；</w:t>
            </w:r>
          </w:p>
          <w:p w14:paraId="2DB3BEF6">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②拆除安全气囊组件：安全气囊内主要化学成分包括：叠氮化钠、硝酸钾和二氧化硅，引爆后形成无害的硅酸钠玻璃、氮气，引爆后的安全气囊不再具有环境风险；</w:t>
            </w:r>
          </w:p>
          <w:p w14:paraId="69033DEE">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③在室内拆解预处理平台使用专用工具和容器排空和收集车内的废液，各种废油液抽空并分类收集，放置于全封闭容器内，在危险废物仓库存放；</w:t>
            </w:r>
          </w:p>
          <w:p w14:paraId="2590710C">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④用专门设备回收汽车空调制冷剂。</w:t>
            </w:r>
          </w:p>
          <w:p w14:paraId="096DA4A3">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3）报废汽车贮存</w:t>
            </w:r>
          </w:p>
          <w:p w14:paraId="297CAC32">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①应避免侧放、倒放。如需要叠放，应使上下车辆的中心尽量重合，以防掉落，且叠放时外侧高度不超过3m。内侧高度不超过4.5m。对大型车辆应单层平叠。如果为框架结果，要考虑其称重安全性，做到结构合理，可靠性好，并且能够合理装卸，而对贮存高度没有限制。</w:t>
            </w:r>
          </w:p>
          <w:p w14:paraId="102AE954">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②接收或收购报废汽车后，在3个月内将其拆解完毕。</w:t>
            </w:r>
          </w:p>
          <w:p w14:paraId="19B1CED9">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4）拆解</w:t>
            </w:r>
          </w:p>
          <w:p w14:paraId="34B5A72E">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报废汽车预处理完毕后，将完成以下拆解：</w:t>
            </w:r>
          </w:p>
          <w:p w14:paraId="2B2B92DD">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①拆除空调器；</w:t>
            </w:r>
          </w:p>
          <w:p w14:paraId="63E14EEC">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②拆下油箱；</w:t>
            </w:r>
          </w:p>
          <w:p w14:paraId="6B66E4E3">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③拆除机油滤清器；</w:t>
            </w:r>
          </w:p>
          <w:p w14:paraId="47C54332">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④拆除玻璃；</w:t>
            </w:r>
          </w:p>
          <w:p w14:paraId="530C36AC">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⑤拆除包含有毒物质的部件（含有铅、汞、镉的部件）；</w:t>
            </w:r>
          </w:p>
          <w:p w14:paraId="04EC5C25">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⑥拆除催化转化器及消声器、转向锁总成、停车装置、倒车雷达及电子模块；</w:t>
            </w:r>
          </w:p>
          <w:p w14:paraId="4DF3E60E">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⑦拆除车轮并卸下轮胎；</w:t>
            </w:r>
          </w:p>
          <w:p w14:paraId="5331095E">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⑧拆除能有效回收的含金属铜、铝等有色金属的部件；</w:t>
            </w:r>
          </w:p>
          <w:p w14:paraId="7400829A">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⑨拆除能有效回收的大型塑料件（保险杆、仪表板、液体容器等）；</w:t>
            </w:r>
          </w:p>
          <w:p w14:paraId="6A4A4529">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⑩拆除橡胶制品等部件，拆除有关总成和其他零部件。</w:t>
            </w:r>
          </w:p>
          <w:p w14:paraId="72FA911B">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5）剪切</w:t>
            </w:r>
          </w:p>
          <w:p w14:paraId="6FCFC0CF">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经拆卸、分类后作为材料回收的应经过机械处理，但不进行机械破碎，</w:t>
            </w:r>
            <w:r>
              <w:rPr>
                <w:rFonts w:hint="eastAsia" w:ascii="宋体" w:hAnsi="宋体" w:cs="宋体"/>
                <w:bCs/>
                <w:color w:val="000000" w:themeColor="text1"/>
                <w:lang w:val="en-US" w:eastAsia="zh-CN"/>
                <w14:textFill>
                  <w14:solidFill>
                    <w14:schemeClr w14:val="tx1"/>
                  </w14:solidFill>
                </w14:textFill>
              </w:rPr>
              <w:t>仅对车体</w:t>
            </w:r>
            <w:r>
              <w:rPr>
                <w:rFonts w:hint="eastAsia" w:ascii="宋体" w:hAnsi="宋体" w:eastAsia="宋体" w:cs="宋体"/>
                <w:bCs/>
                <w:color w:val="000000" w:themeColor="text1"/>
                <w14:textFill>
                  <w14:solidFill>
                    <w14:schemeClr w14:val="tx1"/>
                  </w14:solidFill>
                </w14:textFill>
              </w:rPr>
              <w:t>进行</w:t>
            </w:r>
            <w:r>
              <w:rPr>
                <w:rFonts w:hint="eastAsia" w:ascii="宋体" w:hAnsi="宋体" w:eastAsia="宋体" w:cs="宋体"/>
                <w:bCs/>
                <w:color w:val="000000" w:themeColor="text1"/>
                <w:highlight w:val="none"/>
                <w14:textFill>
                  <w14:solidFill>
                    <w14:schemeClr w14:val="tx1"/>
                  </w14:solidFill>
                </w14:textFill>
              </w:rPr>
              <w:t>切割</w:t>
            </w:r>
            <w:r>
              <w:rPr>
                <w:rFonts w:hint="eastAsia" w:ascii="宋体" w:hAnsi="宋体" w:eastAsia="宋体" w:cs="宋体"/>
                <w:bCs/>
                <w:color w:val="000000" w:themeColor="text1"/>
                <w14:textFill>
                  <w14:solidFill>
                    <w14:schemeClr w14:val="tx1"/>
                  </w14:solidFill>
                </w14:textFill>
              </w:rPr>
              <w:t>，以便外卖运输和冶炼。</w:t>
            </w:r>
          </w:p>
          <w:p w14:paraId="75BCDA7B">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6）贮存和管理</w:t>
            </w:r>
          </w:p>
          <w:p w14:paraId="69BCA6A8">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①应使用各种专用密闭容器贮存废液，防止废液挥发。</w:t>
            </w:r>
          </w:p>
          <w:p w14:paraId="45A4417D">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②拆下的零部件在室内贮存，拆解部件不得露天存放。根据不同的利用方法和去向，对于拆解部件、材料及拆解后产生的废物应分类书记、分区保存，对贮存的各种零部件、材料、废弃物的容器进行标识。进行分门别类的有序贮存、处理。各种废弃物的贮存时间一般不超过一年。</w:t>
            </w:r>
          </w:p>
          <w:p w14:paraId="3CB74C4C">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③ 建立报废汽车回收拆解档案和数据库，对回收的报废汽车逐车登记。记录报废汽车回收、拆解、废弃物处理以及拆解后零部件、材料和废弃物的流向等，档案和数据库的保存期不少于3年，拆解报废后的发动机号码、车架号码的拓印膜、照片等资料应完成留存备查。</w:t>
            </w:r>
          </w:p>
          <w:p w14:paraId="3C46E18A">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p>
          <w:p w14:paraId="32026BAF">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p>
          <w:p w14:paraId="0BB82846">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p>
          <w:p w14:paraId="6E2D60F5">
            <w:pPr>
              <w:adjustRightInd w:val="0"/>
              <w:spacing w:line="360" w:lineRule="auto"/>
              <w:ind w:firstLine="482"/>
              <w:rPr>
                <w:rFonts w:hint="eastAsia" w:ascii="宋体" w:hAnsi="宋体" w:eastAsia="宋体" w:cs="宋体"/>
                <w:bCs/>
                <w:color w:val="000000" w:themeColor="text1"/>
                <w14:textFill>
                  <w14:solidFill>
                    <w14:schemeClr w14:val="tx1"/>
                  </w14:solidFill>
                </w14:textFill>
              </w:rPr>
            </w:pPr>
          </w:p>
          <w:p w14:paraId="58C076DA">
            <w:pPr>
              <w:adjustRightInd w:val="0"/>
              <w:spacing w:line="360" w:lineRule="auto"/>
              <w:rPr>
                <w:rFonts w:hint="eastAsia" w:ascii="宋体" w:hAnsi="宋体" w:eastAsia="宋体" w:cs="宋体"/>
                <w:bCs/>
                <w:color w:val="000000" w:themeColor="text1"/>
                <w14:textFill>
                  <w14:solidFill>
                    <w14:schemeClr w14:val="tx1"/>
                  </w14:solidFill>
                </w14:textFill>
              </w:rPr>
            </w:pPr>
          </w:p>
          <w:p w14:paraId="4EC65AAE">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drawing>
                <wp:inline distT="0" distB="0" distL="114300" distR="114300">
                  <wp:extent cx="5053330" cy="6873240"/>
                  <wp:effectExtent l="0" t="0" r="1270" b="10160"/>
                  <wp:docPr id="71" name="图片框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框 1077"/>
                          <pic:cNvPicPr>
                            <a:picLocks noChangeAspect="1"/>
                          </pic:cNvPicPr>
                        </pic:nvPicPr>
                        <pic:blipFill>
                          <a:blip r:embed="rId16">
                            <a:lum/>
                          </a:blip>
                          <a:stretch>
                            <a:fillRect/>
                          </a:stretch>
                        </pic:blipFill>
                        <pic:spPr>
                          <a:xfrm>
                            <a:off x="0" y="0"/>
                            <a:ext cx="5053330" cy="6873240"/>
                          </a:xfrm>
                          <a:prstGeom prst="rect">
                            <a:avLst/>
                          </a:prstGeom>
                          <a:noFill/>
                          <a:ln>
                            <a:noFill/>
                          </a:ln>
                        </pic:spPr>
                      </pic:pic>
                    </a:graphicData>
                  </a:graphic>
                </wp:inline>
              </w:drawing>
            </w:r>
          </w:p>
          <w:p w14:paraId="3DA00F4B">
            <w:pPr>
              <w:pStyle w:val="39"/>
              <w:jc w:val="both"/>
              <w:rPr>
                <w:rFonts w:hint="eastAsia" w:ascii="宋体" w:hAnsi="宋体" w:eastAsia="宋体" w:cs="宋体"/>
                <w:color w:val="000000" w:themeColor="text1"/>
                <w14:textFill>
                  <w14:solidFill>
                    <w14:schemeClr w14:val="tx1"/>
                  </w14:solidFill>
                </w14:textFill>
              </w:rPr>
            </w:pPr>
          </w:p>
          <w:p w14:paraId="2E20E47D">
            <w:pPr>
              <w:pStyle w:val="39"/>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图</w:t>
            </w: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燃料汽车拆解工艺流程及产污环节图</w:t>
            </w:r>
          </w:p>
          <w:p w14:paraId="2D6E68DC">
            <w:pPr>
              <w:pStyle w:val="39"/>
              <w:ind w:firstLine="480"/>
              <w:rPr>
                <w:rFonts w:hint="eastAsia" w:ascii="宋体" w:hAnsi="宋体" w:eastAsia="宋体" w:cs="宋体"/>
                <w:color w:val="000000" w:themeColor="text1"/>
                <w14:textFill>
                  <w14:solidFill>
                    <w14:schemeClr w14:val="tx1"/>
                  </w14:solidFill>
                </w14:textFill>
              </w:rPr>
            </w:pPr>
          </w:p>
          <w:p w14:paraId="2C266071">
            <w:pPr>
              <w:pStyle w:val="39"/>
              <w:ind w:firstLine="480"/>
              <w:rPr>
                <w:rFonts w:hint="eastAsia" w:ascii="宋体" w:hAnsi="宋体" w:eastAsia="宋体" w:cs="宋体"/>
                <w:color w:val="000000" w:themeColor="text1"/>
                <w14:textFill>
                  <w14:solidFill>
                    <w14:schemeClr w14:val="tx1"/>
                  </w14:solidFill>
                </w14:textFill>
              </w:rPr>
            </w:pPr>
          </w:p>
          <w:p w14:paraId="0E8354FE">
            <w:pPr>
              <w:pStyle w:val="39"/>
              <w:ind w:firstLine="480"/>
              <w:rPr>
                <w:rFonts w:hint="eastAsia" w:ascii="宋体" w:hAnsi="宋体" w:eastAsia="宋体" w:cs="宋体"/>
                <w:color w:val="000000" w:themeColor="text1"/>
                <w14:textFill>
                  <w14:solidFill>
                    <w14:schemeClr w14:val="tx1"/>
                  </w14:solidFill>
                </w14:textFill>
              </w:rPr>
            </w:pPr>
          </w:p>
          <w:p w14:paraId="67CCBB48">
            <w:pPr>
              <w:pStyle w:val="11"/>
              <w:numPr>
                <w:ilvl w:val="0"/>
                <w:numId w:val="6"/>
              </w:numPr>
              <w:spacing w:line="360" w:lineRule="auto"/>
              <w:ind w:firstLine="422" w:firstLineChars="200"/>
              <w:jc w:val="left"/>
              <w:rPr>
                <w:rFonts w:hint="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废农机预处理流程</w:t>
            </w:r>
          </w:p>
          <w:p w14:paraId="345FCF65">
            <w:pPr>
              <w:pStyle w:val="11"/>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4134485</wp:posOffset>
                      </wp:positionH>
                      <wp:positionV relativeFrom="paragraph">
                        <wp:posOffset>7159625</wp:posOffset>
                      </wp:positionV>
                      <wp:extent cx="781050" cy="704850"/>
                      <wp:effectExtent l="0" t="0" r="0" b="0"/>
                      <wp:wrapNone/>
                      <wp:docPr id="90" name="矩形 90"/>
                      <wp:cNvGraphicFramePr/>
                      <a:graphic xmlns:a="http://schemas.openxmlformats.org/drawingml/2006/main">
                        <a:graphicData uri="http://schemas.microsoft.com/office/word/2010/wordprocessingShape">
                          <wps:wsp>
                            <wps:cNvSpPr/>
                            <wps:spPr>
                              <a:xfrm>
                                <a:off x="0" y="0"/>
                                <a:ext cx="781050"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55pt;margin-top:563.75pt;height:55.5pt;width:61.5pt;z-index:251696128;v-text-anchor:middle;mso-width-relative:page;mso-height-relative:page;" fillcolor="#FFFFFF [3212]" filled="t" stroked="f" coordsize="21600,21600" o:gfxdata="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Hyd8&#10;1wAAAA0BAAAPAAAAAAAAAAEAIAAAACIAAABkcnMvZG93bnJldi54bWxQSwECFAAUAAAACACHTuJA&#10;k51qI1sCAAC1BAAADgAAAAAAAAABACAAAAAmAQAAZHJzL2Uyb0RvYy54bWxQSwUGAAAAAAYABgBZ&#10;AQAA8wUAAAAA&#10;">
                      <v:fill on="t" focussize="0,0"/>
                      <v:stroke on="f" weight="2pt"/>
                      <v:imagedata o:title=""/>
                      <o:lock v:ext="edit" aspectratio="f"/>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4474845</wp:posOffset>
                      </wp:positionH>
                      <wp:positionV relativeFrom="paragraph">
                        <wp:posOffset>1574800</wp:posOffset>
                      </wp:positionV>
                      <wp:extent cx="578485" cy="704850"/>
                      <wp:effectExtent l="0" t="0" r="5715" b="6350"/>
                      <wp:wrapNone/>
                      <wp:docPr id="72" name="矩形 72"/>
                      <wp:cNvGraphicFramePr/>
                      <a:graphic xmlns:a="http://schemas.openxmlformats.org/drawingml/2006/main">
                        <a:graphicData uri="http://schemas.microsoft.com/office/word/2010/wordprocessingShape">
                          <wps:wsp>
                            <wps:cNvSpPr/>
                            <wps:spPr>
                              <a:xfrm>
                                <a:off x="5549900" y="2553970"/>
                                <a:ext cx="578485"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35pt;margin-top:124pt;height:55.5pt;width:45.55pt;z-index:251695104;v-text-anchor:middle;mso-width-relative:page;mso-height-relative:page;" fillcolor="#FFFFFF [3212]" filled="t" stroked="f" coordsize="21600,21600" o:gfxdata="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1LpmQ1wAAAAsBAAAPAAAAAAAAAAEAIAAAACIAAABkcnMvZG93bnJldi54bWxQSwEC&#10;FAAUAAAACACHTuJAcdtJd2cCAADBBAAADgAAAAAAAAABACAAAAAmAQAAZHJzL2Uyb0RvYy54bWxQ&#10;SwUGAAAAAAYABgBZAQAA/wUAAAAA&#10;">
                      <v:fill on="t" focussize="0,0"/>
                      <v:stroke on="f" weight="2pt"/>
                      <v:imagedata o:title=""/>
                      <o:lock v:ext="edit" aspectratio="f"/>
                    </v:rect>
                  </w:pict>
                </mc:Fallback>
              </mc:AlternateContent>
            </w:r>
            <w:r>
              <w:rPr>
                <w:color w:val="000000" w:themeColor="text1"/>
                <w:highlight w:val="none"/>
                <w14:textFill>
                  <w14:solidFill>
                    <w14:schemeClr w14:val="tx1"/>
                  </w14:solidFill>
                </w14:textFill>
              </w:rPr>
              <w:object>
                <v:shape id="_x0000_i1025" o:spt="75" type="#_x0000_t75" style="height:636.15pt;width:387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r>
              <w:rPr>
                <w:rFonts w:hint="eastAsia"/>
                <w:color w:val="000000" w:themeColor="text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图2-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 xml:space="preserve">  废农机拆解流程图</w:t>
            </w:r>
          </w:p>
          <w:p w14:paraId="658A9823">
            <w:pPr>
              <w:pStyle w:val="11"/>
              <w:spacing w:line="360" w:lineRule="auto"/>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工艺简述：</w:t>
            </w:r>
          </w:p>
          <w:p w14:paraId="798EDB6A">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①检查和登记</w:t>
            </w:r>
          </w:p>
          <w:p w14:paraId="62BF7088">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1）检查报废农机发动机、散热器、变速器、差速器、油箱等总成部件的密封、破损情况。对于出现泄漏的总成部件，应立即收集泄漏的液体或封</w:t>
            </w:r>
            <w:r>
              <w:rPr>
                <w:rFonts w:hint="eastAsia" w:ascii="宋体" w:hAnsi="宋体" w:eastAsia="宋体" w:cs="宋体"/>
                <w:color w:val="000000" w:themeColor="text1"/>
                <w:sz w:val="24"/>
                <w:szCs w:val="24"/>
                <w:highlight w:val="none"/>
                <w:lang w:val="en-US" w:eastAsia="zh-CN"/>
                <w14:textFill>
                  <w14:solidFill>
                    <w14:schemeClr w14:val="tx1"/>
                  </w14:solidFill>
                </w14:textFill>
              </w:rPr>
              <w:t>住</w:t>
            </w:r>
            <w:r>
              <w:rPr>
                <w:rFonts w:hint="eastAsia" w:ascii="宋体" w:hAnsi="宋体" w:eastAsia="宋体" w:cs="宋体"/>
                <w:color w:val="000000" w:themeColor="text1"/>
                <w:sz w:val="24"/>
                <w:szCs w:val="24"/>
                <w:highlight w:val="none"/>
                <w:lang w:eastAsia="zh-CN"/>
                <w14:textFill>
                  <w14:solidFill>
                    <w14:schemeClr w14:val="tx1"/>
                  </w14:solidFill>
                </w14:textFill>
              </w:rPr>
              <w:t>泄漏</w:t>
            </w:r>
            <w:r>
              <w:rPr>
                <w:rFonts w:hint="eastAsia" w:ascii="宋体" w:hAnsi="宋体" w:eastAsia="宋体" w:cs="宋体"/>
                <w:color w:val="000000" w:themeColor="text1"/>
                <w:sz w:val="24"/>
                <w:szCs w:val="24"/>
                <w:highlight w:val="none"/>
                <w14:textFill>
                  <w14:solidFill>
                    <w14:schemeClr w14:val="tx1"/>
                  </w14:solidFill>
                </w14:textFill>
              </w:rPr>
              <w:t>处，防止废液渗入地下。</w:t>
            </w:r>
          </w:p>
          <w:p w14:paraId="1BEA14EF">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报废农机进行登记注册并拍照，将其主要信息录入电脑数据库并在车身醒目位置贴上显示信息的标签。（信息包括：报废汽车农机[单位或个人]名称、证件号码、牌照号码、车型、品牌型号、车身颜色、重量、发动机号、车辆识别代号[或车架号]、出厂年份，接收或收购日期。）</w:t>
            </w:r>
          </w:p>
          <w:p w14:paraId="2DF06106">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3）将报废农机的机动车辆登记证书、号牌、行驶证交公安机关交通管理部门办理注销登记。向报废汽车车主发放《报废汽车回收证明》及有关注销材料。</w:t>
            </w:r>
          </w:p>
          <w:p w14:paraId="00A7A432">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②预处理</w:t>
            </w:r>
          </w:p>
          <w:p w14:paraId="4876E24E">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1）拆除蓄电池；</w:t>
            </w:r>
          </w:p>
          <w:p w14:paraId="551E0E0D">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2）拆除尾气净化催化剂；</w:t>
            </w:r>
          </w:p>
          <w:p w14:paraId="1E51C9E7">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3）在室内拆解预处理平台使用专用工具和容器排空和收集车内的废液，各种废油液抽空并分类回收，各种废油液的排空率不低于95%。</w:t>
            </w:r>
          </w:p>
          <w:p w14:paraId="2947ED8C">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③报废汽车存储</w:t>
            </w:r>
          </w:p>
          <w:p w14:paraId="5F0C4878">
            <w:pPr>
              <w:pStyle w:val="111"/>
              <w:keepNext w:val="0"/>
              <w:keepLines w:val="0"/>
              <w:pageBreakBefore w:val="0"/>
              <w:widowControl w:val="0"/>
              <w:kinsoku/>
              <w:wordWrap w:val="0"/>
              <w:overflowPunct/>
              <w:topLinePunct/>
              <w:autoSpaceDE/>
              <w:autoSpaceDN/>
              <w:bidi w:val="0"/>
              <w:adjustRightInd/>
              <w:snapToGrid w:val="0"/>
              <w:spacing w:beforeLines="0" w:afterLines="0" w:line="360" w:lineRule="auto"/>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应避免侧放、倒放。如需要叠放，应使上下车辆的重心尽量重合，以防掉落，且叠放时外侧高度不超过3m，内侧高度不超过4.5m。对大型车辆应单层平置。如果为框架结构，要考虑其承重安全性，做到结构合理，可靠性好，并且能够合理装卸，而对存储高度没有限制。</w:t>
            </w:r>
          </w:p>
          <w:p w14:paraId="05374A6C">
            <w:pPr>
              <w:keepNext w:val="0"/>
              <w:keepLines w:val="0"/>
              <w:pageBreakBefore w:val="0"/>
              <w:widowControl w:val="0"/>
              <w:kinsoku/>
              <w:overflow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2）接收或收购报废农机后，应在1个月内将其拆解完毕。</w:t>
            </w:r>
          </w:p>
          <w:p w14:paraId="060DEE52">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④拆解</w:t>
            </w:r>
          </w:p>
          <w:p w14:paraId="7EBAEE23">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1）拆除收音机等；</w:t>
            </w:r>
          </w:p>
          <w:p w14:paraId="2E631A8E">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2）拆除催化转化器及消声器、转向锁总成、停车装置及电子模块；</w:t>
            </w:r>
          </w:p>
          <w:p w14:paraId="648BCF17">
            <w:pPr>
              <w:keepNext w:val="0"/>
              <w:keepLines w:val="0"/>
              <w:pageBreakBefore w:val="0"/>
              <w:widowControl w:val="0"/>
              <w:tabs>
                <w:tab w:val="left" w:pos="2160"/>
              </w:tabs>
              <w:kinsoku/>
              <w:wordWrap w:val="0"/>
              <w:overflowPunct/>
              <w:topLine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3）拆除车轮并卸下轮胎；</w:t>
            </w:r>
          </w:p>
          <w:p w14:paraId="720A60EB">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4）拆除座椅等零部件；</w:t>
            </w:r>
          </w:p>
          <w:p w14:paraId="5D276A91">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5）拆除能有效回收的大型塑料件（保险杆、仪表板、液体容器等）；</w:t>
            </w:r>
          </w:p>
          <w:p w14:paraId="1EA2D94B">
            <w:pPr>
              <w:keepNext w:val="0"/>
              <w:keepLines w:val="0"/>
              <w:pageBreakBefore w:val="0"/>
              <w:widowControl w:val="0"/>
              <w:kinsoku/>
              <w:wordWrap w:val="0"/>
              <w:overflowPunct/>
              <w:topLinePunct/>
              <w:autoSpaceDE/>
              <w:autoSpaceDN/>
              <w:bidi w:val="0"/>
              <w:adjustRightInd/>
              <w:snapToGrid w:val="0"/>
              <w:spacing w:line="360" w:lineRule="auto"/>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6）拆除橡胶制品部件；</w:t>
            </w:r>
          </w:p>
          <w:p w14:paraId="208DBF57">
            <w:pPr>
              <w:keepNext w:val="0"/>
              <w:keepLines w:val="0"/>
              <w:pageBreakBefore w:val="0"/>
              <w:widowControl w:val="0"/>
              <w:kinsoku/>
              <w:wordWrap/>
              <w:overflowPunct w:val="0"/>
              <w:topLinePunct/>
              <w:autoSpaceDE/>
              <w:autoSpaceDN/>
              <w:bidi w:val="0"/>
              <w:adjustRightInd/>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7）拆卸有关总成</w:t>
            </w:r>
          </w:p>
          <w:p w14:paraId="4C231BAD">
            <w:pPr>
              <w:keepNext w:val="0"/>
              <w:keepLines w:val="0"/>
              <w:pageBreakBefore w:val="0"/>
              <w:widowControl w:val="0"/>
              <w:kinsoku/>
              <w:wordWrap/>
              <w:overflowPunct w:val="0"/>
              <w:topLinePunct/>
              <w:autoSpaceDE/>
              <w:autoSpaceDN/>
              <w:bidi w:val="0"/>
              <w:adjustRightInd/>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8）采用等离子切割机和火焰切割机对大型车梁体进行切割，并采用自动拆解机对车辆车身进行拆解。</w:t>
            </w:r>
          </w:p>
          <w:p w14:paraId="189989A4">
            <w:pPr>
              <w:keepNext w:val="0"/>
              <w:keepLines w:val="0"/>
              <w:pageBreakBefore w:val="0"/>
              <w:widowControl w:val="0"/>
              <w:kinsoku/>
              <w:wordWrap/>
              <w:overflowPunct w:val="0"/>
              <w:topLinePunct/>
              <w:autoSpaceDE/>
              <w:autoSpaceDN/>
              <w:bidi w:val="0"/>
              <w:adjustRightInd/>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9）对废钢铁进行压块、打包处理（小型车车身不拆解，直接压块）。</w:t>
            </w:r>
          </w:p>
          <w:p w14:paraId="4E430DBD">
            <w:pPr>
              <w:pStyle w:val="111"/>
              <w:widowControl w:val="0"/>
              <w:wordWrap w:val="0"/>
              <w:topLinePunct/>
              <w:snapToGrid/>
              <w:spacing w:beforeLines="0" w:afterLines="0"/>
              <w:ind w:firstLine="422"/>
              <w:jc w:val="both"/>
              <w:textAlignment w:val="baseline"/>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）废电动汽车预处理流程</w:t>
            </w:r>
          </w:p>
          <w:p w14:paraId="094E15D4">
            <w:pPr>
              <w:ind w:firstLine="480"/>
              <w:rPr>
                <w:rFonts w:hint="eastAsia" w:ascii="宋体" w:hAnsi="宋体" w:eastAsia="宋体" w:cs="宋体"/>
                <w:color w:val="000000" w:themeColor="text1"/>
                <w:lang w:val="en-US" w:eastAsia="zh-CN"/>
                <w14:textFill>
                  <w14:solidFill>
                    <w14:schemeClr w14:val="tx1"/>
                  </w14:solidFill>
                </w14:textFill>
              </w:rPr>
            </w:pPr>
          </w:p>
          <w:p w14:paraId="42C6B873">
            <w:pPr>
              <w:ind w:firstLine="480"/>
              <w:rPr>
                <w:rFonts w:hint="eastAsia" w:ascii="宋体" w:hAnsi="宋体" w:eastAsia="宋体" w:cs="宋体"/>
                <w:color w:val="000000" w:themeColor="text1"/>
                <w:lang w:val="en-US" w:eastAsia="zh-CN"/>
                <w14:textFill>
                  <w14:solidFill>
                    <w14:schemeClr w14:val="tx1"/>
                  </w14:solidFill>
                </w14:textFill>
              </w:rPr>
            </w:pPr>
          </w:p>
          <w:p w14:paraId="22D391EA">
            <w:pPr>
              <w:ind w:firstLine="480"/>
              <w:rPr>
                <w:rFonts w:hint="eastAsia" w:ascii="宋体" w:hAnsi="宋体" w:eastAsia="宋体" w:cs="宋体"/>
                <w:color w:val="000000" w:themeColor="text1"/>
                <w:lang w:val="en-US" w:eastAsia="zh-CN"/>
                <w14:textFill>
                  <w14:solidFill>
                    <w14:schemeClr w14:val="tx1"/>
                  </w14:solidFill>
                </w14:textFill>
              </w:rPr>
            </w:pPr>
          </w:p>
          <w:p w14:paraId="326F8E42">
            <w:pPr>
              <w:ind w:firstLine="480"/>
              <w:rPr>
                <w:rFonts w:hint="eastAsia" w:ascii="宋体" w:hAnsi="宋体" w:eastAsia="宋体" w:cs="宋体"/>
                <w:color w:val="000000" w:themeColor="text1"/>
                <w:lang w:val="en-US" w:eastAsia="zh-CN"/>
                <w14:textFill>
                  <w14:solidFill>
                    <w14:schemeClr w14:val="tx1"/>
                  </w14:solidFill>
                </w14:textFill>
              </w:rPr>
            </w:pPr>
          </w:p>
          <w:p w14:paraId="78CAB38F">
            <w:pPr>
              <w:ind w:firstLine="480"/>
              <w:rPr>
                <w:rFonts w:hint="eastAsia" w:ascii="宋体" w:hAnsi="宋体" w:eastAsia="宋体" w:cs="宋体"/>
                <w:color w:val="000000" w:themeColor="text1"/>
                <w:lang w:val="en-US" w:eastAsia="zh-CN"/>
                <w14:textFill>
                  <w14:solidFill>
                    <w14:schemeClr w14:val="tx1"/>
                  </w14:solidFill>
                </w14:textFill>
              </w:rPr>
            </w:pPr>
          </w:p>
          <w:p w14:paraId="29B87813">
            <w:pPr>
              <w:ind w:firstLine="480"/>
              <w:rPr>
                <w:rFonts w:hint="eastAsia" w:ascii="宋体" w:hAnsi="宋体" w:eastAsia="宋体" w:cs="宋体"/>
                <w:color w:val="000000" w:themeColor="text1"/>
                <w:lang w:val="en-US" w:eastAsia="zh-CN"/>
                <w14:textFill>
                  <w14:solidFill>
                    <w14:schemeClr w14:val="tx1"/>
                  </w14:solidFill>
                </w14:textFill>
              </w:rPr>
            </w:pPr>
          </w:p>
          <w:p w14:paraId="0F3F88D2">
            <w:pPr>
              <w:ind w:firstLine="480"/>
              <w:rPr>
                <w:rFonts w:hint="eastAsia" w:ascii="宋体" w:hAnsi="宋体" w:eastAsia="宋体" w:cs="宋体"/>
                <w:color w:val="000000" w:themeColor="text1"/>
                <w:lang w:val="en-US" w:eastAsia="zh-CN"/>
                <w14:textFill>
                  <w14:solidFill>
                    <w14:schemeClr w14:val="tx1"/>
                  </w14:solidFill>
                </w14:textFill>
              </w:rPr>
            </w:pPr>
          </w:p>
          <w:p w14:paraId="7FF7B07F">
            <w:pPr>
              <w:ind w:firstLine="480"/>
              <w:rPr>
                <w:rFonts w:hint="eastAsia" w:ascii="宋体" w:hAnsi="宋体" w:eastAsia="宋体" w:cs="宋体"/>
                <w:color w:val="000000" w:themeColor="text1"/>
                <w:lang w:val="en-US" w:eastAsia="zh-CN"/>
                <w14:textFill>
                  <w14:solidFill>
                    <w14:schemeClr w14:val="tx1"/>
                  </w14:solidFill>
                </w14:textFill>
              </w:rPr>
            </w:pPr>
          </w:p>
          <w:p w14:paraId="08C16F48">
            <w:pPr>
              <w:ind w:firstLine="480"/>
              <w:rPr>
                <w:rFonts w:hint="eastAsia" w:ascii="宋体" w:hAnsi="宋体" w:eastAsia="宋体" w:cs="宋体"/>
                <w:color w:val="000000" w:themeColor="text1"/>
                <w:lang w:val="en-US" w:eastAsia="zh-CN"/>
                <w14:textFill>
                  <w14:solidFill>
                    <w14:schemeClr w14:val="tx1"/>
                  </w14:solidFill>
                </w14:textFill>
              </w:rPr>
            </w:pPr>
          </w:p>
          <w:p w14:paraId="5D49EC0B">
            <w:pPr>
              <w:ind w:firstLine="480"/>
              <w:rPr>
                <w:rFonts w:hint="eastAsia" w:ascii="宋体" w:hAnsi="宋体" w:eastAsia="宋体" w:cs="宋体"/>
                <w:color w:val="000000" w:themeColor="text1"/>
                <w:lang w:val="en-US" w:eastAsia="zh-CN"/>
                <w14:textFill>
                  <w14:solidFill>
                    <w14:schemeClr w14:val="tx1"/>
                  </w14:solidFill>
                </w14:textFill>
              </w:rPr>
            </w:pPr>
          </w:p>
          <w:p w14:paraId="686316D2">
            <w:pPr>
              <w:ind w:firstLine="480"/>
              <w:rPr>
                <w:rFonts w:hint="eastAsia" w:ascii="宋体" w:hAnsi="宋体" w:eastAsia="宋体" w:cs="宋体"/>
                <w:color w:val="000000" w:themeColor="text1"/>
                <w:lang w:val="en-US" w:eastAsia="zh-CN"/>
                <w14:textFill>
                  <w14:solidFill>
                    <w14:schemeClr w14:val="tx1"/>
                  </w14:solidFill>
                </w14:textFill>
              </w:rPr>
            </w:pPr>
          </w:p>
          <w:p w14:paraId="08AF2DF8">
            <w:pPr>
              <w:ind w:firstLine="480"/>
              <w:rPr>
                <w:rFonts w:hint="eastAsia" w:ascii="宋体" w:hAnsi="宋体" w:eastAsia="宋体" w:cs="宋体"/>
                <w:color w:val="000000" w:themeColor="text1"/>
                <w:lang w:val="en-US" w:eastAsia="zh-CN"/>
                <w14:textFill>
                  <w14:solidFill>
                    <w14:schemeClr w14:val="tx1"/>
                  </w14:solidFill>
                </w14:textFill>
              </w:rPr>
            </w:pPr>
          </w:p>
          <w:p w14:paraId="5F0D743A">
            <w:pPr>
              <w:ind w:firstLine="480"/>
              <w:rPr>
                <w:rFonts w:hint="eastAsia" w:ascii="宋体" w:hAnsi="宋体" w:eastAsia="宋体" w:cs="宋体"/>
                <w:color w:val="000000" w:themeColor="text1"/>
                <w:lang w:val="en-US" w:eastAsia="zh-CN"/>
                <w14:textFill>
                  <w14:solidFill>
                    <w14:schemeClr w14:val="tx1"/>
                  </w14:solidFill>
                </w14:textFill>
              </w:rPr>
            </w:pPr>
          </w:p>
          <w:p w14:paraId="40A7CADB">
            <w:pPr>
              <w:ind w:firstLine="480"/>
              <w:rPr>
                <w:rFonts w:hint="eastAsia" w:ascii="宋体" w:hAnsi="宋体" w:eastAsia="宋体" w:cs="宋体"/>
                <w:color w:val="000000" w:themeColor="text1"/>
                <w:lang w:val="en-US" w:eastAsia="zh-CN"/>
                <w14:textFill>
                  <w14:solidFill>
                    <w14:schemeClr w14:val="tx1"/>
                  </w14:solidFill>
                </w14:textFill>
              </w:rPr>
            </w:pPr>
          </w:p>
          <w:p w14:paraId="2582121D">
            <w:pPr>
              <w:ind w:firstLine="480"/>
              <w:rPr>
                <w:rFonts w:hint="eastAsia" w:ascii="宋体" w:hAnsi="宋体" w:eastAsia="宋体" w:cs="宋体"/>
                <w:color w:val="000000" w:themeColor="text1"/>
                <w:lang w:val="en-US" w:eastAsia="zh-CN"/>
                <w14:textFill>
                  <w14:solidFill>
                    <w14:schemeClr w14:val="tx1"/>
                  </w14:solidFill>
                </w14:textFill>
              </w:rPr>
            </w:pPr>
          </w:p>
          <w:p w14:paraId="7221608A">
            <w:pPr>
              <w:ind w:firstLine="480"/>
              <w:rPr>
                <w:rFonts w:hint="eastAsia" w:ascii="宋体" w:hAnsi="宋体" w:eastAsia="宋体" w:cs="宋体"/>
                <w:color w:val="000000" w:themeColor="text1"/>
                <w:lang w:val="en-US" w:eastAsia="zh-CN"/>
                <w14:textFill>
                  <w14:solidFill>
                    <w14:schemeClr w14:val="tx1"/>
                  </w14:solidFill>
                </w14:textFill>
              </w:rPr>
            </w:pPr>
          </w:p>
          <w:p w14:paraId="7CBDF65C">
            <w:pPr>
              <w:ind w:firstLine="480"/>
              <w:rPr>
                <w:rFonts w:hint="eastAsia" w:ascii="宋体" w:hAnsi="宋体" w:eastAsia="宋体" w:cs="宋体"/>
                <w:color w:val="000000" w:themeColor="text1"/>
                <w:lang w:val="en-US" w:eastAsia="zh-CN"/>
                <w14:textFill>
                  <w14:solidFill>
                    <w14:schemeClr w14:val="tx1"/>
                  </w14:solidFill>
                </w14:textFill>
              </w:rPr>
            </w:pPr>
          </w:p>
          <w:p w14:paraId="5DB17C57">
            <w:pPr>
              <w:ind w:firstLine="480"/>
              <w:rPr>
                <w:rFonts w:hint="eastAsia" w:ascii="宋体" w:hAnsi="宋体" w:eastAsia="宋体" w:cs="宋体"/>
                <w:color w:val="000000" w:themeColor="text1"/>
                <w:lang w:val="en-US" w:eastAsia="zh-CN"/>
                <w14:textFill>
                  <w14:solidFill>
                    <w14:schemeClr w14:val="tx1"/>
                  </w14:solidFill>
                </w14:textFill>
              </w:rPr>
            </w:pPr>
          </w:p>
          <w:p w14:paraId="07C48377">
            <w:pPr>
              <w:ind w:firstLine="480"/>
              <w:rPr>
                <w:rFonts w:hint="eastAsia" w:ascii="宋体" w:hAnsi="宋体" w:eastAsia="宋体" w:cs="宋体"/>
                <w:color w:val="000000" w:themeColor="text1"/>
                <w:lang w:val="en-US" w:eastAsia="zh-CN"/>
                <w14:textFill>
                  <w14:solidFill>
                    <w14:schemeClr w14:val="tx1"/>
                  </w14:solidFill>
                </w14:textFill>
              </w:rPr>
            </w:pPr>
          </w:p>
          <w:p w14:paraId="3FBDC5F5">
            <w:pPr>
              <w:ind w:firstLine="480"/>
              <w:rPr>
                <w:rFonts w:hint="eastAsia" w:ascii="宋体" w:hAnsi="宋体" w:eastAsia="宋体" w:cs="宋体"/>
                <w:color w:val="000000" w:themeColor="text1"/>
                <w:lang w:val="en-US" w:eastAsia="zh-CN"/>
                <w14:textFill>
                  <w14:solidFill>
                    <w14:schemeClr w14:val="tx1"/>
                  </w14:solidFill>
                </w14:textFill>
              </w:rPr>
            </w:pPr>
          </w:p>
          <w:p w14:paraId="4B93DCAE">
            <w:pPr>
              <w:ind w:firstLine="480"/>
              <w:rPr>
                <w:rFonts w:hint="eastAsia" w:ascii="宋体" w:hAnsi="宋体" w:eastAsia="宋体" w:cs="宋体"/>
                <w:color w:val="000000" w:themeColor="text1"/>
                <w:lang w:val="en-US" w:eastAsia="zh-CN"/>
                <w14:textFill>
                  <w14:solidFill>
                    <w14:schemeClr w14:val="tx1"/>
                  </w14:solidFill>
                </w14:textFill>
              </w:rPr>
            </w:pPr>
          </w:p>
          <w:p w14:paraId="30D632EB">
            <w:pPr>
              <w:ind w:firstLine="480"/>
              <w:rPr>
                <w:rFonts w:hint="eastAsia" w:ascii="宋体" w:hAnsi="宋体" w:eastAsia="宋体" w:cs="宋体"/>
                <w:color w:val="000000" w:themeColor="text1"/>
                <w:lang w:val="en-US" w:eastAsia="zh-CN"/>
                <w14:textFill>
                  <w14:solidFill>
                    <w14:schemeClr w14:val="tx1"/>
                  </w14:solidFill>
                </w14:textFill>
              </w:rPr>
            </w:pPr>
          </w:p>
          <w:p w14:paraId="21CE7490">
            <w:pPr>
              <w:ind w:firstLine="480"/>
              <w:rPr>
                <w:rFonts w:hint="eastAsia" w:ascii="宋体" w:hAnsi="宋体" w:eastAsia="宋体" w:cs="宋体"/>
                <w:color w:val="000000" w:themeColor="text1"/>
                <w:lang w:val="en-US" w:eastAsia="zh-CN"/>
                <w14:textFill>
                  <w14:solidFill>
                    <w14:schemeClr w14:val="tx1"/>
                  </w14:solidFill>
                </w14:textFill>
              </w:rPr>
            </w:pPr>
          </w:p>
          <w:p w14:paraId="771211CA">
            <w:pPr>
              <w:ind w:firstLine="480"/>
              <w:rPr>
                <w:rFonts w:hint="eastAsia" w:ascii="宋体" w:hAnsi="宋体" w:eastAsia="宋体" w:cs="宋体"/>
                <w:color w:val="000000" w:themeColor="text1"/>
                <w:lang w:val="en-US" w:eastAsia="zh-CN"/>
                <w14:textFill>
                  <w14:solidFill>
                    <w14:schemeClr w14:val="tx1"/>
                  </w14:solidFill>
                </w14:textFill>
              </w:rPr>
            </w:pPr>
          </w:p>
          <w:p w14:paraId="1059FB12">
            <w:pPr>
              <w:ind w:firstLine="480"/>
              <w:rPr>
                <w:rFonts w:hint="eastAsia" w:ascii="宋体" w:hAnsi="宋体" w:eastAsia="宋体" w:cs="宋体"/>
                <w:color w:val="000000" w:themeColor="text1"/>
                <w:lang w:val="en-US" w:eastAsia="zh-CN"/>
                <w14:textFill>
                  <w14:solidFill>
                    <w14:schemeClr w14:val="tx1"/>
                  </w14:solidFill>
                </w14:textFill>
              </w:rPr>
            </w:pPr>
          </w:p>
          <w:p w14:paraId="430A0ADB">
            <w:pPr>
              <w:ind w:firstLine="480"/>
              <w:rPr>
                <w:rFonts w:hint="eastAsia" w:ascii="宋体" w:hAnsi="宋体" w:eastAsia="宋体" w:cs="宋体"/>
                <w:color w:val="000000" w:themeColor="text1"/>
                <w:lang w:val="en-US" w:eastAsia="zh-CN"/>
                <w14:textFill>
                  <w14:solidFill>
                    <w14:schemeClr w14:val="tx1"/>
                  </w14:solidFill>
                </w14:textFill>
              </w:rPr>
            </w:pPr>
          </w:p>
          <w:p w14:paraId="0D6C4E0D">
            <w:pPr>
              <w:ind w:firstLine="480"/>
              <w:rPr>
                <w:rFonts w:hint="eastAsia" w:ascii="宋体" w:hAnsi="宋体" w:eastAsia="宋体" w:cs="宋体"/>
                <w:color w:val="000000" w:themeColor="text1"/>
                <w:lang w:val="en-US" w:eastAsia="zh-CN"/>
                <w14:textFill>
                  <w14:solidFill>
                    <w14:schemeClr w14:val="tx1"/>
                  </w14:solidFill>
                </w14:textFill>
              </w:rPr>
            </w:pPr>
          </w:p>
          <w:p w14:paraId="4A760FC8">
            <w:pPr>
              <w:ind w:firstLine="480"/>
              <w:rPr>
                <w:rFonts w:hint="eastAsia" w:ascii="宋体" w:hAnsi="宋体" w:eastAsia="宋体" w:cs="宋体"/>
                <w:color w:val="000000" w:themeColor="text1"/>
                <w:lang w:val="en-US" w:eastAsia="zh-CN"/>
                <w14:textFill>
                  <w14:solidFill>
                    <w14:schemeClr w14:val="tx1"/>
                  </w14:solidFill>
                </w14:textFill>
              </w:rPr>
            </w:pPr>
          </w:p>
          <w:p w14:paraId="127DF094">
            <w:pPr>
              <w:ind w:firstLine="480"/>
              <w:rPr>
                <w:rFonts w:hint="eastAsia" w:ascii="宋体" w:hAnsi="宋体" w:eastAsia="宋体" w:cs="宋体"/>
                <w:color w:val="000000" w:themeColor="text1"/>
                <w:lang w:val="en-US" w:eastAsia="zh-CN"/>
                <w14:textFill>
                  <w14:solidFill>
                    <w14:schemeClr w14:val="tx1"/>
                  </w14:solidFill>
                </w14:textFill>
              </w:rPr>
            </w:pPr>
          </w:p>
          <w:p w14:paraId="1EFE0505">
            <w:pPr>
              <w:ind w:firstLine="480"/>
              <w:rPr>
                <w:rFonts w:hint="eastAsia" w:ascii="宋体" w:hAnsi="宋体" w:eastAsia="宋体" w:cs="宋体"/>
                <w:color w:val="000000" w:themeColor="text1"/>
                <w:lang w:val="en-US" w:eastAsia="zh-CN"/>
                <w14:textFill>
                  <w14:solidFill>
                    <w14:schemeClr w14:val="tx1"/>
                  </w14:solidFill>
                </w14:textFill>
              </w:rPr>
            </w:pPr>
          </w:p>
          <w:p w14:paraId="5CC75921">
            <w:pPr>
              <w:ind w:firstLine="480"/>
              <w:rPr>
                <w:rFonts w:hint="eastAsia" w:ascii="宋体" w:hAnsi="宋体" w:eastAsia="宋体" w:cs="宋体"/>
                <w:color w:val="000000" w:themeColor="text1"/>
                <w:lang w:val="en-US" w:eastAsia="zh-CN"/>
                <w14:textFill>
                  <w14:solidFill>
                    <w14:schemeClr w14:val="tx1"/>
                  </w14:solidFill>
                </w14:textFill>
              </w:rPr>
            </w:pPr>
          </w:p>
          <w:p w14:paraId="0F0F933A">
            <w:pPr>
              <w:ind w:firstLine="480"/>
              <w:rPr>
                <w:rFonts w:hint="eastAsia" w:ascii="宋体" w:hAnsi="宋体" w:eastAsia="宋体" w:cs="宋体"/>
                <w:color w:val="000000" w:themeColor="text1"/>
                <w:lang w:val="en-US" w:eastAsia="zh-CN"/>
                <w14:textFill>
                  <w14:solidFill>
                    <w14:schemeClr w14:val="tx1"/>
                  </w14:solidFill>
                </w14:textFill>
              </w:rPr>
            </w:pPr>
          </w:p>
          <w:p w14:paraId="17172BEE">
            <w:pPr>
              <w:ind w:firstLine="480"/>
              <w:rPr>
                <w:rFonts w:hint="eastAsia" w:ascii="宋体" w:hAnsi="宋体" w:eastAsia="宋体" w:cs="宋体"/>
                <w:color w:val="000000" w:themeColor="text1"/>
                <w:lang w:val="en-US" w:eastAsia="zh-CN"/>
                <w14:textFill>
                  <w14:solidFill>
                    <w14:schemeClr w14:val="tx1"/>
                  </w14:solidFill>
                </w14:textFill>
              </w:rPr>
            </w:pPr>
          </w:p>
          <w:p w14:paraId="607C17E4">
            <w:pPr>
              <w:rPr>
                <w:rFonts w:hint="eastAsia" w:ascii="宋体" w:hAnsi="宋体" w:eastAsia="宋体" w:cs="宋体"/>
                <w:color w:val="000000" w:themeColor="text1"/>
                <w:lang w:val="en-US" w:eastAsia="zh-CN"/>
                <w14:textFill>
                  <w14:solidFill>
                    <w14:schemeClr w14:val="tx1"/>
                  </w14:solidFill>
                </w14:textFill>
              </w:rPr>
            </w:pPr>
          </w:p>
        </w:tc>
      </w:tr>
    </w:tbl>
    <w:p w14:paraId="21B61FB5">
      <w:pPr>
        <w:pStyle w:val="38"/>
        <w:rPr>
          <w:rFonts w:hint="eastAsia" w:ascii="宋体" w:hAnsi="宋体" w:eastAsia="宋体" w:cs="宋体"/>
          <w:color w:val="000000" w:themeColor="text1"/>
          <w14:textFill>
            <w14:solidFill>
              <w14:schemeClr w14:val="tx1"/>
            </w14:solidFill>
          </w14:textFill>
        </w:rPr>
        <w:sectPr>
          <w:pgSz w:w="11905"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6"/>
        <w:tblW w:w="14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3593"/>
      </w:tblGrid>
      <w:tr w14:paraId="3EC2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7" w:hRule="atLeast"/>
        </w:trPr>
        <w:tc>
          <w:tcPr>
            <w:tcW w:w="572" w:type="dxa"/>
          </w:tcPr>
          <w:p w14:paraId="23CFCC50">
            <w:pPr>
              <w:pStyle w:val="38"/>
              <w:rPr>
                <w:rFonts w:hint="eastAsia" w:ascii="宋体" w:hAnsi="宋体" w:eastAsia="宋体" w:cs="宋体"/>
                <w:color w:val="000000" w:themeColor="text1"/>
                <w:vertAlign w:val="baseline"/>
                <w14:textFill>
                  <w14:solidFill>
                    <w14:schemeClr w14:val="tx1"/>
                  </w14:solidFill>
                </w14:textFill>
              </w:rPr>
            </w:pPr>
          </w:p>
        </w:tc>
        <w:tc>
          <w:tcPr>
            <w:tcW w:w="13593" w:type="dxa"/>
          </w:tcPr>
          <w:p w14:paraId="060A2FC8">
            <w:pPr>
              <w:pStyle w:val="38"/>
              <w:rPr>
                <w:color w:val="000000" w:themeColor="text1"/>
                <w:sz w:val="21"/>
                <w:highlight w:val="no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4732655</wp:posOffset>
                      </wp:positionH>
                      <wp:positionV relativeFrom="paragraph">
                        <wp:posOffset>8075930</wp:posOffset>
                      </wp:positionV>
                      <wp:extent cx="1209675" cy="371475"/>
                      <wp:effectExtent l="0" t="0" r="9525" b="9525"/>
                      <wp:wrapNone/>
                      <wp:docPr id="66" name="矩形 66"/>
                      <wp:cNvGraphicFramePr/>
                      <a:graphic xmlns:a="http://schemas.openxmlformats.org/drawingml/2006/main">
                        <a:graphicData uri="http://schemas.microsoft.com/office/word/2010/wordprocessingShape">
                          <wps:wsp>
                            <wps:cNvSpPr/>
                            <wps:spPr>
                              <a:xfrm>
                                <a:off x="6024245" y="8524875"/>
                                <a:ext cx="120967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2.65pt;margin-top:635.9pt;height:29.25pt;width:95.25pt;z-index:251699200;v-text-anchor:middle;mso-width-relative:page;mso-height-relative:page;" fillcolor="#FFFFFF [3212]" filled="t" stroked="f" coordsize="21600,21600" o:gfxdata="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f9679cAAAANAQAADwAAAAAAAAABACAAAAAiAAAAZHJzL2Rvd25yZXYueG1s&#10;UEsBAhQAFAAAAAgAh07iQHBFEcdrAgAAwgQAAA4AAAAAAAAAAQAgAAAAJgEAAGRycy9lMm9Eb2Mu&#10;eG1sUEsFBgAAAAAGAAYAWQEAAAMGAAAAAA==&#10;">
                      <v:fill on="t" focussize="0,0"/>
                      <v:stroke on="f" weight="2pt"/>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6672580</wp:posOffset>
                      </wp:positionH>
                      <wp:positionV relativeFrom="paragraph">
                        <wp:posOffset>5330190</wp:posOffset>
                      </wp:positionV>
                      <wp:extent cx="1018540" cy="864870"/>
                      <wp:effectExtent l="0" t="0" r="10160" b="11430"/>
                      <wp:wrapNone/>
                      <wp:docPr id="91" name="矩形 91"/>
                      <wp:cNvGraphicFramePr/>
                      <a:graphic xmlns:a="http://schemas.openxmlformats.org/drawingml/2006/main">
                        <a:graphicData uri="http://schemas.microsoft.com/office/word/2010/wordprocessingShape">
                          <wps:wsp>
                            <wps:cNvSpPr/>
                            <wps:spPr>
                              <a:xfrm>
                                <a:off x="0" y="0"/>
                                <a:ext cx="1018540" cy="864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5.4pt;margin-top:419.7pt;height:68.1pt;width:80.2pt;z-index:251697152;v-text-anchor:middle;mso-width-relative:page;mso-height-relative:page;" fillcolor="#FFFFFF [3212]" filled="t" stroked="f" coordsize="21600,21600" o:gfxdata="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s&#10;fqiG2AAAAA0BAAAPAAAAAAAAAAEAIAAAACIAAABkcnMvZG93bnJldi54bWxQSwECFAAUAAAACACH&#10;TuJAc8zQE10CAAC2BAAADgAAAAAAAAABACAAAAAnAQAAZHJzL2Uyb0RvYy54bWxQSwUGAAAAAAYA&#10;BgBZAQAA9gUAAAAA&#10;">
                      <v:fill on="t" focussize="0,0"/>
                      <v:stroke on="f" weight="2pt"/>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5653405</wp:posOffset>
                      </wp:positionH>
                      <wp:positionV relativeFrom="paragraph">
                        <wp:posOffset>11405870</wp:posOffset>
                      </wp:positionV>
                      <wp:extent cx="875665" cy="323215"/>
                      <wp:effectExtent l="0" t="0" r="635" b="635"/>
                      <wp:wrapNone/>
                      <wp:docPr id="85" name="矩形 85"/>
                      <wp:cNvGraphicFramePr/>
                      <a:graphic xmlns:a="http://schemas.openxmlformats.org/drawingml/2006/main">
                        <a:graphicData uri="http://schemas.microsoft.com/office/word/2010/wordprocessingShape">
                          <wps:wsp>
                            <wps:cNvSpPr/>
                            <wps:spPr>
                              <a:xfrm>
                                <a:off x="0" y="0"/>
                                <a:ext cx="875665" cy="3232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15pt;margin-top:898.1pt;height:25.45pt;width:68.95pt;z-index:251698176;v-text-anchor:middle;mso-width-relative:page;mso-height-relative:page;" fillcolor="#FFFFFF [3212]" filled="t" stroked="f" coordsize="21600,21600" o:gfxdata="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t4FI1wAAAA4BAAAPAAAAAAAAAAEAIAAAACIAAABkcnMvZG93bnJldi54bWxQSwECFAAUAAAACACH&#10;TuJA4W2W+F4CAAC1BAAADgAAAAAAAAABACAAAAAmAQAAZHJzL2Uyb0RvYy54bWxQSwUGAAAAAAYA&#10;BgBZAQAA9gUAAAAA&#10;">
                      <v:fill on="t" focussize="0,0"/>
                      <v:stroke on="f" weight="2pt"/>
                      <v:imagedata o:title=""/>
                      <o:lock v:ext="edit" aspectratio="f"/>
                    </v:rect>
                  </w:pict>
                </mc:Fallback>
              </mc:AlternateContent>
            </w:r>
            <w:r>
              <w:rPr>
                <w:color w:val="000000" w:themeColor="text1"/>
                <w:sz w:val="21"/>
                <w:highlight w:val="none"/>
                <w14:textFill>
                  <w14:solidFill>
                    <w14:schemeClr w14:val="tx1"/>
                  </w14:solidFill>
                </w14:textFill>
              </w:rPr>
              <w:object>
                <v:shape id="_x0000_i1026" o:spt="75" type="#_x0000_t75" style="height:988.55pt;width:530.5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6" r:id="rId19">
                  <o:LockedField>false</o:LockedField>
                </o:OLEObject>
              </w:object>
            </w:r>
          </w:p>
          <w:p w14:paraId="5AC0B5A1">
            <w:pPr>
              <w:pStyle w:val="11"/>
              <w:spacing w:line="360" w:lineRule="auto"/>
              <w:jc w:val="center"/>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图2-</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 xml:space="preserve">  废电动汽车预处理流程图</w:t>
            </w:r>
          </w:p>
          <w:p w14:paraId="61E76E74">
            <w:pPr>
              <w:pStyle w:val="38"/>
              <w:rPr>
                <w:rFonts w:hint="eastAsia"/>
                <w:color w:val="000000" w:themeColor="text1"/>
                <w:sz w:val="21"/>
                <w:highlight w:val="none"/>
                <w14:textFill>
                  <w14:solidFill>
                    <w14:schemeClr w14:val="tx1"/>
                  </w14:solidFill>
                </w14:textFill>
              </w:rPr>
            </w:pPr>
          </w:p>
        </w:tc>
      </w:tr>
    </w:tbl>
    <w:p w14:paraId="44D9411A">
      <w:pPr>
        <w:pStyle w:val="38"/>
        <w:rPr>
          <w:rFonts w:hint="eastAsia" w:ascii="宋体" w:hAnsi="宋体" w:eastAsia="宋体" w:cs="宋体"/>
          <w:color w:val="000000" w:themeColor="text1"/>
          <w14:textFill>
            <w14:solidFill>
              <w14:schemeClr w14:val="tx1"/>
            </w14:solidFill>
          </w14:textFill>
        </w:rPr>
        <w:sectPr>
          <w:pgSz w:w="16783" w:h="23757"/>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6"/>
        <w:tblW w:w="9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8714"/>
      </w:tblGrid>
      <w:tr w14:paraId="567A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5" w:hRule="atLeast"/>
        </w:trPr>
        <w:tc>
          <w:tcPr>
            <w:tcW w:w="518" w:type="dxa"/>
          </w:tcPr>
          <w:p w14:paraId="44F79365">
            <w:pPr>
              <w:pStyle w:val="38"/>
              <w:rPr>
                <w:rFonts w:hint="eastAsia" w:ascii="宋体" w:hAnsi="宋体" w:eastAsia="宋体" w:cs="宋体"/>
                <w:color w:val="000000" w:themeColor="text1"/>
                <w:vertAlign w:val="baseline"/>
                <w14:textFill>
                  <w14:solidFill>
                    <w14:schemeClr w14:val="tx1"/>
                  </w14:solidFill>
                </w14:textFill>
              </w:rPr>
            </w:pPr>
          </w:p>
        </w:tc>
        <w:tc>
          <w:tcPr>
            <w:tcW w:w="8714" w:type="dxa"/>
          </w:tcPr>
          <w:p w14:paraId="2D93ADA5">
            <w:pPr>
              <w:pStyle w:val="111"/>
              <w:keepNext w:val="0"/>
              <w:keepLines w:val="0"/>
              <w:pageBreakBefore w:val="0"/>
              <w:widowControl w:val="0"/>
              <w:kinsoku/>
              <w:wordWrap w:val="0"/>
              <w:overflowPunct/>
              <w:topLinePunct/>
              <w:autoSpaceDE/>
              <w:autoSpaceDN/>
              <w:bidi w:val="0"/>
              <w:snapToGrid/>
              <w:spacing w:beforeLines="0" w:afterLines="0" w:line="460" w:lineRule="exact"/>
              <w:ind w:left="0" w:leftChars="0" w:right="0" w:rightChars="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工艺简述：</w:t>
            </w:r>
          </w:p>
          <w:p w14:paraId="0F9AE3D3">
            <w:pPr>
              <w:pStyle w:val="111"/>
              <w:keepNext w:val="0"/>
              <w:keepLines w:val="0"/>
              <w:pageBreakBefore w:val="0"/>
              <w:widowControl w:val="0"/>
              <w:kinsoku/>
              <w:wordWrap w:val="0"/>
              <w:overflowPunct/>
              <w:topLinePunct/>
              <w:autoSpaceDE/>
              <w:autoSpaceDN/>
              <w:bidi w:val="0"/>
              <w:snapToGrid/>
              <w:spacing w:beforeLines="0" w:afterLines="0" w:line="460" w:lineRule="exact"/>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①检查和登记</w:t>
            </w:r>
          </w:p>
          <w:p w14:paraId="3D060BB7">
            <w:pPr>
              <w:pStyle w:val="111"/>
              <w:keepNext w:val="0"/>
              <w:keepLines w:val="0"/>
              <w:pageBreakBefore w:val="0"/>
              <w:widowControl w:val="0"/>
              <w:kinsoku/>
              <w:wordWrap w:val="0"/>
              <w:overflowPunct/>
              <w:topLinePunct/>
              <w:autoSpaceDE/>
              <w:autoSpaceDN/>
              <w:bidi w:val="0"/>
              <w:snapToGrid/>
              <w:spacing w:beforeLines="0" w:afterLines="0" w:line="460" w:lineRule="exact"/>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报废电动汽车检查和登记参照报废农机检查和登记手续。</w:t>
            </w:r>
          </w:p>
          <w:p w14:paraId="07CD113F">
            <w:pPr>
              <w:pStyle w:val="111"/>
              <w:keepNext w:val="0"/>
              <w:keepLines w:val="0"/>
              <w:pageBreakBefore w:val="0"/>
              <w:widowControl w:val="0"/>
              <w:kinsoku/>
              <w:wordWrap w:val="0"/>
              <w:overflowPunct/>
              <w:topLinePunct/>
              <w:autoSpaceDE/>
              <w:autoSpaceDN/>
              <w:bidi w:val="0"/>
              <w:snapToGrid/>
              <w:spacing w:beforeLines="0" w:afterLines="0" w:line="460" w:lineRule="exact"/>
              <w:ind w:left="0" w:leftChars="0" w:right="0" w:rightChars="0" w:firstLine="420"/>
              <w:jc w:val="both"/>
              <w:textAlignment w:val="baseline"/>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②报废电动汽车预处理</w:t>
            </w:r>
          </w:p>
          <w:p w14:paraId="58BC4592">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利用叉车将待拆汽车堆场堆放的报废汽车运输至专门的</w:t>
            </w:r>
            <w:r>
              <w:rPr>
                <w:rFonts w:hint="eastAsia" w:ascii="宋体" w:hAnsi="宋体" w:eastAsia="宋体" w:cs="宋体"/>
                <w:color w:val="000000" w:themeColor="text1"/>
                <w:sz w:val="24"/>
                <w:szCs w:val="24"/>
                <w:highlight w:val="none"/>
                <w:lang w:val="en-US" w:eastAsia="zh-CN"/>
                <w14:textFill>
                  <w14:solidFill>
                    <w14:schemeClr w14:val="tx1"/>
                  </w14:solidFill>
                </w14:textFill>
              </w:rPr>
              <w:t>动力电池拆卸区</w:t>
            </w:r>
            <w:r>
              <w:rPr>
                <w:rFonts w:hint="eastAsia" w:ascii="宋体" w:hAnsi="宋体" w:eastAsia="宋体" w:cs="宋体"/>
                <w:color w:val="000000" w:themeColor="text1"/>
                <w:sz w:val="24"/>
                <w:szCs w:val="24"/>
                <w:highlight w:val="none"/>
                <w14:textFill>
                  <w14:solidFill>
                    <w14:schemeClr w14:val="tx1"/>
                  </w14:solidFill>
                </w14:textFill>
              </w:rPr>
              <w:t xml:space="preserve">，电池拆解完成后通过叉车转送至其余预处理工位（废油抽取、废制冷剂抽取、气囊拆除、气囊引爆工位和监销工位等），抽油液工位设有集油罐，抽制冷剂工位设有钢瓶。上述工位均安装摄像设备，可以进行远程监控。 </w:t>
            </w:r>
          </w:p>
          <w:p w14:paraId="7A17FE9F">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预拆解主要步骤为： </w:t>
            </w:r>
          </w:p>
          <w:p w14:paraId="09DAC300">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1）检查车身有</w:t>
            </w:r>
            <w:r>
              <w:rPr>
                <w:rFonts w:hint="eastAsia" w:ascii="宋体" w:hAnsi="宋体" w:eastAsia="宋体" w:cs="宋体"/>
                <w:color w:val="000000" w:themeColor="text1"/>
                <w:sz w:val="24"/>
                <w:szCs w:val="24"/>
                <w:highlight w:val="none"/>
                <w:lang w:eastAsia="zh-CN"/>
                <w14:textFill>
                  <w14:solidFill>
                    <w14:schemeClr w14:val="tx1"/>
                  </w14:solidFill>
                </w14:textFill>
              </w:rPr>
              <w:t>无漏</w:t>
            </w:r>
            <w:r>
              <w:rPr>
                <w:rFonts w:hint="eastAsia" w:ascii="宋体" w:hAnsi="宋体" w:eastAsia="宋体" w:cs="宋体"/>
                <w:color w:val="000000" w:themeColor="text1"/>
                <w:sz w:val="24"/>
                <w:szCs w:val="24"/>
                <w:highlight w:val="none"/>
                <w14:textFill>
                  <w14:solidFill>
                    <w14:schemeClr w14:val="tx1"/>
                  </w14:solidFill>
                </w14:textFill>
              </w:rPr>
              <w:t>液、有无带电；</w:t>
            </w:r>
          </w:p>
          <w:p w14:paraId="1AC9DF90">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2）检查动力蓄电池布局和安装位置，确认诊断接口是否安好，对动力蓄电池 电压、温度等参数进行检测，评估其安全状态； </w:t>
            </w:r>
          </w:p>
          <w:p w14:paraId="4E5D14A8">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3）断开动力蓄电池高压回路； </w:t>
            </w:r>
          </w:p>
          <w:p w14:paraId="3D6B34B7">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4）人工将油液储存装置利用专业打孔装置打孔，通过废油液抽取机将车内的废油液收集至各自的废油液收集罐/储油罐内； </w:t>
            </w:r>
          </w:p>
          <w:p w14:paraId="0ACDB40B">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5）人工利用汽车制冷剂收集装置将空调处理系统中制冷剂抽取。汽车制冷剂回收采用专用回收装置，将报废机动车制冷系统低压侧与回收装置吸口入口连接，回收罐与回收装置的液体出口连接，回收装置中的压缩机将制冷系统中的制冷剂蒸气吸入回收装置中，经过压缩冷凝变成液态制冷剂； </w:t>
            </w:r>
          </w:p>
          <w:p w14:paraId="437909A4">
            <w:pPr>
              <w:keepNext w:val="0"/>
              <w:keepLines w:val="0"/>
              <w:pageBreakBefore w:val="0"/>
              <w:widowControl w:val="0"/>
              <w:tabs>
                <w:tab w:val="left" w:pos="818"/>
              </w:tabs>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6）拆卸动力电池组和电机；</w:t>
            </w:r>
          </w:p>
          <w:p w14:paraId="7B30B3B1">
            <w:pPr>
              <w:keepNext w:val="0"/>
              <w:keepLines w:val="0"/>
              <w:pageBreakBefore w:val="0"/>
              <w:widowControl w:val="0"/>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7）使用安全气囊引爆器拆除并引爆安全气囊：本项目安全气囊引爆在一个密闭空间进行，通过控制触控开关，连接线路触及蓄电池正负极，对安全气囊进行引爆，从而将报废机动车内的气囊移出。</w:t>
            </w:r>
          </w:p>
          <w:p w14:paraId="514DA7C8">
            <w:pPr>
              <w:keepNext w:val="0"/>
              <w:keepLines w:val="0"/>
              <w:pageBreakBefore w:val="0"/>
              <w:widowControl w:val="0"/>
              <w:kinsoku/>
              <w:wordWrap w:val="0"/>
              <w:overflowPunct/>
              <w:topLinePunct/>
              <w:autoSpaceDE/>
              <w:autoSpaceDN/>
              <w:bidi w:val="0"/>
              <w:snapToGrid/>
              <w:spacing w:line="4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3 \* GB3 \* MERGEFORMAT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③</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报废电动汽车拆解参照报废农机拆解</w:t>
            </w:r>
          </w:p>
          <w:p w14:paraId="1D6EBC84">
            <w:pPr>
              <w:keepNext w:val="0"/>
              <w:keepLines w:val="0"/>
              <w:pageBreakBefore w:val="0"/>
              <w:widowControl w:val="0"/>
              <w:kinsoku/>
              <w:overflowPunct/>
              <w:autoSpaceDE/>
              <w:autoSpaceDN/>
              <w:bidi w:val="0"/>
              <w:adjustRightInd w:val="0"/>
              <w:snapToGrid/>
              <w:spacing w:line="460" w:lineRule="exact"/>
              <w:ind w:left="0" w:leftChars="0" w:right="0" w:rightChars="0"/>
              <w:outlineLvl w:val="9"/>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eastAsia="zh-CN"/>
                <w14:textFill>
                  <w14:solidFill>
                    <w14:schemeClr w14:val="tx1"/>
                  </w14:solidFill>
                </w14:textFill>
              </w:rPr>
              <w:t>　</w:t>
            </w:r>
            <w:r>
              <w:rPr>
                <w:rFonts w:hint="eastAsia" w:ascii="宋体" w:hAnsi="宋体" w:eastAsia="宋体" w:cs="宋体"/>
                <w:bCs/>
                <w:color w:val="000000" w:themeColor="text1"/>
                <w:sz w:val="24"/>
                <w:szCs w:val="24"/>
                <w14:textFill>
                  <w14:solidFill>
                    <w14:schemeClr w14:val="tx1"/>
                  </w14:solidFill>
                </w14:textFill>
              </w:rPr>
              <w:t>（4）安全气囊引爆工艺说明</w:t>
            </w:r>
          </w:p>
          <w:p w14:paraId="70748D3A">
            <w:pPr>
              <w:keepNext w:val="0"/>
              <w:keepLines w:val="0"/>
              <w:pageBreakBefore w:val="0"/>
              <w:widowControl w:val="0"/>
              <w:kinsoku/>
              <w:overflowPunct/>
              <w:autoSpaceDE/>
              <w:autoSpaceDN/>
              <w:bidi w:val="0"/>
              <w:adjustRightInd w:val="0"/>
              <w:snapToGrid/>
              <w:spacing w:line="460" w:lineRule="exact"/>
              <w:ind w:left="0" w:leftChars="0" w:right="0" w:rightChars="0" w:firstLine="482"/>
              <w:outlineLvl w:val="9"/>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项目采用将安全气囊组件拆除后再引爆的方式，典型的气囊系统包括二个组成部分：探测碰撞点火装置（或称传感器），气体发生器的气囊（或称气袋）。</w:t>
            </w:r>
          </w:p>
          <w:p w14:paraId="62AF0D2C">
            <w:pPr>
              <w:keepNext w:val="0"/>
              <w:keepLines w:val="0"/>
              <w:pageBreakBefore w:val="0"/>
              <w:widowControl w:val="0"/>
              <w:kinsoku/>
              <w:overflowPunct/>
              <w:autoSpaceDE/>
              <w:autoSpaceDN/>
              <w:bidi w:val="0"/>
              <w:snapToGrid/>
              <w:spacing w:line="460" w:lineRule="exact"/>
              <w:ind w:left="0" w:leftChars="0" w:right="0" w:rightChars="0" w:firstLine="482"/>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充气剂为叠氮化钠（NaN</w:t>
            </w:r>
            <w:r>
              <w:rPr>
                <w:rFonts w:hint="eastAsia" w:ascii="宋体" w:hAnsi="宋体" w:eastAsia="宋体" w:cs="宋体"/>
                <w:color w:val="000000" w:themeColor="text1"/>
                <w:sz w:val="24"/>
                <w:szCs w:val="24"/>
                <w:vertAlign w:val="sub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在近乎爆炸的化学反应快速发生的同时，会产生大量无害的以氮气为主的气体，将气囊充气至饱满的状态。同时在充气剂点燃的过程之中，点火器总成中的金属网罩可冷却快速膨胀的气体，随即气囊可由设计好的小排气口排气，排出的气体主要成分为氮气，对空气环境影响较小。</w:t>
            </w:r>
          </w:p>
          <w:p w14:paraId="376EC429">
            <w:pPr>
              <w:spacing w:beforeLines="80"/>
              <w:ind w:firstLine="48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drawing>
                <wp:inline distT="0" distB="0" distL="114300" distR="114300">
                  <wp:extent cx="3825875" cy="2399665"/>
                  <wp:effectExtent l="0" t="0" r="3175" b="635"/>
                  <wp:docPr id="74" name="图片框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框 1080"/>
                          <pic:cNvPicPr>
                            <a:picLocks noChangeAspect="1"/>
                          </pic:cNvPicPr>
                        </pic:nvPicPr>
                        <pic:blipFill>
                          <a:blip r:embed="rId21">
                            <a:lum/>
                          </a:blip>
                          <a:stretch>
                            <a:fillRect/>
                          </a:stretch>
                        </pic:blipFill>
                        <pic:spPr>
                          <a:xfrm>
                            <a:off x="0" y="0"/>
                            <a:ext cx="3825875" cy="2399665"/>
                          </a:xfrm>
                          <a:prstGeom prst="rect">
                            <a:avLst/>
                          </a:prstGeom>
                          <a:noFill/>
                          <a:ln>
                            <a:noFill/>
                          </a:ln>
                        </pic:spPr>
                      </pic:pic>
                    </a:graphicData>
                  </a:graphic>
                </wp:inline>
              </w:drawing>
            </w:r>
            <w:r>
              <w:rPr>
                <w:rFonts w:hint="eastAsia" w:ascii="宋体" w:hAnsi="宋体" w:eastAsia="宋体" w:cs="宋体"/>
                <w:color w:val="000000" w:themeColor="text1"/>
                <w14:textFill>
                  <w14:solidFill>
                    <w14:schemeClr w14:val="tx1"/>
                  </w14:solidFill>
                </w14:textFill>
              </w:rPr>
              <w:t xml:space="preserve"> </w:t>
            </w:r>
          </w:p>
          <w:p w14:paraId="03A6817F">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图2-</w:t>
            </w:r>
            <w:r>
              <w:rPr>
                <w:rFonts w:hint="eastAsia" w:ascii="宋体" w:hAnsi="宋体" w:eastAsia="宋体" w:cs="宋体"/>
                <w:b/>
                <w:color w:val="000000" w:themeColor="text1"/>
                <w:lang w:val="en-US" w:eastAsia="zh-CN"/>
                <w14:textFill>
                  <w14:solidFill>
                    <w14:schemeClr w14:val="tx1"/>
                  </w14:solidFill>
                </w14:textFill>
              </w:rPr>
              <w:t>6</w:t>
            </w:r>
            <w:r>
              <w:rPr>
                <w:rFonts w:hint="eastAsia" w:ascii="宋体" w:hAnsi="宋体" w:eastAsia="宋体" w:cs="宋体"/>
                <w:b/>
                <w:color w:val="000000" w:themeColor="text1"/>
                <w14:textFill>
                  <w14:solidFill>
                    <w14:schemeClr w14:val="tx1"/>
                  </w14:solidFill>
                </w14:textFill>
              </w:rPr>
              <w:t xml:space="preserve"> 安全气囊引爆过程图</w:t>
            </w:r>
          </w:p>
          <w:p w14:paraId="6F1E490D">
            <w:pPr>
              <w:spacing w:line="360" w:lineRule="auto"/>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lang w:eastAsia="zh-CN"/>
                <w14:textFill>
                  <w14:solidFill>
                    <w14:schemeClr w14:val="tx1"/>
                  </w14:solidFill>
                </w14:textFill>
              </w:rPr>
              <w:t>二、</w:t>
            </w:r>
            <w:r>
              <w:rPr>
                <w:rFonts w:hint="eastAsia" w:ascii="宋体" w:hAnsi="宋体" w:eastAsia="宋体" w:cs="宋体"/>
                <w:b/>
                <w:color w:val="000000" w:themeColor="text1"/>
                <w14:textFill>
                  <w14:solidFill>
                    <w14:schemeClr w14:val="tx1"/>
                  </w14:solidFill>
                </w14:textFill>
              </w:rPr>
              <w:t>产污环节：</w:t>
            </w:r>
          </w:p>
          <w:p w14:paraId="54CE5829">
            <w:pPr>
              <w:pStyle w:val="39"/>
              <w:keepNext w:val="0"/>
              <w:keepLines w:val="0"/>
              <w:pageBreakBefore w:val="0"/>
              <w:widowControl w:val="0"/>
              <w:kinsoku/>
              <w:wordWrap/>
              <w:overflowPunct/>
              <w:topLinePunct w:val="0"/>
              <w:autoSpaceDE/>
              <w:autoSpaceDN/>
              <w:bidi w:val="0"/>
              <w:adjustRightInd/>
              <w:snapToGrid/>
              <w:spacing w:line="240" w:lineRule="atLeast"/>
              <w:ind w:firstLine="482"/>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w:t>
            </w: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 xml:space="preserve">7 </w:t>
            </w:r>
            <w:r>
              <w:rPr>
                <w:rFonts w:hint="eastAsia" w:ascii="宋体" w:hAnsi="宋体" w:eastAsia="宋体" w:cs="宋体"/>
                <w:color w:val="000000" w:themeColor="text1"/>
                <w:sz w:val="21"/>
                <w:szCs w:val="21"/>
                <w14:textFill>
                  <w14:solidFill>
                    <w14:schemeClr w14:val="tx1"/>
                  </w14:solidFill>
                </w14:textFill>
              </w:rPr>
              <w:t xml:space="preserve"> 产污环节汇总</w:t>
            </w:r>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97"/>
              <w:gridCol w:w="644"/>
              <w:gridCol w:w="2155"/>
              <w:gridCol w:w="1390"/>
              <w:gridCol w:w="3689"/>
            </w:tblGrid>
            <w:tr w14:paraId="6C9370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2" w:hRule="atLeast"/>
                <w:tblHeader/>
                <w:jc w:val="center"/>
              </w:trPr>
              <w:tc>
                <w:tcPr>
                  <w:tcW w:w="732" w:type="pct"/>
                  <w:gridSpan w:val="2"/>
                  <w:tcBorders>
                    <w:tl2br w:val="nil"/>
                    <w:tr2bl w:val="nil"/>
                  </w:tcBorders>
                  <w:vAlign w:val="center"/>
                </w:tcPr>
                <w:p w14:paraId="1D7C8B4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项目</w:t>
                  </w:r>
                </w:p>
              </w:tc>
              <w:tc>
                <w:tcPr>
                  <w:tcW w:w="1271" w:type="pct"/>
                  <w:tcBorders>
                    <w:tl2br w:val="nil"/>
                    <w:tr2bl w:val="nil"/>
                  </w:tcBorders>
                  <w:vAlign w:val="center"/>
                </w:tcPr>
                <w:p w14:paraId="562ECF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污染物名称</w:t>
                  </w:r>
                </w:p>
              </w:tc>
              <w:tc>
                <w:tcPr>
                  <w:tcW w:w="820" w:type="pct"/>
                  <w:tcBorders>
                    <w:tl2br w:val="nil"/>
                    <w:tr2bl w:val="nil"/>
                  </w:tcBorders>
                  <w:vAlign w:val="center"/>
                </w:tcPr>
                <w:p w14:paraId="44F682C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产生工序</w:t>
                  </w:r>
                </w:p>
              </w:tc>
              <w:tc>
                <w:tcPr>
                  <w:tcW w:w="2175" w:type="pct"/>
                  <w:tcBorders>
                    <w:tl2br w:val="nil"/>
                    <w:tr2bl w:val="nil"/>
                  </w:tcBorders>
                  <w:vAlign w:val="center"/>
                </w:tcPr>
                <w:p w14:paraId="3D452C5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污染因子</w:t>
                  </w:r>
                </w:p>
              </w:tc>
            </w:tr>
            <w:tr w14:paraId="3443C6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732" w:type="pct"/>
                  <w:gridSpan w:val="2"/>
                  <w:tcBorders>
                    <w:tl2br w:val="nil"/>
                    <w:tr2bl w:val="nil"/>
                  </w:tcBorders>
                  <w:vAlign w:val="center"/>
                </w:tcPr>
                <w:p w14:paraId="55A6EDE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废水污染源</w:t>
                  </w:r>
                </w:p>
              </w:tc>
              <w:tc>
                <w:tcPr>
                  <w:tcW w:w="1271" w:type="pct"/>
                  <w:tcBorders>
                    <w:tl2br w:val="nil"/>
                    <w:tr2bl w:val="nil"/>
                  </w:tcBorders>
                  <w:vAlign w:val="center"/>
                </w:tcPr>
                <w:p w14:paraId="0BE24FE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生活污水</w:t>
                  </w:r>
                </w:p>
              </w:tc>
              <w:tc>
                <w:tcPr>
                  <w:tcW w:w="820" w:type="pct"/>
                  <w:tcBorders>
                    <w:tl2br w:val="nil"/>
                    <w:tr2bl w:val="nil"/>
                  </w:tcBorders>
                  <w:vAlign w:val="center"/>
                </w:tcPr>
                <w:p w14:paraId="77F4325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日常生活</w:t>
                  </w:r>
                </w:p>
              </w:tc>
              <w:tc>
                <w:tcPr>
                  <w:tcW w:w="2175" w:type="pct"/>
                  <w:tcBorders>
                    <w:tl2br w:val="nil"/>
                    <w:tr2bl w:val="nil"/>
                  </w:tcBorders>
                  <w:vAlign w:val="center"/>
                </w:tcPr>
                <w:p w14:paraId="21C3648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COD、氨氮、SS、BOD</w:t>
                  </w:r>
                  <w:r>
                    <w:rPr>
                      <w:rFonts w:hint="eastAsia" w:ascii="宋体" w:hAnsi="宋体" w:eastAsia="宋体" w:cs="宋体"/>
                      <w:color w:val="000000" w:themeColor="text1"/>
                      <w:sz w:val="18"/>
                      <w:szCs w:val="18"/>
                      <w:vertAlign w:val="subscript"/>
                      <w14:textFill>
                        <w14:solidFill>
                          <w14:schemeClr w14:val="tx1"/>
                        </w14:solidFill>
                      </w14:textFill>
                    </w:rPr>
                    <w:t>5</w:t>
                  </w:r>
                </w:p>
              </w:tc>
            </w:tr>
            <w:tr w14:paraId="0893FD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2" w:type="pct"/>
                  <w:gridSpan w:val="2"/>
                  <w:vMerge w:val="restart"/>
                  <w:tcBorders>
                    <w:tl2br w:val="nil"/>
                    <w:tr2bl w:val="nil"/>
                  </w:tcBorders>
                  <w:vAlign w:val="center"/>
                </w:tcPr>
                <w:p w14:paraId="222476D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大气污染源</w:t>
                  </w:r>
                </w:p>
              </w:tc>
              <w:tc>
                <w:tcPr>
                  <w:tcW w:w="1271" w:type="pct"/>
                  <w:tcBorders>
                    <w:tl2br w:val="nil"/>
                    <w:tr2bl w:val="nil"/>
                  </w:tcBorders>
                  <w:vAlign w:val="center"/>
                </w:tcPr>
                <w:p w14:paraId="4BD185A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拆解粉尘</w:t>
                  </w:r>
                </w:p>
              </w:tc>
              <w:tc>
                <w:tcPr>
                  <w:tcW w:w="820" w:type="pct"/>
                  <w:tcBorders>
                    <w:tl2br w:val="nil"/>
                    <w:tr2bl w:val="nil"/>
                  </w:tcBorders>
                  <w:vAlign w:val="center"/>
                </w:tcPr>
                <w:p w14:paraId="02CE08D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拆解</w:t>
                  </w:r>
                </w:p>
              </w:tc>
              <w:tc>
                <w:tcPr>
                  <w:tcW w:w="2175" w:type="pct"/>
                  <w:tcBorders>
                    <w:tl2br w:val="nil"/>
                    <w:tr2bl w:val="nil"/>
                  </w:tcBorders>
                  <w:vAlign w:val="center"/>
                </w:tcPr>
                <w:p w14:paraId="5542304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颗粒物</w:t>
                  </w:r>
                </w:p>
              </w:tc>
            </w:tr>
            <w:tr w14:paraId="07EF20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2" w:type="pct"/>
                  <w:gridSpan w:val="2"/>
                  <w:vMerge w:val="continue"/>
                  <w:tcBorders>
                    <w:tl2br w:val="nil"/>
                    <w:tr2bl w:val="nil"/>
                  </w:tcBorders>
                  <w:vAlign w:val="center"/>
                </w:tcPr>
                <w:p w14:paraId="18CA026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vAlign w:val="center"/>
                </w:tcPr>
                <w:p w14:paraId="06721F9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废油液散发废气</w:t>
                  </w:r>
                </w:p>
              </w:tc>
              <w:tc>
                <w:tcPr>
                  <w:tcW w:w="820" w:type="pct"/>
                  <w:tcBorders>
                    <w:tl2br w:val="nil"/>
                    <w:tr2bl w:val="nil"/>
                  </w:tcBorders>
                  <w:vAlign w:val="center"/>
                </w:tcPr>
                <w:p w14:paraId="2011A84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排空废油</w:t>
                  </w:r>
                </w:p>
              </w:tc>
              <w:tc>
                <w:tcPr>
                  <w:tcW w:w="2175" w:type="pct"/>
                  <w:tcBorders>
                    <w:tl2br w:val="nil"/>
                    <w:tr2bl w:val="nil"/>
                  </w:tcBorders>
                  <w:vAlign w:val="center"/>
                </w:tcPr>
                <w:p w14:paraId="2B8BB1B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非甲烷总烃</w:t>
                  </w:r>
                </w:p>
              </w:tc>
            </w:tr>
            <w:tr w14:paraId="4D75A2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732" w:type="pct"/>
                  <w:gridSpan w:val="2"/>
                  <w:vMerge w:val="continue"/>
                  <w:tcBorders>
                    <w:tl2br w:val="nil"/>
                    <w:tr2bl w:val="nil"/>
                  </w:tcBorders>
                  <w:vAlign w:val="center"/>
                </w:tcPr>
                <w:p w14:paraId="7BFFBC2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vAlign w:val="center"/>
                </w:tcPr>
                <w:p w14:paraId="42951F25">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制冷剂回收废气</w:t>
                  </w:r>
                </w:p>
              </w:tc>
              <w:tc>
                <w:tcPr>
                  <w:tcW w:w="820" w:type="pct"/>
                  <w:tcBorders>
                    <w:tl2br w:val="nil"/>
                    <w:tr2bl w:val="nil"/>
                  </w:tcBorders>
                  <w:vAlign w:val="center"/>
                </w:tcPr>
                <w:p w14:paraId="3FE6A5A5">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排空制冷剂</w:t>
                  </w:r>
                </w:p>
              </w:tc>
              <w:tc>
                <w:tcPr>
                  <w:tcW w:w="2175" w:type="pct"/>
                  <w:tcBorders>
                    <w:tl2br w:val="nil"/>
                    <w:tr2bl w:val="nil"/>
                  </w:tcBorders>
                  <w:vAlign w:val="center"/>
                </w:tcPr>
                <w:p w14:paraId="544C1BF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非甲烷总烃</w:t>
                  </w:r>
                </w:p>
              </w:tc>
            </w:tr>
            <w:tr w14:paraId="44A1CD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732" w:type="pct"/>
                  <w:gridSpan w:val="2"/>
                  <w:vMerge w:val="continue"/>
                  <w:tcBorders>
                    <w:tl2br w:val="nil"/>
                    <w:tr2bl w:val="nil"/>
                  </w:tcBorders>
                  <w:vAlign w:val="center"/>
                </w:tcPr>
                <w:p w14:paraId="77AE321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vAlign w:val="center"/>
                </w:tcPr>
                <w:p w14:paraId="34C7CF9D">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切割废气</w:t>
                  </w:r>
                </w:p>
              </w:tc>
              <w:tc>
                <w:tcPr>
                  <w:tcW w:w="820" w:type="pct"/>
                  <w:tcBorders>
                    <w:tl2br w:val="nil"/>
                    <w:tr2bl w:val="nil"/>
                  </w:tcBorders>
                  <w:vAlign w:val="center"/>
                </w:tcPr>
                <w:p w14:paraId="7164CCDD">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切割</w:t>
                  </w:r>
                </w:p>
              </w:tc>
              <w:tc>
                <w:tcPr>
                  <w:tcW w:w="2175" w:type="pct"/>
                  <w:tcBorders>
                    <w:tl2br w:val="nil"/>
                    <w:tr2bl w:val="nil"/>
                  </w:tcBorders>
                  <w:vAlign w:val="center"/>
                </w:tcPr>
                <w:p w14:paraId="03B0CB8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颗粒物</w:t>
                  </w:r>
                </w:p>
              </w:tc>
            </w:tr>
            <w:tr w14:paraId="5F0E2A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732" w:type="pct"/>
                  <w:gridSpan w:val="2"/>
                  <w:vMerge w:val="continue"/>
                  <w:tcBorders>
                    <w:tl2br w:val="nil"/>
                    <w:tr2bl w:val="nil"/>
                  </w:tcBorders>
                  <w:vAlign w:val="center"/>
                </w:tcPr>
                <w:p w14:paraId="1D65394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vAlign w:val="center"/>
                </w:tcPr>
                <w:p w14:paraId="6D8B7EB2">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尼龙粉尘</w:t>
                  </w:r>
                </w:p>
              </w:tc>
              <w:tc>
                <w:tcPr>
                  <w:tcW w:w="820" w:type="pct"/>
                  <w:tcBorders>
                    <w:tl2br w:val="nil"/>
                    <w:tr2bl w:val="nil"/>
                  </w:tcBorders>
                  <w:vAlign w:val="center"/>
                </w:tcPr>
                <w:p w14:paraId="77F87F89">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引爆安全气囊</w:t>
                  </w:r>
                </w:p>
              </w:tc>
              <w:tc>
                <w:tcPr>
                  <w:tcW w:w="2175" w:type="pct"/>
                  <w:tcBorders>
                    <w:tl2br w:val="nil"/>
                    <w:tr2bl w:val="nil"/>
                  </w:tcBorders>
                  <w:vAlign w:val="center"/>
                </w:tcPr>
                <w:p w14:paraId="7B56B8DE">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颗粒物</w:t>
                  </w:r>
                </w:p>
              </w:tc>
            </w:tr>
            <w:tr w14:paraId="258B25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732" w:type="pct"/>
                  <w:gridSpan w:val="2"/>
                  <w:vMerge w:val="continue"/>
                  <w:tcBorders>
                    <w:tl2br w:val="nil"/>
                    <w:tr2bl w:val="nil"/>
                  </w:tcBorders>
                  <w:vAlign w:val="center"/>
                </w:tcPr>
                <w:p w14:paraId="4B42B49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vAlign w:val="center"/>
                </w:tcPr>
                <w:p w14:paraId="18481AB7">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废破损铅酸蓄电池废气</w:t>
                  </w:r>
                </w:p>
              </w:tc>
              <w:tc>
                <w:tcPr>
                  <w:tcW w:w="820" w:type="pct"/>
                  <w:tcBorders>
                    <w:tl2br w:val="nil"/>
                    <w:tr2bl w:val="nil"/>
                  </w:tcBorders>
                  <w:vAlign w:val="center"/>
                </w:tcPr>
                <w:p w14:paraId="162F4BA2">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非正常情况下拆解过程铅酸蓄电池破损</w:t>
                  </w:r>
                </w:p>
              </w:tc>
              <w:tc>
                <w:tcPr>
                  <w:tcW w:w="2175" w:type="pct"/>
                  <w:tcBorders>
                    <w:tl2br w:val="nil"/>
                    <w:tr2bl w:val="nil"/>
                  </w:tcBorders>
                  <w:vAlign w:val="center"/>
                </w:tcPr>
                <w:p w14:paraId="35728B94">
                  <w:pPr>
                    <w:keepNext w:val="0"/>
                    <w:keepLines w:val="0"/>
                    <w:pageBreakBefore w:val="0"/>
                    <w:widowControl w:val="0"/>
                    <w:tabs>
                      <w:tab w:val="left" w:pos="3755"/>
                    </w:tabs>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酸雾、铅尘</w:t>
                  </w:r>
                </w:p>
              </w:tc>
            </w:tr>
            <w:tr w14:paraId="4C58A1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732" w:type="pct"/>
                  <w:gridSpan w:val="2"/>
                  <w:tcBorders>
                    <w:tl2br w:val="nil"/>
                    <w:tr2bl w:val="nil"/>
                  </w:tcBorders>
                  <w:vAlign w:val="center"/>
                </w:tcPr>
                <w:p w14:paraId="255D1D8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噪声源</w:t>
                  </w:r>
                </w:p>
              </w:tc>
              <w:tc>
                <w:tcPr>
                  <w:tcW w:w="4267" w:type="pct"/>
                  <w:gridSpan w:val="3"/>
                  <w:tcBorders>
                    <w:tl2br w:val="nil"/>
                    <w:tr2bl w:val="nil"/>
                  </w:tcBorders>
                  <w:vAlign w:val="center"/>
                </w:tcPr>
                <w:p w14:paraId="4FA38101">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切割</w:t>
                  </w:r>
                  <w:r>
                    <w:rPr>
                      <w:rFonts w:hint="eastAsia" w:ascii="宋体" w:hAnsi="宋体" w:eastAsia="宋体" w:cs="宋体"/>
                      <w:color w:val="000000" w:themeColor="text1"/>
                      <w:sz w:val="18"/>
                      <w:szCs w:val="18"/>
                      <w14:textFill>
                        <w14:solidFill>
                          <w14:schemeClr w14:val="tx1"/>
                        </w14:solidFill>
                      </w14:textFill>
                    </w:rPr>
                    <w:t>、航吊、空压机、拆胎机、安全汽囊引爆装置、机械敲打声等产生的噪声</w:t>
                  </w:r>
                </w:p>
              </w:tc>
            </w:tr>
            <w:tr w14:paraId="146846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52" w:type="pct"/>
                  <w:vMerge w:val="restart"/>
                  <w:tcBorders>
                    <w:tl2br w:val="nil"/>
                    <w:tr2bl w:val="nil"/>
                  </w:tcBorders>
                  <w:vAlign w:val="center"/>
                </w:tcPr>
                <w:p w14:paraId="60D295C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固体</w:t>
                  </w:r>
                </w:p>
                <w:p w14:paraId="66CF85F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废物</w:t>
                  </w:r>
                </w:p>
              </w:tc>
              <w:tc>
                <w:tcPr>
                  <w:tcW w:w="379" w:type="pct"/>
                  <w:vMerge w:val="restart"/>
                  <w:tcBorders>
                    <w:tl2br w:val="nil"/>
                    <w:tr2bl w:val="nil"/>
                  </w:tcBorders>
                  <w:shd w:val="clear" w:color="auto" w:fill="auto"/>
                  <w:vAlign w:val="center"/>
                </w:tcPr>
                <w:p w14:paraId="12A2F83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危险废物</w:t>
                  </w:r>
                </w:p>
              </w:tc>
              <w:tc>
                <w:tcPr>
                  <w:tcW w:w="1271" w:type="pct"/>
                  <w:tcBorders>
                    <w:tl2br w:val="nil"/>
                    <w:tr2bl w:val="nil"/>
                  </w:tcBorders>
                  <w:shd w:val="clear" w:color="auto" w:fill="auto"/>
                  <w:vAlign w:val="center"/>
                </w:tcPr>
                <w:p w14:paraId="34A81E6A">
                  <w:pPr>
                    <w:keepNext w:val="0"/>
                    <w:keepLines w:val="0"/>
                    <w:pageBreakBefore w:val="0"/>
                    <w:widowControl w:val="0"/>
                    <w:kinsoku/>
                    <w:wordWrap/>
                    <w:overflowPunct/>
                    <w:topLinePunct w:val="0"/>
                    <w:autoSpaceDE/>
                    <w:autoSpaceDN/>
                    <w:bidi w:val="0"/>
                    <w:adjustRightInd/>
                    <w:snapToGrid/>
                    <w:spacing w:line="240" w:lineRule="atLeast"/>
                    <w:ind w:right="120" w:rightChars="0"/>
                    <w:jc w:val="center"/>
                    <w:textAlignment w:val="auto"/>
                    <w:rPr>
                      <w:rFonts w:hint="eastAsia" w:ascii="宋体" w:hAnsi="宋体" w:eastAsia="宋体" w:cs="宋体"/>
                      <w:color w:val="000000" w:themeColor="text1"/>
                      <w:kern w:val="2"/>
                      <w:sz w:val="18"/>
                      <w:szCs w:val="18"/>
                      <w:highlight w:val="darkGray"/>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14:textFill>
                        <w14:solidFill>
                          <w14:schemeClr w14:val="tx1"/>
                        </w14:solidFill>
                      </w14:textFill>
                    </w:rPr>
                    <w:t>废有机溶剂与含有机</w:t>
                  </w:r>
                  <w:r>
                    <w:rPr>
                      <w:rFonts w:hint="eastAsia" w:ascii="宋体" w:hAnsi="宋体" w:eastAsia="宋体" w:cs="宋体"/>
                      <w:color w:val="000000" w:themeColor="text1"/>
                      <w:spacing w:val="-2"/>
                      <w:sz w:val="18"/>
                      <w:szCs w:val="18"/>
                      <w:highlight w:val="none"/>
                      <w14:textFill>
                        <w14:solidFill>
                          <w14:schemeClr w14:val="tx1"/>
                        </w14:solidFill>
                      </w14:textFill>
                    </w:rPr>
                    <w:t>溶剂废物</w:t>
                  </w:r>
                </w:p>
              </w:tc>
              <w:tc>
                <w:tcPr>
                  <w:tcW w:w="820" w:type="pct"/>
                  <w:tcBorders>
                    <w:tl2br w:val="nil"/>
                    <w:tr2bl w:val="nil"/>
                  </w:tcBorders>
                  <w:shd w:val="clear" w:color="auto" w:fill="auto"/>
                  <w:vAlign w:val="center"/>
                </w:tcPr>
                <w:p w14:paraId="31BCC56B">
                  <w:pPr>
                    <w:keepNext w:val="0"/>
                    <w:keepLines w:val="0"/>
                    <w:pageBreakBefore w:val="0"/>
                    <w:widowControl w:val="0"/>
                    <w:kinsoku/>
                    <w:wordWrap/>
                    <w:overflowPunct/>
                    <w:topLinePunct w:val="0"/>
                    <w:autoSpaceDE/>
                    <w:autoSpaceDN/>
                    <w:bidi w:val="0"/>
                    <w:adjustRightInd/>
                    <w:snapToGrid/>
                    <w:spacing w:line="240" w:lineRule="atLeast"/>
                    <w:ind w:right="143" w:righ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拆解或零部件清洗过程产生</w:t>
                  </w:r>
                </w:p>
              </w:tc>
              <w:tc>
                <w:tcPr>
                  <w:tcW w:w="2175" w:type="pct"/>
                  <w:tcBorders>
                    <w:tl2br w:val="nil"/>
                    <w:tr2bl w:val="nil"/>
                  </w:tcBorders>
                  <w:shd w:val="clear" w:color="auto" w:fill="auto"/>
                  <w:vAlign w:val="top"/>
                </w:tcPr>
                <w:p w14:paraId="573BB221">
                  <w:pPr>
                    <w:keepNext w:val="0"/>
                    <w:keepLines w:val="0"/>
                    <w:pageBreakBefore w:val="0"/>
                    <w:widowControl w:val="0"/>
                    <w:kinsoku/>
                    <w:wordWrap/>
                    <w:overflowPunct/>
                    <w:topLinePunct w:val="0"/>
                    <w:autoSpaceDE/>
                    <w:autoSpaceDN/>
                    <w:bidi w:val="0"/>
                    <w:adjustRightInd/>
                    <w:snapToGrid/>
                    <w:spacing w:line="240" w:lineRule="atLeast"/>
                    <w:ind w:right="143" w:rightChars="0"/>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废有机溶剂、专用清洗剂、防冻液和动力电池冷却液等</w:t>
                  </w:r>
                </w:p>
              </w:tc>
            </w:tr>
            <w:tr w14:paraId="02D933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524B6A6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center"/>
                </w:tcPr>
                <w:p w14:paraId="11395EE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1090E3A6">
                  <w:pPr>
                    <w:keepNext w:val="0"/>
                    <w:keepLines w:val="0"/>
                    <w:pageBreakBefore w:val="0"/>
                    <w:widowControl w:val="0"/>
                    <w:kinsoku/>
                    <w:wordWrap/>
                    <w:overflowPunct/>
                    <w:topLinePunct w:val="0"/>
                    <w:autoSpaceDE/>
                    <w:autoSpaceDN/>
                    <w:bidi w:val="0"/>
                    <w:adjustRightInd/>
                    <w:snapToGrid/>
                    <w:spacing w:line="240" w:lineRule="atLeast"/>
                    <w:ind w:right="120" w:rightChars="0"/>
                    <w:jc w:val="center"/>
                    <w:textAlignment w:val="auto"/>
                    <w:rPr>
                      <w:rFonts w:hint="eastAsia" w:ascii="宋体" w:hAnsi="宋体" w:eastAsia="宋体" w:cs="宋体"/>
                      <w:color w:val="000000" w:themeColor="text1"/>
                      <w:kern w:val="2"/>
                      <w:sz w:val="18"/>
                      <w:szCs w:val="18"/>
                      <w:highlight w:val="darkGray"/>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14:textFill>
                        <w14:solidFill>
                          <w14:schemeClr w14:val="tx1"/>
                        </w14:solidFill>
                      </w14:textFill>
                    </w:rPr>
                    <w:t>废矿物油与含矿物油</w:t>
                  </w:r>
                  <w:r>
                    <w:rPr>
                      <w:rFonts w:hint="eastAsia" w:ascii="宋体" w:hAnsi="宋体" w:eastAsia="宋体" w:cs="宋体"/>
                      <w:color w:val="000000" w:themeColor="text1"/>
                      <w:spacing w:val="-2"/>
                      <w:sz w:val="18"/>
                      <w:szCs w:val="18"/>
                      <w:highlight w:val="none"/>
                      <w14:textFill>
                        <w14:solidFill>
                          <w14:schemeClr w14:val="tx1"/>
                        </w14:solidFill>
                      </w14:textFill>
                    </w:rPr>
                    <w:t>废物</w:t>
                  </w:r>
                </w:p>
              </w:tc>
              <w:tc>
                <w:tcPr>
                  <w:tcW w:w="820" w:type="pct"/>
                  <w:tcBorders>
                    <w:tl2br w:val="nil"/>
                    <w:tr2bl w:val="nil"/>
                  </w:tcBorders>
                  <w:shd w:val="clear" w:color="auto" w:fill="auto"/>
                  <w:vAlign w:val="center"/>
                </w:tcPr>
                <w:p w14:paraId="0597DDCD">
                  <w:pPr>
                    <w:keepNext w:val="0"/>
                    <w:keepLines w:val="0"/>
                    <w:pageBreakBefore w:val="0"/>
                    <w:widowControl w:val="0"/>
                    <w:kinsoku/>
                    <w:wordWrap/>
                    <w:overflowPunct/>
                    <w:topLinePunct w:val="0"/>
                    <w:autoSpaceDE/>
                    <w:autoSpaceDN/>
                    <w:bidi w:val="0"/>
                    <w:adjustRightInd/>
                    <w:snapToGrid/>
                    <w:spacing w:line="240" w:lineRule="atLeast"/>
                    <w:ind w:right="143" w:righ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036F44B3">
                  <w:pPr>
                    <w:keepNext w:val="0"/>
                    <w:keepLines w:val="0"/>
                    <w:pageBreakBefore w:val="0"/>
                    <w:widowControl w:val="0"/>
                    <w:kinsoku/>
                    <w:wordWrap/>
                    <w:overflowPunct/>
                    <w:topLinePunct w:val="0"/>
                    <w:autoSpaceDE/>
                    <w:autoSpaceDN/>
                    <w:bidi w:val="0"/>
                    <w:adjustRightInd/>
                    <w:snapToGrid/>
                    <w:spacing w:line="240" w:lineRule="atLeast"/>
                    <w:ind w:right="143" w:rightChars="0"/>
                    <w:jc w:val="both"/>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拆解过程产生的机油、刹车油、液压油、润滑油、过滤介质（汽油、机油过滤器</w:t>
                  </w:r>
                  <w:r>
                    <w:rPr>
                      <w:rFonts w:hint="eastAsia" w:ascii="宋体" w:hAnsi="宋体" w:eastAsia="宋体" w:cs="宋体"/>
                      <w:color w:val="000000" w:themeColor="text1"/>
                      <w:spacing w:val="5"/>
                      <w:sz w:val="18"/>
                      <w:szCs w:val="18"/>
                      <w14:textFill>
                        <w14:solidFill>
                          <w14:schemeClr w14:val="tx1"/>
                        </w14:solidFill>
                      </w14:textFill>
                    </w:rPr>
                    <w:t>）；</w:t>
                  </w:r>
                  <w:r>
                    <w:rPr>
                      <w:rFonts w:hint="eastAsia" w:ascii="宋体" w:hAnsi="宋体" w:eastAsia="宋体" w:cs="宋体"/>
                      <w:color w:val="000000" w:themeColor="text1"/>
                      <w:spacing w:val="-1"/>
                      <w:sz w:val="18"/>
                      <w:szCs w:val="18"/>
                      <w14:textFill>
                        <w14:solidFill>
                          <w14:schemeClr w14:val="tx1"/>
                        </w14:solidFill>
                      </w14:textFill>
                    </w:rPr>
                    <w:t>零部件清洗过程产生的废汽油、柴油、煤油等；拆解过程中产生的废油泥</w:t>
                  </w:r>
                </w:p>
              </w:tc>
            </w:tr>
            <w:tr w14:paraId="316FF4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63B6C06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center"/>
                </w:tcPr>
                <w:p w14:paraId="68528DB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76EE31EA">
                  <w:pPr>
                    <w:keepNext w:val="0"/>
                    <w:keepLines w:val="0"/>
                    <w:pageBreakBefore w:val="0"/>
                    <w:widowControl w:val="0"/>
                    <w:kinsoku/>
                    <w:wordWrap/>
                    <w:overflowPunct/>
                    <w:topLinePunct w:val="0"/>
                    <w:autoSpaceDE/>
                    <w:autoSpaceDN/>
                    <w:bidi w:val="0"/>
                    <w:adjustRightInd/>
                    <w:snapToGrid/>
                    <w:spacing w:line="240" w:lineRule="atLeast"/>
                    <w:ind w:left="101"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含汞废物</w:t>
                  </w:r>
                </w:p>
              </w:tc>
              <w:tc>
                <w:tcPr>
                  <w:tcW w:w="820" w:type="pct"/>
                  <w:tcBorders>
                    <w:tl2br w:val="nil"/>
                    <w:tr2bl w:val="nil"/>
                  </w:tcBorders>
                  <w:shd w:val="clear" w:color="auto" w:fill="auto"/>
                  <w:vAlign w:val="center"/>
                </w:tcPr>
                <w:p w14:paraId="29323625">
                  <w:pPr>
                    <w:keepNext w:val="0"/>
                    <w:keepLines w:val="0"/>
                    <w:pageBreakBefore w:val="0"/>
                    <w:widowControl w:val="0"/>
                    <w:kinsoku/>
                    <w:wordWrap/>
                    <w:overflowPunct/>
                    <w:topLinePunct w:val="0"/>
                    <w:autoSpaceDE/>
                    <w:autoSpaceDN/>
                    <w:bidi w:val="0"/>
                    <w:adjustRightInd/>
                    <w:snapToGrid/>
                    <w:spacing w:line="240" w:lineRule="atLeast"/>
                    <w:ind w:right="143" w:righ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2871FDE8">
                  <w:pPr>
                    <w:keepNext w:val="0"/>
                    <w:keepLines w:val="0"/>
                    <w:pageBreakBefore w:val="0"/>
                    <w:widowControl w:val="0"/>
                    <w:kinsoku/>
                    <w:wordWrap/>
                    <w:overflowPunct/>
                    <w:topLinePunct w:val="0"/>
                    <w:autoSpaceDE/>
                    <w:autoSpaceDN/>
                    <w:bidi w:val="0"/>
                    <w:adjustRightInd/>
                    <w:snapToGrid/>
                    <w:spacing w:line="240" w:lineRule="atLeast"/>
                    <w:ind w:right="143" w:rightChars="0"/>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拆解过程产生的废水银开关、含汞荧光灯管及其他废</w:t>
                  </w:r>
                  <w:r>
                    <w:rPr>
                      <w:rFonts w:hint="eastAsia" w:ascii="宋体" w:hAnsi="宋体" w:eastAsia="宋体" w:cs="宋体"/>
                      <w:color w:val="000000" w:themeColor="text1"/>
                      <w:spacing w:val="-2"/>
                      <w:sz w:val="18"/>
                      <w:szCs w:val="18"/>
                      <w14:textFill>
                        <w14:solidFill>
                          <w14:schemeClr w14:val="tx1"/>
                        </w14:solidFill>
                      </w14:textFill>
                    </w:rPr>
                    <w:t>含汞电光源</w:t>
                  </w:r>
                </w:p>
              </w:tc>
            </w:tr>
            <w:tr w14:paraId="4CE77F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464885E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center"/>
                </w:tcPr>
                <w:p w14:paraId="4FEE909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2BDD7645">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废铅蓄电池</w:t>
                  </w:r>
                </w:p>
              </w:tc>
              <w:tc>
                <w:tcPr>
                  <w:tcW w:w="820" w:type="pct"/>
                  <w:tcBorders>
                    <w:tl2br w:val="nil"/>
                    <w:tr2bl w:val="nil"/>
                  </w:tcBorders>
                  <w:shd w:val="clear" w:color="auto" w:fill="auto"/>
                  <w:vAlign w:val="center"/>
                </w:tcPr>
                <w:p w14:paraId="3E25EA0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71ED373C">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拆解过程产生的废铅蓄电池</w:t>
                  </w:r>
                </w:p>
              </w:tc>
            </w:tr>
            <w:tr w14:paraId="28B159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0904FED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center"/>
                </w:tcPr>
                <w:p w14:paraId="5368499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6767A358">
                  <w:pPr>
                    <w:keepNext w:val="0"/>
                    <w:keepLines w:val="0"/>
                    <w:pageBreakBefore w:val="0"/>
                    <w:widowControl w:val="0"/>
                    <w:kinsoku/>
                    <w:wordWrap/>
                    <w:overflowPunct/>
                    <w:topLinePunct w:val="0"/>
                    <w:autoSpaceDE/>
                    <w:autoSpaceDN/>
                    <w:bidi w:val="0"/>
                    <w:adjustRightInd/>
                    <w:snapToGrid/>
                    <w:spacing w:line="240" w:lineRule="atLeast"/>
                    <w:ind w:left="101"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石棉废物</w:t>
                  </w:r>
                </w:p>
              </w:tc>
              <w:tc>
                <w:tcPr>
                  <w:tcW w:w="820" w:type="pct"/>
                  <w:tcBorders>
                    <w:tl2br w:val="nil"/>
                    <w:tr2bl w:val="nil"/>
                  </w:tcBorders>
                  <w:shd w:val="clear" w:color="auto" w:fill="auto"/>
                  <w:vAlign w:val="center"/>
                </w:tcPr>
                <w:p w14:paraId="5A3232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2AE76E5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拆解报废机动车制动器衬片产生的石棉废物</w:t>
                  </w:r>
                </w:p>
              </w:tc>
            </w:tr>
            <w:tr w14:paraId="59EAE4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1A187CB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center"/>
                </w:tcPr>
                <w:p w14:paraId="293E747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4CC7596F">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废活性炭含汞废物</w:t>
                  </w:r>
                </w:p>
              </w:tc>
              <w:tc>
                <w:tcPr>
                  <w:tcW w:w="820" w:type="pct"/>
                  <w:tcBorders>
                    <w:tl2br w:val="nil"/>
                    <w:tr2bl w:val="nil"/>
                  </w:tcBorders>
                  <w:shd w:val="clear" w:color="auto" w:fill="auto"/>
                  <w:vAlign w:val="center"/>
                </w:tcPr>
                <w:p w14:paraId="699BB2AA">
                  <w:pPr>
                    <w:pStyle w:val="119"/>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废气治理</w:t>
                  </w:r>
                </w:p>
              </w:tc>
              <w:tc>
                <w:tcPr>
                  <w:tcW w:w="2175" w:type="pct"/>
                  <w:tcBorders>
                    <w:tl2br w:val="nil"/>
                    <w:tr2bl w:val="nil"/>
                  </w:tcBorders>
                  <w:shd w:val="clear" w:color="auto" w:fill="auto"/>
                  <w:vAlign w:val="top"/>
                </w:tcPr>
                <w:p w14:paraId="29004133">
                  <w:pPr>
                    <w:pStyle w:val="119"/>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en-US"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VOCs 治理过程产生的废活性炭</w:t>
                  </w:r>
                </w:p>
              </w:tc>
            </w:tr>
            <w:tr w14:paraId="058391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27B04E9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center"/>
                </w:tcPr>
                <w:p w14:paraId="07D63D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4715F4A1">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废电路板</w:t>
                  </w:r>
                </w:p>
              </w:tc>
              <w:tc>
                <w:tcPr>
                  <w:tcW w:w="820" w:type="pct"/>
                  <w:tcBorders>
                    <w:tl2br w:val="nil"/>
                    <w:tr2bl w:val="nil"/>
                  </w:tcBorders>
                  <w:shd w:val="clear" w:color="auto" w:fill="auto"/>
                  <w:vAlign w:val="center"/>
                </w:tcPr>
                <w:p w14:paraId="196A03D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45DA8A6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拆解过程产生的废电路板及其元器件</w:t>
                  </w:r>
                </w:p>
              </w:tc>
            </w:tr>
            <w:tr w14:paraId="66E5E4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52" w:type="pct"/>
                  <w:vMerge w:val="continue"/>
                  <w:tcBorders>
                    <w:tl2br w:val="nil"/>
                    <w:tr2bl w:val="nil"/>
                  </w:tcBorders>
                  <w:vAlign w:val="center"/>
                </w:tcPr>
                <w:p w14:paraId="2BDFA6F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center"/>
                </w:tcPr>
                <w:p w14:paraId="3431FA1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3C5949BA">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废尾气催化剂</w:t>
                  </w:r>
                </w:p>
              </w:tc>
              <w:tc>
                <w:tcPr>
                  <w:tcW w:w="820" w:type="pct"/>
                  <w:tcBorders>
                    <w:tl2br w:val="nil"/>
                    <w:tr2bl w:val="nil"/>
                  </w:tcBorders>
                  <w:shd w:val="clear" w:color="auto" w:fill="auto"/>
                  <w:vAlign w:val="center"/>
                </w:tcPr>
                <w:p w14:paraId="5EC3E9B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0A69001B">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拆解过程产生的废催化剂</w:t>
                  </w:r>
                </w:p>
              </w:tc>
            </w:tr>
            <w:tr w14:paraId="2843D8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77C3C7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restart"/>
                  <w:tcBorders>
                    <w:tl2br w:val="nil"/>
                    <w:tr2bl w:val="nil"/>
                  </w:tcBorders>
                  <w:shd w:val="clear" w:color="auto" w:fill="auto"/>
                  <w:vAlign w:val="center"/>
                </w:tcPr>
                <w:p w14:paraId="1FE105D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一般固废</w:t>
                  </w:r>
                </w:p>
              </w:tc>
              <w:tc>
                <w:tcPr>
                  <w:tcW w:w="1271" w:type="pct"/>
                  <w:tcBorders>
                    <w:tl2br w:val="nil"/>
                    <w:tr2bl w:val="nil"/>
                  </w:tcBorders>
                  <w:shd w:val="clear" w:color="auto" w:fill="auto"/>
                  <w:vAlign w:val="center"/>
                </w:tcPr>
                <w:p w14:paraId="112B2652">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废弃车用电子零部件</w:t>
                  </w:r>
                </w:p>
              </w:tc>
              <w:tc>
                <w:tcPr>
                  <w:tcW w:w="820" w:type="pct"/>
                  <w:tcBorders>
                    <w:tl2br w:val="nil"/>
                    <w:tr2bl w:val="nil"/>
                  </w:tcBorders>
                  <w:shd w:val="clear" w:color="auto" w:fill="auto"/>
                  <w:vAlign w:val="center"/>
                </w:tcPr>
                <w:p w14:paraId="6A4A194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25EBA91F">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拆解过程产生的车控电子零部件和车载电子零部件</w:t>
                  </w:r>
                </w:p>
              </w:tc>
            </w:tr>
            <w:tr w14:paraId="09020F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7B478E4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7EDBBE0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4B4AB6E0">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废安全气囊</w:t>
                  </w:r>
                </w:p>
              </w:tc>
              <w:tc>
                <w:tcPr>
                  <w:tcW w:w="820" w:type="pct"/>
                  <w:tcBorders>
                    <w:tl2br w:val="nil"/>
                    <w:tr2bl w:val="nil"/>
                  </w:tcBorders>
                  <w:shd w:val="clear" w:color="auto" w:fill="auto"/>
                  <w:vAlign w:val="center"/>
                </w:tcPr>
                <w:p w14:paraId="4112764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4AA356DA">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拆解过程产生的安全气囊</w:t>
                  </w:r>
                </w:p>
              </w:tc>
            </w:tr>
            <w:tr w14:paraId="08D6B4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4AD991C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1AE5D59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2EE36579">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废制冷剂</w:t>
                  </w:r>
                </w:p>
              </w:tc>
              <w:tc>
                <w:tcPr>
                  <w:tcW w:w="820" w:type="pct"/>
                  <w:tcBorders>
                    <w:tl2br w:val="nil"/>
                    <w:tr2bl w:val="nil"/>
                  </w:tcBorders>
                  <w:shd w:val="clear" w:color="auto" w:fill="auto"/>
                  <w:vAlign w:val="center"/>
                </w:tcPr>
                <w:p w14:paraId="43FF8071">
                  <w:pPr>
                    <w:pStyle w:val="119"/>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en-US"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拆解</w:t>
                  </w:r>
                </w:p>
              </w:tc>
              <w:tc>
                <w:tcPr>
                  <w:tcW w:w="2175" w:type="pct"/>
                  <w:tcBorders>
                    <w:tl2br w:val="nil"/>
                    <w:tr2bl w:val="nil"/>
                  </w:tcBorders>
                  <w:shd w:val="clear" w:color="auto" w:fill="auto"/>
                  <w:vAlign w:val="top"/>
                </w:tcPr>
                <w:p w14:paraId="00031DBF">
                  <w:pPr>
                    <w:pStyle w:val="119"/>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en-US"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拆解过程产生的废制冷剂（CFCs</w:t>
                  </w:r>
                  <w:r>
                    <w:rPr>
                      <w:rFonts w:hint="eastAsia" w:ascii="宋体" w:hAnsi="宋体" w:eastAsia="宋体" w:cs="宋体"/>
                      <w:color w:val="000000" w:themeColor="text1"/>
                      <w:spacing w:val="-9"/>
                      <w:sz w:val="18"/>
                      <w:szCs w:val="18"/>
                      <w14:textFill>
                        <w14:solidFill>
                          <w14:schemeClr w14:val="tx1"/>
                        </w14:solidFill>
                      </w14:textFill>
                    </w:rPr>
                    <w:t xml:space="preserve"> </w:t>
                  </w:r>
                  <w:r>
                    <w:rPr>
                      <w:rFonts w:hint="eastAsia" w:ascii="宋体" w:hAnsi="宋体" w:eastAsia="宋体" w:cs="宋体"/>
                      <w:color w:val="000000" w:themeColor="text1"/>
                      <w:spacing w:val="-2"/>
                      <w:sz w:val="18"/>
                      <w:szCs w:val="18"/>
                      <w14:textFill>
                        <w14:solidFill>
                          <w14:schemeClr w14:val="tx1"/>
                        </w14:solidFill>
                      </w14:textFill>
                    </w:rPr>
                    <w:t>、HFCs 等）</w:t>
                  </w:r>
                </w:p>
              </w:tc>
            </w:tr>
            <w:tr w14:paraId="3E3D21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14098CE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11481B7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7A569B04">
                  <w:pPr>
                    <w:keepNext w:val="0"/>
                    <w:keepLines w:val="0"/>
                    <w:pageBreakBefore w:val="0"/>
                    <w:widowControl w:val="0"/>
                    <w:kinsoku/>
                    <w:wordWrap/>
                    <w:overflowPunct/>
                    <w:topLinePunct w:val="0"/>
                    <w:autoSpaceDE/>
                    <w:autoSpaceDN/>
                    <w:bidi w:val="0"/>
                    <w:adjustRightInd/>
                    <w:snapToGrid/>
                    <w:spacing w:line="240" w:lineRule="atLeast"/>
                    <w:ind w:right="120" w:righ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废旧动力蓄电池（不</w:t>
                  </w:r>
                  <w:r>
                    <w:rPr>
                      <w:rFonts w:hint="eastAsia" w:ascii="宋体" w:hAnsi="宋体" w:eastAsia="宋体" w:cs="宋体"/>
                      <w:color w:val="000000" w:themeColor="text1"/>
                      <w:spacing w:val="-3"/>
                      <w:sz w:val="18"/>
                      <w:szCs w:val="18"/>
                      <w14:textFill>
                        <w14:solidFill>
                          <w14:schemeClr w14:val="tx1"/>
                        </w14:solidFill>
                      </w14:textFill>
                    </w:rPr>
                    <w:t>包含铅蓄电池）</w:t>
                  </w:r>
                </w:p>
              </w:tc>
              <w:tc>
                <w:tcPr>
                  <w:tcW w:w="820" w:type="pct"/>
                  <w:tcBorders>
                    <w:tl2br w:val="nil"/>
                    <w:tr2bl w:val="nil"/>
                  </w:tcBorders>
                  <w:shd w:val="clear" w:color="auto" w:fill="auto"/>
                  <w:vAlign w:val="center"/>
                </w:tcPr>
                <w:p w14:paraId="159A658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47CA61D0">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报废电动汽车拆卸下来的废旧动力蓄电池</w:t>
                  </w:r>
                </w:p>
              </w:tc>
            </w:tr>
            <w:tr w14:paraId="0817B8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2E55D16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1ECE465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549829D2">
                  <w:pPr>
                    <w:keepNext w:val="0"/>
                    <w:keepLines w:val="0"/>
                    <w:pageBreakBefore w:val="0"/>
                    <w:widowControl w:val="0"/>
                    <w:kinsoku/>
                    <w:wordWrap/>
                    <w:overflowPunct/>
                    <w:topLinePunct w:val="0"/>
                    <w:autoSpaceDE/>
                    <w:autoSpaceDN/>
                    <w:bidi w:val="0"/>
                    <w:adjustRightInd/>
                    <w:snapToGrid/>
                    <w:spacing w:line="240" w:lineRule="atLeast"/>
                    <w:ind w:left="102"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液化气罐</w:t>
                  </w:r>
                </w:p>
              </w:tc>
              <w:tc>
                <w:tcPr>
                  <w:tcW w:w="820" w:type="pct"/>
                  <w:tcBorders>
                    <w:tl2br w:val="nil"/>
                    <w:tr2bl w:val="nil"/>
                  </w:tcBorders>
                  <w:shd w:val="clear" w:color="auto" w:fill="auto"/>
                  <w:vAlign w:val="center"/>
                </w:tcPr>
                <w:p w14:paraId="442495F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7C639E7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使用液化气的机动车</w:t>
                  </w:r>
                </w:p>
              </w:tc>
            </w:tr>
            <w:tr w14:paraId="113D91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3C2D475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3795EAA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350E08BB">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废旧轮胎</w:t>
                  </w:r>
                </w:p>
              </w:tc>
              <w:tc>
                <w:tcPr>
                  <w:tcW w:w="820" w:type="pct"/>
                  <w:tcBorders>
                    <w:tl2br w:val="nil"/>
                    <w:tr2bl w:val="nil"/>
                  </w:tcBorders>
                  <w:shd w:val="clear" w:color="auto" w:fill="auto"/>
                  <w:vAlign w:val="center"/>
                </w:tcPr>
                <w:p w14:paraId="0D7DAE3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790A371D">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拆解过程产生的废旧轮胎</w:t>
                  </w:r>
                </w:p>
              </w:tc>
            </w:tr>
            <w:tr w14:paraId="36DD46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4CFABF1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242609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1988D622">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海绵及座椅材料</w:t>
                  </w:r>
                </w:p>
              </w:tc>
              <w:tc>
                <w:tcPr>
                  <w:tcW w:w="820" w:type="pct"/>
                  <w:tcBorders>
                    <w:tl2br w:val="nil"/>
                    <w:tr2bl w:val="nil"/>
                  </w:tcBorders>
                  <w:shd w:val="clear" w:color="auto" w:fill="auto"/>
                  <w:vAlign w:val="center"/>
                </w:tcPr>
                <w:p w14:paraId="32871C2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1BBDF642">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拆解过程产生的座椅海绵和布艺、皮具等</w:t>
                  </w:r>
                </w:p>
              </w:tc>
            </w:tr>
            <w:tr w14:paraId="76796B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32E4E3A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43DAC13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0770E3A3">
                  <w:pPr>
                    <w:keepNext w:val="0"/>
                    <w:keepLines w:val="0"/>
                    <w:pageBreakBefore w:val="0"/>
                    <w:widowControl w:val="0"/>
                    <w:kinsoku/>
                    <w:wordWrap/>
                    <w:overflowPunct/>
                    <w:topLinePunct w:val="0"/>
                    <w:autoSpaceDE/>
                    <w:autoSpaceDN/>
                    <w:bidi w:val="0"/>
                    <w:adjustRightInd/>
                    <w:snapToGrid/>
                    <w:spacing w:line="240" w:lineRule="atLeast"/>
                    <w:ind w:left="123"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内饰材料</w:t>
                  </w:r>
                </w:p>
              </w:tc>
              <w:tc>
                <w:tcPr>
                  <w:tcW w:w="820" w:type="pct"/>
                  <w:tcBorders>
                    <w:tl2br w:val="nil"/>
                    <w:tr2bl w:val="nil"/>
                  </w:tcBorders>
                  <w:shd w:val="clear" w:color="auto" w:fill="auto"/>
                  <w:vAlign w:val="center"/>
                </w:tcPr>
                <w:p w14:paraId="5804B31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52D9ACE7">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拆解过程产生的机动车内饰材料</w:t>
                  </w:r>
                </w:p>
              </w:tc>
            </w:tr>
            <w:tr w14:paraId="554E52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36778D6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278DDCC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122F4D75">
                  <w:pPr>
                    <w:keepNext w:val="0"/>
                    <w:keepLines w:val="0"/>
                    <w:pageBreakBefore w:val="0"/>
                    <w:widowControl w:val="0"/>
                    <w:kinsoku/>
                    <w:wordWrap/>
                    <w:overflowPunct/>
                    <w:topLinePunct w:val="0"/>
                    <w:autoSpaceDE/>
                    <w:autoSpaceDN/>
                    <w:bidi w:val="0"/>
                    <w:adjustRightInd/>
                    <w:snapToGrid/>
                    <w:spacing w:line="240" w:lineRule="atLeast"/>
                    <w:ind w:left="100"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废旧玻璃</w:t>
                  </w:r>
                </w:p>
              </w:tc>
              <w:tc>
                <w:tcPr>
                  <w:tcW w:w="820" w:type="pct"/>
                  <w:tcBorders>
                    <w:tl2br w:val="nil"/>
                    <w:tr2bl w:val="nil"/>
                  </w:tcBorders>
                  <w:shd w:val="clear" w:color="auto" w:fill="auto"/>
                  <w:vAlign w:val="center"/>
                </w:tcPr>
                <w:p w14:paraId="5CC2DC3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1DF8759B">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拆解过程产生的废旧玻璃</w:t>
                  </w:r>
                </w:p>
              </w:tc>
            </w:tr>
            <w:tr w14:paraId="04F034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2E5930C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3D7B6EF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615CD0B1">
                  <w:pPr>
                    <w:keepNext w:val="0"/>
                    <w:keepLines w:val="0"/>
                    <w:pageBreakBefore w:val="0"/>
                    <w:widowControl w:val="0"/>
                    <w:kinsoku/>
                    <w:wordWrap/>
                    <w:overflowPunct/>
                    <w:topLinePunct w:val="0"/>
                    <w:autoSpaceDE/>
                    <w:autoSpaceDN/>
                    <w:bidi w:val="0"/>
                    <w:adjustRightInd/>
                    <w:snapToGrid/>
                    <w:spacing w:line="240" w:lineRule="atLeast"/>
                    <w:ind w:left="100" w:leftChars="0" w:right="120" w:rightChars="0" w:hanging="1" w:firstLine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报废机动车残余</w:t>
                  </w:r>
                  <w:r>
                    <w:rPr>
                      <w:rFonts w:hint="eastAsia" w:ascii="宋体" w:hAnsi="宋体" w:eastAsia="宋体" w:cs="宋体"/>
                      <w:color w:val="000000" w:themeColor="text1"/>
                      <w:sz w:val="18"/>
                      <w:szCs w:val="18"/>
                      <w14:textFill>
                        <w14:solidFill>
                          <w14:schemeClr w14:val="tx1"/>
                        </w14:solidFill>
                      </w14:textFill>
                    </w:rPr>
                    <w:t>物</w:t>
                  </w:r>
                </w:p>
              </w:tc>
              <w:tc>
                <w:tcPr>
                  <w:tcW w:w="820" w:type="pct"/>
                  <w:tcBorders>
                    <w:tl2br w:val="nil"/>
                    <w:tr2bl w:val="nil"/>
                  </w:tcBorders>
                  <w:shd w:val="clear" w:color="auto" w:fill="auto"/>
                  <w:vAlign w:val="center"/>
                </w:tcPr>
                <w:p w14:paraId="0871142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6B6A9D95">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报废机动车拆解废料经过破碎分选后的残渣</w:t>
                  </w:r>
                </w:p>
              </w:tc>
            </w:tr>
            <w:tr w14:paraId="588C7D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1272B9D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0FF511C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1D27D402">
                  <w:pPr>
                    <w:keepNext w:val="0"/>
                    <w:keepLines w:val="0"/>
                    <w:pageBreakBefore w:val="0"/>
                    <w:widowControl w:val="0"/>
                    <w:kinsoku/>
                    <w:wordWrap/>
                    <w:overflowPunct/>
                    <w:topLinePunct w:val="0"/>
                    <w:autoSpaceDE/>
                    <w:autoSpaceDN/>
                    <w:bidi w:val="0"/>
                    <w:adjustRightInd/>
                    <w:snapToGrid/>
                    <w:spacing w:line="240" w:lineRule="atLeast"/>
                    <w:ind w:left="104"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安全带及相关纺织品</w:t>
                  </w:r>
                </w:p>
              </w:tc>
              <w:tc>
                <w:tcPr>
                  <w:tcW w:w="820" w:type="pct"/>
                  <w:tcBorders>
                    <w:tl2br w:val="nil"/>
                    <w:tr2bl w:val="nil"/>
                  </w:tcBorders>
                  <w:shd w:val="clear" w:color="auto" w:fill="auto"/>
                  <w:vAlign w:val="center"/>
                </w:tcPr>
                <w:p w14:paraId="3FE32D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41A146E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拆解过程产生的汽车编织物、安全带、纺织品等</w:t>
                  </w:r>
                </w:p>
              </w:tc>
            </w:tr>
            <w:tr w14:paraId="058E9A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52" w:type="pct"/>
                  <w:vMerge w:val="continue"/>
                  <w:tcBorders>
                    <w:tl2br w:val="nil"/>
                    <w:tr2bl w:val="nil"/>
                  </w:tcBorders>
                  <w:vAlign w:val="center"/>
                </w:tcPr>
                <w:p w14:paraId="5F523B5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379" w:type="pct"/>
                  <w:vMerge w:val="continue"/>
                  <w:tcBorders>
                    <w:tl2br w:val="nil"/>
                    <w:tr2bl w:val="nil"/>
                  </w:tcBorders>
                  <w:shd w:val="clear" w:color="auto" w:fill="auto"/>
                  <w:vAlign w:val="top"/>
                </w:tcPr>
                <w:p w14:paraId="0CC92E9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p>
              </w:tc>
              <w:tc>
                <w:tcPr>
                  <w:tcW w:w="1271" w:type="pct"/>
                  <w:tcBorders>
                    <w:tl2br w:val="nil"/>
                    <w:tr2bl w:val="nil"/>
                  </w:tcBorders>
                  <w:shd w:val="clear" w:color="auto" w:fill="auto"/>
                  <w:vAlign w:val="center"/>
                </w:tcPr>
                <w:p w14:paraId="27479B33">
                  <w:pPr>
                    <w:keepNext w:val="0"/>
                    <w:keepLines w:val="0"/>
                    <w:pageBreakBefore w:val="0"/>
                    <w:widowControl w:val="0"/>
                    <w:kinsoku/>
                    <w:wordWrap/>
                    <w:overflowPunct/>
                    <w:topLinePunct w:val="0"/>
                    <w:autoSpaceDE/>
                    <w:autoSpaceDN/>
                    <w:bidi w:val="0"/>
                    <w:adjustRightInd/>
                    <w:snapToGrid/>
                    <w:spacing w:line="240" w:lineRule="atLeast"/>
                    <w:ind w:left="101" w:lef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14:textFill>
                        <w14:solidFill>
                          <w14:schemeClr w14:val="tx1"/>
                        </w14:solidFill>
                      </w14:textFill>
                    </w:rPr>
                    <w:t>轻质物料</w:t>
                  </w:r>
                </w:p>
              </w:tc>
              <w:tc>
                <w:tcPr>
                  <w:tcW w:w="820" w:type="pct"/>
                  <w:tcBorders>
                    <w:tl2br w:val="nil"/>
                    <w:tr2bl w:val="nil"/>
                  </w:tcBorders>
                  <w:shd w:val="clear" w:color="auto" w:fill="auto"/>
                  <w:vAlign w:val="center"/>
                </w:tcPr>
                <w:p w14:paraId="5658D3B7">
                  <w:pPr>
                    <w:keepNext w:val="0"/>
                    <w:keepLines w:val="0"/>
                    <w:pageBreakBefore w:val="0"/>
                    <w:widowControl w:val="0"/>
                    <w:kinsoku/>
                    <w:wordWrap/>
                    <w:overflowPunct/>
                    <w:topLinePunct w:val="0"/>
                    <w:autoSpaceDE/>
                    <w:autoSpaceDN/>
                    <w:bidi w:val="0"/>
                    <w:adjustRightInd/>
                    <w:snapToGrid/>
                    <w:spacing w:line="240" w:lineRule="atLeast"/>
                    <w:ind w:right="143" w:rightChars="0"/>
                    <w:jc w:val="center"/>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w:t>
                  </w:r>
                </w:p>
              </w:tc>
              <w:tc>
                <w:tcPr>
                  <w:tcW w:w="2175" w:type="pct"/>
                  <w:tcBorders>
                    <w:tl2br w:val="nil"/>
                    <w:tr2bl w:val="nil"/>
                  </w:tcBorders>
                  <w:shd w:val="clear" w:color="auto" w:fill="auto"/>
                  <w:vAlign w:val="top"/>
                </w:tcPr>
                <w:p w14:paraId="47E9E4DB">
                  <w:pPr>
                    <w:keepNext w:val="0"/>
                    <w:keepLines w:val="0"/>
                    <w:pageBreakBefore w:val="0"/>
                    <w:widowControl w:val="0"/>
                    <w:kinsoku/>
                    <w:wordWrap/>
                    <w:overflowPunct/>
                    <w:topLinePunct w:val="0"/>
                    <w:autoSpaceDE/>
                    <w:autoSpaceDN/>
                    <w:bidi w:val="0"/>
                    <w:adjustRightInd/>
                    <w:snapToGrid/>
                    <w:spacing w:line="240" w:lineRule="atLeast"/>
                    <w:ind w:right="143" w:rightChars="0"/>
                    <w:textAlignment w:val="auto"/>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14:textFill>
                        <w14:solidFill>
                          <w14:schemeClr w14:val="tx1"/>
                        </w14:solidFill>
                      </w14:textFill>
                    </w:rPr>
                    <w:t>拆解过程产生的泡沫、皮革、细小塑料、棉絮等混合</w:t>
                  </w:r>
                  <w:r>
                    <w:rPr>
                      <w:rFonts w:hint="eastAsia" w:ascii="宋体" w:hAnsi="宋体" w:eastAsia="宋体" w:cs="宋体"/>
                      <w:color w:val="000000" w:themeColor="text1"/>
                      <w:sz w:val="18"/>
                      <w:szCs w:val="18"/>
                      <w14:textFill>
                        <w14:solidFill>
                          <w14:schemeClr w14:val="tx1"/>
                        </w14:solidFill>
                      </w14:textFill>
                    </w:rPr>
                    <w:t>物</w:t>
                  </w:r>
                </w:p>
              </w:tc>
            </w:tr>
          </w:tbl>
          <w:p w14:paraId="61E5228D">
            <w:pPr>
              <w:pStyle w:val="38"/>
              <w:rPr>
                <w:rFonts w:hint="eastAsia" w:ascii="宋体" w:hAnsi="宋体" w:eastAsia="宋体" w:cs="宋体"/>
                <w:color w:val="000000" w:themeColor="text1"/>
                <w:vertAlign w:val="baseline"/>
                <w14:textFill>
                  <w14:solidFill>
                    <w14:schemeClr w14:val="tx1"/>
                  </w14:solidFill>
                </w14:textFill>
              </w:rPr>
            </w:pPr>
          </w:p>
          <w:p w14:paraId="4455D53C">
            <w:pPr>
              <w:pStyle w:val="38"/>
              <w:rPr>
                <w:rFonts w:hint="eastAsia" w:ascii="宋体" w:hAnsi="宋体" w:eastAsia="宋体" w:cs="宋体"/>
                <w:color w:val="000000" w:themeColor="text1"/>
                <w:vertAlign w:val="baseline"/>
                <w14:textFill>
                  <w14:solidFill>
                    <w14:schemeClr w14:val="tx1"/>
                  </w14:solidFill>
                </w14:textFill>
              </w:rPr>
            </w:pPr>
          </w:p>
          <w:p w14:paraId="213EDF2D">
            <w:pPr>
              <w:pStyle w:val="38"/>
              <w:rPr>
                <w:rFonts w:hint="eastAsia" w:ascii="宋体" w:hAnsi="宋体" w:eastAsia="宋体" w:cs="宋体"/>
                <w:color w:val="000000" w:themeColor="text1"/>
                <w:vertAlign w:val="baseline"/>
                <w14:textFill>
                  <w14:solidFill>
                    <w14:schemeClr w14:val="tx1"/>
                  </w14:solidFill>
                </w14:textFill>
              </w:rPr>
            </w:pPr>
          </w:p>
          <w:p w14:paraId="7DBC3C47">
            <w:pPr>
              <w:pStyle w:val="38"/>
              <w:rPr>
                <w:rFonts w:hint="eastAsia" w:ascii="宋体" w:hAnsi="宋体" w:eastAsia="宋体" w:cs="宋体"/>
                <w:color w:val="000000" w:themeColor="text1"/>
                <w:vertAlign w:val="baseline"/>
                <w14:textFill>
                  <w14:solidFill>
                    <w14:schemeClr w14:val="tx1"/>
                  </w14:solidFill>
                </w14:textFill>
              </w:rPr>
            </w:pPr>
          </w:p>
          <w:p w14:paraId="2D4CEA6F">
            <w:pPr>
              <w:pStyle w:val="38"/>
              <w:rPr>
                <w:rFonts w:hint="eastAsia" w:ascii="宋体" w:hAnsi="宋体" w:eastAsia="宋体" w:cs="宋体"/>
                <w:color w:val="000000" w:themeColor="text1"/>
                <w:vertAlign w:val="baseline"/>
                <w14:textFill>
                  <w14:solidFill>
                    <w14:schemeClr w14:val="tx1"/>
                  </w14:solidFill>
                </w14:textFill>
              </w:rPr>
            </w:pPr>
          </w:p>
          <w:p w14:paraId="2C3FEA88">
            <w:pPr>
              <w:pStyle w:val="38"/>
              <w:rPr>
                <w:rFonts w:hint="eastAsia" w:ascii="宋体" w:hAnsi="宋体" w:eastAsia="宋体" w:cs="宋体"/>
                <w:color w:val="000000" w:themeColor="text1"/>
                <w:vertAlign w:val="baseline"/>
                <w14:textFill>
                  <w14:solidFill>
                    <w14:schemeClr w14:val="tx1"/>
                  </w14:solidFill>
                </w14:textFill>
              </w:rPr>
            </w:pPr>
          </w:p>
          <w:p w14:paraId="6DCEE512">
            <w:pPr>
              <w:pStyle w:val="38"/>
              <w:rPr>
                <w:rFonts w:hint="eastAsia" w:ascii="宋体" w:hAnsi="宋体" w:eastAsia="宋体" w:cs="宋体"/>
                <w:color w:val="000000" w:themeColor="text1"/>
                <w:vertAlign w:val="baseline"/>
                <w14:textFill>
                  <w14:solidFill>
                    <w14:schemeClr w14:val="tx1"/>
                  </w14:solidFill>
                </w14:textFill>
              </w:rPr>
            </w:pPr>
          </w:p>
          <w:p w14:paraId="31780F34">
            <w:pPr>
              <w:pStyle w:val="38"/>
              <w:rPr>
                <w:rFonts w:hint="eastAsia" w:ascii="宋体" w:hAnsi="宋体" w:eastAsia="宋体" w:cs="宋体"/>
                <w:color w:val="000000" w:themeColor="text1"/>
                <w:vertAlign w:val="baseline"/>
                <w14:textFill>
                  <w14:solidFill>
                    <w14:schemeClr w14:val="tx1"/>
                  </w14:solidFill>
                </w14:textFill>
              </w:rPr>
            </w:pPr>
          </w:p>
          <w:p w14:paraId="16EC74C6">
            <w:pPr>
              <w:pStyle w:val="38"/>
              <w:rPr>
                <w:rFonts w:hint="eastAsia" w:ascii="宋体" w:hAnsi="宋体" w:eastAsia="宋体" w:cs="宋体"/>
                <w:color w:val="000000" w:themeColor="text1"/>
                <w:vertAlign w:val="baseline"/>
                <w14:textFill>
                  <w14:solidFill>
                    <w14:schemeClr w14:val="tx1"/>
                  </w14:solidFill>
                </w14:textFill>
              </w:rPr>
            </w:pPr>
          </w:p>
          <w:p w14:paraId="0D4EB9C5">
            <w:pPr>
              <w:pStyle w:val="38"/>
              <w:rPr>
                <w:rFonts w:hint="eastAsia" w:ascii="宋体" w:hAnsi="宋体" w:eastAsia="宋体" w:cs="宋体"/>
                <w:color w:val="000000" w:themeColor="text1"/>
                <w:vertAlign w:val="baseline"/>
                <w14:textFill>
                  <w14:solidFill>
                    <w14:schemeClr w14:val="tx1"/>
                  </w14:solidFill>
                </w14:textFill>
              </w:rPr>
            </w:pPr>
          </w:p>
          <w:p w14:paraId="704850C0">
            <w:pPr>
              <w:pStyle w:val="38"/>
              <w:rPr>
                <w:rFonts w:hint="eastAsia" w:ascii="宋体" w:hAnsi="宋体" w:eastAsia="宋体" w:cs="宋体"/>
                <w:color w:val="000000" w:themeColor="text1"/>
                <w:vertAlign w:val="baseline"/>
                <w14:textFill>
                  <w14:solidFill>
                    <w14:schemeClr w14:val="tx1"/>
                  </w14:solidFill>
                </w14:textFill>
              </w:rPr>
            </w:pPr>
          </w:p>
          <w:p w14:paraId="37E8C67D">
            <w:pPr>
              <w:pStyle w:val="38"/>
              <w:rPr>
                <w:rFonts w:hint="eastAsia" w:ascii="宋体" w:hAnsi="宋体" w:eastAsia="宋体" w:cs="宋体"/>
                <w:color w:val="000000" w:themeColor="text1"/>
                <w:vertAlign w:val="baseline"/>
                <w14:textFill>
                  <w14:solidFill>
                    <w14:schemeClr w14:val="tx1"/>
                  </w14:solidFill>
                </w14:textFill>
              </w:rPr>
            </w:pPr>
          </w:p>
          <w:p w14:paraId="630F898C">
            <w:pPr>
              <w:pStyle w:val="38"/>
              <w:rPr>
                <w:rFonts w:hint="eastAsia" w:ascii="宋体" w:hAnsi="宋体" w:eastAsia="宋体" w:cs="宋体"/>
                <w:color w:val="000000" w:themeColor="text1"/>
                <w:vertAlign w:val="baseline"/>
                <w14:textFill>
                  <w14:solidFill>
                    <w14:schemeClr w14:val="tx1"/>
                  </w14:solidFill>
                </w14:textFill>
              </w:rPr>
            </w:pPr>
          </w:p>
          <w:p w14:paraId="03261004">
            <w:pPr>
              <w:pStyle w:val="38"/>
              <w:rPr>
                <w:rFonts w:hint="eastAsia" w:ascii="宋体" w:hAnsi="宋体" w:eastAsia="宋体" w:cs="宋体"/>
                <w:color w:val="000000" w:themeColor="text1"/>
                <w:vertAlign w:val="baseline"/>
                <w14:textFill>
                  <w14:solidFill>
                    <w14:schemeClr w14:val="tx1"/>
                  </w14:solidFill>
                </w14:textFill>
              </w:rPr>
            </w:pPr>
          </w:p>
          <w:p w14:paraId="2A46D581">
            <w:pPr>
              <w:pStyle w:val="38"/>
              <w:rPr>
                <w:rFonts w:hint="eastAsia" w:ascii="宋体" w:hAnsi="宋体" w:eastAsia="宋体" w:cs="宋体"/>
                <w:color w:val="000000" w:themeColor="text1"/>
                <w:vertAlign w:val="baseline"/>
                <w14:textFill>
                  <w14:solidFill>
                    <w14:schemeClr w14:val="tx1"/>
                  </w14:solidFill>
                </w14:textFill>
              </w:rPr>
            </w:pPr>
          </w:p>
          <w:p w14:paraId="291BCDA7">
            <w:pPr>
              <w:pStyle w:val="38"/>
              <w:rPr>
                <w:rFonts w:hint="eastAsia" w:ascii="宋体" w:hAnsi="宋体" w:eastAsia="宋体" w:cs="宋体"/>
                <w:color w:val="000000" w:themeColor="text1"/>
                <w:vertAlign w:val="baseline"/>
                <w14:textFill>
                  <w14:solidFill>
                    <w14:schemeClr w14:val="tx1"/>
                  </w14:solidFill>
                </w14:textFill>
              </w:rPr>
            </w:pPr>
          </w:p>
          <w:p w14:paraId="35AD85B4">
            <w:pPr>
              <w:pStyle w:val="38"/>
              <w:rPr>
                <w:rFonts w:hint="eastAsia" w:ascii="宋体" w:hAnsi="宋体" w:eastAsia="宋体" w:cs="宋体"/>
                <w:color w:val="000000" w:themeColor="text1"/>
                <w:vertAlign w:val="baseline"/>
                <w14:textFill>
                  <w14:solidFill>
                    <w14:schemeClr w14:val="tx1"/>
                  </w14:solidFill>
                </w14:textFill>
              </w:rPr>
            </w:pPr>
          </w:p>
          <w:p w14:paraId="592CB33B">
            <w:pPr>
              <w:pStyle w:val="38"/>
              <w:rPr>
                <w:rFonts w:hint="eastAsia" w:ascii="宋体" w:hAnsi="宋体" w:eastAsia="宋体" w:cs="宋体"/>
                <w:color w:val="000000" w:themeColor="text1"/>
                <w:vertAlign w:val="baseline"/>
                <w14:textFill>
                  <w14:solidFill>
                    <w14:schemeClr w14:val="tx1"/>
                  </w14:solidFill>
                </w14:textFill>
              </w:rPr>
            </w:pPr>
          </w:p>
          <w:p w14:paraId="43F3DFAD">
            <w:pPr>
              <w:pStyle w:val="38"/>
              <w:rPr>
                <w:rFonts w:hint="eastAsia" w:ascii="宋体" w:hAnsi="宋体" w:eastAsia="宋体" w:cs="宋体"/>
                <w:color w:val="000000" w:themeColor="text1"/>
                <w:vertAlign w:val="baseline"/>
                <w14:textFill>
                  <w14:solidFill>
                    <w14:schemeClr w14:val="tx1"/>
                  </w14:solidFill>
                </w14:textFill>
              </w:rPr>
            </w:pPr>
          </w:p>
          <w:p w14:paraId="31D99CCC">
            <w:pPr>
              <w:pStyle w:val="38"/>
              <w:rPr>
                <w:rFonts w:hint="eastAsia" w:ascii="宋体" w:hAnsi="宋体" w:eastAsia="宋体" w:cs="宋体"/>
                <w:color w:val="000000" w:themeColor="text1"/>
                <w:vertAlign w:val="baseline"/>
                <w14:textFill>
                  <w14:solidFill>
                    <w14:schemeClr w14:val="tx1"/>
                  </w14:solidFill>
                </w14:textFill>
              </w:rPr>
            </w:pPr>
          </w:p>
          <w:p w14:paraId="529781EB">
            <w:pPr>
              <w:pStyle w:val="38"/>
              <w:rPr>
                <w:rFonts w:hint="eastAsia" w:ascii="宋体" w:hAnsi="宋体" w:eastAsia="宋体" w:cs="宋体"/>
                <w:color w:val="000000" w:themeColor="text1"/>
                <w:vertAlign w:val="baseline"/>
                <w14:textFill>
                  <w14:solidFill>
                    <w14:schemeClr w14:val="tx1"/>
                  </w14:solidFill>
                </w14:textFill>
              </w:rPr>
            </w:pPr>
          </w:p>
          <w:p w14:paraId="456A3BCB">
            <w:pPr>
              <w:pStyle w:val="38"/>
              <w:rPr>
                <w:rFonts w:hint="eastAsia" w:ascii="宋体" w:hAnsi="宋体" w:eastAsia="宋体" w:cs="宋体"/>
                <w:color w:val="000000" w:themeColor="text1"/>
                <w:vertAlign w:val="baseline"/>
                <w14:textFill>
                  <w14:solidFill>
                    <w14:schemeClr w14:val="tx1"/>
                  </w14:solidFill>
                </w14:textFill>
              </w:rPr>
            </w:pPr>
          </w:p>
          <w:p w14:paraId="0DC3C227">
            <w:pPr>
              <w:pStyle w:val="38"/>
              <w:rPr>
                <w:rFonts w:hint="eastAsia" w:ascii="宋体" w:hAnsi="宋体" w:eastAsia="宋体" w:cs="宋体"/>
                <w:color w:val="000000" w:themeColor="text1"/>
                <w:vertAlign w:val="baseline"/>
                <w14:textFill>
                  <w14:solidFill>
                    <w14:schemeClr w14:val="tx1"/>
                  </w14:solidFill>
                </w14:textFill>
              </w:rPr>
            </w:pPr>
          </w:p>
          <w:p w14:paraId="424A6CA9">
            <w:pPr>
              <w:pStyle w:val="38"/>
              <w:rPr>
                <w:rFonts w:hint="eastAsia" w:ascii="宋体" w:hAnsi="宋体" w:eastAsia="宋体" w:cs="宋体"/>
                <w:color w:val="000000" w:themeColor="text1"/>
                <w:vertAlign w:val="baseline"/>
                <w14:textFill>
                  <w14:solidFill>
                    <w14:schemeClr w14:val="tx1"/>
                  </w14:solidFill>
                </w14:textFill>
              </w:rPr>
            </w:pPr>
          </w:p>
          <w:p w14:paraId="49272A0B">
            <w:pPr>
              <w:pStyle w:val="38"/>
              <w:rPr>
                <w:rFonts w:hint="eastAsia" w:ascii="宋体" w:hAnsi="宋体" w:eastAsia="宋体" w:cs="宋体"/>
                <w:color w:val="000000" w:themeColor="text1"/>
                <w:vertAlign w:val="baseline"/>
                <w14:textFill>
                  <w14:solidFill>
                    <w14:schemeClr w14:val="tx1"/>
                  </w14:solidFill>
                </w14:textFill>
              </w:rPr>
            </w:pPr>
          </w:p>
          <w:p w14:paraId="677906A8">
            <w:pPr>
              <w:pStyle w:val="38"/>
              <w:rPr>
                <w:rFonts w:hint="eastAsia" w:ascii="宋体" w:hAnsi="宋体" w:eastAsia="宋体" w:cs="宋体"/>
                <w:color w:val="000000" w:themeColor="text1"/>
                <w:vertAlign w:val="baseline"/>
                <w14:textFill>
                  <w14:solidFill>
                    <w14:schemeClr w14:val="tx1"/>
                  </w14:solidFill>
                </w14:textFill>
              </w:rPr>
            </w:pPr>
          </w:p>
          <w:p w14:paraId="203CC2A5">
            <w:pPr>
              <w:pStyle w:val="38"/>
              <w:rPr>
                <w:rFonts w:hint="eastAsia" w:ascii="宋体" w:hAnsi="宋体" w:eastAsia="宋体" w:cs="宋体"/>
                <w:color w:val="000000" w:themeColor="text1"/>
                <w:vertAlign w:val="baseline"/>
                <w14:textFill>
                  <w14:solidFill>
                    <w14:schemeClr w14:val="tx1"/>
                  </w14:solidFill>
                </w14:textFill>
              </w:rPr>
            </w:pPr>
          </w:p>
          <w:p w14:paraId="70ED7866">
            <w:pPr>
              <w:pStyle w:val="38"/>
              <w:rPr>
                <w:rFonts w:hint="eastAsia" w:ascii="宋体" w:hAnsi="宋体" w:eastAsia="宋体" w:cs="宋体"/>
                <w:color w:val="000000" w:themeColor="text1"/>
                <w:vertAlign w:val="baseline"/>
                <w14:textFill>
                  <w14:solidFill>
                    <w14:schemeClr w14:val="tx1"/>
                  </w14:solidFill>
                </w14:textFill>
              </w:rPr>
            </w:pPr>
          </w:p>
          <w:p w14:paraId="2B6BE98D">
            <w:pPr>
              <w:pStyle w:val="38"/>
              <w:rPr>
                <w:rFonts w:hint="eastAsia" w:ascii="宋体" w:hAnsi="宋体" w:eastAsia="宋体" w:cs="宋体"/>
                <w:color w:val="000000" w:themeColor="text1"/>
                <w:vertAlign w:val="baseline"/>
                <w14:textFill>
                  <w14:solidFill>
                    <w14:schemeClr w14:val="tx1"/>
                  </w14:solidFill>
                </w14:textFill>
              </w:rPr>
            </w:pPr>
          </w:p>
          <w:p w14:paraId="7F002BAD">
            <w:pPr>
              <w:pStyle w:val="38"/>
              <w:rPr>
                <w:rFonts w:hint="eastAsia" w:ascii="宋体" w:hAnsi="宋体" w:eastAsia="宋体" w:cs="宋体"/>
                <w:color w:val="000000" w:themeColor="text1"/>
                <w:vertAlign w:val="baseline"/>
                <w14:textFill>
                  <w14:solidFill>
                    <w14:schemeClr w14:val="tx1"/>
                  </w14:solidFill>
                </w14:textFill>
              </w:rPr>
            </w:pPr>
          </w:p>
          <w:p w14:paraId="5EE1BEFF">
            <w:pPr>
              <w:pStyle w:val="38"/>
              <w:rPr>
                <w:rFonts w:hint="eastAsia" w:ascii="宋体" w:hAnsi="宋体" w:eastAsia="宋体" w:cs="宋体"/>
                <w:color w:val="000000" w:themeColor="text1"/>
                <w:vertAlign w:val="baseline"/>
                <w14:textFill>
                  <w14:solidFill>
                    <w14:schemeClr w14:val="tx1"/>
                  </w14:solidFill>
                </w14:textFill>
              </w:rPr>
            </w:pPr>
          </w:p>
          <w:p w14:paraId="2E2FF952">
            <w:pPr>
              <w:pStyle w:val="38"/>
              <w:rPr>
                <w:rFonts w:hint="eastAsia" w:ascii="宋体" w:hAnsi="宋体" w:eastAsia="宋体" w:cs="宋体"/>
                <w:color w:val="000000" w:themeColor="text1"/>
                <w:vertAlign w:val="baseline"/>
                <w14:textFill>
                  <w14:solidFill>
                    <w14:schemeClr w14:val="tx1"/>
                  </w14:solidFill>
                </w14:textFill>
              </w:rPr>
            </w:pPr>
          </w:p>
          <w:p w14:paraId="11DA427E">
            <w:pPr>
              <w:pStyle w:val="38"/>
              <w:rPr>
                <w:rFonts w:hint="eastAsia" w:ascii="宋体" w:hAnsi="宋体" w:eastAsia="宋体" w:cs="宋体"/>
                <w:color w:val="000000" w:themeColor="text1"/>
                <w:vertAlign w:val="baseline"/>
                <w14:textFill>
                  <w14:solidFill>
                    <w14:schemeClr w14:val="tx1"/>
                  </w14:solidFill>
                </w14:textFill>
              </w:rPr>
            </w:pPr>
          </w:p>
          <w:p w14:paraId="244179E1">
            <w:pPr>
              <w:pStyle w:val="38"/>
              <w:rPr>
                <w:rFonts w:hint="eastAsia" w:ascii="宋体" w:hAnsi="宋体" w:eastAsia="宋体" w:cs="宋体"/>
                <w:color w:val="000000" w:themeColor="text1"/>
                <w:vertAlign w:val="baseline"/>
                <w14:textFill>
                  <w14:solidFill>
                    <w14:schemeClr w14:val="tx1"/>
                  </w14:solidFill>
                </w14:textFill>
              </w:rPr>
            </w:pPr>
          </w:p>
          <w:p w14:paraId="475379D8">
            <w:pPr>
              <w:pStyle w:val="38"/>
              <w:rPr>
                <w:rFonts w:hint="eastAsia" w:ascii="宋体" w:hAnsi="宋体" w:eastAsia="宋体" w:cs="宋体"/>
                <w:color w:val="000000" w:themeColor="text1"/>
                <w:vertAlign w:val="baseline"/>
                <w14:textFill>
                  <w14:solidFill>
                    <w14:schemeClr w14:val="tx1"/>
                  </w14:solidFill>
                </w14:textFill>
              </w:rPr>
            </w:pPr>
          </w:p>
          <w:p w14:paraId="527BD7CF">
            <w:pPr>
              <w:pStyle w:val="38"/>
              <w:rPr>
                <w:rFonts w:hint="eastAsia" w:ascii="宋体" w:hAnsi="宋体" w:eastAsia="宋体" w:cs="宋体"/>
                <w:color w:val="000000" w:themeColor="text1"/>
                <w:vertAlign w:val="baseline"/>
                <w14:textFill>
                  <w14:solidFill>
                    <w14:schemeClr w14:val="tx1"/>
                  </w14:solidFill>
                </w14:textFill>
              </w:rPr>
            </w:pPr>
          </w:p>
          <w:p w14:paraId="5B733105">
            <w:pPr>
              <w:pStyle w:val="38"/>
              <w:rPr>
                <w:rFonts w:hint="eastAsia" w:ascii="宋体" w:hAnsi="宋体" w:eastAsia="宋体" w:cs="宋体"/>
                <w:color w:val="000000" w:themeColor="text1"/>
                <w:vertAlign w:val="baseline"/>
                <w14:textFill>
                  <w14:solidFill>
                    <w14:schemeClr w14:val="tx1"/>
                  </w14:solidFill>
                </w14:textFill>
              </w:rPr>
            </w:pPr>
          </w:p>
          <w:p w14:paraId="1C85C6E6">
            <w:pPr>
              <w:pStyle w:val="38"/>
              <w:rPr>
                <w:rFonts w:hint="eastAsia" w:ascii="宋体" w:hAnsi="宋体" w:eastAsia="宋体" w:cs="宋体"/>
                <w:color w:val="000000" w:themeColor="text1"/>
                <w:vertAlign w:val="baseline"/>
                <w14:textFill>
                  <w14:solidFill>
                    <w14:schemeClr w14:val="tx1"/>
                  </w14:solidFill>
                </w14:textFill>
              </w:rPr>
            </w:pPr>
          </w:p>
          <w:p w14:paraId="0070A9FB">
            <w:pPr>
              <w:pStyle w:val="38"/>
              <w:rPr>
                <w:rFonts w:hint="eastAsia" w:ascii="宋体" w:hAnsi="宋体" w:eastAsia="宋体" w:cs="宋体"/>
                <w:color w:val="000000" w:themeColor="text1"/>
                <w:vertAlign w:val="baseline"/>
                <w14:textFill>
                  <w14:solidFill>
                    <w14:schemeClr w14:val="tx1"/>
                  </w14:solidFill>
                </w14:textFill>
              </w:rPr>
            </w:pPr>
          </w:p>
          <w:p w14:paraId="2C3FD758">
            <w:pPr>
              <w:pStyle w:val="38"/>
              <w:rPr>
                <w:rFonts w:hint="eastAsia" w:ascii="宋体" w:hAnsi="宋体" w:eastAsia="宋体" w:cs="宋体"/>
                <w:color w:val="000000" w:themeColor="text1"/>
                <w:vertAlign w:val="baseline"/>
                <w14:textFill>
                  <w14:solidFill>
                    <w14:schemeClr w14:val="tx1"/>
                  </w14:solidFill>
                </w14:textFill>
              </w:rPr>
            </w:pPr>
          </w:p>
          <w:p w14:paraId="5543D30E">
            <w:pPr>
              <w:pStyle w:val="38"/>
              <w:jc w:val="both"/>
              <w:rPr>
                <w:rFonts w:hint="eastAsia" w:ascii="宋体" w:hAnsi="宋体" w:eastAsia="宋体" w:cs="宋体"/>
                <w:color w:val="000000" w:themeColor="text1"/>
                <w:vertAlign w:val="baseline"/>
                <w14:textFill>
                  <w14:solidFill>
                    <w14:schemeClr w14:val="tx1"/>
                  </w14:solidFill>
                </w14:textFill>
              </w:rPr>
            </w:pPr>
          </w:p>
        </w:tc>
      </w:tr>
    </w:tbl>
    <w:p w14:paraId="3C514BB7">
      <w:pPr>
        <w:pStyle w:val="38"/>
        <w:rPr>
          <w:rFonts w:hint="eastAsia" w:ascii="宋体" w:hAnsi="宋体" w:eastAsia="宋体" w:cs="宋体"/>
          <w:color w:val="000000" w:themeColor="text1"/>
          <w14:textFill>
            <w14:solidFill>
              <w14:schemeClr w14:val="tx1"/>
            </w14:solidFill>
          </w14:textFill>
        </w:rPr>
        <w:sectPr>
          <w:pgSz w:w="11850" w:h="16783"/>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5"/>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3"/>
        <w:gridCol w:w="8579"/>
      </w:tblGrid>
      <w:tr w14:paraId="62C7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60" w:hRule="atLeast"/>
          <w:jc w:val="center"/>
        </w:trPr>
        <w:tc>
          <w:tcPr>
            <w:tcW w:w="503" w:type="dxa"/>
            <w:tcBorders>
              <w:tl2br w:val="nil"/>
              <w:tr2bl w:val="nil"/>
            </w:tcBorders>
            <w:vAlign w:val="center"/>
          </w:tcPr>
          <w:p w14:paraId="62F03865">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与项目有关的原有环境污染问题</w:t>
            </w:r>
          </w:p>
        </w:tc>
        <w:tc>
          <w:tcPr>
            <w:tcW w:w="8579" w:type="dxa"/>
            <w:tcBorders>
              <w:tl2br w:val="nil"/>
              <w:tr2bl w:val="nil"/>
            </w:tcBorders>
            <w:vAlign w:val="center"/>
          </w:tcPr>
          <w:p w14:paraId="066D3AB0">
            <w:pPr>
              <w:keepNext w:val="0"/>
              <w:keepLines w:val="0"/>
              <w:pageBreakBefore w:val="0"/>
              <w:widowControl w:val="0"/>
              <w:numPr>
                <w:ilvl w:val="0"/>
                <w:numId w:val="7"/>
              </w:numPr>
              <w:kinsoku/>
              <w:wordWrap/>
              <w:overflowPunct/>
              <w:topLinePunct w:val="0"/>
              <w:bidi w:val="0"/>
              <w:adjustRightInd w:val="0"/>
              <w:snapToGrid w:val="0"/>
              <w:spacing w:line="360" w:lineRule="auto"/>
              <w:ind w:left="0" w:leftChars="0" w:right="0" w:rightChars="0"/>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相关环保手续</w:t>
            </w:r>
          </w:p>
          <w:p w14:paraId="1AD43CE9">
            <w:pPr>
              <w:keepNext w:val="0"/>
              <w:keepLines w:val="0"/>
              <w:pageBreakBefore w:val="0"/>
              <w:widowControl w:val="0"/>
              <w:numPr>
                <w:ilvl w:val="0"/>
                <w:numId w:val="8"/>
              </w:numPr>
              <w:kinsoku/>
              <w:wordWrap/>
              <w:overflowPunct/>
              <w:topLinePunct w:val="0"/>
              <w:bidi w:val="0"/>
              <w:adjustRightInd w:val="0"/>
              <w:snapToGrid w:val="0"/>
              <w:spacing w:line="360" w:lineRule="auto"/>
              <w:ind w:left="0" w:leftChars="0" w:right="0" w:rightChars="0"/>
              <w:textAlignment w:val="auto"/>
              <w:outlineLvl w:val="9"/>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环评情况</w:t>
            </w:r>
          </w:p>
          <w:p w14:paraId="553389B5">
            <w:pPr>
              <w:keepNext w:val="0"/>
              <w:keepLines w:val="0"/>
              <w:pageBreakBefore w:val="0"/>
              <w:widowControl w:val="0"/>
              <w:numPr>
                <w:ilvl w:val="0"/>
                <w:numId w:val="0"/>
              </w:numPr>
              <w:kinsoku/>
              <w:wordWrap/>
              <w:overflowPunct/>
              <w:topLinePunct w:val="0"/>
              <w:bidi w:val="0"/>
              <w:adjustRightInd w:val="0"/>
              <w:snapToGrid w:val="0"/>
              <w:spacing w:line="360" w:lineRule="auto"/>
              <w:ind w:right="0" w:rightChars="0" w:firstLine="480" w:firstLineChars="200"/>
              <w:textAlignment w:val="auto"/>
              <w:outlineLvl w:val="9"/>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四平市生态环境局于2022年1月29日出具的《关于四平鑫龙报废汽车回收拆解有限公司年10000辆报废汽车回收拆解加工利用项目环境影响报告表的批复》，批复文号为</w:t>
            </w:r>
            <w:r>
              <w:rPr>
                <w:rFonts w:hint="eastAsia" w:ascii="宋体" w:hAnsi="宋体" w:eastAsia="宋体" w:cs="宋体"/>
                <w:color w:val="000000" w:themeColor="text1"/>
                <w:lang w:val="en-US" w:eastAsia="zh-CN"/>
                <w14:textFill>
                  <w14:solidFill>
                    <w14:schemeClr w14:val="tx1"/>
                  </w14:solidFill>
                </w14:textFill>
              </w:rPr>
              <w:t>四环审(表)字[2022]5号</w:t>
            </w:r>
            <w:r>
              <w:rPr>
                <w:rFonts w:hint="eastAsia" w:ascii="宋体" w:hAnsi="宋体" w:cs="宋体"/>
                <w:color w:val="000000" w:themeColor="text1"/>
                <w:lang w:val="en-US" w:eastAsia="zh-CN"/>
                <w14:textFill>
                  <w14:solidFill>
                    <w14:schemeClr w14:val="tx1"/>
                  </w14:solidFill>
                </w14:textFill>
              </w:rPr>
              <w:t>。</w:t>
            </w:r>
          </w:p>
          <w:p w14:paraId="02E7D438">
            <w:pPr>
              <w:keepNext w:val="0"/>
              <w:keepLines w:val="0"/>
              <w:pageBreakBefore w:val="0"/>
              <w:widowControl w:val="0"/>
              <w:numPr>
                <w:ilvl w:val="0"/>
                <w:numId w:val="8"/>
              </w:numPr>
              <w:kinsoku/>
              <w:wordWrap/>
              <w:overflowPunct/>
              <w:topLinePunct w:val="0"/>
              <w:bidi w:val="0"/>
              <w:adjustRightInd w:val="0"/>
              <w:snapToGrid w:val="0"/>
              <w:spacing w:line="360" w:lineRule="auto"/>
              <w:ind w:left="0" w:leftChars="0" w:right="0" w:rightChars="0" w:firstLine="0" w:firstLineChars="0"/>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验收情况</w:t>
            </w:r>
          </w:p>
          <w:p w14:paraId="02560C8B">
            <w:pPr>
              <w:pStyle w:val="33"/>
              <w:keepNext w:val="0"/>
              <w:keepLines w:val="0"/>
              <w:pageBreakBefore w:val="0"/>
              <w:widowControl w:val="0"/>
              <w:kinsoku/>
              <w:wordWrap/>
              <w:overflowPunct/>
              <w:topLinePunct w:val="0"/>
              <w:bidi w:val="0"/>
              <w:adjustRightInd w:val="0"/>
              <w:spacing w:line="360" w:lineRule="auto"/>
              <w:ind w:left="0" w:leftChars="0" w:right="0" w:rightChars="0" w:firstLine="0" w:firstLineChars="0"/>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20</w:t>
            </w:r>
            <w:r>
              <w:rPr>
                <w:rFonts w:hint="eastAsia" w:ascii="宋体" w:hAnsi="宋体" w:cs="宋体"/>
                <w:color w:val="000000" w:themeColor="text1"/>
                <w:sz w:val="24"/>
                <w:szCs w:val="24"/>
                <w:lang w:val="en-US" w:eastAsia="zh-CN"/>
                <w14:textFill>
                  <w14:solidFill>
                    <w14:schemeClr w14:val="tx1"/>
                  </w14:solidFill>
                </w14:textFill>
              </w:rPr>
              <w:t>22</w:t>
            </w:r>
            <w:r>
              <w:rPr>
                <w:rFonts w:hint="eastAsia" w:ascii="宋体" w:hAnsi="宋体" w:eastAsia="宋体" w:cs="宋体"/>
                <w:color w:val="000000" w:themeColor="text1"/>
                <w:sz w:val="24"/>
                <w:szCs w:val="24"/>
                <w:lang w:val="en-US" w:eastAsia="zh-CN"/>
                <w14:textFill>
                  <w14:solidFill>
                    <w14:schemeClr w14:val="tx1"/>
                  </w14:solidFill>
                </w14:textFill>
              </w:rPr>
              <w:t>年</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月</w:t>
            </w:r>
            <w:r>
              <w:rPr>
                <w:rFonts w:hint="eastAsia" w:ascii="宋体" w:hAnsi="宋体" w:eastAsia="宋体" w:cs="宋体"/>
                <w:color w:val="000000" w:themeColor="text1"/>
                <w:lang w:eastAsia="zh-CN"/>
                <w14:textFill>
                  <w14:solidFill>
                    <w14:schemeClr w14:val="tx1"/>
                  </w14:solidFill>
                </w14:textFill>
              </w:rPr>
              <w:t>四平鑫龙报废汽车回收拆解有限公司</w:t>
            </w:r>
            <w:r>
              <w:rPr>
                <w:rFonts w:hint="eastAsia" w:ascii="宋体" w:hAnsi="宋体" w:eastAsia="宋体" w:cs="宋体"/>
                <w:color w:val="000000" w:themeColor="text1"/>
                <w:sz w:val="24"/>
                <w:szCs w:val="24"/>
                <w:lang w:val="en-US" w:eastAsia="zh-CN"/>
                <w14:textFill>
                  <w14:solidFill>
                    <w14:schemeClr w14:val="tx1"/>
                  </w14:solidFill>
                </w14:textFill>
              </w:rPr>
              <w:t>完成了竣工环保验收。</w:t>
            </w:r>
          </w:p>
          <w:p w14:paraId="4598F110">
            <w:pPr>
              <w:keepNext w:val="0"/>
              <w:keepLines w:val="0"/>
              <w:pageBreakBefore w:val="0"/>
              <w:widowControl w:val="0"/>
              <w:numPr>
                <w:ilvl w:val="0"/>
                <w:numId w:val="8"/>
              </w:numPr>
              <w:kinsoku/>
              <w:wordWrap/>
              <w:overflowPunct/>
              <w:topLinePunct w:val="0"/>
              <w:bidi w:val="0"/>
              <w:adjustRightInd w:val="0"/>
              <w:snapToGrid w:val="0"/>
              <w:spacing w:line="360" w:lineRule="auto"/>
              <w:ind w:left="0" w:leftChars="0" w:right="0" w:rightChars="0" w:firstLine="0" w:firstLineChars="0"/>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排污许可执行情况</w:t>
            </w:r>
          </w:p>
          <w:p w14:paraId="2D5E3563">
            <w:pPr>
              <w:pStyle w:val="33"/>
              <w:keepNext w:val="0"/>
              <w:keepLines w:val="0"/>
              <w:pageBreakBefore w:val="0"/>
              <w:widowControl w:val="0"/>
              <w:kinsoku/>
              <w:wordWrap/>
              <w:overflowPunct/>
              <w:topLinePunct w:val="0"/>
              <w:bidi w:val="0"/>
              <w:adjustRightInd w:val="0"/>
              <w:spacing w:line="360" w:lineRule="auto"/>
              <w:ind w:left="0" w:leftChars="0" w:right="0" w:rightChars="0" w:firstLine="0" w:firstLineChars="0"/>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2020年已取得排污许可证，</w:t>
            </w:r>
            <w:r>
              <w:rPr>
                <w:rFonts w:hint="eastAsia" w:ascii="宋体" w:hAnsi="宋体" w:eastAsia="宋体" w:cs="宋体"/>
                <w:color w:val="000000" w:themeColor="text1"/>
                <w:sz w:val="24"/>
                <w:szCs w:val="24"/>
                <w14:textFill>
                  <w14:solidFill>
                    <w14:schemeClr w14:val="tx1"/>
                  </w14:solidFill>
                </w14:textFill>
              </w:rPr>
              <w:t>登记编号</w:t>
            </w:r>
            <w:r>
              <w:rPr>
                <w:rFonts w:hint="eastAsia" w:ascii="宋体" w:hAnsi="宋体" w:eastAsia="宋体" w:cs="宋体"/>
                <w:color w:val="000000" w:themeColor="text1"/>
                <w:sz w:val="24"/>
                <w:szCs w:val="24"/>
                <w:highlight w:val="none"/>
                <w14:textFill>
                  <w14:solidFill>
                    <w14:schemeClr w14:val="tx1"/>
                  </w14:solidFill>
                </w14:textFill>
              </w:rPr>
              <w:t>：91220394660101616X001U</w:t>
            </w:r>
            <w:r>
              <w:rPr>
                <w:rFonts w:hint="eastAsia" w:ascii="宋体" w:hAnsi="宋体" w:eastAsia="宋体" w:cs="宋体"/>
                <w:color w:val="000000" w:themeColor="text1"/>
                <w:sz w:val="24"/>
                <w:szCs w:val="24"/>
                <w:lang w:val="en-US" w:eastAsia="zh-CN"/>
                <w14:textFill>
                  <w14:solidFill>
                    <w14:schemeClr w14:val="tx1"/>
                  </w14:solidFill>
                </w14:textFill>
              </w:rPr>
              <w:t>。</w:t>
            </w:r>
          </w:p>
          <w:p w14:paraId="5BDF5336">
            <w:pPr>
              <w:keepNext w:val="0"/>
              <w:keepLines w:val="0"/>
              <w:pageBreakBefore w:val="0"/>
              <w:widowControl w:val="0"/>
              <w:numPr>
                <w:ilvl w:val="0"/>
                <w:numId w:val="9"/>
              </w:numPr>
              <w:kinsoku/>
              <w:wordWrap/>
              <w:overflowPunct/>
              <w:topLinePunct w:val="0"/>
              <w:bidi w:val="0"/>
              <w:adjustRightInd w:val="0"/>
              <w:snapToGrid w:val="0"/>
              <w:spacing w:line="360" w:lineRule="auto"/>
              <w:ind w:left="0" w:leftChars="0" w:right="0" w:rightChars="0" w:firstLine="0" w:firstLineChars="0"/>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现有工程污染物实际排放总量</w:t>
            </w:r>
          </w:p>
          <w:p w14:paraId="122253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1、污染物排放情况</w:t>
            </w:r>
          </w:p>
          <w:p w14:paraId="0245FAFE">
            <w:pPr>
              <w:pStyle w:val="33"/>
              <w:keepNext w:val="0"/>
              <w:keepLines w:val="0"/>
              <w:pageBreakBefore w:val="0"/>
              <w:widowControl w:val="0"/>
              <w:numPr>
                <w:ilvl w:val="0"/>
                <w:numId w:val="0"/>
              </w:numPr>
              <w:kinsoku/>
              <w:wordWrap/>
              <w:overflowPunct/>
              <w:topLinePunct w:val="0"/>
              <w:bidi w:val="0"/>
              <w:snapToGrid/>
              <w:spacing w:line="360" w:lineRule="auto"/>
              <w:ind w:left="0" w:leftChars="0" w:right="0" w:rightChars="0" w:firstLine="480" w:firstLineChars="20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（1）废水 </w:t>
            </w:r>
          </w:p>
          <w:p w14:paraId="39EDF0C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 xml:space="preserve">    由于企业所在区域地势问题，一直未接通市政下水管网，企业车间地面清洁主要为清扫，无地面清洗水，全厂污水主要来源于初期雨水及生活污水。其中生活污水经厂区化粪池处理后定期清运，详见附件。初期雨水经收集后，采用隔油沉淀工艺进行处理，经检测水质达到相应排放标准后，排入市政指定的具备市政排水管网接纳条件的排放口。通过四平市污水处理厂处理后排入条子河。</w:t>
            </w:r>
          </w:p>
          <w:p w14:paraId="05FDFFA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根据企业2025年排污许可证执行报告废水污染物浓度监测统计表，企业污水达标排放</w:t>
            </w:r>
            <w:r>
              <w:rPr>
                <w:rFonts w:hint="eastAsia" w:ascii="宋体" w:hAnsi="宋体" w:cs="宋体"/>
                <w:color w:val="000000" w:themeColor="text1"/>
                <w:highlight w:val="none"/>
                <w:lang w:val="en-US" w:eastAsia="zh-CN"/>
                <w14:textFill>
                  <w14:solidFill>
                    <w14:schemeClr w14:val="tx1"/>
                  </w14:solidFill>
                </w14:textFill>
              </w:rPr>
              <w:t>，满足</w:t>
            </w:r>
            <w:r>
              <w:rPr>
                <w:rFonts w:hint="eastAsia" w:ascii="宋体" w:hAnsi="宋体" w:eastAsia="宋体" w:cs="宋体"/>
                <w:color w:val="000000" w:themeColor="text1"/>
                <w:sz w:val="24"/>
                <w:szCs w:val="24"/>
                <w14:textFill>
                  <w14:solidFill>
                    <w14:schemeClr w14:val="tx1"/>
                  </w14:solidFill>
                </w14:textFill>
              </w:rPr>
              <w:t>《污水综合排放标准》（GB8978-1996</w:t>
            </w:r>
            <w:r>
              <w:rPr>
                <w:rFonts w:hint="eastAsia" w:ascii="宋体" w:hAnsi="宋体" w:eastAsia="宋体" w:cs="宋体"/>
                <w:color w:val="000000" w:themeColor="text1"/>
                <w:sz w:val="24"/>
                <w:szCs w:val="24"/>
                <w:highlight w:val="none"/>
                <w14:textFill>
                  <w14:solidFill>
                    <w14:schemeClr w14:val="tx1"/>
                  </w14:solidFill>
                </w14:textFill>
              </w:rPr>
              <w:t>）表4</w:t>
            </w:r>
            <w:r>
              <w:rPr>
                <w:rFonts w:hint="eastAsia" w:ascii="宋体" w:hAnsi="宋体" w:eastAsia="宋体" w:cs="宋体"/>
                <w:color w:val="000000" w:themeColor="text1"/>
                <w:sz w:val="24"/>
                <w:szCs w:val="24"/>
                <w14:textFill>
                  <w14:solidFill>
                    <w14:schemeClr w14:val="tx1"/>
                  </w14:solidFill>
                </w14:textFill>
              </w:rPr>
              <w:t>三级排放标准</w:t>
            </w:r>
            <w:r>
              <w:rPr>
                <w:rFonts w:hint="eastAsia" w:ascii="宋体" w:hAnsi="宋体" w:cs="宋体"/>
                <w:color w:val="000000" w:themeColor="text1"/>
                <w:lang w:val="en-US" w:eastAsia="zh-CN"/>
                <w14:textFill>
                  <w14:solidFill>
                    <w14:schemeClr w14:val="tx1"/>
                  </w14:solidFill>
                </w14:textFill>
              </w:rPr>
              <w:t>，具体如下：</w:t>
            </w:r>
          </w:p>
          <w:p w14:paraId="6F2B5A1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宋体" w:hAnsi="宋体" w:eastAsia="宋体" w:cs="宋体"/>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51435</wp:posOffset>
                      </wp:positionH>
                      <wp:positionV relativeFrom="paragraph">
                        <wp:posOffset>10160</wp:posOffset>
                      </wp:positionV>
                      <wp:extent cx="5389245" cy="2337435"/>
                      <wp:effectExtent l="12700" t="12700" r="23495" b="27305"/>
                      <wp:wrapNone/>
                      <wp:docPr id="75" name="矩形 75"/>
                      <wp:cNvGraphicFramePr/>
                      <a:graphic xmlns:a="http://schemas.openxmlformats.org/drawingml/2006/main">
                        <a:graphicData uri="http://schemas.microsoft.com/office/word/2010/wordprocessingShape">
                          <wps:wsp>
                            <wps:cNvSpPr/>
                            <wps:spPr>
                              <a:xfrm>
                                <a:off x="0" y="0"/>
                                <a:ext cx="5389245" cy="233743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pt;margin-top:0.8pt;height:184.05pt;width:424.35pt;z-index:251701248;v-text-anchor:middle;mso-width-relative:page;mso-height-relative:page;" filled="f" stroked="t" coordsize="21600,21600" o:gfxdata="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nP&#10;02DXAAAABwEAAA8AAAAAAAAAAQAgAAAAIgAAAGRycy9kb3ducmV2LnhtbFBLAQIUABQAAAAIAIdO&#10;4kB3btGvXQIAALcEAAAOAAAAAAAAAAEAIAAAACYBAABkcnMvZTJvRG9jLnhtbFBLBQYAAAAABgAG&#10;AFkBAAD1BQAAAAA=&#10;">
                      <v:fill on="f" focussize="0,0"/>
                      <v:stroke weight="2pt" color="#000000 [3213]" joinstyle="round"/>
                      <v:imagedata o:title=""/>
                      <o:lock v:ext="edit" aspectratio="f"/>
                    </v:rect>
                  </w:pict>
                </mc:Fallback>
              </mc:AlternateContent>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554345" cy="2319655"/>
                  <wp:effectExtent l="0" t="0" r="8255" b="4445"/>
                  <wp:docPr id="70" name="图片 70" descr="ac6bcf9c-9dbb-47db-8a74-6e2608e41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c6bcf9c-9dbb-47db-8a74-6e2608e416c9"/>
                          <pic:cNvPicPr>
                            <a:picLocks noChangeAspect="1"/>
                          </pic:cNvPicPr>
                        </pic:nvPicPr>
                        <pic:blipFill>
                          <a:blip r:embed="rId22"/>
                          <a:stretch>
                            <a:fillRect/>
                          </a:stretch>
                        </pic:blipFill>
                        <pic:spPr>
                          <a:xfrm>
                            <a:off x="0" y="0"/>
                            <a:ext cx="5554345" cy="2319655"/>
                          </a:xfrm>
                          <a:prstGeom prst="rect">
                            <a:avLst/>
                          </a:prstGeom>
                        </pic:spPr>
                      </pic:pic>
                    </a:graphicData>
                  </a:graphic>
                </wp:inline>
              </w:drawing>
            </w:r>
          </w:p>
          <w:p w14:paraId="2535F24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 xml:space="preserve">    （2）</w:t>
            </w:r>
            <w:r>
              <w:rPr>
                <w:rFonts w:hint="eastAsia" w:ascii="宋体" w:hAnsi="宋体" w:eastAsia="宋体" w:cs="宋体"/>
                <w:color w:val="000000" w:themeColor="text1"/>
                <w:sz w:val="24"/>
                <w:szCs w:val="24"/>
                <w14:textFill>
                  <w14:solidFill>
                    <w14:schemeClr w14:val="tx1"/>
                  </w14:solidFill>
                </w14:textFill>
              </w:rPr>
              <w:t>废气</w:t>
            </w:r>
          </w:p>
          <w:p w14:paraId="349D7252">
            <w:pPr>
              <w:numPr>
                <w:ilvl w:val="0"/>
                <w:numId w:val="0"/>
              </w:numPr>
              <w:spacing w:line="360" w:lineRule="auto"/>
              <w:ind w:left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通过现场踏查，企业废水污染工序及排放情况与排污许可证一致，具体如下：</w:t>
            </w:r>
          </w:p>
          <w:p w14:paraId="3B27B63B">
            <w:pPr>
              <w:widowControl w:val="0"/>
              <w:numPr>
                <w:ilvl w:val="0"/>
                <w:numId w:val="0"/>
              </w:numPr>
              <w:spacing w:line="360" w:lineRule="auto"/>
              <w:jc w:val="both"/>
              <w:rPr>
                <w:rFonts w:hint="eastAsia" w:ascii="宋体" w:hAnsi="宋体" w:eastAsia="宋体" w:cs="宋体"/>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-5715</wp:posOffset>
                      </wp:positionH>
                      <wp:positionV relativeFrom="paragraph">
                        <wp:posOffset>16510</wp:posOffset>
                      </wp:positionV>
                      <wp:extent cx="5601335" cy="1644650"/>
                      <wp:effectExtent l="12700" t="12700" r="24765" b="19050"/>
                      <wp:wrapNone/>
                      <wp:docPr id="31" name="矩形 31"/>
                      <wp:cNvGraphicFramePr/>
                      <a:graphic xmlns:a="http://schemas.openxmlformats.org/drawingml/2006/main">
                        <a:graphicData uri="http://schemas.microsoft.com/office/word/2010/wordprocessingShape">
                          <wps:wsp>
                            <wps:cNvSpPr/>
                            <wps:spPr>
                              <a:xfrm>
                                <a:off x="0" y="0"/>
                                <a:ext cx="5601335" cy="16446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1.3pt;height:129.5pt;width:441.05pt;z-index:251702272;v-text-anchor:middle;mso-width-relative:page;mso-height-relative:page;" filled="f" stroked="t" coordsize="21600,21600" o:gfxdata="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y&#10;cryK1gAAAAcBAAAPAAAAAAAAAAEAIAAAACIAAABkcnMvZG93bnJldi54bWxQSwECFAAUAAAACACH&#10;TuJAri5jEV8CAAC3BAAADgAAAAAAAAABACAAAAAlAQAAZHJzL2Uyb0RvYy54bWxQSwUGAAAAAAYA&#10;BgBZAQAA9gUAAAAA&#10;">
                      <v:fill on="f" focussize="0,0"/>
                      <v:stroke weight="2pt" color="#000000 [3213]" joinstyle="round"/>
                      <v:imagedata o:title=""/>
                      <o:lock v:ext="edit" aspectratio="f"/>
                    </v:rect>
                  </w:pict>
                </mc:Fallback>
              </mc:AlternateContent>
            </w:r>
            <w:r>
              <w:rPr>
                <w:rFonts w:hint="eastAsia" w:ascii="宋体" w:hAnsi="宋体" w:eastAsia="宋体" w:cs="宋体"/>
                <w:color w:val="000000" w:themeColor="text1"/>
                <w:sz w:val="24"/>
                <w:szCs w:val="24"/>
                <w:lang w:eastAsia="zh-CN"/>
                <w14:textFill>
                  <w14:solidFill>
                    <w14:schemeClr w14:val="tx1"/>
                  </w14:solidFill>
                </w14:textFill>
              </w:rPr>
              <w:drawing>
                <wp:inline distT="0" distB="0" distL="114300" distR="114300">
                  <wp:extent cx="5554980" cy="1635760"/>
                  <wp:effectExtent l="0" t="0" r="7620" b="2540"/>
                  <wp:docPr id="82" name="图片 82" descr="ea2f41bb-6232-48ee-9e7c-15ad178e8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ea2f41bb-6232-48ee-9e7c-15ad178e874f"/>
                          <pic:cNvPicPr>
                            <a:picLocks noChangeAspect="1"/>
                          </pic:cNvPicPr>
                        </pic:nvPicPr>
                        <pic:blipFill>
                          <a:blip r:embed="rId23"/>
                          <a:stretch>
                            <a:fillRect/>
                          </a:stretch>
                        </pic:blipFill>
                        <pic:spPr>
                          <a:xfrm>
                            <a:off x="0" y="0"/>
                            <a:ext cx="5554980" cy="1635760"/>
                          </a:xfrm>
                          <a:prstGeom prst="rect">
                            <a:avLst/>
                          </a:prstGeom>
                        </pic:spPr>
                      </pic:pic>
                    </a:graphicData>
                  </a:graphic>
                </wp:inline>
              </w:drawing>
            </w:r>
          </w:p>
          <w:p w14:paraId="64660086">
            <w:pPr>
              <w:widowControl w:val="0"/>
              <w:numPr>
                <w:ilvl w:val="0"/>
                <w:numId w:val="0"/>
              </w:numPr>
              <w:spacing w:line="360" w:lineRule="auto"/>
              <w:ind w:firstLine="480" w:firstLineChars="200"/>
              <w:jc w:val="both"/>
              <w:rPr>
                <w:rFonts w:hint="eastAsia" w:ascii="宋体" w:hAnsi="宋体" w:eastAsia="宋体" w:cs="宋体"/>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8255</wp:posOffset>
                      </wp:positionH>
                      <wp:positionV relativeFrom="paragraph">
                        <wp:posOffset>1769745</wp:posOffset>
                      </wp:positionV>
                      <wp:extent cx="5492115" cy="767080"/>
                      <wp:effectExtent l="12700" t="12700" r="27305" b="12700"/>
                      <wp:wrapNone/>
                      <wp:docPr id="67" name="矩形 67"/>
                      <wp:cNvGraphicFramePr/>
                      <a:graphic xmlns:a="http://schemas.openxmlformats.org/drawingml/2006/main">
                        <a:graphicData uri="http://schemas.microsoft.com/office/word/2010/wordprocessingShape">
                          <wps:wsp>
                            <wps:cNvSpPr/>
                            <wps:spPr>
                              <a:xfrm>
                                <a:off x="0" y="0"/>
                                <a:ext cx="5492115" cy="76708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139.35pt;height:60.4pt;width:432.45pt;z-index:251703296;v-text-anchor:middle;mso-width-relative:page;mso-height-relative:page;" filled="f" stroked="t" coordsize="21600,21600" o:gfxdata="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xqQY2QAAAAkBAAAPAAAAAAAAAAEAIAAAACIAAABkcnMvZG93bnJldi54bWxQSwECFAAUAAAA&#10;CACHTuJAhfR6Il8CAAC2BAAADgAAAAAAAAABACAAAAAoAQAAZHJzL2Uyb0RvYy54bWxQSwUGAAAA&#10;AAYABgBZAQAA+QUAAAAA&#10;">
                      <v:fill on="f" focussize="0,0"/>
                      <v:stroke weight="2pt" color="#000000 [3213]" joinstyle="round"/>
                      <v:imagedata o:title=""/>
                      <o:lock v:ext="edit" aspectratio="f"/>
                    </v:rect>
                  </w:pict>
                </mc:Fallback>
              </mc:AlternateContent>
            </w:r>
            <w:r>
              <w:rPr>
                <w:rFonts w:hint="eastAsia" w:ascii="宋体" w:hAnsi="宋体" w:cs="宋体"/>
                <w:color w:val="000000" w:themeColor="text1"/>
                <w:lang w:val="en-US" w:eastAsia="zh-CN"/>
                <w14:textFill>
                  <w14:solidFill>
                    <w14:schemeClr w14:val="tx1"/>
                  </w14:solidFill>
                </w14:textFill>
              </w:rPr>
              <w:t>根据企业2025年排污许可证执行报告废气污染物浓度监测统计表，企业废气达标排放</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颗粒物、VOCs（以非甲烷总烃计）。废气排放执行《大气污染物综合排放标准》（GB16297-1996）中表2 新污染源大气污染物排放限值二级标准。厂区内VOCs无组织排放监控点浓度执行《挥发性有机物无组织排放控制标准》（GB37822-2019</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，自2019-07-01起实施）表</w:t>
            </w:r>
            <w:r>
              <w:rPr>
                <w:rFonts w:hint="eastAsia" w:ascii="宋体" w:hAnsi="宋体" w:eastAsia="宋体" w:cs="宋体"/>
                <w:color w:val="000000" w:themeColor="text1"/>
                <w:highlight w:val="none"/>
                <w14:textFill>
                  <w14:solidFill>
                    <w14:schemeClr w14:val="tx1"/>
                  </w14:solidFill>
                </w14:textFill>
              </w:rPr>
              <w:t>A.1</w:t>
            </w:r>
            <w:r>
              <w:rPr>
                <w:rFonts w:hint="eastAsia" w:ascii="宋体" w:hAnsi="宋体" w:eastAsia="宋体" w:cs="宋体"/>
                <w:color w:val="000000" w:themeColor="text1"/>
                <w14:textFill>
                  <w14:solidFill>
                    <w14:schemeClr w14:val="tx1"/>
                  </w14:solidFill>
                </w14:textFill>
              </w:rPr>
              <w:t>中</w:t>
            </w:r>
            <w:r>
              <w:rPr>
                <w:rFonts w:hint="eastAsia" w:ascii="宋体" w:hAnsi="宋体" w:eastAsia="宋体" w:cs="宋体"/>
                <w:color w:val="000000" w:themeColor="text1"/>
                <w:lang w:val="en-US" w:eastAsia="zh-CN"/>
                <w14:textFill>
                  <w14:solidFill>
                    <w14:schemeClr w14:val="tx1"/>
                  </w14:solidFill>
                </w14:textFill>
              </w:rPr>
              <w:t>特别排放</w:t>
            </w:r>
            <w:r>
              <w:rPr>
                <w:rFonts w:hint="eastAsia" w:ascii="宋体" w:hAnsi="宋体" w:eastAsia="宋体" w:cs="宋体"/>
                <w:color w:val="000000" w:themeColor="text1"/>
                <w14:textFill>
                  <w14:solidFill>
                    <w14:schemeClr w14:val="tx1"/>
                  </w14:solidFill>
                </w14:textFill>
              </w:rPr>
              <w:t>限值要求，</w:t>
            </w:r>
            <w:r>
              <w:rPr>
                <w:rFonts w:hint="eastAsia" w:ascii="宋体" w:hAnsi="宋体" w:cs="宋体"/>
                <w:color w:val="000000" w:themeColor="text1"/>
                <w:lang w:val="en-US" w:eastAsia="zh-CN"/>
                <w14:textFill>
                  <w14:solidFill>
                    <w14:schemeClr w14:val="tx1"/>
                  </w14:solidFill>
                </w14:textFill>
              </w:rPr>
              <w:t>具体如下：</w:t>
            </w:r>
          </w:p>
          <w:p w14:paraId="6EFAAF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-28575</wp:posOffset>
                      </wp:positionH>
                      <wp:positionV relativeFrom="paragraph">
                        <wp:posOffset>866775</wp:posOffset>
                      </wp:positionV>
                      <wp:extent cx="5455285" cy="767080"/>
                      <wp:effectExtent l="12700" t="12700" r="18415" b="12700"/>
                      <wp:wrapNone/>
                      <wp:docPr id="68" name="矩形 68"/>
                      <wp:cNvGraphicFramePr/>
                      <a:graphic xmlns:a="http://schemas.openxmlformats.org/drawingml/2006/main">
                        <a:graphicData uri="http://schemas.microsoft.com/office/word/2010/wordprocessingShape">
                          <wps:wsp>
                            <wps:cNvSpPr/>
                            <wps:spPr>
                              <a:xfrm>
                                <a:off x="0" y="0"/>
                                <a:ext cx="5455285" cy="76708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pt;margin-top:68.25pt;height:60.4pt;width:429.55pt;z-index:251704320;v-text-anchor:middle;mso-width-relative:page;mso-height-relative:page;" filled="f" stroked="t" coordsize="21600,21600" o:gfxdata="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3r0NtoAAAAKAQAADwAAAAAAAAABACAAAAAiAAAAZHJzL2Rvd25yZXYueG1sUEsBAhQAFAAA&#10;AAgAh07iQO0YMuZfAgAAtgQAAA4AAAAAAAAAAQAgAAAAKQEAAGRycy9lMm9Eb2MueG1sUEsFBgAA&#10;AAAGAAYAWQEAAPoFAAAAAA==&#10;">
                      <v:fill on="f" focussize="0,0"/>
                      <v:stroke weight="2pt" color="#000000 [3213]" joinstyle="round"/>
                      <v:imagedata o:title=""/>
                      <o:lock v:ext="edit" aspectratio="f"/>
                    </v:rect>
                  </w:pict>
                </mc:Fallback>
              </mc:AlternateContent>
            </w:r>
            <w:r>
              <w:rPr>
                <w:rFonts w:hint="eastAsia" w:ascii="宋体" w:hAnsi="宋体" w:eastAsia="宋体" w:cs="宋体"/>
                <w:color w:val="000000" w:themeColor="text1"/>
                <w:sz w:val="24"/>
                <w:szCs w:val="24"/>
                <w:lang w:eastAsia="zh-CN"/>
                <w14:textFill>
                  <w14:solidFill>
                    <w14:schemeClr w14:val="tx1"/>
                  </w14:solidFill>
                </w14:textFill>
              </w:rPr>
              <w:drawing>
                <wp:inline distT="0" distB="0" distL="114300" distR="114300">
                  <wp:extent cx="5549265" cy="775335"/>
                  <wp:effectExtent l="0" t="0" r="635" b="12065"/>
                  <wp:docPr id="76" name="图片 76" descr="2c164b7e-63a8-4b2e-9dfd-d3fa39e0a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c164b7e-63a8-4b2e-9dfd-d3fa39e0af12"/>
                          <pic:cNvPicPr>
                            <a:picLocks noChangeAspect="1"/>
                          </pic:cNvPicPr>
                        </pic:nvPicPr>
                        <pic:blipFill>
                          <a:blip r:embed="rId24"/>
                          <a:stretch>
                            <a:fillRect/>
                          </a:stretch>
                        </pic:blipFill>
                        <pic:spPr>
                          <a:xfrm>
                            <a:off x="0" y="0"/>
                            <a:ext cx="5549265" cy="775335"/>
                          </a:xfrm>
                          <a:prstGeom prst="rect">
                            <a:avLst/>
                          </a:prstGeom>
                        </pic:spPr>
                      </pic:pic>
                    </a:graphicData>
                  </a:graphic>
                </wp:inline>
              </w:drawing>
            </w:r>
          </w:p>
          <w:p w14:paraId="6DB4CD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-5715</wp:posOffset>
                      </wp:positionH>
                      <wp:positionV relativeFrom="paragraph">
                        <wp:posOffset>847725</wp:posOffset>
                      </wp:positionV>
                      <wp:extent cx="5460365" cy="1885950"/>
                      <wp:effectExtent l="12700" t="12700" r="13335" b="21590"/>
                      <wp:wrapNone/>
                      <wp:docPr id="83" name="矩形 83"/>
                      <wp:cNvGraphicFramePr/>
                      <a:graphic xmlns:a="http://schemas.openxmlformats.org/drawingml/2006/main">
                        <a:graphicData uri="http://schemas.microsoft.com/office/word/2010/wordprocessingShape">
                          <wps:wsp>
                            <wps:cNvSpPr/>
                            <wps:spPr>
                              <a:xfrm>
                                <a:off x="0" y="0"/>
                                <a:ext cx="5460365" cy="18859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66.75pt;height:148.5pt;width:429.95pt;z-index:251705344;v-text-anchor:middle;mso-width-relative:page;mso-height-relative:page;" filled="f" stroked="t" coordsize="21600,21600" o:gfxdata="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HbRodkAAAAJAQAADwAAAAAAAAABACAAAAAiAAAAZHJzL2Rvd25yZXYueG1sUEsBAhQAFAAA&#10;AAgAh07iQLDN5hdgAgAAtwQAAA4AAAAAAAAAAQAgAAAAKAEAAGRycy9lMm9Eb2MueG1sUEsFBgAA&#10;AAAGAAYAWQEAAPoFAAAAAA==&#10;">
                      <v:fill on="f" focussize="0,0"/>
                      <v:stroke weight="2pt" color="#000000 [3213]" joinstyle="round"/>
                      <v:imagedata o:title=""/>
                      <o:lock v:ext="edit" aspectratio="f"/>
                    </v:rect>
                  </w:pict>
                </mc:Fallback>
              </mc:AlternateContent>
            </w:r>
            <w:r>
              <w:rPr>
                <w:rFonts w:hint="eastAsia" w:ascii="宋体" w:hAnsi="宋体" w:eastAsia="宋体" w:cs="宋体"/>
                <w:color w:val="000000" w:themeColor="text1"/>
                <w:sz w:val="24"/>
                <w:szCs w:val="24"/>
                <w:lang w:eastAsia="zh-CN"/>
                <w14:textFill>
                  <w14:solidFill>
                    <w14:schemeClr w14:val="tx1"/>
                  </w14:solidFill>
                </w14:textFill>
              </w:rPr>
              <w:drawing>
                <wp:inline distT="0" distB="0" distL="114300" distR="114300">
                  <wp:extent cx="5552440" cy="746125"/>
                  <wp:effectExtent l="0" t="0" r="10160" b="3175"/>
                  <wp:docPr id="77" name="图片 77" descr="f4fbcd0e-0ca4-43ec-9750-e28fb681a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4fbcd0e-0ca4-43ec-9750-e28fb681a02c"/>
                          <pic:cNvPicPr>
                            <a:picLocks noChangeAspect="1"/>
                          </pic:cNvPicPr>
                        </pic:nvPicPr>
                        <pic:blipFill>
                          <a:blip r:embed="rId25"/>
                          <a:stretch>
                            <a:fillRect/>
                          </a:stretch>
                        </pic:blipFill>
                        <pic:spPr>
                          <a:xfrm>
                            <a:off x="0" y="0"/>
                            <a:ext cx="5552440" cy="746125"/>
                          </a:xfrm>
                          <a:prstGeom prst="rect">
                            <a:avLst/>
                          </a:prstGeom>
                        </pic:spPr>
                      </pic:pic>
                    </a:graphicData>
                  </a:graphic>
                </wp:inline>
              </w:drawing>
            </w:r>
          </w:p>
          <w:p w14:paraId="0D3ECC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drawing>
                <wp:inline distT="0" distB="0" distL="114300" distR="114300">
                  <wp:extent cx="5547995" cy="1875790"/>
                  <wp:effectExtent l="0" t="0" r="1905" b="3810"/>
                  <wp:docPr id="78" name="图片 78" descr="9000cb58-90bc-4963-891c-b59b77822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000cb58-90bc-4963-891c-b59b778221b0"/>
                          <pic:cNvPicPr>
                            <a:picLocks noChangeAspect="1"/>
                          </pic:cNvPicPr>
                        </pic:nvPicPr>
                        <pic:blipFill>
                          <a:blip r:embed="rId26"/>
                          <a:stretch>
                            <a:fillRect/>
                          </a:stretch>
                        </pic:blipFill>
                        <pic:spPr>
                          <a:xfrm>
                            <a:off x="0" y="0"/>
                            <a:ext cx="5547995" cy="1875790"/>
                          </a:xfrm>
                          <a:prstGeom prst="rect">
                            <a:avLst/>
                          </a:prstGeom>
                        </pic:spPr>
                      </pic:pic>
                    </a:graphicData>
                  </a:graphic>
                </wp:inline>
              </w:drawing>
            </w:r>
          </w:p>
          <w:p w14:paraId="192D79C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3、噪声</w:t>
            </w:r>
          </w:p>
          <w:p w14:paraId="149EDA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-5715</wp:posOffset>
                      </wp:positionH>
                      <wp:positionV relativeFrom="paragraph">
                        <wp:posOffset>2303780</wp:posOffset>
                      </wp:positionV>
                      <wp:extent cx="5408295" cy="2210435"/>
                      <wp:effectExtent l="12700" t="12700" r="19685" b="17145"/>
                      <wp:wrapNone/>
                      <wp:docPr id="93" name="矩形 93"/>
                      <wp:cNvGraphicFramePr/>
                      <a:graphic xmlns:a="http://schemas.openxmlformats.org/drawingml/2006/main">
                        <a:graphicData uri="http://schemas.microsoft.com/office/word/2010/wordprocessingShape">
                          <wps:wsp>
                            <wps:cNvSpPr/>
                            <wps:spPr>
                              <a:xfrm>
                                <a:off x="0" y="0"/>
                                <a:ext cx="5408295" cy="221043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181.4pt;height:174.05pt;width:425.85pt;z-index:251707392;v-text-anchor:middle;mso-width-relative:page;mso-height-relative:page;" filled="f" stroked="t" coordsize="21600,21600" o:gfxdata="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y55ydkAAAAJAQAADwAAAAAAAAABACAAAAAiAAAAZHJzL2Rvd25yZXYueG1sUEsBAhQAFAAAAAgA&#10;h07iQAHlkbZdAgAAtwQAAA4AAAAAAAAAAQAgAAAAKAEAAGRycy9lMm9Eb2MueG1sUEsFBgAAAAAG&#10;AAYAWQEAAPcFAAAAAA==&#10;">
                      <v:fill on="f" focussize="0,0"/>
                      <v:stroke weight="2pt" color="#000000 [3213]" joinstyle="round"/>
                      <v:imagedata o:title=""/>
                      <o:lock v:ext="edit" aspectratio="f"/>
                    </v:rect>
                  </w:pict>
                </mc:Fallback>
              </mc:AlternateContent>
            </w:r>
            <w:r>
              <w:rPr>
                <w:rFonts w:hint="eastAsia" w:ascii="宋体" w:hAnsi="宋体" w:eastAsia="宋体" w:cs="宋体"/>
                <w:b w:val="0"/>
                <w:bCs w:val="0"/>
                <w:color w:val="000000" w:themeColor="text1"/>
                <w:sz w:val="24"/>
                <w:szCs w:val="24"/>
                <w:lang w:eastAsia="zh-CN"/>
                <w14:textFill>
                  <w14:solidFill>
                    <w14:schemeClr w14:val="tx1"/>
                  </w14:solidFill>
                </w14:textFill>
              </w:rPr>
              <w:drawing>
                <wp:inline distT="0" distB="0" distL="114300" distR="114300">
                  <wp:extent cx="5554345" cy="2232660"/>
                  <wp:effectExtent l="0" t="0" r="8255" b="2540"/>
                  <wp:docPr id="79" name="图片 79" descr="a751d428-a613-459a-827c-13b10b8f6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751d428-a613-459a-827c-13b10b8f675c"/>
                          <pic:cNvPicPr>
                            <a:picLocks noChangeAspect="1"/>
                          </pic:cNvPicPr>
                        </pic:nvPicPr>
                        <pic:blipFill>
                          <a:blip r:embed="rId27"/>
                          <a:stretch>
                            <a:fillRect/>
                          </a:stretch>
                        </pic:blipFill>
                        <pic:spPr>
                          <a:xfrm>
                            <a:off x="0" y="0"/>
                            <a:ext cx="5554345" cy="2232660"/>
                          </a:xfrm>
                          <a:prstGeom prst="rect">
                            <a:avLst/>
                          </a:prstGeom>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-12065</wp:posOffset>
                      </wp:positionH>
                      <wp:positionV relativeFrom="paragraph">
                        <wp:posOffset>-1270</wp:posOffset>
                      </wp:positionV>
                      <wp:extent cx="5455920" cy="2292985"/>
                      <wp:effectExtent l="12700" t="12700" r="17780" b="18415"/>
                      <wp:wrapNone/>
                      <wp:docPr id="84" name="矩形 84"/>
                      <wp:cNvGraphicFramePr/>
                      <a:graphic xmlns:a="http://schemas.openxmlformats.org/drawingml/2006/main">
                        <a:graphicData uri="http://schemas.microsoft.com/office/word/2010/wordprocessingShape">
                          <wps:wsp>
                            <wps:cNvSpPr/>
                            <wps:spPr>
                              <a:xfrm>
                                <a:off x="0" y="0"/>
                                <a:ext cx="5455920" cy="229298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5pt;margin-top:-0.1pt;height:180.55pt;width:429.6pt;z-index:251706368;v-text-anchor:middle;mso-width-relative:page;mso-height-relative:page;" filled="f" stroked="t" coordsize="21600,21600" o:gfxdata="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poYHHaAAAACAEAAA8AAAAAAAAAAQAgAAAAIgAAAGRycy9kb3ducmV2LnhtbFBLAQIUABQAAAAI&#10;AIdO4kBupkJQXQIAALcEAAAOAAAAAAAAAAEAIAAAACkBAABkcnMvZTJvRG9jLnhtbFBLBQYAAAAA&#10;BgAGAFkBAAD4BQAAAAA=&#10;">
                      <v:fill on="f" focussize="0,0"/>
                      <v:stroke weight="2pt" color="#000000 [3213]" joinstyle="round"/>
                      <v:imagedata o:title=""/>
                      <o:lock v:ext="edit" aspectratio="f"/>
                    </v:rect>
                  </w:pict>
                </mc:Fallback>
              </mc:AlternateContent>
            </w:r>
          </w:p>
          <w:p w14:paraId="5BD0EE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drawing>
                <wp:inline distT="0" distB="0" distL="114300" distR="114300">
                  <wp:extent cx="5552440" cy="2232025"/>
                  <wp:effectExtent l="0" t="0" r="10160" b="3175"/>
                  <wp:docPr id="81" name="图片 81" descr="d7073970-d079-471a-8962-45adaf950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7073970-d079-471a-8962-45adaf9509f1"/>
                          <pic:cNvPicPr>
                            <a:picLocks noChangeAspect="1"/>
                          </pic:cNvPicPr>
                        </pic:nvPicPr>
                        <pic:blipFill>
                          <a:blip r:embed="rId28"/>
                          <a:stretch>
                            <a:fillRect/>
                          </a:stretch>
                        </pic:blipFill>
                        <pic:spPr>
                          <a:xfrm>
                            <a:off x="0" y="0"/>
                            <a:ext cx="5552440" cy="2232025"/>
                          </a:xfrm>
                          <a:prstGeom prst="rect">
                            <a:avLst/>
                          </a:prstGeom>
                        </pic:spPr>
                      </pic:pic>
                    </a:graphicData>
                  </a:graphic>
                </wp:inline>
              </w:drawing>
            </w:r>
          </w:p>
          <w:p w14:paraId="2090B1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根据企业2025年排污许可证执行报告废气污染物浓度监测统计表，企业废气达标排放</w:t>
            </w:r>
            <w:r>
              <w:rPr>
                <w:rFonts w:hint="eastAsia" w:ascii="宋体" w:hAnsi="宋体" w:cs="宋体"/>
                <w:color w:val="000000" w:themeColor="text1"/>
                <w:highlight w:val="none"/>
                <w:lang w:val="en-US" w:eastAsia="zh-CN"/>
                <w14:textFill>
                  <w14:solidFill>
                    <w14:schemeClr w14:val="tx1"/>
                  </w14:solidFill>
                </w14:textFill>
              </w:rPr>
              <w:t>，满足</w:t>
            </w:r>
            <w:r>
              <w:rPr>
                <w:rFonts w:hint="eastAsia" w:ascii="宋体" w:hAnsi="宋体" w:eastAsia="宋体" w:cs="宋体"/>
                <w:color w:val="000000" w:themeColor="text1"/>
                <w:sz w:val="24"/>
                <w:szCs w:val="24"/>
                <w14:textFill>
                  <w14:solidFill>
                    <w14:schemeClr w14:val="tx1"/>
                  </w14:solidFill>
                </w14:textFill>
              </w:rPr>
              <w:t>《工业企业厂界环境噪声排放标准》（GB12348-2008）中2类标准</w:t>
            </w:r>
            <w:r>
              <w:rPr>
                <w:rFonts w:hint="eastAsia" w:ascii="宋体" w:hAnsi="宋体" w:cs="宋体"/>
                <w:color w:val="000000" w:themeColor="text1"/>
                <w:lang w:val="en-US" w:eastAsia="zh-CN"/>
                <w14:textFill>
                  <w14:solidFill>
                    <w14:schemeClr w14:val="tx1"/>
                  </w14:solidFill>
                </w14:textFill>
              </w:rPr>
              <w:t>，</w:t>
            </w:r>
          </w:p>
          <w:p w14:paraId="4E3013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固体废物</w:t>
            </w:r>
          </w:p>
          <w:p w14:paraId="354AA244">
            <w:pPr>
              <w:spacing w:line="24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表</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2-12  </w:t>
            </w:r>
            <w:r>
              <w:rPr>
                <w:rFonts w:hint="eastAsia" w:ascii="宋体" w:hAnsi="宋体" w:eastAsia="宋体" w:cs="宋体"/>
                <w:b/>
                <w:bCs/>
                <w:color w:val="000000" w:themeColor="text1"/>
                <w:sz w:val="21"/>
                <w:szCs w:val="21"/>
                <w:highlight w:val="none"/>
                <w14:textFill>
                  <w14:solidFill>
                    <w14:schemeClr w14:val="tx1"/>
                  </w14:solidFill>
                </w14:textFill>
              </w:rPr>
              <w:t xml:space="preserve"> </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固体废物排放情况</w:t>
            </w:r>
            <w:r>
              <w:rPr>
                <w:rFonts w:hint="eastAsia" w:ascii="宋体" w:hAnsi="宋体" w:eastAsia="宋体" w:cs="宋体"/>
                <w:b/>
                <w:bCs/>
                <w:color w:val="000000" w:themeColor="text1"/>
                <w:sz w:val="21"/>
                <w:szCs w:val="21"/>
                <w:highlight w:val="none"/>
                <w14:textFill>
                  <w14:solidFill>
                    <w14:schemeClr w14:val="tx1"/>
                  </w14:solidFill>
                </w14:textFill>
              </w:rPr>
              <w:t xml:space="preserve">一览表   </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220"/>
              <w:gridCol w:w="1252"/>
              <w:gridCol w:w="1378"/>
              <w:gridCol w:w="2969"/>
              <w:gridCol w:w="1196"/>
            </w:tblGrid>
            <w:tr w14:paraId="1FDDB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79" w:type="pct"/>
                  <w:vMerge w:val="restart"/>
                  <w:tcBorders>
                    <w:tl2br w:val="nil"/>
                    <w:tr2bl w:val="nil"/>
                  </w:tcBorders>
                  <w:vAlign w:val="center"/>
                </w:tcPr>
                <w:p w14:paraId="1FF858D4">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序号</w:t>
                  </w:r>
                </w:p>
              </w:tc>
              <w:tc>
                <w:tcPr>
                  <w:tcW w:w="718" w:type="pct"/>
                  <w:vMerge w:val="restart"/>
                  <w:tcBorders>
                    <w:tl2br w:val="nil"/>
                    <w:tr2bl w:val="nil"/>
                  </w:tcBorders>
                  <w:vAlign w:val="center"/>
                </w:tcPr>
                <w:p w14:paraId="3EE497D6">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废物名称</w:t>
                  </w:r>
                </w:p>
              </w:tc>
              <w:tc>
                <w:tcPr>
                  <w:tcW w:w="1548" w:type="pct"/>
                  <w:gridSpan w:val="2"/>
                  <w:tcBorders>
                    <w:tl2br w:val="nil"/>
                    <w:tr2bl w:val="nil"/>
                  </w:tcBorders>
                  <w:vAlign w:val="center"/>
                </w:tcPr>
                <w:p w14:paraId="0DB2F0B6">
                  <w:pPr>
                    <w:widowControl/>
                    <w:autoSpaceDE/>
                    <w:autoSpaceDN/>
                    <w:adjustRightInd/>
                    <w:spacing w:line="240" w:lineRule="auto"/>
                    <w:ind w:firstLine="0" w:firstLineChars="0"/>
                    <w:jc w:val="center"/>
                    <w:outlineLvl w:val="9"/>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产生量</w:t>
                  </w:r>
                  <w:r>
                    <w:rPr>
                      <w:rFonts w:hint="eastAsia" w:ascii="宋体" w:hAnsi="宋体" w:eastAsia="宋体" w:cs="宋体"/>
                      <w:color w:val="000000" w:themeColor="text1"/>
                      <w:sz w:val="21"/>
                      <w:szCs w:val="21"/>
                      <w14:textFill>
                        <w14:solidFill>
                          <w14:schemeClr w14:val="tx1"/>
                        </w14:solidFill>
                      </w14:textFill>
                    </w:rPr>
                    <w:t>t/a</w:t>
                  </w:r>
                </w:p>
              </w:tc>
              <w:tc>
                <w:tcPr>
                  <w:tcW w:w="1748" w:type="pct"/>
                  <w:vMerge w:val="restart"/>
                  <w:tcBorders>
                    <w:tl2br w:val="nil"/>
                    <w:tr2bl w:val="nil"/>
                  </w:tcBorders>
                  <w:vAlign w:val="center"/>
                </w:tcPr>
                <w:p w14:paraId="43BB98CE">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治理措施及去向</w:t>
                  </w:r>
                </w:p>
              </w:tc>
              <w:tc>
                <w:tcPr>
                  <w:tcW w:w="704" w:type="pct"/>
                  <w:vMerge w:val="restart"/>
                  <w:tcBorders>
                    <w:tl2br w:val="nil"/>
                    <w:tr2bl w:val="nil"/>
                  </w:tcBorders>
                  <w:vAlign w:val="center"/>
                </w:tcPr>
                <w:p w14:paraId="26B699BB">
                  <w:pPr>
                    <w:widowControl/>
                    <w:autoSpaceDE/>
                    <w:autoSpaceDN/>
                    <w:adjustRightInd/>
                    <w:spacing w:line="240" w:lineRule="auto"/>
                    <w:ind w:firstLine="0" w:firstLineChars="0"/>
                    <w:jc w:val="center"/>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处理效果</w:t>
                  </w:r>
                </w:p>
              </w:tc>
            </w:tr>
            <w:tr w14:paraId="7AF67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9" w:type="pct"/>
                  <w:vMerge w:val="continue"/>
                  <w:tcBorders>
                    <w:tl2br w:val="nil"/>
                    <w:tr2bl w:val="nil"/>
                  </w:tcBorders>
                  <w:vAlign w:val="center"/>
                </w:tcPr>
                <w:p w14:paraId="0353AA2B">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zh-CN"/>
                      <w14:textFill>
                        <w14:solidFill>
                          <w14:schemeClr w14:val="tx1"/>
                        </w14:solidFill>
                      </w14:textFill>
                    </w:rPr>
                  </w:pPr>
                </w:p>
              </w:tc>
              <w:tc>
                <w:tcPr>
                  <w:tcW w:w="718" w:type="pct"/>
                  <w:vMerge w:val="continue"/>
                  <w:tcBorders>
                    <w:tl2br w:val="nil"/>
                    <w:tr2bl w:val="nil"/>
                  </w:tcBorders>
                  <w:vAlign w:val="center"/>
                </w:tcPr>
                <w:p w14:paraId="3EB37F2D">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zh-CN"/>
                      <w14:textFill>
                        <w14:solidFill>
                          <w14:schemeClr w14:val="tx1"/>
                        </w14:solidFill>
                      </w14:textFill>
                    </w:rPr>
                  </w:pPr>
                </w:p>
              </w:tc>
              <w:tc>
                <w:tcPr>
                  <w:tcW w:w="737" w:type="pct"/>
                  <w:tcBorders>
                    <w:tl2br w:val="nil"/>
                    <w:tr2bl w:val="nil"/>
                  </w:tcBorders>
                  <w:vAlign w:val="center"/>
                </w:tcPr>
                <w:p w14:paraId="4D9E113B">
                  <w:pPr>
                    <w:widowControl/>
                    <w:autoSpaceDE/>
                    <w:autoSpaceDN/>
                    <w:adjustRightInd/>
                    <w:spacing w:line="240" w:lineRule="auto"/>
                    <w:ind w:firstLine="0" w:firstLineChars="0"/>
                    <w:jc w:val="center"/>
                    <w:outlineLvl w:val="9"/>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环评核算</w:t>
                  </w:r>
                </w:p>
              </w:tc>
              <w:tc>
                <w:tcPr>
                  <w:tcW w:w="811" w:type="pct"/>
                  <w:tcBorders>
                    <w:tl2br w:val="nil"/>
                    <w:tr2bl w:val="nil"/>
                  </w:tcBorders>
                  <w:vAlign w:val="center"/>
                </w:tcPr>
                <w:p w14:paraId="3011C96D">
                  <w:pPr>
                    <w:widowControl/>
                    <w:autoSpaceDE/>
                    <w:autoSpaceDN/>
                    <w:adjustRightInd/>
                    <w:spacing w:line="240" w:lineRule="auto"/>
                    <w:ind w:firstLine="0" w:firstLineChars="0"/>
                    <w:jc w:val="center"/>
                    <w:outlineLvl w:val="9"/>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2025年</w:t>
                  </w:r>
                </w:p>
              </w:tc>
              <w:tc>
                <w:tcPr>
                  <w:tcW w:w="1748" w:type="pct"/>
                  <w:vMerge w:val="continue"/>
                  <w:tcBorders>
                    <w:tl2br w:val="nil"/>
                    <w:tr2bl w:val="nil"/>
                  </w:tcBorders>
                  <w:vAlign w:val="center"/>
                </w:tcPr>
                <w:p w14:paraId="015B3DEE">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zh-CN"/>
                      <w14:textFill>
                        <w14:solidFill>
                          <w14:schemeClr w14:val="tx1"/>
                        </w14:solidFill>
                      </w14:textFill>
                    </w:rPr>
                  </w:pPr>
                </w:p>
              </w:tc>
              <w:tc>
                <w:tcPr>
                  <w:tcW w:w="704" w:type="pct"/>
                  <w:vMerge w:val="continue"/>
                  <w:tcBorders>
                    <w:tl2br w:val="nil"/>
                    <w:tr2bl w:val="nil"/>
                  </w:tcBorders>
                  <w:vAlign w:val="center"/>
                </w:tcPr>
                <w:p w14:paraId="66390B76">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zh-CN"/>
                      <w14:textFill>
                        <w14:solidFill>
                          <w14:schemeClr w14:val="tx1"/>
                        </w14:solidFill>
                      </w14:textFill>
                    </w:rPr>
                  </w:pPr>
                </w:p>
              </w:tc>
            </w:tr>
            <w:tr w14:paraId="7D3A5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 w:type="pct"/>
                  <w:tcBorders>
                    <w:tl2br w:val="nil"/>
                    <w:tr2bl w:val="nil"/>
                  </w:tcBorders>
                  <w:vAlign w:val="center"/>
                </w:tcPr>
                <w:p w14:paraId="49CAE95F">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t>1</w:t>
                  </w:r>
                </w:p>
              </w:tc>
              <w:tc>
                <w:tcPr>
                  <w:tcW w:w="718" w:type="pct"/>
                  <w:tcBorders>
                    <w:tl2br w:val="nil"/>
                    <w:tr2bl w:val="nil"/>
                  </w:tcBorders>
                  <w:vAlign w:val="center"/>
                </w:tcPr>
                <w:p w14:paraId="39B92274">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危险</w:t>
                  </w:r>
                  <w:r>
                    <w:rPr>
                      <w:rFonts w:hint="eastAsia" w:ascii="宋体" w:hAnsi="宋体" w:eastAsia="宋体" w:cs="宋体"/>
                      <w:color w:val="000000" w:themeColor="text1"/>
                      <w:sz w:val="21"/>
                      <w:szCs w:val="21"/>
                      <w:highlight w:val="none"/>
                      <w:lang w:val="en-US"/>
                      <w14:textFill>
                        <w14:solidFill>
                          <w14:schemeClr w14:val="tx1"/>
                        </w14:solidFill>
                      </w14:textFill>
                    </w:rPr>
                    <w:t>废物</w:t>
                  </w:r>
                </w:p>
              </w:tc>
              <w:tc>
                <w:tcPr>
                  <w:tcW w:w="737" w:type="pct"/>
                  <w:tcBorders>
                    <w:tl2br w:val="nil"/>
                    <w:tr2bl w:val="nil"/>
                  </w:tcBorders>
                  <w:vAlign w:val="center"/>
                </w:tcPr>
                <w:p w14:paraId="47B13292">
                  <w:pPr>
                    <w:widowControl/>
                    <w:autoSpaceDE/>
                    <w:autoSpaceDN/>
                    <w:adjustRightInd/>
                    <w:spacing w:line="240" w:lineRule="auto"/>
                    <w:ind w:firstLine="0" w:firstLineChars="0"/>
                    <w:jc w:val="center"/>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261.79</w:t>
                  </w:r>
                </w:p>
              </w:tc>
              <w:tc>
                <w:tcPr>
                  <w:tcW w:w="811" w:type="pct"/>
                  <w:tcBorders>
                    <w:tl2br w:val="nil"/>
                    <w:tr2bl w:val="nil"/>
                  </w:tcBorders>
                  <w:vAlign w:val="center"/>
                </w:tcPr>
                <w:p w14:paraId="6C7B5808">
                  <w:pPr>
                    <w:widowControl/>
                    <w:autoSpaceDE/>
                    <w:autoSpaceDN/>
                    <w:adjustRightInd/>
                    <w:spacing w:line="240" w:lineRule="auto"/>
                    <w:ind w:firstLine="0" w:firstLineChars="0"/>
                    <w:jc w:val="center"/>
                    <w:outlineLvl w:val="9"/>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150</w:t>
                  </w:r>
                </w:p>
              </w:tc>
              <w:tc>
                <w:tcPr>
                  <w:tcW w:w="1748" w:type="pct"/>
                  <w:tcBorders>
                    <w:tl2br w:val="nil"/>
                    <w:tr2bl w:val="nil"/>
                  </w:tcBorders>
                  <w:vAlign w:val="center"/>
                </w:tcPr>
                <w:p w14:paraId="5AA55CED">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委托有资质单位处置，暂存与转运期间按相关要求进行管理</w:t>
                  </w:r>
                </w:p>
              </w:tc>
              <w:tc>
                <w:tcPr>
                  <w:tcW w:w="704" w:type="pct"/>
                  <w:vMerge w:val="restart"/>
                  <w:tcBorders>
                    <w:tl2br w:val="nil"/>
                    <w:tr2bl w:val="nil"/>
                  </w:tcBorders>
                  <w:vAlign w:val="center"/>
                </w:tcPr>
                <w:p w14:paraId="7F316F44">
                  <w:pPr>
                    <w:widowControl/>
                    <w:autoSpaceDE/>
                    <w:autoSpaceDN/>
                    <w:adjustRightInd/>
                    <w:spacing w:line="240" w:lineRule="auto"/>
                    <w:ind w:firstLine="0" w:firstLineChars="0"/>
                    <w:jc w:val="center"/>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按相应相求治理，未造成二次污染</w:t>
                  </w:r>
                </w:p>
              </w:tc>
            </w:tr>
            <w:tr w14:paraId="258C4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9" w:type="pct"/>
                  <w:tcBorders>
                    <w:tl2br w:val="nil"/>
                    <w:tr2bl w:val="nil"/>
                  </w:tcBorders>
                  <w:vAlign w:val="center"/>
                </w:tcPr>
                <w:p w14:paraId="3950B012">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718" w:type="pct"/>
                  <w:tcBorders>
                    <w:tl2br w:val="nil"/>
                    <w:tr2bl w:val="nil"/>
                  </w:tcBorders>
                  <w:vAlign w:val="center"/>
                </w:tcPr>
                <w:p w14:paraId="208223BA">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生活垃圾</w:t>
                  </w:r>
                </w:p>
              </w:tc>
              <w:tc>
                <w:tcPr>
                  <w:tcW w:w="737" w:type="pct"/>
                  <w:tcBorders>
                    <w:tl2br w:val="nil"/>
                    <w:tr2bl w:val="nil"/>
                  </w:tcBorders>
                  <w:vAlign w:val="center"/>
                </w:tcPr>
                <w:p w14:paraId="24134F8A">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3.12</w:t>
                  </w:r>
                </w:p>
              </w:tc>
              <w:tc>
                <w:tcPr>
                  <w:tcW w:w="811" w:type="pct"/>
                  <w:tcBorders>
                    <w:tl2br w:val="nil"/>
                    <w:tr2bl w:val="nil"/>
                  </w:tcBorders>
                  <w:vAlign w:val="center"/>
                </w:tcPr>
                <w:p w14:paraId="43B8C1EE">
                  <w:pPr>
                    <w:widowControl/>
                    <w:autoSpaceDE/>
                    <w:autoSpaceDN/>
                    <w:adjustRightInd/>
                    <w:spacing w:line="240" w:lineRule="auto"/>
                    <w:ind w:firstLine="0" w:firstLineChars="0"/>
                    <w:jc w:val="center"/>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1748" w:type="pct"/>
                  <w:tcBorders>
                    <w:tl2br w:val="nil"/>
                    <w:tr2bl w:val="nil"/>
                  </w:tcBorders>
                  <w:vAlign w:val="center"/>
                </w:tcPr>
                <w:p w14:paraId="672A1DA2">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交由环卫部门定期处置</w:t>
                  </w:r>
                </w:p>
              </w:tc>
              <w:tc>
                <w:tcPr>
                  <w:tcW w:w="704" w:type="pct"/>
                  <w:vMerge w:val="continue"/>
                  <w:tcBorders>
                    <w:tl2br w:val="nil"/>
                    <w:tr2bl w:val="nil"/>
                  </w:tcBorders>
                  <w:vAlign w:val="center"/>
                </w:tcPr>
                <w:p w14:paraId="23474FE1">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p>
              </w:tc>
            </w:tr>
            <w:tr w14:paraId="24E66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9" w:type="pct"/>
                  <w:tcBorders>
                    <w:tl2br w:val="nil"/>
                    <w:tr2bl w:val="nil"/>
                  </w:tcBorders>
                  <w:vAlign w:val="center"/>
                </w:tcPr>
                <w:p w14:paraId="6C4E44B7">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718" w:type="pct"/>
                  <w:tcBorders>
                    <w:tl2br w:val="nil"/>
                    <w:tr2bl w:val="nil"/>
                  </w:tcBorders>
                  <w:vAlign w:val="center"/>
                </w:tcPr>
                <w:p w14:paraId="57D5C882">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一般固废 </w:t>
                  </w:r>
                </w:p>
              </w:tc>
              <w:tc>
                <w:tcPr>
                  <w:tcW w:w="737" w:type="pct"/>
                  <w:tcBorders>
                    <w:tl2br w:val="nil"/>
                    <w:tr2bl w:val="nil"/>
                  </w:tcBorders>
                  <w:vAlign w:val="center"/>
                </w:tcPr>
                <w:p w14:paraId="5076D48D">
                  <w:pPr>
                    <w:widowControl/>
                    <w:autoSpaceDE/>
                    <w:autoSpaceDN/>
                    <w:adjustRightInd/>
                    <w:spacing w:line="240" w:lineRule="auto"/>
                    <w:ind w:firstLine="0" w:firstLineChars="0"/>
                    <w:jc w:val="center"/>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3207</w:t>
                  </w:r>
                </w:p>
              </w:tc>
              <w:tc>
                <w:tcPr>
                  <w:tcW w:w="811" w:type="pct"/>
                  <w:tcBorders>
                    <w:tl2br w:val="nil"/>
                    <w:tr2bl w:val="nil"/>
                  </w:tcBorders>
                  <w:vAlign w:val="center"/>
                </w:tcPr>
                <w:p w14:paraId="12F17CA8">
                  <w:pPr>
                    <w:widowControl/>
                    <w:autoSpaceDE/>
                    <w:autoSpaceDN/>
                    <w:adjustRightInd/>
                    <w:spacing w:line="240" w:lineRule="auto"/>
                    <w:ind w:firstLine="0" w:firstLineChars="0"/>
                    <w:jc w:val="center"/>
                    <w:outlineLvl w:val="9"/>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2200</w:t>
                  </w:r>
                </w:p>
              </w:tc>
              <w:tc>
                <w:tcPr>
                  <w:tcW w:w="1748" w:type="pct"/>
                  <w:tcBorders>
                    <w:tl2br w:val="nil"/>
                    <w:tr2bl w:val="nil"/>
                  </w:tcBorders>
                  <w:vAlign w:val="center"/>
                </w:tcPr>
                <w:p w14:paraId="564BDF80">
                  <w:pPr>
                    <w:widowControl/>
                    <w:autoSpaceDE/>
                    <w:autoSpaceDN/>
                    <w:adjustRightInd/>
                    <w:spacing w:line="240" w:lineRule="auto"/>
                    <w:ind w:firstLine="0" w:firstLineChars="0"/>
                    <w:jc w:val="center"/>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出售给相应</w:t>
                  </w:r>
                  <w:r>
                    <w:rPr>
                      <w:rFonts w:hint="eastAsia" w:ascii="宋体" w:hAnsi="宋体" w:eastAsia="宋体" w:cs="宋体"/>
                      <w:color w:val="000000" w:themeColor="text1"/>
                      <w:sz w:val="21"/>
                      <w:szCs w:val="21"/>
                      <w:lang w:val="en-US" w:eastAsia="zh-CN"/>
                      <w14:textFill>
                        <w14:solidFill>
                          <w14:schemeClr w14:val="tx1"/>
                        </w14:solidFill>
                      </w14:textFill>
                    </w:rPr>
                    <w:t>部门定期处置</w:t>
                  </w:r>
                </w:p>
              </w:tc>
              <w:tc>
                <w:tcPr>
                  <w:tcW w:w="704" w:type="pct"/>
                  <w:vMerge w:val="continue"/>
                  <w:tcBorders>
                    <w:tl2br w:val="nil"/>
                    <w:tr2bl w:val="nil"/>
                  </w:tcBorders>
                  <w:vAlign w:val="center"/>
                </w:tcPr>
                <w:p w14:paraId="44E02229">
                  <w:pPr>
                    <w:widowControl/>
                    <w:autoSpaceDE/>
                    <w:autoSpaceDN/>
                    <w:adjustRightInd/>
                    <w:spacing w:line="240" w:lineRule="auto"/>
                    <w:ind w:firstLine="0" w:firstLineChars="0"/>
                    <w:jc w:val="center"/>
                    <w:outlineLvl w:val="9"/>
                    <w:rPr>
                      <w:rFonts w:hint="eastAsia" w:ascii="宋体" w:hAnsi="宋体" w:cs="宋体"/>
                      <w:color w:val="000000" w:themeColor="text1"/>
                      <w:sz w:val="21"/>
                      <w:szCs w:val="21"/>
                      <w:lang w:val="en-US" w:eastAsia="zh-CN"/>
                      <w14:textFill>
                        <w14:solidFill>
                          <w14:schemeClr w14:val="tx1"/>
                        </w14:solidFill>
                      </w14:textFill>
                    </w:rPr>
                  </w:pPr>
                </w:p>
              </w:tc>
            </w:tr>
            <w:tr w14:paraId="3B89D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5000" w:type="pct"/>
                  <w:gridSpan w:val="6"/>
                  <w:tcBorders>
                    <w:tl2br w:val="nil"/>
                    <w:tr2bl w:val="nil"/>
                  </w:tcBorders>
                  <w:vAlign w:val="center"/>
                </w:tcPr>
                <w:p w14:paraId="1C13A516">
                  <w:pPr>
                    <w:widowControl/>
                    <w:autoSpaceDE/>
                    <w:autoSpaceDN/>
                    <w:adjustRightInd/>
                    <w:spacing w:line="240" w:lineRule="auto"/>
                    <w:ind w:firstLine="0" w:firstLineChars="0"/>
                    <w:jc w:val="both"/>
                    <w:outlineLvl w:val="9"/>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注：2025年未有破损废铅酸蓄电池产生</w:t>
                  </w:r>
                </w:p>
              </w:tc>
            </w:tr>
          </w:tbl>
          <w:p w14:paraId="4D908C41">
            <w:pPr>
              <w:keepNext w:val="0"/>
              <w:keepLines w:val="0"/>
              <w:pageBreakBefore w:val="0"/>
              <w:widowControl w:val="0"/>
              <w:numPr>
                <w:ilvl w:val="0"/>
                <w:numId w:val="0"/>
              </w:numPr>
              <w:kinsoku/>
              <w:wordWrap/>
              <w:overflowPunct/>
              <w:topLinePunct w:val="0"/>
              <w:bidi w:val="0"/>
              <w:adjustRightInd/>
              <w:snapToGrid/>
              <w:spacing w:line="360" w:lineRule="auto"/>
              <w:ind w:leftChars="0" w:right="0" w:rightChars="0"/>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四、</w:t>
            </w:r>
            <w:r>
              <w:rPr>
                <w:rFonts w:hint="eastAsia" w:ascii="宋体" w:hAnsi="宋体" w:eastAsia="宋体" w:cs="宋体"/>
                <w:b/>
                <w:bCs/>
                <w:color w:val="000000" w:themeColor="text1"/>
                <w:sz w:val="24"/>
                <w:szCs w:val="24"/>
                <w:lang w:val="en-US" w:eastAsia="zh-CN"/>
                <w14:textFill>
                  <w14:solidFill>
                    <w14:schemeClr w14:val="tx1"/>
                  </w14:solidFill>
                </w14:textFill>
              </w:rPr>
              <w:t>环境问题及整改措施</w:t>
            </w:r>
          </w:p>
          <w:p w14:paraId="7CD221B1">
            <w:pPr>
              <w:pStyle w:val="33"/>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left"/>
              <w:textAlignment w:val="auto"/>
              <w:outlineLvl w:val="9"/>
              <w:rPr>
                <w:rFonts w:hint="eastAsia" w:ascii="宋体" w:hAnsi="宋体" w:eastAsia="宋体" w:cs="宋体"/>
                <w:bCs/>
                <w:color w:val="000000" w:themeColor="text1"/>
                <w:szCs w:val="21"/>
                <w:lang w:val="en-US" w:eastAsia="zh-CN"/>
                <w14:textFill>
                  <w14:solidFill>
                    <w14:schemeClr w14:val="tx1"/>
                  </w14:solidFill>
                </w14:textFill>
              </w:rPr>
            </w:pPr>
            <w:r>
              <w:rPr>
                <w:rFonts w:hint="eastAsia" w:ascii="宋体" w:hAnsi="宋体" w:eastAsia="宋体" w:cs="宋体"/>
                <w:bCs/>
                <w:color w:val="000000" w:themeColor="text1"/>
                <w:szCs w:val="21"/>
                <w:lang w:val="en-US" w:eastAsia="zh-CN"/>
                <w14:textFill>
                  <w14:solidFill>
                    <w14:schemeClr w14:val="tx1"/>
                  </w14:solidFill>
                </w14:textFill>
              </w:rPr>
              <w:t xml:space="preserve">  </w:t>
            </w:r>
            <w:r>
              <w:rPr>
                <w:rFonts w:hint="eastAsia" w:ascii="宋体" w:hAnsi="宋体" w:cs="宋体"/>
                <w:bCs/>
                <w:color w:val="000000" w:themeColor="text1"/>
                <w:szCs w:val="21"/>
                <w:lang w:val="en-US" w:eastAsia="zh-CN"/>
                <w14:textFill>
                  <w14:solidFill>
                    <w14:schemeClr w14:val="tx1"/>
                  </w14:solidFill>
                </w14:textFill>
              </w:rPr>
              <w:t xml:space="preserve"> </w:t>
            </w:r>
            <w:r>
              <w:rPr>
                <w:rFonts w:hint="eastAsia" w:ascii="宋体" w:hAnsi="宋体" w:eastAsia="宋体" w:cs="宋体"/>
                <w:bCs/>
                <w:color w:val="000000" w:themeColor="text1"/>
                <w:szCs w:val="21"/>
                <w:lang w:val="en-US" w:eastAsia="zh-CN"/>
                <w14:textFill>
                  <w14:solidFill>
                    <w14:schemeClr w14:val="tx1"/>
                  </w14:solidFill>
                </w14:textFill>
              </w:rPr>
              <w:t xml:space="preserve"> 企业现不存在环境问题，污染物均可达标排放。</w:t>
            </w:r>
          </w:p>
          <w:p w14:paraId="4679B18B">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val="0"/>
                <w:color w:val="000000" w:themeColor="text1"/>
                <w:lang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 xml:space="preserve">    企业原有环评批复、排污许可、环境保护验收意见噪声均按</w:t>
            </w:r>
            <w:r>
              <w:rPr>
                <w:rFonts w:hint="eastAsia" w:ascii="宋体" w:hAnsi="宋体" w:eastAsia="宋体" w:cs="宋体"/>
                <w:color w:val="000000" w:themeColor="text1"/>
                <w:sz w:val="24"/>
                <w:szCs w:val="24"/>
                <w14:textFill>
                  <w14:solidFill>
                    <w14:schemeClr w14:val="tx1"/>
                  </w14:solidFill>
                </w14:textFill>
              </w:rPr>
              <w:t>《工业企业厂界环境噪声排放标准》（GB12348-2008）中2类标准</w:t>
            </w:r>
            <w:r>
              <w:rPr>
                <w:rFonts w:hint="eastAsia" w:ascii="宋体" w:hAnsi="宋体" w:cs="宋体"/>
                <w:color w:val="000000" w:themeColor="text1"/>
                <w:sz w:val="24"/>
                <w:szCs w:val="24"/>
                <w:lang w:val="en-US" w:eastAsia="zh-CN"/>
                <w14:textFill>
                  <w14:solidFill>
                    <w14:schemeClr w14:val="tx1"/>
                  </w14:solidFill>
                </w14:textFill>
              </w:rPr>
              <w:t>要求，根据《四平市声环境质量标准适用区域划分调整》（2026年）项目所在区域为3类功能区，因此本项目噪声执行《</w:t>
            </w:r>
            <w:r>
              <w:rPr>
                <w:rFonts w:hint="eastAsia" w:ascii="宋体" w:hAnsi="宋体" w:eastAsia="宋体" w:cs="宋体"/>
                <w:color w:val="000000" w:themeColor="text1"/>
                <w:sz w:val="24"/>
                <w:szCs w:val="24"/>
                <w14:textFill>
                  <w14:solidFill>
                    <w14:schemeClr w14:val="tx1"/>
                  </w14:solidFill>
                </w14:textFill>
              </w:rPr>
              <w:t>工业企业厂界环境噪声排放标准》（GB12348-2008）中</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类标准</w:t>
            </w:r>
            <w:r>
              <w:rPr>
                <w:rFonts w:hint="eastAsia" w:ascii="宋体" w:hAnsi="宋体" w:cs="宋体"/>
                <w:color w:val="000000" w:themeColor="text1"/>
                <w:sz w:val="24"/>
                <w:szCs w:val="24"/>
                <w:lang w:eastAsia="zh-CN"/>
                <w14:textFill>
                  <w14:solidFill>
                    <w14:schemeClr w14:val="tx1"/>
                  </w14:solidFill>
                </w14:textFill>
              </w:rPr>
              <w:t>。</w:t>
            </w:r>
          </w:p>
        </w:tc>
      </w:tr>
    </w:tbl>
    <w:p w14:paraId="7798B3EF">
      <w:pPr>
        <w:ind w:firstLine="720"/>
        <w:rPr>
          <w:rFonts w:hint="eastAsia" w:ascii="宋体" w:hAnsi="宋体" w:eastAsia="宋体" w:cs="宋体"/>
          <w:snapToGrid w:val="0"/>
          <w:color w:val="000000" w:themeColor="text1"/>
          <w:sz w:val="36"/>
          <w:szCs w:val="36"/>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p w14:paraId="535C9501">
      <w:pPr>
        <w:pStyle w:val="2"/>
        <w:spacing w:before="120" w:after="1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三、区域环境质量现状、环境保护目标及评价标准</w:t>
      </w:r>
    </w:p>
    <w:tbl>
      <w:tblPr>
        <w:tblStyle w:val="25"/>
        <w:tblW w:w="9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8872"/>
      </w:tblGrid>
      <w:tr w14:paraId="17E9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8" w:hRule="atLeast"/>
          <w:jc w:val="center"/>
        </w:trPr>
        <w:tc>
          <w:tcPr>
            <w:tcW w:w="426" w:type="dxa"/>
            <w:tcBorders>
              <w:tl2br w:val="nil"/>
              <w:tr2bl w:val="nil"/>
            </w:tcBorders>
            <w:vAlign w:val="center"/>
          </w:tcPr>
          <w:p w14:paraId="2D3014CF">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w:t>
            </w:r>
          </w:p>
          <w:p w14:paraId="233E400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w:t>
            </w:r>
          </w:p>
          <w:p w14:paraId="33E65346">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质量</w:t>
            </w:r>
          </w:p>
          <w:p w14:paraId="412C9DB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现状</w:t>
            </w:r>
          </w:p>
        </w:tc>
        <w:tc>
          <w:tcPr>
            <w:tcW w:w="8766" w:type="dxa"/>
            <w:tcBorders>
              <w:tl2br w:val="nil"/>
              <w:tr2bl w:val="nil"/>
            </w:tcBorders>
            <w:vAlign w:val="center"/>
          </w:tcPr>
          <w:p w14:paraId="4CF2DB7D">
            <w:pPr>
              <w:pStyle w:val="11"/>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jc w:val="left"/>
              <w:textAlignment w:val="auto"/>
              <w:outlineLvl w:val="9"/>
              <w:rPr>
                <w:rFonts w:hint="eastAsia" w:ascii="新宋体" w:hAnsi="新宋体" w:eastAsia="新宋体" w:cs="新宋体"/>
                <w:b/>
                <w:bCs/>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b/>
                <w:bCs/>
                <w:color w:val="000000" w:themeColor="text1"/>
                <w:sz w:val="24"/>
                <w:szCs w:val="24"/>
                <w:u w:val="none" w:color="auto"/>
                <w:lang w:val="en-US" w:eastAsia="zh-CN"/>
                <w14:textFill>
                  <w14:solidFill>
                    <w14:schemeClr w14:val="tx1"/>
                  </w14:solidFill>
                </w14:textFill>
              </w:rPr>
              <w:t>1</w:t>
            </w:r>
            <w:r>
              <w:rPr>
                <w:rFonts w:hint="eastAsia" w:ascii="新宋体" w:hAnsi="新宋体" w:eastAsia="新宋体" w:cs="新宋体"/>
                <w:b/>
                <w:bCs/>
                <w:color w:val="000000" w:themeColor="text1"/>
                <w:sz w:val="24"/>
                <w:szCs w:val="24"/>
                <w:u w:val="none" w:color="auto"/>
                <w:lang w:val="en-US" w:eastAsia="zh-CN"/>
                <w14:textFill>
                  <w14:solidFill>
                    <w14:schemeClr w14:val="tx1"/>
                  </w14:solidFill>
                </w14:textFill>
              </w:rPr>
              <w:t>.大气环境质量现状</w:t>
            </w:r>
          </w:p>
          <w:p w14:paraId="0B15E56B">
            <w:pPr>
              <w:pStyle w:val="11"/>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jc w:val="left"/>
              <w:textAlignment w:val="auto"/>
              <w:outlineLvl w:val="9"/>
              <w:rPr>
                <w:rFonts w:hint="eastAsia" w:ascii="新宋体" w:hAnsi="新宋体" w:eastAsia="新宋体" w:cs="新宋体"/>
                <w:b/>
                <w:bCs/>
                <w:color w:val="000000" w:themeColor="text1"/>
                <w:sz w:val="24"/>
                <w:szCs w:val="24"/>
                <w:u w:val="none" w:color="auto"/>
                <w:lang w:val="en-US" w:eastAsia="zh-CN"/>
                <w14:textFill>
                  <w14:solidFill>
                    <w14:schemeClr w14:val="tx1"/>
                  </w14:solidFill>
                </w14:textFill>
              </w:rPr>
            </w:pPr>
            <w:r>
              <w:rPr>
                <w:rFonts w:hint="eastAsia" w:ascii="新宋体" w:hAnsi="新宋体" w:eastAsia="新宋体" w:cs="新宋体"/>
                <w:b/>
                <w:bCs/>
                <w:color w:val="000000" w:themeColor="text1"/>
                <w:sz w:val="24"/>
                <w:szCs w:val="24"/>
                <w:u w:val="none" w:color="auto"/>
                <w:lang w:val="en-US" w:eastAsia="zh-CN"/>
                <w14:textFill>
                  <w14:solidFill>
                    <w14:schemeClr w14:val="tx1"/>
                  </w14:solidFill>
                </w14:textFill>
              </w:rPr>
              <w:t xml:space="preserve">  （1）达标区判定</w:t>
            </w:r>
          </w:p>
          <w:p w14:paraId="793BE971">
            <w:pPr>
              <w:keepNext w:val="0"/>
              <w:keepLines w:val="0"/>
              <w:pageBreakBefore w:val="0"/>
              <w:widowControl w:val="0"/>
              <w:kinsoku/>
              <w:wordWrap/>
              <w:overflowPunct/>
              <w:topLinePunct w:val="0"/>
              <w:autoSpaceDE/>
              <w:autoSpaceDN/>
              <w:bidi w:val="0"/>
              <w:adjustRightInd/>
              <w:snapToGrid/>
              <w:spacing w:line="360" w:lineRule="auto"/>
              <w:ind w:firstLine="3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根据国家环保局《大气环境影响评价技术导则》</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HJ2.2-2018</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相关要求，对基本污染物需进行区域达标判定，本次采用吉林省生态环境厅</w:t>
            </w:r>
            <w:r>
              <w:rPr>
                <w:rFonts w:hint="eastAsia" w:ascii="宋体" w:hAnsi="宋体" w:eastAsia="宋体" w:cs="宋体"/>
                <w:color w:val="000000" w:themeColor="text1"/>
                <w:sz w:val="24"/>
                <w:szCs w:val="24"/>
                <w14:textFill>
                  <w14:solidFill>
                    <w14:schemeClr w14:val="tx1"/>
                  </w14:solidFill>
                </w14:textFill>
              </w:rPr>
              <w:t>根据202</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年吉林省生态环境厅发布的《202</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年吉林省生态环境状况公报》</w:t>
            </w:r>
            <w:r>
              <w:rPr>
                <w:rFonts w:hint="eastAsia" w:ascii="宋体" w:hAnsi="宋体" w:eastAsia="宋体" w:cs="宋体"/>
                <w:color w:val="000000" w:themeColor="text1"/>
                <w:sz w:val="24"/>
                <w:szCs w:val="24"/>
                <w:lang w:val="en-US" w:eastAsia="zh-CN"/>
                <w14:textFill>
                  <w14:solidFill>
                    <w14:schemeClr w14:val="tx1"/>
                  </w14:solidFill>
                </w14:textFill>
              </w:rPr>
              <w:t>对六项基本污染物的评价结论，四平市属于大气环境质量达标区。</w:t>
            </w:r>
          </w:p>
          <w:p w14:paraId="64DAABAA">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补充监测</w:t>
            </w:r>
          </w:p>
          <w:p w14:paraId="35BA27A7">
            <w:pPr>
              <w:pStyle w:val="11"/>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000000" w:themeColor="text1"/>
                <w:spacing w:val="0"/>
                <w:sz w:val="24"/>
                <w:szCs w:val="24"/>
                <w:u w:val="none" w:color="auto"/>
                <w:lang w:val="en-US" w:eastAsia="zh-CN"/>
                <w14:textFill>
                  <w14:solidFill>
                    <w14:schemeClr w14:val="tx1"/>
                  </w14:solidFill>
                </w14:textFill>
              </w:rPr>
            </w:pPr>
            <w:r>
              <w:rPr>
                <w:rFonts w:hint="eastAsia" w:ascii="宋体" w:hAnsi="宋体" w:eastAsia="宋体" w:cs="宋体"/>
                <w:color w:val="000000" w:themeColor="text1"/>
                <w:spacing w:val="0"/>
                <w:sz w:val="24"/>
                <w:szCs w:val="24"/>
                <w:u w:val="none" w:color="auto"/>
                <w:lang w:val="en-US" w:eastAsia="zh-CN"/>
                <w14:textFill>
                  <w14:solidFill>
                    <w14:schemeClr w14:val="tx1"/>
                  </w14:solidFill>
                </w14:textFill>
              </w:rPr>
              <w:t>本项目废气特征污染物为颗粒物、非甲烷总烃，非正常情况下有酸雾及铅尘，本次环评设置大气环境影响评价专章，补充监测详见大气环境影响评价专章。</w:t>
            </w:r>
          </w:p>
          <w:p w14:paraId="25388F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u w:val="none" w:color="auto"/>
                <w:lang w:val="en-US" w:eastAsia="zh-CN"/>
                <w14:textFill>
                  <w14:solidFill>
                    <w14:schemeClr w14:val="tx1"/>
                  </w14:solidFill>
                </w14:textFill>
              </w:rPr>
            </w:pPr>
            <w:r>
              <w:rPr>
                <w:rFonts w:hint="eastAsia" w:ascii="宋体" w:hAnsi="宋体" w:eastAsia="宋体" w:cs="宋体"/>
                <w:color w:val="000000" w:themeColor="text1"/>
                <w:sz w:val="24"/>
                <w:u w:val="none" w:color="auto"/>
                <w14:textFill>
                  <w14:solidFill>
                    <w14:schemeClr w14:val="tx1"/>
                  </w14:solidFill>
                </w14:textFill>
              </w:rPr>
              <w:t>根据监测及评价结果可知，各监测点TSP满足</w:t>
            </w:r>
            <w:r>
              <w:rPr>
                <w:rFonts w:hint="eastAsia" w:ascii="宋体" w:hAnsi="宋体" w:eastAsia="宋体" w:cs="宋体"/>
                <w:color w:val="000000" w:themeColor="text1"/>
                <w:sz w:val="24"/>
                <w:u w:val="none" w:color="auto"/>
                <w:lang w:val="zh-CN"/>
                <w14:textFill>
                  <w14:solidFill>
                    <w14:schemeClr w14:val="tx1"/>
                  </w14:solidFill>
                </w14:textFill>
              </w:rPr>
              <w:t>《环境空气质量标准》（GB3095-20</w:t>
            </w:r>
            <w:r>
              <w:rPr>
                <w:rFonts w:hint="eastAsia" w:ascii="宋体" w:hAnsi="宋体" w:eastAsia="宋体" w:cs="宋体"/>
                <w:color w:val="000000" w:themeColor="text1"/>
                <w:sz w:val="24"/>
                <w:u w:val="none" w:color="auto"/>
                <w:lang w:val="en-US" w:eastAsia="zh-CN"/>
                <w14:textFill>
                  <w14:solidFill>
                    <w14:schemeClr w14:val="tx1"/>
                  </w14:solidFill>
                </w14:textFill>
              </w:rPr>
              <w:t>26</w:t>
            </w:r>
            <w:r>
              <w:rPr>
                <w:rFonts w:hint="eastAsia" w:ascii="宋体" w:hAnsi="宋体" w:eastAsia="宋体" w:cs="宋体"/>
                <w:color w:val="000000" w:themeColor="text1"/>
                <w:sz w:val="24"/>
                <w:u w:val="none" w:color="auto"/>
                <w:lang w:val="zh-CN"/>
                <w14:textFill>
                  <w14:solidFill>
                    <w14:schemeClr w14:val="tx1"/>
                  </w14:solidFill>
                </w14:textFill>
              </w:rPr>
              <w:t>）二级标准</w:t>
            </w:r>
            <w:r>
              <w:rPr>
                <w:rFonts w:hint="eastAsia" w:ascii="宋体" w:hAnsi="宋体" w:eastAsia="宋体" w:cs="宋体"/>
                <w:color w:val="000000" w:themeColor="text1"/>
                <w:sz w:val="24"/>
                <w:u w:val="none" w:color="auto"/>
                <w14:textFill>
                  <w14:solidFill>
                    <w14:schemeClr w14:val="tx1"/>
                  </w14:solidFill>
                </w14:textFill>
              </w:rPr>
              <w:t>中限值要求</w:t>
            </w:r>
            <w:r>
              <w:rPr>
                <w:rFonts w:hint="eastAsia" w:ascii="宋体" w:hAnsi="宋体" w:eastAsia="宋体" w:cs="宋体"/>
                <w:color w:val="000000" w:themeColor="text1"/>
                <w:sz w:val="24"/>
                <w:u w:val="none" w:color="auto"/>
                <w:lang w:eastAsia="zh-CN"/>
                <w14:textFill>
                  <w14:solidFill>
                    <w14:schemeClr w14:val="tx1"/>
                  </w14:solidFill>
                </w14:textFill>
              </w:rPr>
              <w:t>，</w:t>
            </w:r>
            <w:r>
              <w:rPr>
                <w:rFonts w:hint="eastAsia" w:ascii="宋体" w:hAnsi="宋体" w:eastAsia="宋体" w:cs="宋体"/>
                <w:color w:val="000000" w:themeColor="text1"/>
                <w:sz w:val="24"/>
                <w:u w:val="none" w:color="auto"/>
                <w:lang w:val="en-US" w:eastAsia="zh-CN"/>
                <w14:textFill>
                  <w14:solidFill>
                    <w14:schemeClr w14:val="tx1"/>
                  </w14:solidFill>
                </w14:textFill>
              </w:rPr>
              <w:t>非甲烷总烃满足</w:t>
            </w:r>
            <w:r>
              <w:rPr>
                <w:rFonts w:hint="eastAsia" w:ascii="宋体" w:hAnsi="宋体" w:eastAsia="宋体" w:cs="宋体"/>
                <w:color w:val="000000" w:themeColor="text1"/>
                <w:sz w:val="24"/>
                <w:u w:val="none" w:color="auto"/>
                <w14:textFill>
                  <w14:solidFill>
                    <w14:schemeClr w14:val="tx1"/>
                  </w14:solidFill>
                </w14:textFill>
              </w:rPr>
              <w:t>《大气污染物综合排放标准详解》</w:t>
            </w:r>
            <w:r>
              <w:rPr>
                <w:rFonts w:hint="eastAsia" w:ascii="宋体" w:hAnsi="宋体" w:eastAsia="宋体" w:cs="宋体"/>
                <w:color w:val="000000" w:themeColor="text1"/>
                <w:sz w:val="24"/>
                <w:u w:val="none" w:color="auto"/>
                <w:lang w:val="en-US" w:eastAsia="zh-CN"/>
                <w14:textFill>
                  <w14:solidFill>
                    <w14:schemeClr w14:val="tx1"/>
                  </w14:solidFill>
                </w14:textFill>
              </w:rPr>
              <w:t>要求。监测点铅及硫酸均未检出，铅满足《环境空气质量标准》（GB3095-20</w:t>
            </w:r>
            <w:r>
              <w:rPr>
                <w:rFonts w:hint="eastAsia" w:ascii="宋体" w:hAnsi="宋体" w:cs="宋体"/>
                <w:color w:val="000000" w:themeColor="text1"/>
                <w:sz w:val="24"/>
                <w:u w:val="none" w:color="auto"/>
                <w:lang w:val="en-US" w:eastAsia="zh-CN"/>
                <w14:textFill>
                  <w14:solidFill>
                    <w14:schemeClr w14:val="tx1"/>
                  </w14:solidFill>
                </w14:textFill>
              </w:rPr>
              <w:t>26</w:t>
            </w:r>
            <w:r>
              <w:rPr>
                <w:rFonts w:hint="eastAsia" w:ascii="宋体" w:hAnsi="宋体" w:eastAsia="宋体" w:cs="宋体"/>
                <w:color w:val="000000" w:themeColor="text1"/>
                <w:sz w:val="24"/>
                <w:u w:val="none" w:color="auto"/>
                <w:lang w:val="en-US" w:eastAsia="zh-CN"/>
                <w14:textFill>
                  <w14:solidFill>
                    <w14:schemeClr w14:val="tx1"/>
                  </w14:solidFill>
                </w14:textFill>
              </w:rPr>
              <w:t>）二级标准要求。硫酸满足《环境影响评价技术导则  大气环境》（HJ2.2-2018）附录D中的参考限值。</w:t>
            </w:r>
          </w:p>
          <w:p w14:paraId="5DDE105E">
            <w:pPr>
              <w:pStyle w:val="33"/>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2、地表水环境质量</w:t>
            </w:r>
          </w:p>
          <w:p w14:paraId="2022F1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t>根据《建设项目环境影响报告表编制技术指南（污染影响类）（试行）》，地表水环境现状监测“引用与建设项目距离近的有效数据，包括近3年的规划环境影响评价的监测数据，所在流域控制单元内国家、地方控制断面监测数据，生态环境主管部门发布的水环境质量数据或地表水达标情况的结论”。</w:t>
            </w:r>
          </w:p>
          <w:p w14:paraId="2AD28D6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引用吉林省生态环境厅网站发布的重点流域水质月报数据，详见表3-</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w:t>
            </w:r>
          </w:p>
          <w:p w14:paraId="66F92CE8">
            <w:pPr>
              <w:spacing w:line="500" w:lineRule="exact"/>
              <w:jc w:val="center"/>
              <w:rPr>
                <w:rFonts w:hint="default" w:ascii="Times New Roman" w:hAnsi="Times New Roman" w:cs="Times New Roman"/>
                <w:color w:val="000000" w:themeColor="text1"/>
                <w:sz w:val="18"/>
                <w:szCs w:val="18"/>
                <w:u w:val="none"/>
                <w:lang w:eastAsia="zh-CN"/>
                <w14:textFill>
                  <w14:solidFill>
                    <w14:schemeClr w14:val="tx1"/>
                  </w14:solidFill>
                </w14:textFill>
              </w:rPr>
            </w:pPr>
            <w:r>
              <w:rPr>
                <w:rFonts w:hint="default" w:ascii="Times New Roman" w:hAnsi="Times New Roman" w:cs="Times New Roman"/>
                <w:b/>
                <w:color w:val="000000" w:themeColor="text1"/>
                <w:sz w:val="21"/>
                <w:szCs w:val="21"/>
                <w:u w:val="none"/>
                <w14:textFill>
                  <w14:solidFill>
                    <w14:schemeClr w14:val="tx1"/>
                  </w14:solidFill>
                </w14:textFill>
              </w:rPr>
              <w:t>表</w:t>
            </w:r>
            <w:r>
              <w:rPr>
                <w:rFonts w:hint="eastAsia" w:ascii="Times New Roman" w:hAnsi="Times New Roman" w:cs="Times New Roman"/>
                <w:b/>
                <w:color w:val="000000" w:themeColor="text1"/>
                <w:sz w:val="21"/>
                <w:szCs w:val="21"/>
                <w:u w:val="none"/>
                <w:lang w:val="en-US" w:eastAsia="zh-CN"/>
                <w14:textFill>
                  <w14:solidFill>
                    <w14:schemeClr w14:val="tx1"/>
                  </w14:solidFill>
                </w14:textFill>
              </w:rPr>
              <w:t>3-</w:t>
            </w:r>
            <w:r>
              <w:rPr>
                <w:rFonts w:hint="eastAsia" w:cs="Times New Roman"/>
                <w:b/>
                <w:color w:val="000000" w:themeColor="text1"/>
                <w:sz w:val="21"/>
                <w:szCs w:val="21"/>
                <w:u w:val="none"/>
                <w:lang w:val="en-US" w:eastAsia="zh-CN"/>
                <w14:textFill>
                  <w14:solidFill>
                    <w14:schemeClr w14:val="tx1"/>
                  </w14:solidFill>
                </w14:textFill>
              </w:rPr>
              <w:t xml:space="preserve">1   </w:t>
            </w:r>
            <w:r>
              <w:rPr>
                <w:rFonts w:hint="eastAsia" w:ascii="Times New Roman" w:hAnsi="Times New Roman" w:cs="Times New Roman"/>
                <w:b/>
                <w:color w:val="000000" w:themeColor="text1"/>
                <w:sz w:val="21"/>
                <w:szCs w:val="21"/>
                <w:u w:val="none"/>
                <w:lang w:val="en-US" w:eastAsia="zh-CN"/>
                <w14:textFill>
                  <w14:solidFill>
                    <w14:schemeClr w14:val="tx1"/>
                  </w14:solidFill>
                </w14:textFill>
              </w:rPr>
              <w:t>2025年</w:t>
            </w:r>
            <w:r>
              <w:rPr>
                <w:rFonts w:hint="default" w:ascii="Times New Roman" w:hAnsi="Times New Roman" w:cs="Times New Roman"/>
                <w:b/>
                <w:bCs/>
                <w:color w:val="000000" w:themeColor="text1"/>
                <w:sz w:val="21"/>
                <w:szCs w:val="21"/>
                <w:u w:val="none"/>
                <w14:textFill>
                  <w14:solidFill>
                    <w14:schemeClr w14:val="tx1"/>
                  </w14:solidFill>
                </w14:textFill>
              </w:rPr>
              <w:t>条子河（林家断面）环境质量例行监测数据</w:t>
            </w:r>
            <w:r>
              <w:rPr>
                <w:rFonts w:hint="eastAsia" w:ascii="Times New Roman" w:hAnsi="Times New Roman" w:cs="Times New Roman"/>
                <w:b/>
                <w:bCs/>
                <w:color w:val="000000" w:themeColor="text1"/>
                <w:sz w:val="21"/>
                <w:szCs w:val="21"/>
                <w:u w:val="none"/>
                <w:lang w:val="en-US" w:eastAsia="zh-CN"/>
                <w14:textFill>
                  <w14:solidFill>
                    <w14:schemeClr w14:val="tx1"/>
                  </w14:solidFill>
                </w14:textFill>
              </w:rPr>
              <w:t xml:space="preserve">  </w:t>
            </w:r>
            <w:r>
              <w:rPr>
                <w:rFonts w:hint="default" w:ascii="Times New Roman" w:hAnsi="Times New Roman" w:cs="Times New Roman"/>
                <w:bCs/>
                <w:color w:val="000000" w:themeColor="text1"/>
                <w:sz w:val="18"/>
                <w:szCs w:val="18"/>
                <w:u w:val="none"/>
                <w14:textFill>
                  <w14:solidFill>
                    <w14:schemeClr w14:val="tx1"/>
                  </w14:solidFill>
                </w14:textFill>
              </w:rPr>
              <w:t>单位：</w:t>
            </w:r>
            <w:r>
              <w:rPr>
                <w:rFonts w:hint="default" w:ascii="Times New Roman" w:hAnsi="Times New Roman" w:cs="Times New Roman"/>
                <w:color w:val="000000" w:themeColor="text1"/>
                <w:sz w:val="18"/>
                <w:szCs w:val="18"/>
                <w:u w:val="none"/>
                <w14:textFill>
                  <w14:solidFill>
                    <w14:schemeClr w14:val="tx1"/>
                  </w14:solidFill>
                </w14:textFill>
              </w:rPr>
              <w:t>mg/L</w:t>
            </w:r>
            <w:r>
              <w:rPr>
                <w:rFonts w:hint="eastAsia" w:ascii="Times New Roman" w:hAnsi="Times New Roman" w:cs="Times New Roman"/>
                <w:color w:val="000000" w:themeColor="text1"/>
                <w:sz w:val="18"/>
                <w:szCs w:val="18"/>
                <w:u w:val="none"/>
                <w:lang w:eastAsia="zh-CN"/>
                <w14:textFill>
                  <w14:solidFill>
                    <w14:schemeClr w14:val="tx1"/>
                  </w14:solidFill>
                </w14:textFill>
              </w:rPr>
              <w:t>（</w:t>
            </w:r>
            <w:r>
              <w:rPr>
                <w:rFonts w:hint="default" w:ascii="Times New Roman" w:hAnsi="Times New Roman" w:cs="Times New Roman"/>
                <w:color w:val="000000" w:themeColor="text1"/>
                <w:sz w:val="18"/>
                <w:szCs w:val="18"/>
                <w:u w:val="none"/>
                <w14:textFill>
                  <w14:solidFill>
                    <w14:schemeClr w14:val="tx1"/>
                  </w14:solidFill>
                </w14:textFill>
              </w:rPr>
              <w:t>pH无量纲</w:t>
            </w:r>
            <w:r>
              <w:rPr>
                <w:rFonts w:hint="default" w:ascii="Times New Roman" w:hAnsi="Times New Roman" w:cs="Times New Roman"/>
                <w:color w:val="000000" w:themeColor="text1"/>
                <w:sz w:val="18"/>
                <w:szCs w:val="18"/>
                <w:u w:val="none"/>
                <w:lang w:eastAsia="zh-CN"/>
                <w14:textFill>
                  <w14:solidFill>
                    <w14:schemeClr w14:val="tx1"/>
                  </w14:solidFill>
                </w14:textFill>
              </w:rPr>
              <w:t>）</w:t>
            </w:r>
          </w:p>
          <w:tbl>
            <w:tblPr>
              <w:tblStyle w:val="25"/>
              <w:tblW w:w="49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958"/>
              <w:gridCol w:w="642"/>
              <w:gridCol w:w="698"/>
              <w:gridCol w:w="665"/>
              <w:gridCol w:w="753"/>
              <w:gridCol w:w="822"/>
              <w:gridCol w:w="592"/>
              <w:gridCol w:w="655"/>
              <w:gridCol w:w="744"/>
              <w:gridCol w:w="800"/>
              <w:gridCol w:w="648"/>
              <w:gridCol w:w="656"/>
            </w:tblGrid>
            <w:tr w14:paraId="1F1185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555" w:type="pct"/>
                  <w:vMerge w:val="restart"/>
                  <w:tcBorders>
                    <w:tl2br w:val="nil"/>
                    <w:tr2bl w:val="nil"/>
                  </w:tcBorders>
                  <w:noWrap w:val="0"/>
                  <w:vAlign w:val="center"/>
                </w:tcPr>
                <w:p w14:paraId="78D6829C">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断面</w:t>
                  </w:r>
                </w:p>
              </w:tc>
              <w:tc>
                <w:tcPr>
                  <w:tcW w:w="4444" w:type="pct"/>
                  <w:gridSpan w:val="11"/>
                  <w:tcBorders>
                    <w:tl2br w:val="nil"/>
                    <w:tr2bl w:val="nil"/>
                  </w:tcBorders>
                  <w:noWrap w:val="0"/>
                  <w:vAlign w:val="center"/>
                </w:tcPr>
                <w:p w14:paraId="02F5DFAE">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水质类型</w:t>
                  </w:r>
                </w:p>
              </w:tc>
            </w:tr>
            <w:tr w14:paraId="7BAF48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5" w:type="pct"/>
                  <w:vMerge w:val="continue"/>
                  <w:tcBorders>
                    <w:tl2br w:val="nil"/>
                    <w:tr2bl w:val="nil"/>
                  </w:tcBorders>
                  <w:noWrap w:val="0"/>
                  <w:vAlign w:val="center"/>
                </w:tcPr>
                <w:p w14:paraId="1DF6174C">
                  <w:pPr>
                    <w:spacing w:line="300" w:lineRule="exact"/>
                    <w:jc w:val="center"/>
                    <w:rPr>
                      <w:color w:val="000000" w:themeColor="text1"/>
                      <w:szCs w:val="21"/>
                      <w:highlight w:val="none"/>
                      <w14:textFill>
                        <w14:solidFill>
                          <w14:schemeClr w14:val="tx1"/>
                        </w14:solidFill>
                      </w14:textFill>
                    </w:rPr>
                  </w:pPr>
                </w:p>
              </w:tc>
              <w:tc>
                <w:tcPr>
                  <w:tcW w:w="372" w:type="pct"/>
                  <w:tcBorders>
                    <w:tl2br w:val="nil"/>
                    <w:tr2bl w:val="nil"/>
                  </w:tcBorders>
                  <w:noWrap w:val="0"/>
                  <w:vAlign w:val="center"/>
                </w:tcPr>
                <w:p w14:paraId="615DE251">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404" w:type="pct"/>
                  <w:tcBorders>
                    <w:tl2br w:val="nil"/>
                    <w:tr2bl w:val="nil"/>
                  </w:tcBorders>
                  <w:noWrap w:val="0"/>
                  <w:vAlign w:val="center"/>
                </w:tcPr>
                <w:p w14:paraId="03719871">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385" w:type="pct"/>
                  <w:tcBorders>
                    <w:tl2br w:val="nil"/>
                    <w:tr2bl w:val="nil"/>
                  </w:tcBorders>
                  <w:noWrap w:val="0"/>
                  <w:vAlign w:val="center"/>
                </w:tcPr>
                <w:p w14:paraId="1435E0D5">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436" w:type="pct"/>
                  <w:tcBorders>
                    <w:tl2br w:val="nil"/>
                    <w:tr2bl w:val="nil"/>
                  </w:tcBorders>
                  <w:noWrap w:val="0"/>
                  <w:vAlign w:val="center"/>
                </w:tcPr>
                <w:p w14:paraId="3784D028">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476" w:type="pct"/>
                  <w:tcBorders>
                    <w:tl2br w:val="nil"/>
                    <w:tr2bl w:val="nil"/>
                  </w:tcBorders>
                  <w:noWrap w:val="0"/>
                  <w:vAlign w:val="center"/>
                </w:tcPr>
                <w:p w14:paraId="256EE2CE">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343" w:type="pct"/>
                  <w:tcBorders>
                    <w:tl2br w:val="nil"/>
                    <w:tr2bl w:val="nil"/>
                  </w:tcBorders>
                  <w:noWrap w:val="0"/>
                  <w:vAlign w:val="center"/>
                </w:tcPr>
                <w:p w14:paraId="14101AEE">
                  <w:pPr>
                    <w:pStyle w:val="107"/>
                    <w:spacing w:line="300" w:lineRule="exact"/>
                    <w:jc w:val="center"/>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379" w:type="pct"/>
                  <w:tcBorders>
                    <w:tl2br w:val="nil"/>
                    <w:tr2bl w:val="nil"/>
                  </w:tcBorders>
                  <w:noWrap w:val="0"/>
                  <w:vAlign w:val="center"/>
                </w:tcPr>
                <w:p w14:paraId="228A69A1">
                  <w:pPr>
                    <w:pStyle w:val="107"/>
                    <w:spacing w:line="30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431" w:type="pct"/>
                  <w:tcBorders>
                    <w:tl2br w:val="nil"/>
                    <w:tr2bl w:val="nil"/>
                  </w:tcBorders>
                  <w:noWrap w:val="0"/>
                  <w:vAlign w:val="center"/>
                </w:tcPr>
                <w:p w14:paraId="582F7FEE">
                  <w:pPr>
                    <w:pStyle w:val="107"/>
                    <w:spacing w:line="300" w:lineRule="exact"/>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463" w:type="pct"/>
                  <w:tcBorders>
                    <w:tl2br w:val="nil"/>
                    <w:tr2bl w:val="nil"/>
                  </w:tcBorders>
                  <w:noWrap w:val="0"/>
                  <w:vAlign w:val="center"/>
                </w:tcPr>
                <w:p w14:paraId="13FADF4F">
                  <w:pPr>
                    <w:pStyle w:val="107"/>
                    <w:spacing w:line="300" w:lineRule="exact"/>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375" w:type="pct"/>
                  <w:tcBorders>
                    <w:tl2br w:val="nil"/>
                    <w:tr2bl w:val="nil"/>
                  </w:tcBorders>
                  <w:noWrap w:val="0"/>
                  <w:vAlign w:val="center"/>
                </w:tcPr>
                <w:p w14:paraId="785A53FA">
                  <w:pPr>
                    <w:pStyle w:val="107"/>
                    <w:spacing w:line="300" w:lineRule="exact"/>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377" w:type="pct"/>
                  <w:tcBorders>
                    <w:tl2br w:val="nil"/>
                    <w:tr2bl w:val="nil"/>
                  </w:tcBorders>
                  <w:noWrap w:val="0"/>
                  <w:vAlign w:val="center"/>
                </w:tcPr>
                <w:p w14:paraId="4D36B196">
                  <w:pPr>
                    <w:pStyle w:val="107"/>
                    <w:spacing w:line="300" w:lineRule="exact"/>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w:t>
                  </w:r>
                </w:p>
              </w:tc>
            </w:tr>
            <w:tr w14:paraId="3C16A2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5" w:type="pct"/>
                  <w:tcBorders>
                    <w:tl2br w:val="nil"/>
                    <w:tr2bl w:val="nil"/>
                  </w:tcBorders>
                  <w:noWrap w:val="0"/>
                  <w:vAlign w:val="center"/>
                </w:tcPr>
                <w:p w14:paraId="3C64C438">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条子河林家断面</w:t>
                  </w:r>
                </w:p>
              </w:tc>
              <w:tc>
                <w:tcPr>
                  <w:tcW w:w="372" w:type="pct"/>
                  <w:tcBorders>
                    <w:tl2br w:val="nil"/>
                    <w:tr2bl w:val="nil"/>
                  </w:tcBorders>
                  <w:noWrap w:val="0"/>
                  <w:vAlign w:val="center"/>
                </w:tcPr>
                <w:p w14:paraId="659A5611">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Ⅲ</w:t>
                  </w:r>
                </w:p>
              </w:tc>
              <w:tc>
                <w:tcPr>
                  <w:tcW w:w="404" w:type="pct"/>
                  <w:tcBorders>
                    <w:tl2br w:val="nil"/>
                    <w:tr2bl w:val="nil"/>
                  </w:tcBorders>
                  <w:noWrap w:val="0"/>
                  <w:vAlign w:val="center"/>
                </w:tcPr>
                <w:p w14:paraId="0FD89EF3">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Ⅲ</w:t>
                  </w:r>
                </w:p>
              </w:tc>
              <w:tc>
                <w:tcPr>
                  <w:tcW w:w="385" w:type="pct"/>
                  <w:tcBorders>
                    <w:tl2br w:val="nil"/>
                    <w:tr2bl w:val="nil"/>
                  </w:tcBorders>
                  <w:noWrap w:val="0"/>
                  <w:vAlign w:val="center"/>
                </w:tcPr>
                <w:p w14:paraId="2922E50F">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Ⅲ</w:t>
                  </w:r>
                </w:p>
              </w:tc>
              <w:tc>
                <w:tcPr>
                  <w:tcW w:w="436" w:type="pct"/>
                  <w:tcBorders>
                    <w:tl2br w:val="nil"/>
                    <w:tr2bl w:val="nil"/>
                  </w:tcBorders>
                  <w:noWrap w:val="0"/>
                  <w:vAlign w:val="center"/>
                </w:tcPr>
                <w:p w14:paraId="655E14A3">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Ⅳ</w:t>
                  </w:r>
                </w:p>
              </w:tc>
              <w:tc>
                <w:tcPr>
                  <w:tcW w:w="476" w:type="pct"/>
                  <w:tcBorders>
                    <w:tl2br w:val="nil"/>
                    <w:tr2bl w:val="nil"/>
                  </w:tcBorders>
                  <w:noWrap w:val="0"/>
                  <w:vAlign w:val="center"/>
                </w:tcPr>
                <w:p w14:paraId="6F35D060">
                  <w:pPr>
                    <w:pStyle w:val="107"/>
                    <w:spacing w:line="300" w:lineRule="exact"/>
                    <w:jc w:val="center"/>
                    <w:rPr>
                      <w:color w:val="000000" w:themeColor="text1"/>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Ⅳ</w:t>
                  </w:r>
                </w:p>
              </w:tc>
              <w:tc>
                <w:tcPr>
                  <w:tcW w:w="343" w:type="pct"/>
                  <w:tcBorders>
                    <w:tl2br w:val="nil"/>
                    <w:tr2bl w:val="nil"/>
                  </w:tcBorders>
                  <w:noWrap w:val="0"/>
                  <w:vAlign w:val="center"/>
                </w:tcPr>
                <w:p w14:paraId="61CC3E58">
                  <w:pPr>
                    <w:pStyle w:val="107"/>
                    <w:spacing w:line="300" w:lineRule="exact"/>
                    <w:jc w:val="center"/>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Ⅳ</w:t>
                  </w:r>
                </w:p>
              </w:tc>
              <w:tc>
                <w:tcPr>
                  <w:tcW w:w="379" w:type="pct"/>
                  <w:tcBorders>
                    <w:tl2br w:val="nil"/>
                    <w:tr2bl w:val="nil"/>
                  </w:tcBorders>
                  <w:noWrap w:val="0"/>
                  <w:vAlign w:val="center"/>
                </w:tcPr>
                <w:p w14:paraId="3AD8A1C4">
                  <w:pPr>
                    <w:pStyle w:val="107"/>
                    <w:spacing w:line="300" w:lineRule="exact"/>
                    <w:jc w:val="center"/>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Ⅳ</w:t>
                  </w:r>
                </w:p>
              </w:tc>
              <w:tc>
                <w:tcPr>
                  <w:tcW w:w="431" w:type="pct"/>
                  <w:tcBorders>
                    <w:tl2br w:val="nil"/>
                    <w:tr2bl w:val="nil"/>
                  </w:tcBorders>
                  <w:noWrap w:val="0"/>
                  <w:vAlign w:val="center"/>
                </w:tcPr>
                <w:p w14:paraId="4DD0BBF3">
                  <w:pPr>
                    <w:pStyle w:val="107"/>
                    <w:spacing w:line="300" w:lineRule="exact"/>
                    <w:jc w:val="center"/>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Ⅳ</w:t>
                  </w:r>
                </w:p>
              </w:tc>
              <w:tc>
                <w:tcPr>
                  <w:tcW w:w="463" w:type="pct"/>
                  <w:tcBorders>
                    <w:tl2br w:val="nil"/>
                    <w:tr2bl w:val="nil"/>
                  </w:tcBorders>
                  <w:noWrap w:val="0"/>
                  <w:vAlign w:val="center"/>
                </w:tcPr>
                <w:p w14:paraId="18F4BB88">
                  <w:pPr>
                    <w:pStyle w:val="107"/>
                    <w:spacing w:line="300" w:lineRule="exact"/>
                    <w:jc w:val="center"/>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Ⅳ</w:t>
                  </w:r>
                </w:p>
              </w:tc>
              <w:tc>
                <w:tcPr>
                  <w:tcW w:w="375" w:type="pct"/>
                  <w:tcBorders>
                    <w:tl2br w:val="nil"/>
                    <w:tr2bl w:val="nil"/>
                  </w:tcBorders>
                  <w:noWrap w:val="0"/>
                  <w:vAlign w:val="center"/>
                </w:tcPr>
                <w:p w14:paraId="324B0C2A">
                  <w:pPr>
                    <w:pStyle w:val="107"/>
                    <w:spacing w:line="300" w:lineRule="exact"/>
                    <w:jc w:val="center"/>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Ⅲ</w:t>
                  </w:r>
                </w:p>
              </w:tc>
              <w:tc>
                <w:tcPr>
                  <w:tcW w:w="377" w:type="pct"/>
                  <w:tcBorders>
                    <w:tl2br w:val="nil"/>
                    <w:tr2bl w:val="nil"/>
                  </w:tcBorders>
                  <w:noWrap w:val="0"/>
                  <w:vAlign w:val="center"/>
                </w:tcPr>
                <w:p w14:paraId="0AFE5926">
                  <w:pPr>
                    <w:pStyle w:val="107"/>
                    <w:spacing w:line="300" w:lineRule="exact"/>
                    <w:jc w:val="center"/>
                    <w:rPr>
                      <w:color w:val="000000" w:themeColor="text1"/>
                      <w:w w:val="99"/>
                      <w:sz w:val="21"/>
                      <w:szCs w:val="21"/>
                      <w:highlight w:val="none"/>
                      <w14:textFill>
                        <w14:solidFill>
                          <w14:schemeClr w14:val="tx1"/>
                        </w14:solidFill>
                      </w14:textFill>
                    </w:rPr>
                  </w:pPr>
                  <w:r>
                    <w:rPr>
                      <w:color w:val="000000" w:themeColor="text1"/>
                      <w:w w:val="99"/>
                      <w:sz w:val="21"/>
                      <w:szCs w:val="21"/>
                      <w:highlight w:val="none"/>
                      <w14:textFill>
                        <w14:solidFill>
                          <w14:schemeClr w14:val="tx1"/>
                        </w14:solidFill>
                      </w14:textFill>
                    </w:rPr>
                    <w:t>Ⅲ</w:t>
                  </w:r>
                </w:p>
              </w:tc>
            </w:tr>
          </w:tbl>
          <w:p w14:paraId="2ED06BAE">
            <w:pPr>
              <w:keepNext w:val="0"/>
              <w:keepLines w:val="0"/>
              <w:pageBreakBefore w:val="0"/>
              <w:widowControl w:val="0"/>
              <w:tabs>
                <w:tab w:val="left" w:pos="828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 DB22/388-2004《吉林省地表水功能区》中功能区划可知，原则条子河评价水域执行《地表水环境质量标准》（GB3838-2002）中Ⅲ类水质标准。根据《吉林省“十四五”重点流域水生态环境保护规划》，“十四五”期间，条子河林家断面要求达到优于Ⅳ类（含）。</w:t>
            </w:r>
          </w:p>
          <w:p w14:paraId="658878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根据</w:t>
            </w:r>
            <w:r>
              <w:rPr>
                <w:rFonts w:hint="eastAsia" w:ascii="宋体" w:hAnsi="宋体" w:eastAsia="宋体" w:cs="宋体"/>
                <w:color w:val="000000" w:themeColor="text1"/>
                <w:sz w:val="24"/>
                <w:u w:val="none"/>
                <w:lang w:val="en-US" w:eastAsia="zh-CN"/>
                <w14:textFill>
                  <w14:solidFill>
                    <w14:schemeClr w14:val="tx1"/>
                  </w14:solidFill>
                </w14:textFill>
              </w:rPr>
              <w:t>吉林省生态环境厅发布的</w:t>
            </w:r>
            <w:r>
              <w:rPr>
                <w:rFonts w:hint="eastAsia" w:ascii="宋体" w:hAnsi="宋体" w:eastAsia="宋体" w:cs="宋体"/>
                <w:color w:val="000000" w:themeColor="text1"/>
                <w:sz w:val="24"/>
                <w:u w:val="none"/>
                <w14:textFill>
                  <w14:solidFill>
                    <w14:schemeClr w14:val="tx1"/>
                  </w14:solidFill>
                </w14:textFill>
              </w:rPr>
              <w:t>吉林省地表水国控断面水质月报，条子河（林家断面）</w:t>
            </w:r>
            <w:r>
              <w:rPr>
                <w:rFonts w:hint="eastAsia" w:ascii="宋体" w:hAnsi="宋体" w:eastAsia="宋体" w:cs="宋体"/>
                <w:color w:val="000000" w:themeColor="text1"/>
                <w:sz w:val="24"/>
                <w:u w:val="none"/>
                <w:lang w:val="en-US" w:eastAsia="zh-CN"/>
                <w14:textFill>
                  <w14:solidFill>
                    <w14:schemeClr w14:val="tx1"/>
                  </w14:solidFill>
                </w14:textFill>
              </w:rPr>
              <w:t>2025年1—11月水质</w:t>
            </w:r>
            <w:r>
              <w:rPr>
                <w:rFonts w:hint="eastAsia" w:ascii="宋体" w:hAnsi="宋体" w:eastAsia="宋体" w:cs="宋体"/>
                <w:color w:val="000000" w:themeColor="text1"/>
                <w:sz w:val="24"/>
                <w:u w:val="none"/>
                <w14:textFill>
                  <w14:solidFill>
                    <w14:schemeClr w14:val="tx1"/>
                  </w14:solidFill>
                </w14:textFill>
              </w:rPr>
              <w:t>满足</w:t>
            </w:r>
            <w:r>
              <w:rPr>
                <w:rFonts w:hint="eastAsia" w:ascii="宋体" w:hAnsi="宋体" w:eastAsia="宋体" w:cs="宋体"/>
                <w:color w:val="000000" w:themeColor="text1"/>
                <w:sz w:val="24"/>
                <w14:textFill>
                  <w14:solidFill>
                    <w14:schemeClr w14:val="tx1"/>
                  </w14:solidFill>
                </w14:textFill>
              </w:rPr>
              <w:t>《地表水环境质量标准》（GB3838-2002）</w:t>
            </w:r>
            <w:r>
              <w:rPr>
                <w:rFonts w:hint="eastAsia" w:ascii="宋体" w:hAnsi="宋体" w:eastAsia="宋体" w:cs="宋体"/>
                <w:color w:val="000000" w:themeColor="text1"/>
                <w:sz w:val="24"/>
                <w:u w:val="none"/>
                <w14:textFill>
                  <w14:solidFill>
                    <w14:schemeClr w14:val="tx1"/>
                  </w14:solidFill>
                </w14:textFill>
              </w:rPr>
              <w:t>Ⅳ类水质目标。</w:t>
            </w:r>
          </w:p>
          <w:p w14:paraId="01E988F4">
            <w:pPr>
              <w:pStyle w:val="33"/>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3、土壤环境质量</w:t>
            </w:r>
          </w:p>
          <w:p w14:paraId="710C33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根据《建设项目环境影响报告表编制技术指南（污染影响类）（试行）》，原则上不开展土壤、地下水环境质量现状调查，建设项目存在土壤、地下水环境污染途径，设置1个背景监测点。</w:t>
            </w:r>
          </w:p>
          <w:p w14:paraId="44E58B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（1）监测点位设置</w:t>
            </w:r>
          </w:p>
          <w:p w14:paraId="5EC1AD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项目所在区域已经进行地面硬化，不具备土壤环境监测条件，根据规划环评要求，入区项目可简化环境质量现状，采用规划环评中现状监测数据说明区域土壤环境质量，监测点位布置详见表3-</w:t>
            </w:r>
            <w:r>
              <w:rPr>
                <w:rFonts w:hint="eastAsia" w:ascii="宋体" w:hAnsi="宋体" w:eastAsia="宋体" w:cs="宋体"/>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w:t>
            </w:r>
          </w:p>
          <w:p w14:paraId="2FED8DB8">
            <w:pPr>
              <w:pStyle w:val="7"/>
              <w:snapToGrid w:val="0"/>
              <w:spacing w:line="300" w:lineRule="exact"/>
              <w:ind w:firstLine="422"/>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表3-</w:t>
            </w:r>
            <w:r>
              <w:rPr>
                <w:rFonts w:hint="eastAsia" w:ascii="宋体" w:hAnsi="宋体" w:cs="宋体"/>
                <w:b/>
                <w:bCs/>
                <w:color w:val="000000" w:themeColor="text1"/>
                <w:sz w:val="21"/>
                <w:szCs w:val="21"/>
                <w:lang w:val="en-US" w:eastAsia="zh-CN"/>
                <w14:textFill>
                  <w14:solidFill>
                    <w14:schemeClr w14:val="tx1"/>
                  </w14:solidFill>
                </w14:textFill>
              </w:rPr>
              <w:t>2</w:t>
            </w:r>
            <w:r>
              <w:rPr>
                <w:rFonts w:hint="eastAsia" w:ascii="宋体" w:hAnsi="宋体" w:cs="宋体"/>
                <w:b/>
                <w:bCs/>
                <w:color w:val="000000" w:themeColor="text1"/>
                <w:sz w:val="21"/>
                <w:szCs w:val="21"/>
                <w14:textFill>
                  <w14:solidFill>
                    <w14:schemeClr w14:val="tx1"/>
                  </w14:solidFill>
                </w14:textFill>
              </w:rPr>
              <w:t xml:space="preserve">  土壤监测点布设情况表</w:t>
            </w:r>
          </w:p>
          <w:tbl>
            <w:tblPr>
              <w:tblStyle w:val="25"/>
              <w:tblW w:w="4998"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855"/>
              <w:gridCol w:w="2672"/>
              <w:gridCol w:w="1719"/>
            </w:tblGrid>
            <w:tr w14:paraId="17E2B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03" w:type="pct"/>
                  <w:tcBorders>
                    <w:tl2br w:val="nil"/>
                    <w:tr2bl w:val="nil"/>
                  </w:tcBorders>
                  <w:noWrap w:val="0"/>
                  <w:vAlign w:val="center"/>
                </w:tcPr>
                <w:p w14:paraId="2429BFA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1653" w:type="pct"/>
                  <w:tcBorders>
                    <w:tl2br w:val="nil"/>
                    <w:tr2bl w:val="nil"/>
                  </w:tcBorders>
                  <w:noWrap w:val="0"/>
                  <w:vAlign w:val="center"/>
                </w:tcPr>
                <w:p w14:paraId="0231B41A">
                  <w:pPr>
                    <w:spacing w:line="30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点位名称</w:t>
                  </w:r>
                  <w:r>
                    <w:rPr>
                      <w:rFonts w:hint="eastAsia" w:ascii="宋体" w:hAnsi="宋体" w:cs="宋体"/>
                      <w:color w:val="000000" w:themeColor="text1"/>
                      <w:szCs w:val="21"/>
                      <w:lang w:val="en-US" w:eastAsia="zh-CN"/>
                      <w14:textFill>
                        <w14:solidFill>
                          <w14:schemeClr w14:val="tx1"/>
                        </w14:solidFill>
                      </w14:textFill>
                    </w:rPr>
                    <w:t>/位置</w:t>
                  </w:r>
                </w:p>
              </w:tc>
              <w:tc>
                <w:tcPr>
                  <w:tcW w:w="1547" w:type="pct"/>
                  <w:tcBorders>
                    <w:tl2br w:val="nil"/>
                    <w:tr2bl w:val="nil"/>
                  </w:tcBorders>
                  <w:noWrap w:val="0"/>
                  <w:vAlign w:val="center"/>
                </w:tcPr>
                <w:p w14:paraId="38DC83EC">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布点类型</w:t>
                  </w:r>
                </w:p>
              </w:tc>
              <w:tc>
                <w:tcPr>
                  <w:tcW w:w="995" w:type="pct"/>
                  <w:tcBorders>
                    <w:tl2br w:val="nil"/>
                    <w:tr2bl w:val="nil"/>
                  </w:tcBorders>
                  <w:noWrap w:val="0"/>
                  <w:vAlign w:val="center"/>
                </w:tcPr>
                <w:p w14:paraId="79CD6A6C">
                  <w:pPr>
                    <w:spacing w:line="30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监测</w:t>
                  </w:r>
                  <w:r>
                    <w:rPr>
                      <w:rFonts w:hint="eastAsia" w:ascii="宋体" w:hAnsi="宋体" w:cs="宋体"/>
                      <w:color w:val="000000" w:themeColor="text1"/>
                      <w:szCs w:val="21"/>
                      <w:lang w:val="en-US" w:eastAsia="zh-CN"/>
                      <w14:textFill>
                        <w14:solidFill>
                          <w14:schemeClr w14:val="tx1"/>
                        </w14:solidFill>
                      </w14:textFill>
                    </w:rPr>
                    <w:t>频次</w:t>
                  </w:r>
                </w:p>
              </w:tc>
            </w:tr>
            <w:tr w14:paraId="064D1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03" w:type="pct"/>
                  <w:tcBorders>
                    <w:tl2br w:val="nil"/>
                    <w:tr2bl w:val="nil"/>
                  </w:tcBorders>
                  <w:noWrap w:val="0"/>
                  <w:vAlign w:val="center"/>
                </w:tcPr>
                <w:p w14:paraId="4816A3B3">
                  <w:pPr>
                    <w:spacing w:line="30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w:t>
                  </w:r>
                </w:p>
              </w:tc>
              <w:tc>
                <w:tcPr>
                  <w:tcW w:w="1653" w:type="pct"/>
                  <w:tcBorders>
                    <w:tl2br w:val="nil"/>
                    <w:tr2bl w:val="nil"/>
                  </w:tcBorders>
                  <w:noWrap w:val="0"/>
                  <w:vAlign w:val="center"/>
                </w:tcPr>
                <w:p w14:paraId="1E11DAFD">
                  <w:pPr>
                    <w:spacing w:line="30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厂区东侧</w:t>
                  </w:r>
                </w:p>
              </w:tc>
              <w:tc>
                <w:tcPr>
                  <w:tcW w:w="1547" w:type="pct"/>
                  <w:tcBorders>
                    <w:tl2br w:val="nil"/>
                    <w:tr2bl w:val="nil"/>
                  </w:tcBorders>
                  <w:noWrap w:val="0"/>
                  <w:vAlign w:val="center"/>
                </w:tcPr>
                <w:p w14:paraId="3B04E702">
                  <w:pPr>
                    <w:spacing w:line="30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表层土</w:t>
                  </w:r>
                </w:p>
              </w:tc>
              <w:tc>
                <w:tcPr>
                  <w:tcW w:w="995" w:type="pct"/>
                  <w:tcBorders>
                    <w:tl2br w:val="nil"/>
                    <w:tr2bl w:val="nil"/>
                  </w:tcBorders>
                  <w:noWrap w:val="0"/>
                  <w:vAlign w:val="center"/>
                </w:tcPr>
                <w:p w14:paraId="5094185D">
                  <w:pPr>
                    <w:spacing w:line="300" w:lineRule="exact"/>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监测1次</w:t>
                  </w:r>
                </w:p>
              </w:tc>
            </w:tr>
          </w:tbl>
          <w:p w14:paraId="02E5BA92">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ascii="Times New Roman" w:hAnsi="Times New Roman" w:eastAsia="宋体" w:cs="Times New Roman"/>
                <w:iCs/>
                <w:color w:val="000000" w:themeColor="text1"/>
                <w:sz w:val="24"/>
                <w14:textFill>
                  <w14:solidFill>
                    <w14:schemeClr w14:val="tx1"/>
                  </w14:solidFill>
                </w14:textFill>
              </w:rPr>
            </w:pPr>
            <w:r>
              <w:rPr>
                <w:rFonts w:ascii="Times New Roman" w:hAnsi="Times New Roman" w:eastAsia="宋体" w:cs="Times New Roman"/>
                <w:iCs/>
                <w:color w:val="000000" w:themeColor="text1"/>
                <w:sz w:val="24"/>
                <w14:textFill>
                  <w14:solidFill>
                    <w14:schemeClr w14:val="tx1"/>
                  </w14:solidFill>
                </w14:textFill>
              </w:rPr>
              <w:t>（2）监测项目</w:t>
            </w:r>
          </w:p>
          <w:p w14:paraId="11D985C0">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ascii="Times New Roman" w:hAnsi="Times New Roman" w:eastAsia="宋体" w:cs="Times New Roman"/>
                <w:iCs/>
                <w:color w:val="000000" w:themeColor="text1"/>
                <w:sz w:val="24"/>
                <w14:textFill>
                  <w14:solidFill>
                    <w14:schemeClr w14:val="tx1"/>
                  </w14:solidFill>
                </w14:textFill>
              </w:rPr>
            </w:pPr>
            <w:r>
              <w:rPr>
                <w:rFonts w:hint="eastAsia" w:ascii="Times New Roman" w:hAnsi="Times New Roman" w:eastAsia="宋体" w:cs="Times New Roman"/>
                <w:iCs/>
                <w:color w:val="000000" w:themeColor="text1"/>
                <w:sz w:val="24"/>
                <w:lang w:val="en-US" w:eastAsia="zh-CN"/>
                <w14:textFill>
                  <w14:solidFill>
                    <w14:schemeClr w14:val="tx1"/>
                  </w14:solidFill>
                </w14:textFill>
              </w:rPr>
              <w:t>监测《土壤环境质量 建设用地土壤污染风险管控标准（试行）》（GB36600-2018）中45个基本项和石油烃、pH值。</w:t>
            </w:r>
          </w:p>
          <w:p w14:paraId="417A0935">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iCs/>
                <w:color w:val="000000" w:themeColor="text1"/>
                <w:sz w:val="24"/>
                <w14:textFill>
                  <w14:solidFill>
                    <w14:schemeClr w14:val="tx1"/>
                  </w14:solidFill>
                </w14:textFill>
              </w:rPr>
            </w:pPr>
            <w:r>
              <w:rPr>
                <w:iCs/>
                <w:color w:val="000000" w:themeColor="text1"/>
                <w:sz w:val="24"/>
                <w14:textFill>
                  <w14:solidFill>
                    <w14:schemeClr w14:val="tx1"/>
                  </w14:solidFill>
                </w14:textFill>
              </w:rPr>
              <w:t>（3）监测日期</w:t>
            </w:r>
          </w:p>
          <w:p w14:paraId="060E6EB2">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iCs/>
                <w:color w:val="000000" w:themeColor="text1"/>
                <w:sz w:val="24"/>
                <w:highlight w:val="yellow"/>
                <w14:textFill>
                  <w14:solidFill>
                    <w14:schemeClr w14:val="tx1"/>
                  </w14:solidFill>
                </w14:textFill>
              </w:rPr>
            </w:pPr>
            <w:r>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t>由吉林省同正检测技术有限公司于202</w:t>
            </w:r>
            <w:r>
              <w:rPr>
                <w:rFonts w:hint="eastAsia" w:ascii="宋体" w:hAnsi="宋体" w:cs="宋体"/>
                <w:color w:val="000000" w:themeColor="text1"/>
                <w:sz w:val="24"/>
                <w:szCs w:val="24"/>
                <w:highlight w:val="none"/>
                <w:u w:val="none" w:color="auto"/>
                <w:lang w:val="en-US" w:eastAsia="zh-CN"/>
                <w14:textFill>
                  <w14:solidFill>
                    <w14:schemeClr w14:val="tx1"/>
                  </w14:solidFill>
                </w14:textFill>
              </w:rPr>
              <w:t>6</w:t>
            </w:r>
            <w:r>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t>年</w:t>
            </w:r>
            <w:r>
              <w:rPr>
                <w:rFonts w:hint="eastAsia" w:ascii="宋体" w:hAnsi="宋体" w:cs="宋体"/>
                <w:color w:val="000000" w:themeColor="text1"/>
                <w:sz w:val="24"/>
                <w:szCs w:val="24"/>
                <w:highlight w:val="none"/>
                <w:u w:val="none" w:color="auto"/>
                <w:lang w:val="en-US" w:eastAsia="zh-CN"/>
                <w14:textFill>
                  <w14:solidFill>
                    <w14:schemeClr w14:val="tx1"/>
                  </w14:solidFill>
                </w14:textFill>
              </w:rPr>
              <w:t>3</w:t>
            </w:r>
            <w:r>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t>月</w:t>
            </w:r>
            <w:r>
              <w:rPr>
                <w:rFonts w:hint="eastAsia" w:ascii="宋体" w:hAnsi="宋体" w:cs="宋体"/>
                <w:color w:val="000000" w:themeColor="text1"/>
                <w:sz w:val="24"/>
                <w:szCs w:val="24"/>
                <w:highlight w:val="none"/>
                <w:u w:val="none" w:color="auto"/>
                <w:lang w:val="en-US" w:eastAsia="zh-CN"/>
                <w14:textFill>
                  <w14:solidFill>
                    <w14:schemeClr w14:val="tx1"/>
                  </w14:solidFill>
                </w14:textFill>
              </w:rPr>
              <w:t>25</w:t>
            </w:r>
            <w:r>
              <w:rPr>
                <w:rFonts w:hint="eastAsia" w:ascii="宋体" w:hAnsi="宋体" w:eastAsia="宋体" w:cs="宋体"/>
                <w:color w:val="000000" w:themeColor="text1"/>
                <w:sz w:val="24"/>
                <w:szCs w:val="24"/>
                <w:highlight w:val="none"/>
                <w:u w:val="none" w:color="auto"/>
                <w:lang w:val="en-US" w:eastAsia="zh-CN"/>
                <w14:textFill>
                  <w14:solidFill>
                    <w14:schemeClr w14:val="tx1"/>
                  </w14:solidFill>
                </w14:textFill>
              </w:rPr>
              <w:t>日进行采样监测。</w:t>
            </w:r>
          </w:p>
          <w:p w14:paraId="5EC671AC">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（4）采样及分析方法</w:t>
            </w:r>
          </w:p>
          <w:p w14:paraId="1024D7E1">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按国家有关标准和环境保护部的有关规范执行。</w:t>
            </w:r>
          </w:p>
          <w:p w14:paraId="2AB69B93">
            <w:pPr>
              <w:keepNext w:val="0"/>
              <w:keepLines w:val="0"/>
              <w:pageBreakBefore w:val="0"/>
              <w:widowControl w:val="0"/>
              <w:kinsoku/>
              <w:wordWrap/>
              <w:overflowPunct/>
              <w:topLinePunct w:val="0"/>
              <w:bidi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14:textFill>
                  <w14:solidFill>
                    <w14:schemeClr w14:val="tx1"/>
                  </w14:solidFill>
                </w14:textFill>
              </w:rPr>
              <w:t xml:space="preserve"> </w:t>
            </w:r>
            <w:r>
              <w:rPr>
                <w:color w:val="000000" w:themeColor="text1"/>
                <w:sz w:val="24"/>
                <w14:textFill>
                  <w14:solidFill>
                    <w14:schemeClr w14:val="tx1"/>
                  </w14:solidFill>
                </w14:textFill>
              </w:rPr>
              <w:t>（5）评价方法：</w:t>
            </w:r>
          </w:p>
          <w:p w14:paraId="6201DA9C">
            <w:pPr>
              <w:keepNext w:val="0"/>
              <w:keepLines w:val="0"/>
              <w:pageBreakBefore w:val="0"/>
              <w:widowControl w:val="0"/>
              <w:kinsoku/>
              <w:wordWrap/>
              <w:overflowPunct/>
              <w:topLinePunct w:val="0"/>
              <w:bidi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评价方法采用标准指数法，计算公式如下：      </w:t>
            </w:r>
          </w:p>
          <w:p w14:paraId="5B86D144">
            <w:pPr>
              <w:keepNext w:val="0"/>
              <w:keepLines w:val="0"/>
              <w:pageBreakBefore w:val="0"/>
              <w:widowControl w:val="0"/>
              <w:kinsoku/>
              <w:wordWrap/>
              <w:overflowPunct/>
              <w:topLinePunct w:val="0"/>
              <w:bidi w:val="0"/>
              <w:spacing w:line="500" w:lineRule="exact"/>
              <w:ind w:left="0" w:leftChars="0" w:firstLine="0" w:firstLineChars="0"/>
              <w:jc w:val="center"/>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Pi=Ci/Si</w:t>
            </w:r>
          </w:p>
          <w:p w14:paraId="421DD4FF">
            <w:pPr>
              <w:keepNext w:val="0"/>
              <w:keepLines w:val="0"/>
              <w:pageBreakBefore w:val="0"/>
              <w:widowControl w:val="0"/>
              <w:kinsoku/>
              <w:wordWrap/>
              <w:overflowPunct/>
              <w:topLinePunct w:val="0"/>
              <w:bidi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式中：Pi—第i种污染物的污染指数；</w:t>
            </w:r>
          </w:p>
          <w:p w14:paraId="68B8CA04">
            <w:pPr>
              <w:keepNext w:val="0"/>
              <w:keepLines w:val="0"/>
              <w:pageBreakBefore w:val="0"/>
              <w:widowControl w:val="0"/>
              <w:kinsoku/>
              <w:wordWrap/>
              <w:overflowPunct/>
              <w:topLinePunct w:val="0"/>
              <w:bidi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Ci—第i种污染物的实测浓度，mg/kg；</w:t>
            </w:r>
          </w:p>
          <w:p w14:paraId="76AAF620">
            <w:pPr>
              <w:keepNext w:val="0"/>
              <w:keepLines w:val="0"/>
              <w:pageBreakBefore w:val="0"/>
              <w:widowControl w:val="0"/>
              <w:kinsoku/>
              <w:wordWrap/>
              <w:overflowPunct/>
              <w:topLinePunct w:val="0"/>
              <w:bidi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Si—第i种污染物的评价标准，mg/kg。</w:t>
            </w:r>
          </w:p>
          <w:p w14:paraId="5F1DBD76">
            <w:pPr>
              <w:keepNext w:val="0"/>
              <w:keepLines w:val="0"/>
              <w:pageBreakBefore w:val="0"/>
              <w:widowControl w:val="0"/>
              <w:kinsoku/>
              <w:wordWrap/>
              <w:overflowPunct/>
              <w:topLinePunct w:val="0"/>
              <w:bidi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Pi＞1，则不能满足标准要求，反之则满足标准要求。</w:t>
            </w:r>
          </w:p>
          <w:p w14:paraId="1E65961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（6）评价</w:t>
            </w:r>
            <w:r>
              <w:rPr>
                <w:color w:val="000000" w:themeColor="text1"/>
                <w:sz w:val="24"/>
                <w:lang w:val="zh-CN"/>
                <w14:textFill>
                  <w14:solidFill>
                    <w14:schemeClr w14:val="tx1"/>
                  </w14:solidFill>
                </w14:textFill>
              </w:rPr>
              <w:t>标准</w:t>
            </w:r>
          </w:p>
          <w:p w14:paraId="36F3F118">
            <w:pPr>
              <w:pStyle w:val="33"/>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color w:val="000000" w:themeColor="text1"/>
                <w14:textFill>
                  <w14:solidFill>
                    <w14:schemeClr w14:val="tx1"/>
                  </w14:solidFill>
                </w14:textFill>
              </w:rPr>
            </w:pPr>
            <w:r>
              <w:rPr>
                <w:rFonts w:ascii="Times New Roman"/>
                <w:iCs/>
                <w:color w:val="000000" w:themeColor="text1"/>
                <w14:textFill>
                  <w14:solidFill>
                    <w14:schemeClr w14:val="tx1"/>
                  </w14:solidFill>
                </w14:textFill>
              </w:rPr>
              <w:t>执行</w:t>
            </w:r>
            <w:r>
              <w:rPr>
                <w:rFonts w:ascii="Times New Roman"/>
                <w:iCs/>
                <w:color w:val="000000" w:themeColor="text1"/>
                <w:lang w:val="zh-CN"/>
                <w14:textFill>
                  <w14:solidFill>
                    <w14:schemeClr w14:val="tx1"/>
                  </w14:solidFill>
                </w14:textFill>
              </w:rPr>
              <w:t>《土壤环境质量 建设用地土壤污染风险管控标准（试行）》（GB36600</w:t>
            </w:r>
            <w:r>
              <w:rPr>
                <w:rFonts w:ascii="Times New Roman"/>
                <w:iCs/>
                <w:color w:val="000000" w:themeColor="text1"/>
                <w14:textFill>
                  <w14:solidFill>
                    <w14:schemeClr w14:val="tx1"/>
                  </w14:solidFill>
                </w14:textFill>
              </w:rPr>
              <w:t>-</w:t>
            </w:r>
            <w:r>
              <w:rPr>
                <w:rFonts w:ascii="Times New Roman"/>
                <w:iCs/>
                <w:color w:val="000000" w:themeColor="text1"/>
                <w:lang w:val="zh-CN"/>
                <w14:textFill>
                  <w14:solidFill>
                    <w14:schemeClr w14:val="tx1"/>
                  </w14:solidFill>
                </w14:textFill>
              </w:rPr>
              <w:t>2018）中第二类用地筛选值标准</w:t>
            </w:r>
            <w:r>
              <w:rPr>
                <w:rFonts w:ascii="Times New Roman" w:cs="宋体"/>
                <w:color w:val="000000" w:themeColor="text1"/>
                <w14:textFill>
                  <w14:solidFill>
                    <w14:schemeClr w14:val="tx1"/>
                  </w14:solidFill>
                </w14:textFill>
              </w:rPr>
              <w:t>。</w:t>
            </w:r>
          </w:p>
          <w:p w14:paraId="34975EF9">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（7）监测及评价结果</w:t>
            </w:r>
          </w:p>
          <w:p w14:paraId="1E0F0D12">
            <w:pPr>
              <w:pStyle w:val="11"/>
              <w:keepNext w:val="0"/>
              <w:keepLines w:val="0"/>
              <w:pageBreakBefore w:val="0"/>
              <w:widowControl w:val="0"/>
              <w:kinsoku/>
              <w:wordWrap/>
              <w:overflowPunct/>
              <w:topLinePunct w:val="0"/>
              <w:bidi w:val="0"/>
              <w:spacing w:before="0" w:after="0" w:line="500" w:lineRule="exact"/>
              <w:ind w:right="0"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监测结果及评价指数见下表。</w:t>
            </w:r>
          </w:p>
          <w:p w14:paraId="5B404DB2">
            <w:pPr>
              <w:pStyle w:val="8"/>
              <w:adjustRightInd w:val="0"/>
              <w:snapToGrid w:val="0"/>
              <w:spacing w:beforeLines="0" w:line="300" w:lineRule="exact"/>
              <w:rPr>
                <w:rFonts w:hint="eastAsia" w:eastAsia="宋体" w:cs="Times New Roman"/>
                <w:b/>
                <w:color w:val="000000" w:themeColor="text1"/>
                <w:highlight w:val="none"/>
                <w14:textFill>
                  <w14:solidFill>
                    <w14:schemeClr w14:val="tx1"/>
                  </w14:solidFill>
                </w14:textFill>
              </w:rPr>
            </w:pPr>
            <w:r>
              <w:rPr>
                <w:rFonts w:eastAsia="宋体" w:cs="Times New Roman"/>
                <w:b/>
                <w:color w:val="000000" w:themeColor="text1"/>
                <w:highlight w:val="none"/>
                <w14:textFill>
                  <w14:solidFill>
                    <w14:schemeClr w14:val="tx1"/>
                  </w14:solidFill>
                </w14:textFill>
              </w:rPr>
              <w:t>表</w:t>
            </w:r>
            <w:r>
              <w:rPr>
                <w:rFonts w:hint="eastAsia" w:eastAsia="宋体"/>
                <w:b/>
                <w:color w:val="000000" w:themeColor="text1"/>
                <w:szCs w:val="21"/>
                <w:highlight w:val="none"/>
                <w14:textFill>
                  <w14:solidFill>
                    <w14:schemeClr w14:val="tx1"/>
                  </w14:solidFill>
                </w14:textFill>
              </w:rPr>
              <w:t>3-</w:t>
            </w:r>
            <w:r>
              <w:rPr>
                <w:rFonts w:hint="eastAsia" w:eastAsia="宋体"/>
                <w:b/>
                <w:color w:val="000000" w:themeColor="text1"/>
                <w:szCs w:val="21"/>
                <w:highlight w:val="none"/>
                <w:lang w:val="en-US" w:eastAsia="zh-CN"/>
                <w14:textFill>
                  <w14:solidFill>
                    <w14:schemeClr w14:val="tx1"/>
                  </w14:solidFill>
                </w14:textFill>
              </w:rPr>
              <w:t>3</w:t>
            </w:r>
            <w:r>
              <w:rPr>
                <w:rFonts w:hint="eastAsia" w:eastAsia="宋体"/>
                <w:b/>
                <w:color w:val="000000" w:themeColor="text1"/>
                <w:szCs w:val="21"/>
                <w:highlight w:val="none"/>
                <w14:textFill>
                  <w14:solidFill>
                    <w14:schemeClr w14:val="tx1"/>
                  </w14:solidFill>
                </w14:textFill>
              </w:rPr>
              <w:t xml:space="preserve"> </w:t>
            </w:r>
            <w:r>
              <w:rPr>
                <w:rFonts w:eastAsia="宋体" w:cs="Times New Roman"/>
                <w:b/>
                <w:color w:val="000000" w:themeColor="text1"/>
                <w:highlight w:val="none"/>
                <w14:textFill>
                  <w14:solidFill>
                    <w14:schemeClr w14:val="tx1"/>
                  </w14:solidFill>
                </w14:textFill>
              </w:rPr>
              <w:t xml:space="preserve"> 土壤环境质量监测</w:t>
            </w:r>
            <w:r>
              <w:rPr>
                <w:rFonts w:hint="eastAsia" w:eastAsia="宋体" w:cs="Times New Roman"/>
                <w:b/>
                <w:color w:val="000000" w:themeColor="text1"/>
                <w:highlight w:val="none"/>
                <w:lang w:val="en-US" w:eastAsia="zh-CN"/>
                <w14:textFill>
                  <w14:solidFill>
                    <w14:schemeClr w14:val="tx1"/>
                  </w14:solidFill>
                </w14:textFill>
              </w:rPr>
              <w:t>及评价结果</w:t>
            </w:r>
            <w:r>
              <w:rPr>
                <w:rFonts w:hint="eastAsia" w:eastAsia="宋体" w:cs="Times New Roman"/>
                <w:b/>
                <w:color w:val="000000" w:themeColor="text1"/>
                <w:highlight w:val="none"/>
                <w14:textFill>
                  <w14:solidFill>
                    <w14:schemeClr w14:val="tx1"/>
                  </w14:solidFill>
                </w14:textFill>
              </w:rPr>
              <w:t xml:space="preserve"> </w:t>
            </w:r>
          </w:p>
          <w:tbl>
            <w:tblPr>
              <w:tblStyle w:val="25"/>
              <w:tblW w:w="4994"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1635"/>
              <w:gridCol w:w="1058"/>
              <w:gridCol w:w="1046"/>
              <w:gridCol w:w="1046"/>
              <w:gridCol w:w="1046"/>
            </w:tblGrid>
            <w:tr w14:paraId="0D43C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619" w:type="pct"/>
                  <w:tcBorders>
                    <w:tl2br w:val="nil"/>
                    <w:tr2bl w:val="nil"/>
                  </w:tcBorders>
                  <w:noWrap w:val="0"/>
                  <w:vAlign w:val="center"/>
                </w:tcPr>
                <w:p w14:paraId="5C8889F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监测项目</w:t>
                  </w:r>
                </w:p>
              </w:tc>
              <w:tc>
                <w:tcPr>
                  <w:tcW w:w="947" w:type="pct"/>
                  <w:tcBorders>
                    <w:tl2br w:val="nil"/>
                    <w:tr2bl w:val="nil"/>
                  </w:tcBorders>
                  <w:noWrap w:val="0"/>
                  <w:vAlign w:val="center"/>
                </w:tcPr>
                <w:p w14:paraId="09D6B588">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标准值</w:t>
                  </w:r>
                </w:p>
              </w:tc>
              <w:tc>
                <w:tcPr>
                  <w:tcW w:w="613" w:type="pct"/>
                  <w:tcBorders>
                    <w:tl2br w:val="nil"/>
                    <w:tr2bl w:val="nil"/>
                  </w:tcBorders>
                  <w:noWrap w:val="0"/>
                  <w:vAlign w:val="center"/>
                </w:tcPr>
                <w:p w14:paraId="4B44ABCB">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监测结果</w:t>
                  </w:r>
                </w:p>
              </w:tc>
              <w:tc>
                <w:tcPr>
                  <w:tcW w:w="606" w:type="pct"/>
                  <w:tcBorders>
                    <w:tl2br w:val="nil"/>
                    <w:tr2bl w:val="nil"/>
                  </w:tcBorders>
                  <w:noWrap w:val="0"/>
                  <w:vAlign w:val="center"/>
                </w:tcPr>
                <w:p w14:paraId="730F4A76">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标准指数</w:t>
                  </w:r>
                </w:p>
              </w:tc>
              <w:tc>
                <w:tcPr>
                  <w:tcW w:w="606" w:type="pct"/>
                  <w:tcBorders>
                    <w:tl2br w:val="nil"/>
                    <w:tr2bl w:val="nil"/>
                  </w:tcBorders>
                  <w:noWrap w:val="0"/>
                  <w:vAlign w:val="center"/>
                </w:tcPr>
                <w:p w14:paraId="6EAB3048">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超标倍数</w:t>
                  </w:r>
                </w:p>
              </w:tc>
              <w:tc>
                <w:tcPr>
                  <w:tcW w:w="606" w:type="pct"/>
                  <w:tcBorders>
                    <w:tl2br w:val="nil"/>
                    <w:tr2bl w:val="nil"/>
                  </w:tcBorders>
                  <w:noWrap w:val="0"/>
                  <w:vAlign w:val="center"/>
                </w:tcPr>
                <w:p w14:paraId="5A306D7D">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是否达标</w:t>
                  </w:r>
                </w:p>
              </w:tc>
            </w:tr>
            <w:tr w14:paraId="20A50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0F288033">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pH（无量纲）</w:t>
                  </w:r>
                </w:p>
              </w:tc>
              <w:tc>
                <w:tcPr>
                  <w:tcW w:w="947" w:type="pct"/>
                  <w:tcBorders>
                    <w:tl2br w:val="nil"/>
                    <w:tr2bl w:val="nil"/>
                  </w:tcBorders>
                  <w:noWrap w:val="0"/>
                  <w:vAlign w:val="center"/>
                </w:tcPr>
                <w:p w14:paraId="4AF65B7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5.5≤pH＜8.5</w:t>
                  </w:r>
                </w:p>
              </w:tc>
              <w:tc>
                <w:tcPr>
                  <w:tcW w:w="613" w:type="pct"/>
                  <w:tcBorders>
                    <w:tl2br w:val="nil"/>
                    <w:tr2bl w:val="nil"/>
                  </w:tcBorders>
                  <w:noWrap w:val="0"/>
                  <w:vAlign w:val="center"/>
                </w:tcPr>
                <w:p w14:paraId="0BE7E11C">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7.27</w:t>
                  </w:r>
                </w:p>
              </w:tc>
              <w:tc>
                <w:tcPr>
                  <w:tcW w:w="606" w:type="pct"/>
                  <w:tcBorders>
                    <w:tl2br w:val="nil"/>
                    <w:tr2bl w:val="nil"/>
                  </w:tcBorders>
                  <w:noWrap w:val="0"/>
                  <w:vAlign w:val="center"/>
                </w:tcPr>
                <w:p w14:paraId="0270099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w:t>
                  </w:r>
                  <w:r>
                    <w:rPr>
                      <w:rFonts w:hint="eastAsia" w:cs="Times New Roman"/>
                      <w:color w:val="000000" w:themeColor="text1"/>
                      <w:spacing w:val="-11"/>
                      <w:sz w:val="21"/>
                      <w:szCs w:val="21"/>
                      <w:u w:val="none"/>
                      <w:lang w:val="en-US" w:eastAsia="zh-CN"/>
                      <w14:textFill>
                        <w14:solidFill>
                          <w14:schemeClr w14:val="tx1"/>
                        </w14:solidFill>
                      </w14:textFill>
                    </w:rPr>
                    <w:t>58</w:t>
                  </w:r>
                </w:p>
              </w:tc>
              <w:tc>
                <w:tcPr>
                  <w:tcW w:w="606" w:type="pct"/>
                  <w:tcBorders>
                    <w:tl2br w:val="nil"/>
                    <w:tr2bl w:val="nil"/>
                  </w:tcBorders>
                  <w:noWrap w:val="0"/>
                  <w:vAlign w:val="center"/>
                </w:tcPr>
                <w:p w14:paraId="3A1596B0">
                  <w:pPr>
                    <w:pStyle w:val="107"/>
                    <w:keepNext w:val="0"/>
                    <w:keepLines w:val="0"/>
                    <w:pageBreakBefore w:val="0"/>
                    <w:kinsoku/>
                    <w:wordWrap/>
                    <w:overflowPunct/>
                    <w:topLinePunct w:val="0"/>
                    <w:autoSpaceDE/>
                    <w:autoSpaceDN/>
                    <w:bidi w:val="0"/>
                    <w:adjustRightInd/>
                    <w:snapToGrid/>
                    <w:spacing w:line="300" w:lineRule="atLeast"/>
                    <w:jc w:val="cente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4EA2AB6A">
                  <w:pPr>
                    <w:pStyle w:val="107"/>
                    <w:keepNext w:val="0"/>
                    <w:keepLines w:val="0"/>
                    <w:pageBreakBefore w:val="0"/>
                    <w:kinsoku/>
                    <w:wordWrap/>
                    <w:overflowPunct/>
                    <w:topLinePunct w:val="0"/>
                    <w:autoSpaceDE/>
                    <w:autoSpaceDN/>
                    <w:bidi w:val="0"/>
                    <w:adjustRightInd/>
                    <w:snapToGrid/>
                    <w:spacing w:line="300" w:lineRule="atLeast"/>
                    <w:jc w:val="cente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28594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37DE0E59">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砷</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53ABC38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t>60</w:t>
                  </w:r>
                </w:p>
              </w:tc>
              <w:tc>
                <w:tcPr>
                  <w:tcW w:w="613" w:type="pct"/>
                  <w:tcBorders>
                    <w:tl2br w:val="nil"/>
                    <w:tr2bl w:val="nil"/>
                  </w:tcBorders>
                  <w:noWrap w:val="0"/>
                  <w:vAlign w:val="center"/>
                </w:tcPr>
                <w:p w14:paraId="705C1FB0">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10.3</w:t>
                  </w:r>
                </w:p>
              </w:tc>
              <w:tc>
                <w:tcPr>
                  <w:tcW w:w="606" w:type="pct"/>
                  <w:tcBorders>
                    <w:tl2br w:val="nil"/>
                    <w:tr2bl w:val="nil"/>
                  </w:tcBorders>
                  <w:noWrap w:val="0"/>
                  <w:vAlign w:val="center"/>
                </w:tcPr>
                <w:p w14:paraId="0194E1D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w:t>
                  </w:r>
                  <w:r>
                    <w:rPr>
                      <w:rFonts w:hint="eastAsia" w:cs="Times New Roman"/>
                      <w:color w:val="000000" w:themeColor="text1"/>
                      <w:spacing w:val="-11"/>
                      <w:sz w:val="21"/>
                      <w:szCs w:val="21"/>
                      <w:u w:val="none"/>
                      <w:lang w:val="en-US" w:eastAsia="zh-CN"/>
                      <w14:textFill>
                        <w14:solidFill>
                          <w14:schemeClr w14:val="tx1"/>
                        </w14:solidFill>
                      </w14:textFill>
                    </w:rPr>
                    <w:t>17</w:t>
                  </w:r>
                </w:p>
              </w:tc>
              <w:tc>
                <w:tcPr>
                  <w:tcW w:w="606" w:type="pct"/>
                  <w:tcBorders>
                    <w:tl2br w:val="nil"/>
                    <w:tr2bl w:val="nil"/>
                  </w:tcBorders>
                  <w:noWrap w:val="0"/>
                  <w:vAlign w:val="center"/>
                </w:tcPr>
                <w:p w14:paraId="61AAC94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4360018E">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1EA26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38EFC44A">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镉</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0979A376">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65</w:t>
                  </w:r>
                </w:p>
              </w:tc>
              <w:tc>
                <w:tcPr>
                  <w:tcW w:w="613" w:type="pct"/>
                  <w:tcBorders>
                    <w:tl2br w:val="nil"/>
                    <w:tr2bl w:val="nil"/>
                  </w:tcBorders>
                  <w:noWrap w:val="0"/>
                  <w:vAlign w:val="center"/>
                </w:tcPr>
                <w:p w14:paraId="6E2F8F27">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0.132</w:t>
                  </w:r>
                </w:p>
              </w:tc>
              <w:tc>
                <w:tcPr>
                  <w:tcW w:w="606" w:type="pct"/>
                  <w:tcBorders>
                    <w:tl2br w:val="nil"/>
                    <w:tr2bl w:val="nil"/>
                  </w:tcBorders>
                  <w:noWrap w:val="0"/>
                  <w:vAlign w:val="center"/>
                </w:tcPr>
                <w:p w14:paraId="0925413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0.002</w:t>
                  </w:r>
                </w:p>
              </w:tc>
              <w:tc>
                <w:tcPr>
                  <w:tcW w:w="606" w:type="pct"/>
                  <w:tcBorders>
                    <w:tl2br w:val="nil"/>
                    <w:tr2bl w:val="nil"/>
                  </w:tcBorders>
                  <w:noWrap w:val="0"/>
                  <w:vAlign w:val="center"/>
                </w:tcPr>
                <w:p w14:paraId="721D38F0">
                  <w:pPr>
                    <w:pStyle w:val="107"/>
                    <w:keepNext w:val="0"/>
                    <w:keepLines w:val="0"/>
                    <w:pageBreakBefore w:val="0"/>
                    <w:kinsoku/>
                    <w:wordWrap/>
                    <w:overflowPunct/>
                    <w:topLinePunct w:val="0"/>
                    <w:autoSpaceDE/>
                    <w:autoSpaceDN/>
                    <w:bidi w:val="0"/>
                    <w:adjustRightInd/>
                    <w:snapToGrid/>
                    <w:spacing w:line="300" w:lineRule="atLeast"/>
                    <w:jc w:val="cente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3BA54ED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6E097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29CC1CA">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六价铬</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4F6FCF1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5.7</w:t>
                  </w:r>
                </w:p>
              </w:tc>
              <w:tc>
                <w:tcPr>
                  <w:tcW w:w="613" w:type="pct"/>
                  <w:tcBorders>
                    <w:tl2br w:val="nil"/>
                    <w:tr2bl w:val="nil"/>
                  </w:tcBorders>
                  <w:noWrap w:val="0"/>
                  <w:vAlign w:val="center"/>
                </w:tcPr>
                <w:p w14:paraId="78E101DF">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0.5L</w:t>
                  </w:r>
                </w:p>
              </w:tc>
              <w:tc>
                <w:tcPr>
                  <w:tcW w:w="606" w:type="pct"/>
                  <w:tcBorders>
                    <w:tl2br w:val="nil"/>
                    <w:tr2bl w:val="nil"/>
                  </w:tcBorders>
                  <w:noWrap w:val="0"/>
                  <w:vAlign w:val="center"/>
                </w:tcPr>
                <w:p w14:paraId="4E2C33E9">
                  <w:pPr>
                    <w:pStyle w:val="107"/>
                    <w:keepNext w:val="0"/>
                    <w:keepLines w:val="0"/>
                    <w:pageBreakBefore w:val="0"/>
                    <w:kinsoku/>
                    <w:wordWrap/>
                    <w:overflowPunct/>
                    <w:topLinePunct w:val="0"/>
                    <w:autoSpaceDE/>
                    <w:autoSpaceDN/>
                    <w:bidi w:val="0"/>
                    <w:adjustRightInd/>
                    <w:snapToGrid/>
                    <w:spacing w:line="300" w:lineRule="atLeast"/>
                    <w:jc w:val="cente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2FED6D42">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133A148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6248F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23DFD0D9">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铜</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34DF9764">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18000</w:t>
                  </w:r>
                </w:p>
              </w:tc>
              <w:tc>
                <w:tcPr>
                  <w:tcW w:w="613" w:type="pct"/>
                  <w:tcBorders>
                    <w:tl2br w:val="nil"/>
                    <w:tr2bl w:val="nil"/>
                  </w:tcBorders>
                  <w:shd w:val="clear" w:color="auto" w:fill="auto"/>
                  <w:noWrap w:val="0"/>
                  <w:vAlign w:val="center"/>
                </w:tcPr>
                <w:p w14:paraId="5A2FE5B9">
                  <w:pPr>
                    <w:keepNext w:val="0"/>
                    <w:keepLines w:val="0"/>
                    <w:pageBreakBefore w:val="0"/>
                    <w:widowControl/>
                    <w:suppressLineNumbers w:val="0"/>
                    <w:kinsoku/>
                    <w:wordWrap/>
                    <w:overflowPunct/>
                    <w:topLinePunct w:val="0"/>
                    <w:autoSpaceDE/>
                    <w:autoSpaceDN/>
                    <w:bidi w:val="0"/>
                    <w:adjustRightInd/>
                    <w:snapToGrid w:val="0"/>
                    <w:spacing w:line="16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34</w:t>
                  </w:r>
                </w:p>
              </w:tc>
              <w:tc>
                <w:tcPr>
                  <w:tcW w:w="606" w:type="pct"/>
                  <w:tcBorders>
                    <w:tl2br w:val="nil"/>
                    <w:tr2bl w:val="nil"/>
                  </w:tcBorders>
                  <w:noWrap w:val="0"/>
                  <w:vAlign w:val="center"/>
                </w:tcPr>
                <w:p w14:paraId="308422E2">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0.001</w:t>
                  </w:r>
                  <w:r>
                    <w:rPr>
                      <w:rFonts w:hint="eastAsia" w:cs="Times New Roman"/>
                      <w:color w:val="000000" w:themeColor="text1"/>
                      <w:spacing w:val="-11"/>
                      <w:sz w:val="21"/>
                      <w:szCs w:val="21"/>
                      <w:u w:val="none"/>
                      <w:lang w:val="en-US" w:eastAsia="zh-CN"/>
                      <w14:textFill>
                        <w14:solidFill>
                          <w14:schemeClr w14:val="tx1"/>
                        </w14:solidFill>
                      </w14:textFill>
                    </w:rPr>
                    <w:t>9</w:t>
                  </w:r>
                </w:p>
              </w:tc>
              <w:tc>
                <w:tcPr>
                  <w:tcW w:w="606" w:type="pct"/>
                  <w:tcBorders>
                    <w:tl2br w:val="nil"/>
                    <w:tr2bl w:val="nil"/>
                  </w:tcBorders>
                  <w:noWrap w:val="0"/>
                  <w:vAlign w:val="center"/>
                </w:tcPr>
                <w:p w14:paraId="2B69F21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26C2C4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2456F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77B1A585">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铅</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4169EBD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800</w:t>
                  </w:r>
                </w:p>
              </w:tc>
              <w:tc>
                <w:tcPr>
                  <w:tcW w:w="613" w:type="pct"/>
                  <w:tcBorders>
                    <w:tl2br w:val="nil"/>
                    <w:tr2bl w:val="nil"/>
                  </w:tcBorders>
                  <w:shd w:val="clear" w:color="auto" w:fill="auto"/>
                  <w:noWrap w:val="0"/>
                  <w:vAlign w:val="center"/>
                </w:tcPr>
                <w:p w14:paraId="3575BDA3">
                  <w:pPr>
                    <w:keepNext w:val="0"/>
                    <w:keepLines w:val="0"/>
                    <w:pageBreakBefore w:val="0"/>
                    <w:widowControl/>
                    <w:suppressLineNumbers w:val="0"/>
                    <w:kinsoku/>
                    <w:wordWrap/>
                    <w:overflowPunct/>
                    <w:topLinePunct w:val="0"/>
                    <w:autoSpaceDE/>
                    <w:autoSpaceDN/>
                    <w:bidi w:val="0"/>
                    <w:adjustRightInd/>
                    <w:snapToGrid w:val="0"/>
                    <w:spacing w:line="16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35</w:t>
                  </w:r>
                </w:p>
              </w:tc>
              <w:tc>
                <w:tcPr>
                  <w:tcW w:w="606" w:type="pct"/>
                  <w:tcBorders>
                    <w:tl2br w:val="nil"/>
                    <w:tr2bl w:val="nil"/>
                  </w:tcBorders>
                  <w:noWrap w:val="0"/>
                  <w:vAlign w:val="center"/>
                </w:tcPr>
                <w:p w14:paraId="02AB049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0.04</w:t>
                  </w:r>
                  <w:r>
                    <w:rPr>
                      <w:rFonts w:hint="eastAsia" w:cs="Times New Roman"/>
                      <w:color w:val="000000" w:themeColor="text1"/>
                      <w:spacing w:val="-11"/>
                      <w:sz w:val="21"/>
                      <w:szCs w:val="21"/>
                      <w:u w:val="none"/>
                      <w:lang w:val="en-US" w:eastAsia="zh-CN"/>
                      <w14:textFill>
                        <w14:solidFill>
                          <w14:schemeClr w14:val="tx1"/>
                        </w14:solidFill>
                      </w14:textFill>
                    </w:rPr>
                    <w:t>4</w:t>
                  </w:r>
                </w:p>
              </w:tc>
              <w:tc>
                <w:tcPr>
                  <w:tcW w:w="606" w:type="pct"/>
                  <w:tcBorders>
                    <w:tl2br w:val="nil"/>
                    <w:tr2bl w:val="nil"/>
                  </w:tcBorders>
                  <w:noWrap w:val="0"/>
                  <w:vAlign w:val="center"/>
                </w:tcPr>
                <w:p w14:paraId="1B590BF1">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5C40A966">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57F9E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BAF0610">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汞</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795D69C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38</w:t>
                  </w:r>
                </w:p>
              </w:tc>
              <w:tc>
                <w:tcPr>
                  <w:tcW w:w="613" w:type="pct"/>
                  <w:tcBorders>
                    <w:tl2br w:val="nil"/>
                    <w:tr2bl w:val="nil"/>
                  </w:tcBorders>
                  <w:shd w:val="clear" w:color="auto" w:fill="auto"/>
                  <w:noWrap w:val="0"/>
                  <w:vAlign w:val="center"/>
                </w:tcPr>
                <w:p w14:paraId="6DBE705D">
                  <w:pPr>
                    <w:keepNext w:val="0"/>
                    <w:keepLines w:val="0"/>
                    <w:pageBreakBefore w:val="0"/>
                    <w:widowControl/>
                    <w:suppressLineNumbers w:val="0"/>
                    <w:kinsoku/>
                    <w:wordWrap/>
                    <w:overflowPunct/>
                    <w:topLinePunct w:val="0"/>
                    <w:autoSpaceDE/>
                    <w:autoSpaceDN/>
                    <w:bidi w:val="0"/>
                    <w:adjustRightInd/>
                    <w:snapToGrid w:val="0"/>
                    <w:spacing w:line="16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0.034</w:t>
                  </w:r>
                </w:p>
              </w:tc>
              <w:tc>
                <w:tcPr>
                  <w:tcW w:w="606" w:type="pct"/>
                  <w:tcBorders>
                    <w:tl2br w:val="nil"/>
                    <w:tr2bl w:val="nil"/>
                  </w:tcBorders>
                  <w:noWrap w:val="0"/>
                  <w:vAlign w:val="center"/>
                </w:tcPr>
                <w:p w14:paraId="50A21B92">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0.00</w:t>
                  </w:r>
                  <w:r>
                    <w:rPr>
                      <w:rFonts w:hint="eastAsia" w:cs="Times New Roman"/>
                      <w:color w:val="000000" w:themeColor="text1"/>
                      <w:spacing w:val="-11"/>
                      <w:sz w:val="21"/>
                      <w:szCs w:val="21"/>
                      <w:u w:val="none"/>
                      <w:lang w:val="en-US" w:eastAsia="zh-CN"/>
                      <w14:textFill>
                        <w14:solidFill>
                          <w14:schemeClr w14:val="tx1"/>
                        </w14:solidFill>
                      </w14:textFill>
                    </w:rPr>
                    <w:t>09</w:t>
                  </w:r>
                </w:p>
              </w:tc>
              <w:tc>
                <w:tcPr>
                  <w:tcW w:w="606" w:type="pct"/>
                  <w:tcBorders>
                    <w:tl2br w:val="nil"/>
                    <w:tr2bl w:val="nil"/>
                  </w:tcBorders>
                  <w:noWrap w:val="0"/>
                  <w:vAlign w:val="center"/>
                </w:tcPr>
                <w:p w14:paraId="576CE571">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BA61C3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4A877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22A8B776">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镍</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4267600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900</w:t>
                  </w:r>
                </w:p>
              </w:tc>
              <w:tc>
                <w:tcPr>
                  <w:tcW w:w="613" w:type="pct"/>
                  <w:tcBorders>
                    <w:tl2br w:val="nil"/>
                    <w:tr2bl w:val="nil"/>
                  </w:tcBorders>
                  <w:shd w:val="clear" w:color="auto" w:fill="auto"/>
                  <w:noWrap w:val="0"/>
                  <w:vAlign w:val="center"/>
                </w:tcPr>
                <w:p w14:paraId="6CCE1E62">
                  <w:pPr>
                    <w:keepNext w:val="0"/>
                    <w:keepLines w:val="0"/>
                    <w:pageBreakBefore w:val="0"/>
                    <w:widowControl/>
                    <w:suppressLineNumbers w:val="0"/>
                    <w:kinsoku/>
                    <w:wordWrap/>
                    <w:overflowPunct/>
                    <w:topLinePunct w:val="0"/>
                    <w:autoSpaceDE/>
                    <w:autoSpaceDN/>
                    <w:bidi w:val="0"/>
                    <w:adjustRightInd/>
                    <w:snapToGrid w:val="0"/>
                    <w:spacing w:line="16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27</w:t>
                  </w:r>
                </w:p>
              </w:tc>
              <w:tc>
                <w:tcPr>
                  <w:tcW w:w="606" w:type="pct"/>
                  <w:tcBorders>
                    <w:tl2br w:val="nil"/>
                    <w:tr2bl w:val="nil"/>
                  </w:tcBorders>
                  <w:noWrap w:val="0"/>
                  <w:vAlign w:val="center"/>
                </w:tcPr>
                <w:p w14:paraId="127C0BE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0.0</w:t>
                  </w:r>
                  <w:r>
                    <w:rPr>
                      <w:rFonts w:hint="eastAsia" w:cs="Times New Roman"/>
                      <w:color w:val="000000" w:themeColor="text1"/>
                      <w:spacing w:val="-11"/>
                      <w:sz w:val="21"/>
                      <w:szCs w:val="21"/>
                      <w:u w:val="none"/>
                      <w:lang w:val="en-US" w:eastAsia="zh-CN"/>
                      <w14:textFill>
                        <w14:solidFill>
                          <w14:schemeClr w14:val="tx1"/>
                        </w14:solidFill>
                      </w14:textFill>
                    </w:rPr>
                    <w:t>3</w:t>
                  </w:r>
                </w:p>
              </w:tc>
              <w:tc>
                <w:tcPr>
                  <w:tcW w:w="606" w:type="pct"/>
                  <w:tcBorders>
                    <w:tl2br w:val="nil"/>
                    <w:tr2bl w:val="nil"/>
                  </w:tcBorders>
                  <w:noWrap w:val="0"/>
                  <w:vAlign w:val="center"/>
                </w:tcPr>
                <w:p w14:paraId="7F9EACFC">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25FF1244">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60575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19B0018">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四氯化碳</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26351D3C">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2800</w:t>
                  </w:r>
                </w:p>
              </w:tc>
              <w:tc>
                <w:tcPr>
                  <w:tcW w:w="613" w:type="pct"/>
                  <w:tcBorders>
                    <w:tl2br w:val="nil"/>
                    <w:tr2bl w:val="nil"/>
                  </w:tcBorders>
                  <w:noWrap w:val="0"/>
                  <w:vAlign w:val="center"/>
                </w:tcPr>
                <w:p w14:paraId="38AB9E9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1.3L</w:t>
                  </w:r>
                </w:p>
              </w:tc>
              <w:tc>
                <w:tcPr>
                  <w:tcW w:w="606" w:type="pct"/>
                  <w:tcBorders>
                    <w:tl2br w:val="nil"/>
                    <w:tr2bl w:val="nil"/>
                  </w:tcBorders>
                  <w:noWrap w:val="0"/>
                  <w:vAlign w:val="center"/>
                </w:tcPr>
                <w:p w14:paraId="0F9F760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559DE0D6">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6F22B5A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0913D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34E2220E">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氯仿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4C17CF5E">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w:t>
                  </w:r>
                </w:p>
              </w:tc>
              <w:tc>
                <w:tcPr>
                  <w:tcW w:w="613" w:type="pct"/>
                  <w:tcBorders>
                    <w:tl2br w:val="nil"/>
                    <w:tr2bl w:val="nil"/>
                  </w:tcBorders>
                  <w:noWrap w:val="0"/>
                  <w:vAlign w:val="center"/>
                </w:tcPr>
                <w:p w14:paraId="50592D2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1.1L</w:t>
                  </w:r>
                </w:p>
              </w:tc>
              <w:tc>
                <w:tcPr>
                  <w:tcW w:w="606" w:type="pct"/>
                  <w:tcBorders>
                    <w:tl2br w:val="nil"/>
                    <w:tr2bl w:val="nil"/>
                  </w:tcBorders>
                  <w:noWrap w:val="0"/>
                  <w:vAlign w:val="center"/>
                </w:tcPr>
                <w:p w14:paraId="3797410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2B65171">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4A0412A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772C3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3ABCCC52">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氯甲烷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15E0BD8C">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37000</w:t>
                  </w:r>
                </w:p>
              </w:tc>
              <w:tc>
                <w:tcPr>
                  <w:tcW w:w="613" w:type="pct"/>
                  <w:tcBorders>
                    <w:tl2br w:val="nil"/>
                    <w:tr2bl w:val="nil"/>
                  </w:tcBorders>
                  <w:noWrap w:val="0"/>
                  <w:vAlign w:val="center"/>
                </w:tcPr>
                <w:p w14:paraId="0ED8B17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1.0L</w:t>
                  </w:r>
                </w:p>
              </w:tc>
              <w:tc>
                <w:tcPr>
                  <w:tcW w:w="606" w:type="pct"/>
                  <w:tcBorders>
                    <w:tl2br w:val="nil"/>
                    <w:tr2bl w:val="nil"/>
                  </w:tcBorders>
                  <w:noWrap w:val="0"/>
                  <w:vAlign w:val="center"/>
                </w:tcPr>
                <w:p w14:paraId="2727E52D">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E673D7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0F419E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6D54E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22C70F9A">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1,1-二氯乙烷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1D646A00">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w:t>
                  </w:r>
                </w:p>
              </w:tc>
              <w:tc>
                <w:tcPr>
                  <w:tcW w:w="613" w:type="pct"/>
                  <w:tcBorders>
                    <w:tl2br w:val="nil"/>
                    <w:tr2bl w:val="nil"/>
                  </w:tcBorders>
                  <w:noWrap w:val="0"/>
                  <w:vAlign w:val="center"/>
                </w:tcPr>
                <w:p w14:paraId="47A64AB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4BC7FC42">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62093369">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7797FE7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1F426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5BC31F5A">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1,2-二氯乙烷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75FE573D">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5000</w:t>
                  </w:r>
                </w:p>
              </w:tc>
              <w:tc>
                <w:tcPr>
                  <w:tcW w:w="613" w:type="pct"/>
                  <w:tcBorders>
                    <w:tl2br w:val="nil"/>
                    <w:tr2bl w:val="nil"/>
                  </w:tcBorders>
                  <w:noWrap w:val="0"/>
                  <w:vAlign w:val="center"/>
                </w:tcPr>
                <w:p w14:paraId="15B3DF3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1.3L</w:t>
                  </w:r>
                </w:p>
              </w:tc>
              <w:tc>
                <w:tcPr>
                  <w:tcW w:w="606" w:type="pct"/>
                  <w:tcBorders>
                    <w:tl2br w:val="nil"/>
                    <w:tr2bl w:val="nil"/>
                  </w:tcBorders>
                  <w:noWrap w:val="0"/>
                  <w:vAlign w:val="center"/>
                </w:tcPr>
                <w:p w14:paraId="7BF708D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2FB8FCB2">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EC7307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4A28E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3F5EC703">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1,1二氯乙烯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75F57C84">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66000</w:t>
                  </w:r>
                </w:p>
              </w:tc>
              <w:tc>
                <w:tcPr>
                  <w:tcW w:w="613" w:type="pct"/>
                  <w:tcBorders>
                    <w:tl2br w:val="nil"/>
                    <w:tr2bl w:val="nil"/>
                  </w:tcBorders>
                  <w:noWrap w:val="0"/>
                  <w:vAlign w:val="center"/>
                </w:tcPr>
                <w:p w14:paraId="191AD98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1.0L</w:t>
                  </w:r>
                </w:p>
              </w:tc>
              <w:tc>
                <w:tcPr>
                  <w:tcW w:w="606" w:type="pct"/>
                  <w:tcBorders>
                    <w:tl2br w:val="nil"/>
                    <w:tr2bl w:val="nil"/>
                  </w:tcBorders>
                  <w:noWrap w:val="0"/>
                  <w:vAlign w:val="center"/>
                </w:tcPr>
                <w:p w14:paraId="301177F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592DB0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6D849B2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7B907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77912821">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顺-1,2-二氯乙烯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37DD4911">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596000</w:t>
                  </w:r>
                </w:p>
              </w:tc>
              <w:tc>
                <w:tcPr>
                  <w:tcW w:w="613" w:type="pct"/>
                  <w:tcBorders>
                    <w:tl2br w:val="nil"/>
                    <w:tr2bl w:val="nil"/>
                  </w:tcBorders>
                  <w:noWrap w:val="0"/>
                  <w:vAlign w:val="center"/>
                </w:tcPr>
                <w:p w14:paraId="336243C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1.3L</w:t>
                  </w:r>
                </w:p>
              </w:tc>
              <w:tc>
                <w:tcPr>
                  <w:tcW w:w="606" w:type="pct"/>
                  <w:tcBorders>
                    <w:tl2br w:val="nil"/>
                    <w:tr2bl w:val="nil"/>
                  </w:tcBorders>
                  <w:noWrap w:val="0"/>
                  <w:vAlign w:val="center"/>
                </w:tcPr>
                <w:p w14:paraId="556C787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3984D4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68D32E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38E4D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54717463">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反-1,2-二氯乙烯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23B30AE2">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54000</w:t>
                  </w:r>
                </w:p>
              </w:tc>
              <w:tc>
                <w:tcPr>
                  <w:tcW w:w="613" w:type="pct"/>
                  <w:tcBorders>
                    <w:tl2br w:val="nil"/>
                    <w:tr2bl w:val="nil"/>
                  </w:tcBorders>
                  <w:noWrap w:val="0"/>
                  <w:vAlign w:val="center"/>
                </w:tcPr>
                <w:p w14:paraId="1822741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1.4L</w:t>
                  </w:r>
                </w:p>
              </w:tc>
              <w:tc>
                <w:tcPr>
                  <w:tcW w:w="606" w:type="pct"/>
                  <w:tcBorders>
                    <w:tl2br w:val="nil"/>
                    <w:tr2bl w:val="nil"/>
                  </w:tcBorders>
                  <w:noWrap w:val="0"/>
                  <w:vAlign w:val="center"/>
                </w:tcPr>
                <w:p w14:paraId="2D985ADC">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19602E24">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3B0253A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2A879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0BABA335">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二氯甲烷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0F57B569">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616000</w:t>
                  </w:r>
                </w:p>
              </w:tc>
              <w:tc>
                <w:tcPr>
                  <w:tcW w:w="613" w:type="pct"/>
                  <w:tcBorders>
                    <w:tl2br w:val="nil"/>
                    <w:tr2bl w:val="nil"/>
                  </w:tcBorders>
                  <w:noWrap w:val="0"/>
                  <w:vAlign w:val="center"/>
                </w:tcPr>
                <w:p w14:paraId="176F5D05">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1.5L</w:t>
                  </w:r>
                </w:p>
              </w:tc>
              <w:tc>
                <w:tcPr>
                  <w:tcW w:w="606" w:type="pct"/>
                  <w:tcBorders>
                    <w:tl2br w:val="nil"/>
                    <w:tr2bl w:val="nil"/>
                  </w:tcBorders>
                  <w:noWrap w:val="0"/>
                  <w:vAlign w:val="center"/>
                </w:tcPr>
                <w:p w14:paraId="61F4D2C2">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DEF7E52">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7434E5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449C0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46E3A32">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1,2-二氯丙烷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114321DE">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5000</w:t>
                  </w:r>
                </w:p>
              </w:tc>
              <w:tc>
                <w:tcPr>
                  <w:tcW w:w="613" w:type="pct"/>
                  <w:tcBorders>
                    <w:tl2br w:val="nil"/>
                    <w:tr2bl w:val="nil"/>
                  </w:tcBorders>
                  <w:noWrap w:val="0"/>
                  <w:vAlign w:val="center"/>
                </w:tcPr>
                <w:p w14:paraId="58A8C24C">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1.1L</w:t>
                  </w:r>
                </w:p>
              </w:tc>
              <w:tc>
                <w:tcPr>
                  <w:tcW w:w="606" w:type="pct"/>
                  <w:tcBorders>
                    <w:tl2br w:val="nil"/>
                    <w:tr2bl w:val="nil"/>
                  </w:tcBorders>
                  <w:noWrap w:val="0"/>
                  <w:vAlign w:val="center"/>
                </w:tcPr>
                <w:p w14:paraId="210D093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54B202C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AE8868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5D704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7A6CDC1C">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1,1,1,2-四氯乙烷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6D649C81">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c>
                <w:tcPr>
                  <w:tcW w:w="613" w:type="pct"/>
                  <w:tcBorders>
                    <w:tl2br w:val="nil"/>
                    <w:tr2bl w:val="nil"/>
                  </w:tcBorders>
                  <w:noWrap w:val="0"/>
                  <w:vAlign w:val="center"/>
                </w:tcPr>
                <w:p w14:paraId="4143824D">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65E266F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048E4B6">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EDAF44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67036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56840CB2">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1,1,2,2-四氯乙烷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456E630E">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6800</w:t>
                  </w:r>
                </w:p>
              </w:tc>
              <w:tc>
                <w:tcPr>
                  <w:tcW w:w="613" w:type="pct"/>
                  <w:tcBorders>
                    <w:tl2br w:val="nil"/>
                    <w:tr2bl w:val="nil"/>
                  </w:tcBorders>
                  <w:noWrap w:val="0"/>
                  <w:vAlign w:val="center"/>
                </w:tcPr>
                <w:p w14:paraId="775BAE3D">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2D084742">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5DDD19F1">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04AB87C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76C69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6773475E">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四氯乙烯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67CB3866">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53000</w:t>
                  </w:r>
                </w:p>
              </w:tc>
              <w:tc>
                <w:tcPr>
                  <w:tcW w:w="613" w:type="pct"/>
                  <w:tcBorders>
                    <w:tl2br w:val="nil"/>
                    <w:tr2bl w:val="nil"/>
                  </w:tcBorders>
                  <w:noWrap w:val="0"/>
                  <w:vAlign w:val="center"/>
                </w:tcPr>
                <w:p w14:paraId="2D0AAB9A">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1.4L</w:t>
                  </w:r>
                </w:p>
              </w:tc>
              <w:tc>
                <w:tcPr>
                  <w:tcW w:w="606" w:type="pct"/>
                  <w:tcBorders>
                    <w:tl2br w:val="nil"/>
                    <w:tr2bl w:val="nil"/>
                  </w:tcBorders>
                  <w:noWrap w:val="0"/>
                  <w:vAlign w:val="center"/>
                </w:tcPr>
                <w:p w14:paraId="288B65E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484EEA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2EC99DFE">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51B40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04318D4">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1,1,1-三氯乙烷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1A4013BE">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840000</w:t>
                  </w:r>
                </w:p>
              </w:tc>
              <w:tc>
                <w:tcPr>
                  <w:tcW w:w="613" w:type="pct"/>
                  <w:tcBorders>
                    <w:tl2br w:val="nil"/>
                    <w:tr2bl w:val="nil"/>
                  </w:tcBorders>
                  <w:noWrap w:val="0"/>
                  <w:vAlign w:val="center"/>
                </w:tcPr>
                <w:p w14:paraId="73CEF87F">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1.3L</w:t>
                  </w:r>
                </w:p>
              </w:tc>
              <w:tc>
                <w:tcPr>
                  <w:tcW w:w="606" w:type="pct"/>
                  <w:tcBorders>
                    <w:tl2br w:val="nil"/>
                    <w:tr2bl w:val="nil"/>
                  </w:tcBorders>
                  <w:noWrap w:val="0"/>
                  <w:vAlign w:val="center"/>
                </w:tcPr>
                <w:p w14:paraId="0C40A19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D9A7D3B">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F0B3AC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28AE3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F93F6CD">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1,1,2-三氯乙烷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09013B84">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2800</w:t>
                  </w:r>
                </w:p>
              </w:tc>
              <w:tc>
                <w:tcPr>
                  <w:tcW w:w="613" w:type="pct"/>
                  <w:tcBorders>
                    <w:tl2br w:val="nil"/>
                    <w:tr2bl w:val="nil"/>
                  </w:tcBorders>
                  <w:noWrap w:val="0"/>
                  <w:vAlign w:val="center"/>
                </w:tcPr>
                <w:p w14:paraId="4C5AEE7B">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35B844B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568F6236">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5A3F8F1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49E77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1FBD0451">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三氯乙烯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2794E39F">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2800</w:t>
                  </w:r>
                </w:p>
              </w:tc>
              <w:tc>
                <w:tcPr>
                  <w:tcW w:w="613" w:type="pct"/>
                  <w:tcBorders>
                    <w:tl2br w:val="nil"/>
                    <w:tr2bl w:val="nil"/>
                  </w:tcBorders>
                  <w:noWrap w:val="0"/>
                  <w:vAlign w:val="center"/>
                </w:tcPr>
                <w:p w14:paraId="61495797">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39C3B341">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37014398">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39FBF35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058EC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7C1E5639">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1,2,3-三氯丙烷</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76639E79">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613" w:type="pct"/>
                  <w:tcBorders>
                    <w:tl2br w:val="nil"/>
                    <w:tr2bl w:val="nil"/>
                  </w:tcBorders>
                  <w:noWrap w:val="0"/>
                  <w:vAlign w:val="center"/>
                </w:tcPr>
                <w:p w14:paraId="41D04F50">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36CF5F6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C38913D">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4389A8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1DF68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5D5B4398">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氯乙烯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2BE25A7A">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430</w:t>
                  </w:r>
                </w:p>
              </w:tc>
              <w:tc>
                <w:tcPr>
                  <w:tcW w:w="613" w:type="pct"/>
                  <w:tcBorders>
                    <w:tl2br w:val="nil"/>
                    <w:tr2bl w:val="nil"/>
                  </w:tcBorders>
                  <w:noWrap w:val="0"/>
                  <w:vAlign w:val="center"/>
                </w:tcPr>
                <w:p w14:paraId="4E0C5BCD">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1.0L</w:t>
                  </w:r>
                </w:p>
              </w:tc>
              <w:tc>
                <w:tcPr>
                  <w:tcW w:w="606" w:type="pct"/>
                  <w:tcBorders>
                    <w:tl2br w:val="nil"/>
                    <w:tr2bl w:val="nil"/>
                  </w:tcBorders>
                  <w:noWrap w:val="0"/>
                  <w:vAlign w:val="center"/>
                </w:tcPr>
                <w:p w14:paraId="5F055CAD">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622FBCA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63F494F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6E07F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575AA1FC">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5A092355">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4000</w:t>
                  </w:r>
                </w:p>
              </w:tc>
              <w:tc>
                <w:tcPr>
                  <w:tcW w:w="613" w:type="pct"/>
                  <w:tcBorders>
                    <w:tl2br w:val="nil"/>
                    <w:tr2bl w:val="nil"/>
                  </w:tcBorders>
                  <w:noWrap w:val="0"/>
                  <w:vAlign w:val="center"/>
                </w:tcPr>
                <w:p w14:paraId="41F1400D">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1.9L</w:t>
                  </w:r>
                </w:p>
              </w:tc>
              <w:tc>
                <w:tcPr>
                  <w:tcW w:w="606" w:type="pct"/>
                  <w:tcBorders>
                    <w:tl2br w:val="nil"/>
                    <w:tr2bl w:val="nil"/>
                  </w:tcBorders>
                  <w:noWrap w:val="0"/>
                  <w:vAlign w:val="center"/>
                </w:tcPr>
                <w:p w14:paraId="3FC0C88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FDD8382">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C7EB82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2F37D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3CC9607E">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5A62152C">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270000</w:t>
                  </w:r>
                </w:p>
              </w:tc>
              <w:tc>
                <w:tcPr>
                  <w:tcW w:w="613" w:type="pct"/>
                  <w:tcBorders>
                    <w:tl2br w:val="nil"/>
                    <w:tr2bl w:val="nil"/>
                  </w:tcBorders>
                  <w:noWrap w:val="0"/>
                  <w:vAlign w:val="center"/>
                </w:tcPr>
                <w:p w14:paraId="51943F33">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067E91D5">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7A8DE478">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0ABBE89E">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46958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61A8B9A1">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1,2-二氯苯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6C445445">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560000</w:t>
                  </w:r>
                </w:p>
              </w:tc>
              <w:tc>
                <w:tcPr>
                  <w:tcW w:w="613" w:type="pct"/>
                  <w:tcBorders>
                    <w:tl2br w:val="nil"/>
                    <w:tr2bl w:val="nil"/>
                  </w:tcBorders>
                  <w:noWrap w:val="0"/>
                  <w:vAlign w:val="center"/>
                </w:tcPr>
                <w:p w14:paraId="47CBF1A9">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1.5L</w:t>
                  </w:r>
                </w:p>
              </w:tc>
              <w:tc>
                <w:tcPr>
                  <w:tcW w:w="606" w:type="pct"/>
                  <w:tcBorders>
                    <w:tl2br w:val="nil"/>
                    <w:tr2bl w:val="nil"/>
                  </w:tcBorders>
                  <w:noWrap w:val="0"/>
                  <w:vAlign w:val="center"/>
                </w:tcPr>
                <w:p w14:paraId="34AF630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4997019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6DE4FB7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360D8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182297C">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1,4-二氯苯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20886DDE">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20000</w:t>
                  </w:r>
                </w:p>
              </w:tc>
              <w:tc>
                <w:tcPr>
                  <w:tcW w:w="613" w:type="pct"/>
                  <w:tcBorders>
                    <w:tl2br w:val="nil"/>
                    <w:tr2bl w:val="nil"/>
                  </w:tcBorders>
                  <w:noWrap w:val="0"/>
                  <w:vAlign w:val="center"/>
                </w:tcPr>
                <w:p w14:paraId="2CF0962C">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1.5L</w:t>
                  </w:r>
                </w:p>
              </w:tc>
              <w:tc>
                <w:tcPr>
                  <w:tcW w:w="606" w:type="pct"/>
                  <w:tcBorders>
                    <w:tl2br w:val="nil"/>
                    <w:tr2bl w:val="nil"/>
                  </w:tcBorders>
                  <w:noWrap w:val="0"/>
                  <w:vAlign w:val="center"/>
                </w:tcPr>
                <w:p w14:paraId="7C8E404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6E7ACA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4BAE511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7DC16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0A2C5EC1">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乙苯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1789651B">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28000</w:t>
                  </w:r>
                </w:p>
              </w:tc>
              <w:tc>
                <w:tcPr>
                  <w:tcW w:w="613" w:type="pct"/>
                  <w:tcBorders>
                    <w:tl2br w:val="nil"/>
                    <w:tr2bl w:val="nil"/>
                  </w:tcBorders>
                  <w:noWrap w:val="0"/>
                  <w:vAlign w:val="center"/>
                </w:tcPr>
                <w:p w14:paraId="41FA989E">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1203199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63EE51A">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29B71FD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5900F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01DD734D">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苯乙烯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50EC12B8">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1290000</w:t>
                  </w:r>
                </w:p>
              </w:tc>
              <w:tc>
                <w:tcPr>
                  <w:tcW w:w="613" w:type="pct"/>
                  <w:tcBorders>
                    <w:tl2br w:val="nil"/>
                    <w:tr2bl w:val="nil"/>
                  </w:tcBorders>
                  <w:noWrap w:val="0"/>
                  <w:vAlign w:val="center"/>
                </w:tcPr>
                <w:p w14:paraId="348BEFE9">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1.1L</w:t>
                  </w:r>
                </w:p>
              </w:tc>
              <w:tc>
                <w:tcPr>
                  <w:tcW w:w="606" w:type="pct"/>
                  <w:tcBorders>
                    <w:tl2br w:val="nil"/>
                    <w:tr2bl w:val="nil"/>
                  </w:tcBorders>
                  <w:noWrap w:val="0"/>
                  <w:vAlign w:val="center"/>
                </w:tcPr>
                <w:p w14:paraId="5DFBDEA8">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7F374A18">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5ED1E25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00064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D6FADA8">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甲苯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6F21E4BE">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1200000</w:t>
                  </w:r>
                </w:p>
              </w:tc>
              <w:tc>
                <w:tcPr>
                  <w:tcW w:w="613" w:type="pct"/>
                  <w:tcBorders>
                    <w:tl2br w:val="nil"/>
                    <w:tr2bl w:val="nil"/>
                  </w:tcBorders>
                  <w:noWrap w:val="0"/>
                  <w:vAlign w:val="center"/>
                </w:tcPr>
                <w:p w14:paraId="707089A6">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1.3L</w:t>
                  </w:r>
                </w:p>
              </w:tc>
              <w:tc>
                <w:tcPr>
                  <w:tcW w:w="606" w:type="pct"/>
                  <w:tcBorders>
                    <w:tl2br w:val="nil"/>
                    <w:tr2bl w:val="nil"/>
                  </w:tcBorders>
                  <w:noWrap w:val="0"/>
                  <w:vAlign w:val="center"/>
                </w:tcPr>
                <w:p w14:paraId="251B77E1">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2692F87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16D4B7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197D9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10126560">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对-二甲苯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0B3BDE59">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570000</w:t>
                  </w:r>
                </w:p>
              </w:tc>
              <w:tc>
                <w:tcPr>
                  <w:tcW w:w="613" w:type="pct"/>
                  <w:tcBorders>
                    <w:tl2br w:val="nil"/>
                    <w:tr2bl w:val="nil"/>
                  </w:tcBorders>
                  <w:noWrap w:val="0"/>
                  <w:vAlign w:val="center"/>
                </w:tcPr>
                <w:p w14:paraId="27B64A8D">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0249594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4AF76A0A">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F349D54">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53761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26681F13">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邻-二甲苯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（μg/kg）</w:t>
                  </w:r>
                </w:p>
              </w:tc>
              <w:tc>
                <w:tcPr>
                  <w:tcW w:w="947" w:type="pct"/>
                  <w:tcBorders>
                    <w:tl2br w:val="nil"/>
                    <w:tr2bl w:val="nil"/>
                  </w:tcBorders>
                  <w:noWrap w:val="0"/>
                  <w:vAlign w:val="center"/>
                </w:tcPr>
                <w:p w14:paraId="5F3CE798">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640000</w:t>
                  </w:r>
                </w:p>
              </w:tc>
              <w:tc>
                <w:tcPr>
                  <w:tcW w:w="613" w:type="pct"/>
                  <w:tcBorders>
                    <w:tl2br w:val="nil"/>
                    <w:tr2bl w:val="nil"/>
                  </w:tcBorders>
                  <w:noWrap w:val="0"/>
                  <w:vAlign w:val="center"/>
                </w:tcPr>
                <w:p w14:paraId="31023020">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1.2L</w:t>
                  </w:r>
                </w:p>
              </w:tc>
              <w:tc>
                <w:tcPr>
                  <w:tcW w:w="606" w:type="pct"/>
                  <w:tcBorders>
                    <w:tl2br w:val="nil"/>
                    <w:tr2bl w:val="nil"/>
                  </w:tcBorders>
                  <w:noWrap w:val="0"/>
                  <w:vAlign w:val="center"/>
                </w:tcPr>
                <w:p w14:paraId="4D3ABB96">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2DE1B20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58C92A01">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22ABE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60CBA6F7">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硝基苯</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0C92622E">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76</w:t>
                  </w:r>
                </w:p>
              </w:tc>
              <w:tc>
                <w:tcPr>
                  <w:tcW w:w="613" w:type="pct"/>
                  <w:tcBorders>
                    <w:tl2br w:val="nil"/>
                    <w:tr2bl w:val="nil"/>
                  </w:tcBorders>
                  <w:noWrap w:val="0"/>
                  <w:vAlign w:val="center"/>
                </w:tcPr>
                <w:p w14:paraId="08E4D7BB">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0.09L</w:t>
                  </w:r>
                </w:p>
              </w:tc>
              <w:tc>
                <w:tcPr>
                  <w:tcW w:w="606" w:type="pct"/>
                  <w:tcBorders>
                    <w:tl2br w:val="nil"/>
                    <w:tr2bl w:val="nil"/>
                  </w:tcBorders>
                  <w:noWrap w:val="0"/>
                  <w:vAlign w:val="center"/>
                </w:tcPr>
                <w:p w14:paraId="04329D3D">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5142BE79">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4F14FFD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353C0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4D662418">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苯胺</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1370C7A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260</w:t>
                  </w:r>
                </w:p>
              </w:tc>
              <w:tc>
                <w:tcPr>
                  <w:tcW w:w="613" w:type="pct"/>
                  <w:tcBorders>
                    <w:tl2br w:val="nil"/>
                    <w:tr2bl w:val="nil"/>
                  </w:tcBorders>
                  <w:noWrap w:val="0"/>
                  <w:vAlign w:val="center"/>
                </w:tcPr>
                <w:p w14:paraId="67E4C20F">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0.1L</w:t>
                  </w:r>
                </w:p>
              </w:tc>
              <w:tc>
                <w:tcPr>
                  <w:tcW w:w="606" w:type="pct"/>
                  <w:tcBorders>
                    <w:tl2br w:val="nil"/>
                    <w:tr2bl w:val="nil"/>
                  </w:tcBorders>
                  <w:noWrap w:val="0"/>
                  <w:vAlign w:val="center"/>
                </w:tcPr>
                <w:p w14:paraId="7D62CB1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F9254B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34CF8A6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0D73B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62EC1309">
                  <w:pPr>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2-氯酚</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15170E6E">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2256</w:t>
                  </w:r>
                </w:p>
              </w:tc>
              <w:tc>
                <w:tcPr>
                  <w:tcW w:w="613" w:type="pct"/>
                  <w:tcBorders>
                    <w:tl2br w:val="nil"/>
                    <w:tr2bl w:val="nil"/>
                  </w:tcBorders>
                  <w:noWrap w:val="0"/>
                  <w:vAlign w:val="center"/>
                </w:tcPr>
                <w:p w14:paraId="40424B38">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0.06L</w:t>
                  </w:r>
                </w:p>
              </w:tc>
              <w:tc>
                <w:tcPr>
                  <w:tcW w:w="606" w:type="pct"/>
                  <w:tcBorders>
                    <w:tl2br w:val="nil"/>
                    <w:tr2bl w:val="nil"/>
                  </w:tcBorders>
                  <w:noWrap w:val="0"/>
                  <w:vAlign w:val="center"/>
                </w:tcPr>
                <w:p w14:paraId="4D861065">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5B2B8B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54F6AA3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0FCD3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33068282">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苯并（a）蒽</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73F16FE6">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15</w:t>
                  </w:r>
                </w:p>
              </w:tc>
              <w:tc>
                <w:tcPr>
                  <w:tcW w:w="613" w:type="pct"/>
                  <w:tcBorders>
                    <w:tl2br w:val="nil"/>
                    <w:tr2bl w:val="nil"/>
                  </w:tcBorders>
                  <w:noWrap w:val="0"/>
                  <w:vAlign w:val="center"/>
                </w:tcPr>
                <w:p w14:paraId="23AD5F95">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0.1L</w:t>
                  </w:r>
                </w:p>
              </w:tc>
              <w:tc>
                <w:tcPr>
                  <w:tcW w:w="606" w:type="pct"/>
                  <w:tcBorders>
                    <w:tl2br w:val="nil"/>
                    <w:tr2bl w:val="nil"/>
                  </w:tcBorders>
                  <w:noWrap w:val="0"/>
                  <w:vAlign w:val="center"/>
                </w:tcPr>
                <w:p w14:paraId="56DAE84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623128B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AEF3C8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24948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1B9A4925">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苯并（a）芘</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2B159E6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1.5</w:t>
                  </w:r>
                </w:p>
              </w:tc>
              <w:tc>
                <w:tcPr>
                  <w:tcW w:w="613" w:type="pct"/>
                  <w:tcBorders>
                    <w:tl2br w:val="nil"/>
                    <w:tr2bl w:val="nil"/>
                  </w:tcBorders>
                  <w:noWrap w:val="0"/>
                  <w:vAlign w:val="center"/>
                </w:tcPr>
                <w:p w14:paraId="26D14E45">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0.1L</w:t>
                  </w:r>
                </w:p>
              </w:tc>
              <w:tc>
                <w:tcPr>
                  <w:tcW w:w="606" w:type="pct"/>
                  <w:tcBorders>
                    <w:tl2br w:val="nil"/>
                    <w:tr2bl w:val="nil"/>
                  </w:tcBorders>
                  <w:noWrap w:val="0"/>
                  <w:vAlign w:val="center"/>
                </w:tcPr>
                <w:p w14:paraId="55A9937B">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52071C1B">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11C9E1F9">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11E45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7C463201">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苯并（b）荧蒽</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72DCD0D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15</w:t>
                  </w:r>
                </w:p>
              </w:tc>
              <w:tc>
                <w:tcPr>
                  <w:tcW w:w="613" w:type="pct"/>
                  <w:tcBorders>
                    <w:tl2br w:val="nil"/>
                    <w:tr2bl w:val="nil"/>
                  </w:tcBorders>
                  <w:noWrap w:val="0"/>
                  <w:vAlign w:val="center"/>
                </w:tcPr>
                <w:p w14:paraId="24FC9B12">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0.2L</w:t>
                  </w:r>
                </w:p>
              </w:tc>
              <w:tc>
                <w:tcPr>
                  <w:tcW w:w="606" w:type="pct"/>
                  <w:tcBorders>
                    <w:tl2br w:val="nil"/>
                    <w:tr2bl w:val="nil"/>
                  </w:tcBorders>
                  <w:noWrap w:val="0"/>
                  <w:vAlign w:val="center"/>
                </w:tcPr>
                <w:p w14:paraId="1182691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842E3DD">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58C2784">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0472B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11C197D9">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苯并（k）荧蒽</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6E6578AA">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151</w:t>
                  </w:r>
                </w:p>
              </w:tc>
              <w:tc>
                <w:tcPr>
                  <w:tcW w:w="613" w:type="pct"/>
                  <w:tcBorders>
                    <w:tl2br w:val="nil"/>
                    <w:tr2bl w:val="nil"/>
                  </w:tcBorders>
                  <w:noWrap w:val="0"/>
                  <w:vAlign w:val="center"/>
                </w:tcPr>
                <w:p w14:paraId="332493C8">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0.1L</w:t>
                  </w:r>
                </w:p>
              </w:tc>
              <w:tc>
                <w:tcPr>
                  <w:tcW w:w="606" w:type="pct"/>
                  <w:tcBorders>
                    <w:tl2br w:val="nil"/>
                    <w:tr2bl w:val="nil"/>
                  </w:tcBorders>
                  <w:noWrap w:val="0"/>
                  <w:vAlign w:val="center"/>
                </w:tcPr>
                <w:p w14:paraId="34F49EBE">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6CDD05BA">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687995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085C8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130F8874">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䓛</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4CC8B4D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l293</w:t>
                  </w:r>
                </w:p>
              </w:tc>
              <w:tc>
                <w:tcPr>
                  <w:tcW w:w="613" w:type="pct"/>
                  <w:tcBorders>
                    <w:tl2br w:val="nil"/>
                    <w:tr2bl w:val="nil"/>
                  </w:tcBorders>
                  <w:noWrap w:val="0"/>
                  <w:vAlign w:val="center"/>
                </w:tcPr>
                <w:p w14:paraId="56126E7D">
                  <w:pPr>
                    <w:keepNext w:val="0"/>
                    <w:keepLines w:val="0"/>
                    <w:widowControl/>
                    <w:suppressLineNumbers w:val="0"/>
                    <w:jc w:val="center"/>
                    <w:textAlignment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0.1L</w:t>
                  </w:r>
                </w:p>
              </w:tc>
              <w:tc>
                <w:tcPr>
                  <w:tcW w:w="606" w:type="pct"/>
                  <w:tcBorders>
                    <w:tl2br w:val="nil"/>
                    <w:tr2bl w:val="nil"/>
                  </w:tcBorders>
                  <w:noWrap w:val="0"/>
                  <w:vAlign w:val="center"/>
                </w:tcPr>
                <w:p w14:paraId="20AB80C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78215212">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DCF847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1F602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648B6EFC">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二苯并（a,h）蒽</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2E4D601D">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1.5</w:t>
                  </w:r>
                </w:p>
              </w:tc>
              <w:tc>
                <w:tcPr>
                  <w:tcW w:w="613" w:type="pct"/>
                  <w:tcBorders>
                    <w:tl2br w:val="nil"/>
                    <w:tr2bl w:val="nil"/>
                  </w:tcBorders>
                  <w:noWrap w:val="0"/>
                  <w:vAlign w:val="center"/>
                </w:tcPr>
                <w:p w14:paraId="25D0253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0.1L</w:t>
                  </w:r>
                </w:p>
              </w:tc>
              <w:tc>
                <w:tcPr>
                  <w:tcW w:w="606" w:type="pct"/>
                  <w:tcBorders>
                    <w:tl2br w:val="nil"/>
                    <w:tr2bl w:val="nil"/>
                  </w:tcBorders>
                  <w:noWrap w:val="0"/>
                  <w:vAlign w:val="center"/>
                </w:tcPr>
                <w:p w14:paraId="5F5A95D0">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0CC80621">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3121E9A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5177E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01DDD3ED">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茚并（1,2,3-cd）芘</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36B61AF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15</w:t>
                  </w:r>
                </w:p>
              </w:tc>
              <w:tc>
                <w:tcPr>
                  <w:tcW w:w="613" w:type="pct"/>
                  <w:tcBorders>
                    <w:tl2br w:val="nil"/>
                    <w:tr2bl w:val="nil"/>
                  </w:tcBorders>
                  <w:noWrap w:val="0"/>
                  <w:vAlign w:val="center"/>
                </w:tcPr>
                <w:p w14:paraId="60FE4DE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0.1L</w:t>
                  </w:r>
                </w:p>
              </w:tc>
              <w:tc>
                <w:tcPr>
                  <w:tcW w:w="606" w:type="pct"/>
                  <w:tcBorders>
                    <w:tl2br w:val="nil"/>
                    <w:tr2bl w:val="nil"/>
                  </w:tcBorders>
                  <w:noWrap w:val="0"/>
                  <w:vAlign w:val="center"/>
                </w:tcPr>
                <w:p w14:paraId="1E5EABF0">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0DE48B88">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10837E5A">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6E00E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54A1103D">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萘</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361D343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1"/>
                      <w:sz w:val="21"/>
                      <w:szCs w:val="21"/>
                      <w:u w:val="none"/>
                      <w14:textFill>
                        <w14:solidFill>
                          <w14:schemeClr w14:val="tx1"/>
                        </w14:solidFill>
                      </w14:textFill>
                    </w:rPr>
                    <w:t>70</w:t>
                  </w:r>
                </w:p>
              </w:tc>
              <w:tc>
                <w:tcPr>
                  <w:tcW w:w="613" w:type="pct"/>
                  <w:tcBorders>
                    <w:tl2br w:val="nil"/>
                    <w:tr2bl w:val="nil"/>
                  </w:tcBorders>
                  <w:noWrap w:val="0"/>
                  <w:vAlign w:val="center"/>
                </w:tcPr>
                <w:p w14:paraId="6445FAA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0.09L</w:t>
                  </w:r>
                </w:p>
              </w:tc>
              <w:tc>
                <w:tcPr>
                  <w:tcW w:w="606" w:type="pct"/>
                  <w:tcBorders>
                    <w:tl2br w:val="nil"/>
                    <w:tr2bl w:val="nil"/>
                  </w:tcBorders>
                  <w:noWrap w:val="0"/>
                  <w:vAlign w:val="center"/>
                </w:tcPr>
                <w:p w14:paraId="483229D2">
                  <w:pPr>
                    <w:keepNext w:val="0"/>
                    <w:keepLines w:val="0"/>
                    <w:pageBreakBefore w:val="0"/>
                    <w:widowControl/>
                    <w:suppressLineNumbers w:val="0"/>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606" w:type="pct"/>
                  <w:tcBorders>
                    <w:tl2br w:val="nil"/>
                    <w:tr2bl w:val="nil"/>
                  </w:tcBorders>
                  <w:noWrap w:val="0"/>
                  <w:vAlign w:val="center"/>
                </w:tcPr>
                <w:p w14:paraId="5A6E5051">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4BE8C08F">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r w14:paraId="5ABAD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619" w:type="pct"/>
                  <w:tcBorders>
                    <w:tl2br w:val="nil"/>
                    <w:tr2bl w:val="nil"/>
                  </w:tcBorders>
                  <w:noWrap w:val="0"/>
                  <w:vAlign w:val="center"/>
                </w:tcPr>
                <w:p w14:paraId="77B57F5D">
                  <w:pPr>
                    <w:keepNext w:val="0"/>
                    <w:keepLines w:val="0"/>
                    <w:pageBreakBefore w:val="0"/>
                    <w:widowControl/>
                    <w:kinsoku/>
                    <w:wordWrap/>
                    <w:overflowPunct/>
                    <w:topLinePunct w:val="0"/>
                    <w:autoSpaceDE/>
                    <w:autoSpaceDN/>
                    <w:bidi w:val="0"/>
                    <w:adjustRightInd/>
                    <w:snapToGrid/>
                    <w:spacing w:line="30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石油烃</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mg/</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kg）</w:t>
                  </w:r>
                </w:p>
              </w:tc>
              <w:tc>
                <w:tcPr>
                  <w:tcW w:w="947" w:type="pct"/>
                  <w:tcBorders>
                    <w:tl2br w:val="nil"/>
                    <w:tr2bl w:val="nil"/>
                  </w:tcBorders>
                  <w:noWrap w:val="0"/>
                  <w:vAlign w:val="center"/>
                </w:tcPr>
                <w:p w14:paraId="17B5ECC7">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4500</w:t>
                  </w:r>
                </w:p>
              </w:tc>
              <w:tc>
                <w:tcPr>
                  <w:tcW w:w="613" w:type="pct"/>
                  <w:tcBorders>
                    <w:tl2br w:val="nil"/>
                    <w:tr2bl w:val="nil"/>
                  </w:tcBorders>
                  <w:noWrap w:val="0"/>
                  <w:vAlign w:val="center"/>
                </w:tcPr>
                <w:p w14:paraId="6FB45E4C">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t>68</w:t>
                  </w:r>
                </w:p>
              </w:tc>
              <w:tc>
                <w:tcPr>
                  <w:tcW w:w="606" w:type="pct"/>
                  <w:tcBorders>
                    <w:tl2br w:val="nil"/>
                    <w:tr2bl w:val="nil"/>
                  </w:tcBorders>
                  <w:noWrap w:val="0"/>
                  <w:vAlign w:val="center"/>
                </w:tcPr>
                <w:p w14:paraId="704F6DA1">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0.0</w:t>
                  </w:r>
                  <w:r>
                    <w:rPr>
                      <w:rFonts w:hint="eastAsia" w:cs="Times New Roman"/>
                      <w:color w:val="000000" w:themeColor="text1"/>
                      <w:spacing w:val="-11"/>
                      <w:sz w:val="21"/>
                      <w:szCs w:val="21"/>
                      <w:u w:val="none"/>
                      <w:lang w:val="en-US" w:eastAsia="zh-CN"/>
                      <w14:textFill>
                        <w14:solidFill>
                          <w14:schemeClr w14:val="tx1"/>
                        </w14:solidFill>
                      </w14:textFill>
                    </w:rPr>
                    <w:t>15</w:t>
                  </w:r>
                </w:p>
              </w:tc>
              <w:tc>
                <w:tcPr>
                  <w:tcW w:w="606" w:type="pct"/>
                  <w:tcBorders>
                    <w:tl2br w:val="nil"/>
                    <w:tr2bl w:val="nil"/>
                  </w:tcBorders>
                  <w:noWrap w:val="0"/>
                  <w:vAlign w:val="center"/>
                </w:tcPr>
                <w:p w14:paraId="2DD39723">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w:t>
                  </w:r>
                </w:p>
              </w:tc>
              <w:tc>
                <w:tcPr>
                  <w:tcW w:w="606" w:type="pct"/>
                  <w:tcBorders>
                    <w:tl2br w:val="nil"/>
                    <w:tr2bl w:val="nil"/>
                  </w:tcBorders>
                  <w:noWrap w:val="0"/>
                  <w:vAlign w:val="center"/>
                </w:tcPr>
                <w:p w14:paraId="38E2265E">
                  <w:pPr>
                    <w:pStyle w:val="107"/>
                    <w:keepNext w:val="0"/>
                    <w:keepLines w:val="0"/>
                    <w:pageBreakBefore w:val="0"/>
                    <w:kinsoku/>
                    <w:wordWrap/>
                    <w:overflowPunct/>
                    <w:topLinePunct w:val="0"/>
                    <w:autoSpaceDE/>
                    <w:autoSpaceDN/>
                    <w:bidi w:val="0"/>
                    <w:adjustRightInd/>
                    <w:snapToGrid/>
                    <w:spacing w:line="300" w:lineRule="atLeast"/>
                    <w:jc w:val="center"/>
                    <w:rPr>
                      <w:rFonts w:hint="default" w:ascii="Times New Roman" w:hAnsi="Times New Roman" w:eastAsia="宋体" w:cs="Times New Roman"/>
                      <w:color w:val="000000" w:themeColor="text1"/>
                      <w:spacing w:val="-1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1"/>
                      <w:sz w:val="21"/>
                      <w:szCs w:val="21"/>
                      <w:u w:val="none"/>
                      <w:lang w:val="en-US" w:eastAsia="zh-CN"/>
                      <w14:textFill>
                        <w14:solidFill>
                          <w14:schemeClr w14:val="tx1"/>
                        </w14:solidFill>
                      </w14:textFill>
                    </w:rPr>
                    <w:t>达标</w:t>
                  </w:r>
                </w:p>
              </w:tc>
            </w:tr>
          </w:tbl>
          <w:p w14:paraId="08DE3593">
            <w:pPr>
              <w:adjustRightInd w:val="0"/>
              <w:snapToGrid w:val="0"/>
              <w:spacing w:line="500" w:lineRule="exact"/>
              <w:ind w:firstLine="480" w:firstLineChars="200"/>
              <w:rPr>
                <w:color w:val="000000" w:themeColor="text1"/>
                <w14:textFill>
                  <w14:solidFill>
                    <w14:schemeClr w14:val="tx1"/>
                  </w14:solidFill>
                </w14:textFill>
              </w:rPr>
            </w:pPr>
            <w:r>
              <w:rPr>
                <w:rFonts w:hint="eastAsia" w:cs="宋体"/>
                <w:color w:val="000000" w:themeColor="text1"/>
                <w:sz w:val="24"/>
                <w14:textFill>
                  <w14:solidFill>
                    <w14:schemeClr w14:val="tx1"/>
                  </w14:solidFill>
                </w14:textFill>
              </w:rPr>
              <w:t>由上表可知，评价范围内各监测点位各监测因子均符合</w:t>
            </w:r>
            <w:r>
              <w:rPr>
                <w:color w:val="000000" w:themeColor="text1"/>
                <w:sz w:val="24"/>
                <w14:textFill>
                  <w14:solidFill>
                    <w14:schemeClr w14:val="tx1"/>
                  </w14:solidFill>
                </w14:textFill>
              </w:rPr>
              <w:t>GB36600-2018《土壤环境质量 建设用地土壤污染风险管控标准（试行）》</w:t>
            </w:r>
            <w:r>
              <w:rPr>
                <w:rFonts w:hint="eastAsia"/>
                <w:bCs/>
                <w:color w:val="000000" w:themeColor="text1"/>
                <w:sz w:val="24"/>
                <w14:textFill>
                  <w14:solidFill>
                    <w14:schemeClr w14:val="tx1"/>
                  </w14:solidFill>
                </w14:textFill>
              </w:rPr>
              <w:t>中第二类用地的筛选值标准</w:t>
            </w:r>
            <w:r>
              <w:rPr>
                <w:rFonts w:hint="eastAsia" w:cs="宋体"/>
                <w:color w:val="000000" w:themeColor="text1"/>
                <w:sz w:val="24"/>
                <w14:textFill>
                  <w14:solidFill>
                    <w14:schemeClr w14:val="tx1"/>
                  </w14:solidFill>
                </w14:textFill>
              </w:rPr>
              <w:t>。</w:t>
            </w:r>
          </w:p>
          <w:p w14:paraId="1C88F538">
            <w:pPr>
              <w:adjustRightInd w:val="0"/>
              <w:snapToGrid w:val="0"/>
              <w:spacing w:line="500" w:lineRule="exact"/>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4、</w:t>
            </w:r>
            <w:r>
              <w:rPr>
                <w:b/>
                <w:bCs/>
                <w:color w:val="000000" w:themeColor="text1"/>
                <w:sz w:val="24"/>
                <w14:textFill>
                  <w14:solidFill>
                    <w14:schemeClr w14:val="tx1"/>
                  </w14:solidFill>
                </w14:textFill>
              </w:rPr>
              <w:t>地下水环境质量</w:t>
            </w:r>
          </w:p>
          <w:p w14:paraId="4BEEC008">
            <w:pPr>
              <w:adjustRightInd w:val="0"/>
              <w:snapToGrid w:val="0"/>
              <w:spacing w:line="50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（1）监测点位</w:t>
            </w:r>
          </w:p>
          <w:p w14:paraId="0536A2EE">
            <w:pPr>
              <w:adjustRightInd w:val="0"/>
              <w:snapToGrid w:val="0"/>
              <w:spacing w:line="500" w:lineRule="exact"/>
              <w:ind w:left="8640" w:leftChars="200" w:hanging="8160" w:hangingChars="34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为了解区域地下水环境现状，在项目区</w:t>
            </w:r>
            <w:r>
              <w:rPr>
                <w:rFonts w:hint="eastAsia"/>
                <w:color w:val="000000" w:themeColor="text1"/>
                <w:sz w:val="24"/>
                <w:lang w:val="en-US" w:eastAsia="zh-CN"/>
                <w14:textFill>
                  <w14:solidFill>
                    <w14:schemeClr w14:val="tx1"/>
                  </w14:solidFill>
                </w14:textFill>
              </w:rPr>
              <w:t xml:space="preserve">内                                                                                                                                                                                                                                                                         </w:t>
            </w:r>
          </w:p>
          <w:p w14:paraId="76E5C784">
            <w:pPr>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表3-</w:t>
            </w:r>
            <w:r>
              <w:rPr>
                <w:rFonts w:hint="eastAsia"/>
                <w:b/>
                <w:bCs/>
                <w:color w:val="000000" w:themeColor="text1"/>
                <w:sz w:val="21"/>
                <w:szCs w:val="21"/>
                <w:lang w:val="en-US" w:eastAsia="zh-CN"/>
                <w14:textFill>
                  <w14:solidFill>
                    <w14:schemeClr w14:val="tx1"/>
                  </w14:solidFill>
                </w14:textFill>
              </w:rPr>
              <w:t xml:space="preserve">4  </w:t>
            </w:r>
            <w:r>
              <w:rPr>
                <w:rFonts w:hint="eastAsia"/>
                <w:b/>
                <w:bCs/>
                <w:color w:val="000000" w:themeColor="text1"/>
                <w:sz w:val="21"/>
                <w:szCs w:val="21"/>
                <w14:textFill>
                  <w14:solidFill>
                    <w14:schemeClr w14:val="tx1"/>
                  </w14:solidFill>
                </w14:textFill>
              </w:rPr>
              <w:t xml:space="preserve"> 地下水监测分布点</w:t>
            </w:r>
          </w:p>
          <w:tbl>
            <w:tblPr>
              <w:tblStyle w:val="25"/>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52"/>
              <w:gridCol w:w="3226"/>
              <w:gridCol w:w="2407"/>
              <w:gridCol w:w="1939"/>
            </w:tblGrid>
            <w:tr w14:paraId="0D7290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trPr>
              <w:tc>
                <w:tcPr>
                  <w:tcW w:w="610" w:type="pct"/>
                  <w:noWrap w:val="0"/>
                  <w:vAlign w:val="center"/>
                </w:tcPr>
                <w:p w14:paraId="33EC61A9">
                  <w:pPr>
                    <w:pStyle w:val="107"/>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编号</w:t>
                  </w:r>
                </w:p>
              </w:tc>
              <w:tc>
                <w:tcPr>
                  <w:tcW w:w="1870" w:type="pct"/>
                  <w:noWrap w:val="0"/>
                  <w:vAlign w:val="center"/>
                </w:tcPr>
                <w:p w14:paraId="730C3776">
                  <w:pPr>
                    <w:pStyle w:val="107"/>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监测点</w:t>
                  </w:r>
                </w:p>
              </w:tc>
              <w:tc>
                <w:tcPr>
                  <w:tcW w:w="1395" w:type="pct"/>
                  <w:noWrap w:val="0"/>
                  <w:vAlign w:val="center"/>
                </w:tcPr>
                <w:p w14:paraId="2E80E5DB">
                  <w:pPr>
                    <w:pStyle w:val="107"/>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监测项目</w:t>
                  </w:r>
                </w:p>
              </w:tc>
              <w:tc>
                <w:tcPr>
                  <w:tcW w:w="1123" w:type="pct"/>
                  <w:noWrap w:val="0"/>
                  <w:vAlign w:val="center"/>
                </w:tcPr>
                <w:p w14:paraId="4B088896">
                  <w:pPr>
                    <w:pStyle w:val="107"/>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位置关系</w:t>
                  </w:r>
                </w:p>
              </w:tc>
            </w:tr>
            <w:tr w14:paraId="54F0E4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610" w:type="pct"/>
                  <w:noWrap w:val="0"/>
                  <w:vAlign w:val="center"/>
                </w:tcPr>
                <w:p w14:paraId="72B4C79E">
                  <w:pPr>
                    <w:pStyle w:val="107"/>
                    <w:spacing w:line="30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1870" w:type="pct"/>
                  <w:noWrap w:val="0"/>
                  <w:vAlign w:val="center"/>
                </w:tcPr>
                <w:p w14:paraId="0043F3EC">
                  <w:pPr>
                    <w:pStyle w:val="107"/>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四平鑫龙报废汽车回收拆解</w:t>
                  </w:r>
                  <w:r>
                    <w:rPr>
                      <w:rFonts w:hint="eastAsia" w:ascii="宋体" w:hAnsi="宋体" w:eastAsia="宋体" w:cs="宋体"/>
                      <w:color w:val="000000" w:themeColor="text1"/>
                      <w:sz w:val="21"/>
                      <w:szCs w:val="21"/>
                      <w:highlight w:val="none"/>
                      <w:lang w:eastAsia="zh-CN"/>
                      <w14:textFill>
                        <w14:solidFill>
                          <w14:schemeClr w14:val="tx1"/>
                        </w14:solidFill>
                      </w14:textFill>
                    </w:rPr>
                    <w:t>有限公司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院内</w:t>
                  </w:r>
                </w:p>
              </w:tc>
              <w:tc>
                <w:tcPr>
                  <w:tcW w:w="1395" w:type="pct"/>
                  <w:noWrap w:val="0"/>
                  <w:vAlign w:val="center"/>
                </w:tcPr>
                <w:p w14:paraId="3E43A17F">
                  <w:pPr>
                    <w:pStyle w:val="107"/>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水质、井深</w:t>
                  </w:r>
                </w:p>
              </w:tc>
              <w:tc>
                <w:tcPr>
                  <w:tcW w:w="1123" w:type="pct"/>
                  <w:noWrap w:val="0"/>
                  <w:vAlign w:val="center"/>
                </w:tcPr>
                <w:p w14:paraId="0CA513AB">
                  <w:pPr>
                    <w:pStyle w:val="107"/>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项目所在地</w:t>
                  </w:r>
                </w:p>
              </w:tc>
            </w:tr>
          </w:tbl>
          <w:p w14:paraId="4AC1F546">
            <w:pPr>
              <w:adjustRightInd w:val="0"/>
              <w:snapToGrid w:val="0"/>
              <w:spacing w:line="500" w:lineRule="atLeast"/>
              <w:ind w:firstLine="480" w:firstLineChars="200"/>
              <w:jc w:val="left"/>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（2）监测频次</w:t>
            </w:r>
            <w:r>
              <w:rPr>
                <w:rFonts w:hint="eastAsia"/>
                <w:color w:val="000000" w:themeColor="text1"/>
                <w:sz w:val="24"/>
                <w:lang w:val="en-US" w:eastAsia="zh-CN"/>
                <w14:textFill>
                  <w14:solidFill>
                    <w14:schemeClr w14:val="tx1"/>
                  </w14:solidFill>
                </w14:textFill>
              </w:rPr>
              <w:t>及数据来源</w:t>
            </w:r>
          </w:p>
          <w:p w14:paraId="1E557392">
            <w:pPr>
              <w:adjustRightInd w:val="0"/>
              <w:snapToGrid w:val="0"/>
              <w:spacing w:line="500" w:lineRule="atLeast"/>
              <w:ind w:firstLine="480" w:firstLineChars="200"/>
              <w:jc w:val="left"/>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由</w:t>
            </w:r>
            <w:r>
              <w:rPr>
                <w:rFonts w:hint="eastAsia" w:ascii="Times New Roman" w:hAnsi="Times New Roman" w:eastAsia="宋体" w:cs="Times New Roman"/>
                <w:color w:val="000000" w:themeColor="text1"/>
                <w:sz w:val="24"/>
                <w14:textFill>
                  <w14:solidFill>
                    <w14:schemeClr w14:val="tx1"/>
                  </w14:solidFill>
                </w14:textFill>
              </w:rPr>
              <w:t>吉林省同正检测技术有限公司于202</w:t>
            </w:r>
            <w:r>
              <w:rPr>
                <w:rFonts w:hint="eastAsia" w:cs="Times New Roman"/>
                <w:color w:val="000000" w:themeColor="text1"/>
                <w:sz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25</w:t>
            </w:r>
            <w:r>
              <w:rPr>
                <w:rFonts w:hint="eastAsia" w:ascii="Times New Roman" w:hAnsi="Times New Roman" w:eastAsia="宋体" w:cs="Times New Roman"/>
                <w:color w:val="000000" w:themeColor="text1"/>
                <w:sz w:val="24"/>
                <w14:textFill>
                  <w14:solidFill>
                    <w14:schemeClr w14:val="tx1"/>
                  </w14:solidFill>
                </w14:textFill>
              </w:rPr>
              <w:t>日进行监测，监测1天，每天监测1次。</w:t>
            </w:r>
          </w:p>
          <w:p w14:paraId="5C527F27">
            <w:pPr>
              <w:spacing w:line="50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）监测因子</w:t>
            </w:r>
          </w:p>
          <w:p w14:paraId="0D72E112">
            <w:pPr>
              <w:spacing w:line="50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pH、氨氮、硝酸盐、亚硝酸盐、挥发性酚类、氰化物、总硬度、氟化物、溶解性总固体、耗氧量、</w:t>
            </w:r>
            <w:r>
              <w:rPr>
                <w:rFonts w:hint="eastAsia"/>
                <w:color w:val="000000" w:themeColor="text1"/>
                <w:sz w:val="24"/>
                <w:lang w:val="en-US" w:eastAsia="zh-CN"/>
                <w14:textFill>
                  <w14:solidFill>
                    <w14:schemeClr w14:val="tx1"/>
                  </w14:solidFill>
                </w14:textFill>
              </w:rPr>
              <w:t>硫酸盐、氯化物、汞、砷、硒、镉、铬（六价）、铅</w:t>
            </w:r>
            <w:r>
              <w:rPr>
                <w:rFonts w:hint="eastAsia"/>
                <w:color w:val="000000" w:themeColor="text1"/>
                <w:sz w:val="24"/>
                <w14:textFill>
                  <w14:solidFill>
                    <w14:schemeClr w14:val="tx1"/>
                  </w14:solidFill>
                </w14:textFill>
              </w:rPr>
              <w:t>。</w:t>
            </w:r>
          </w:p>
          <w:p w14:paraId="61AEE82E">
            <w:pPr>
              <w:adjustRightInd w:val="0"/>
              <w:snapToGrid w:val="0"/>
              <w:spacing w:line="500" w:lineRule="atLeast"/>
              <w:ind w:firstLine="480" w:firstLineChars="200"/>
              <w:jc w:val="left"/>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（4）评价标准及评价方法</w:t>
            </w:r>
          </w:p>
          <w:p w14:paraId="193DE4E8">
            <w:pPr>
              <w:adjustRightInd w:val="0"/>
              <w:snapToGrid w:val="0"/>
              <w:spacing w:line="500" w:lineRule="atLeast"/>
              <w:ind w:firstLine="480" w:firstLineChars="200"/>
              <w:jc w:val="left"/>
              <w:rPr>
                <w:rFonts w:hint="eastAsia"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评价标准按《地下水质量标准》（GB/T14848-2017）进行评价</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评价方法</w:t>
            </w:r>
            <w:r>
              <w:rPr>
                <w:rFonts w:hint="eastAsia" w:ascii="宋体" w:hAnsi="宋体" w:cs="宋体"/>
                <w:color w:val="000000" w:themeColor="text1"/>
                <w:sz w:val="24"/>
                <w14:textFill>
                  <w14:solidFill>
                    <w14:schemeClr w14:val="tx1"/>
                  </w14:solidFill>
                </w14:textFill>
              </w:rPr>
              <w:t>采用单组分评价法。</w:t>
            </w:r>
          </w:p>
          <w:p w14:paraId="4D039325">
            <w:pPr>
              <w:spacing w:line="50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（5）评价方法</w:t>
            </w:r>
          </w:p>
          <w:p w14:paraId="37D598A8">
            <w:pPr>
              <w:spacing w:line="50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依据HJ2.3-2018附录D一般性水质因子（随着浓度增加而水质变差的水质因子）的指数计算公式为：</w:t>
            </w:r>
            <w:r>
              <w:rPr>
                <w:rFonts w:hint="eastAsia" w:ascii="宋体" w:hAnsi="宋体" w:cs="宋体"/>
                <w:i/>
                <w:iCs/>
                <w:color w:val="000000" w:themeColor="text1"/>
                <w:sz w:val="24"/>
                <w14:textFill>
                  <w14:solidFill>
                    <w14:schemeClr w14:val="tx1"/>
                  </w14:solidFill>
                </w14:textFill>
              </w:rPr>
              <w:t>S</w:t>
            </w:r>
            <w:r>
              <w:rPr>
                <w:rFonts w:hint="eastAsia" w:ascii="宋体" w:hAnsi="宋体" w:cs="宋体"/>
                <w:i/>
                <w:iCs/>
                <w:color w:val="000000" w:themeColor="text1"/>
                <w:sz w:val="24"/>
                <w:vertAlign w:val="subscript"/>
                <w14:textFill>
                  <w14:solidFill>
                    <w14:schemeClr w14:val="tx1"/>
                  </w14:solidFill>
                </w14:textFill>
              </w:rPr>
              <w:t>i，j</w:t>
            </w:r>
            <w:r>
              <w:rPr>
                <w:rFonts w:hint="eastAsia" w:ascii="宋体" w:hAnsi="宋体" w:cs="宋体"/>
                <w:i/>
                <w:iCs/>
                <w:color w:val="000000" w:themeColor="text1"/>
                <w:sz w:val="24"/>
                <w14:textFill>
                  <w14:solidFill>
                    <w14:schemeClr w14:val="tx1"/>
                  </w14:solidFill>
                </w14:textFill>
              </w:rPr>
              <w:t>=C</w:t>
            </w:r>
            <w:r>
              <w:rPr>
                <w:rFonts w:hint="eastAsia" w:ascii="宋体" w:hAnsi="宋体" w:cs="宋体"/>
                <w:i/>
                <w:iCs/>
                <w:color w:val="000000" w:themeColor="text1"/>
                <w:sz w:val="24"/>
                <w:vertAlign w:val="subscript"/>
                <w14:textFill>
                  <w14:solidFill>
                    <w14:schemeClr w14:val="tx1"/>
                  </w14:solidFill>
                </w14:textFill>
              </w:rPr>
              <w:t>i，j</w:t>
            </w:r>
            <w:r>
              <w:rPr>
                <w:rFonts w:hint="eastAsia" w:ascii="宋体" w:hAnsi="宋体" w:cs="宋体"/>
                <w:i/>
                <w:iCs/>
                <w:color w:val="000000" w:themeColor="text1"/>
                <w:sz w:val="24"/>
                <w14:textFill>
                  <w14:solidFill>
                    <w14:schemeClr w14:val="tx1"/>
                  </w14:solidFill>
                </w14:textFill>
              </w:rPr>
              <w:t>/Csi</w:t>
            </w:r>
          </w:p>
          <w:p w14:paraId="29D0386F">
            <w:pPr>
              <w:spacing w:line="50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式中：</w:t>
            </w:r>
            <w:r>
              <w:rPr>
                <w:rFonts w:hint="eastAsia" w:ascii="宋体" w:hAnsi="宋体" w:cs="宋体"/>
                <w:i/>
                <w:iCs/>
                <w:color w:val="000000" w:themeColor="text1"/>
                <w:sz w:val="24"/>
                <w14:textFill>
                  <w14:solidFill>
                    <w14:schemeClr w14:val="tx1"/>
                  </w14:solidFill>
                </w14:textFill>
              </w:rPr>
              <w:t>S</w:t>
            </w:r>
            <w:r>
              <w:rPr>
                <w:rFonts w:hint="eastAsia" w:ascii="宋体" w:hAnsi="宋体" w:cs="宋体"/>
                <w:i/>
                <w:iCs/>
                <w:color w:val="000000" w:themeColor="text1"/>
                <w:sz w:val="24"/>
                <w:vertAlign w:val="subscript"/>
                <w14:textFill>
                  <w14:solidFill>
                    <w14:schemeClr w14:val="tx1"/>
                  </w14:solidFill>
                </w14:textFill>
              </w:rPr>
              <w:t>i，j</w:t>
            </w:r>
            <w:r>
              <w:rPr>
                <w:rFonts w:hint="eastAsia" w:ascii="宋体" w:hAnsi="宋体" w:cs="宋体"/>
                <w:color w:val="000000" w:themeColor="text1"/>
                <w:sz w:val="24"/>
                <w14:textFill>
                  <w14:solidFill>
                    <w14:schemeClr w14:val="tx1"/>
                  </w14:solidFill>
                </w14:textFill>
              </w:rPr>
              <w:t>——评价因子</w:t>
            </w:r>
            <w:r>
              <w:rPr>
                <w:rFonts w:hint="eastAsia" w:ascii="宋体" w:hAnsi="宋体" w:cs="宋体"/>
                <w:i/>
                <w:iCs/>
                <w:color w:val="000000" w:themeColor="text1"/>
                <w:sz w:val="24"/>
                <w14:textFill>
                  <w14:solidFill>
                    <w14:schemeClr w14:val="tx1"/>
                  </w14:solidFill>
                </w14:textFill>
              </w:rPr>
              <w:t>i</w:t>
            </w:r>
            <w:r>
              <w:rPr>
                <w:rFonts w:hint="eastAsia" w:ascii="宋体" w:hAnsi="宋体" w:cs="宋体"/>
                <w:color w:val="000000" w:themeColor="text1"/>
                <w:sz w:val="24"/>
                <w14:textFill>
                  <w14:solidFill>
                    <w14:schemeClr w14:val="tx1"/>
                  </w14:solidFill>
                </w14:textFill>
              </w:rPr>
              <w:t>的水质指数，大于1表面该水质因子超标；</w:t>
            </w:r>
          </w:p>
          <w:p w14:paraId="58E3570A">
            <w:pPr>
              <w:spacing w:line="50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i/>
                <w:iCs/>
                <w:color w:val="000000" w:themeColor="text1"/>
                <w:sz w:val="24"/>
                <w14:textFill>
                  <w14:solidFill>
                    <w14:schemeClr w14:val="tx1"/>
                  </w14:solidFill>
                </w14:textFill>
              </w:rPr>
              <w:t xml:space="preserve">  C</w:t>
            </w:r>
            <w:r>
              <w:rPr>
                <w:rFonts w:hint="eastAsia" w:ascii="宋体" w:hAnsi="宋体" w:cs="宋体"/>
                <w:i/>
                <w:iCs/>
                <w:color w:val="000000" w:themeColor="text1"/>
                <w:sz w:val="24"/>
                <w:vertAlign w:val="subscript"/>
                <w14:textFill>
                  <w14:solidFill>
                    <w14:schemeClr w14:val="tx1"/>
                  </w14:solidFill>
                </w14:textFill>
              </w:rPr>
              <w:t>i，j</w:t>
            </w:r>
            <w:r>
              <w:rPr>
                <w:rFonts w:hint="eastAsia" w:ascii="宋体" w:hAnsi="宋体" w:cs="宋体"/>
                <w:color w:val="000000" w:themeColor="text1"/>
                <w:sz w:val="24"/>
                <w14:textFill>
                  <w14:solidFill>
                    <w14:schemeClr w14:val="tx1"/>
                  </w14:solidFill>
                </w14:textFill>
              </w:rPr>
              <w:t>——评价因子</w:t>
            </w:r>
            <w:r>
              <w:rPr>
                <w:rFonts w:hint="eastAsia" w:ascii="宋体" w:hAnsi="宋体" w:cs="宋体"/>
                <w:i/>
                <w:iCs/>
                <w:color w:val="000000" w:themeColor="text1"/>
                <w:sz w:val="24"/>
                <w14:textFill>
                  <w14:solidFill>
                    <w14:schemeClr w14:val="tx1"/>
                  </w14:solidFill>
                </w14:textFill>
              </w:rPr>
              <w:t>i</w:t>
            </w:r>
            <w:r>
              <w:rPr>
                <w:rFonts w:hint="eastAsia" w:ascii="宋体" w:hAnsi="宋体" w:cs="宋体"/>
                <w:color w:val="000000" w:themeColor="text1"/>
                <w:sz w:val="24"/>
                <w14:textFill>
                  <w14:solidFill>
                    <w14:schemeClr w14:val="tx1"/>
                  </w14:solidFill>
                </w14:textFill>
              </w:rPr>
              <w:t>在</w:t>
            </w:r>
            <w:r>
              <w:rPr>
                <w:rFonts w:hint="eastAsia" w:ascii="宋体" w:hAnsi="宋体" w:cs="宋体"/>
                <w:i/>
                <w:iCs/>
                <w:color w:val="000000" w:themeColor="text1"/>
                <w:sz w:val="24"/>
                <w14:textFill>
                  <w14:solidFill>
                    <w14:schemeClr w14:val="tx1"/>
                  </w14:solidFill>
                </w14:textFill>
              </w:rPr>
              <w:t>j</w:t>
            </w:r>
            <w:r>
              <w:rPr>
                <w:rFonts w:hint="eastAsia" w:ascii="宋体" w:hAnsi="宋体" w:cs="宋体"/>
                <w:color w:val="000000" w:themeColor="text1"/>
                <w:sz w:val="24"/>
                <w14:textFill>
                  <w14:solidFill>
                    <w14:schemeClr w14:val="tx1"/>
                  </w14:solidFill>
                </w14:textFill>
              </w:rPr>
              <w:t>点的实测统计代表值，mg/L；</w:t>
            </w:r>
          </w:p>
          <w:p w14:paraId="76F47B3F">
            <w:pPr>
              <w:spacing w:line="50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i/>
                <w:iCs/>
                <w:color w:val="000000" w:themeColor="text1"/>
                <w:sz w:val="24"/>
                <w14:textFill>
                  <w14:solidFill>
                    <w14:schemeClr w14:val="tx1"/>
                  </w14:solidFill>
                </w14:textFill>
              </w:rPr>
              <w:t xml:space="preserve">  Csi</w:t>
            </w:r>
            <w:r>
              <w:rPr>
                <w:rFonts w:hint="eastAsia" w:ascii="宋体" w:hAnsi="宋体" w:cs="宋体"/>
                <w:color w:val="000000" w:themeColor="text1"/>
                <w:sz w:val="24"/>
                <w:vertAlign w:val="subscript"/>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评价因子</w:t>
            </w:r>
            <w:r>
              <w:rPr>
                <w:rFonts w:hint="eastAsia" w:ascii="宋体" w:hAnsi="宋体" w:cs="宋体"/>
                <w:i/>
                <w:iCs/>
                <w:color w:val="000000" w:themeColor="text1"/>
                <w:sz w:val="24"/>
                <w14:textFill>
                  <w14:solidFill>
                    <w14:schemeClr w14:val="tx1"/>
                  </w14:solidFill>
                </w14:textFill>
              </w:rPr>
              <w:t>i</w:t>
            </w:r>
            <w:r>
              <w:rPr>
                <w:rFonts w:hint="eastAsia" w:ascii="宋体" w:hAnsi="宋体" w:cs="宋体"/>
                <w:color w:val="000000" w:themeColor="text1"/>
                <w:sz w:val="24"/>
                <w14:textFill>
                  <w14:solidFill>
                    <w14:schemeClr w14:val="tx1"/>
                  </w14:solidFill>
                </w14:textFill>
              </w:rPr>
              <w:t>的水质评价标准限值，mg/L。</w:t>
            </w:r>
          </w:p>
          <w:p w14:paraId="7BC25194">
            <w:pPr>
              <w:adjustRightInd w:val="0"/>
              <w:snapToGrid w:val="0"/>
              <w:spacing w:line="500" w:lineRule="atLeas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（6）监测及评价结果</w:t>
            </w:r>
          </w:p>
          <w:p w14:paraId="7F25F866">
            <w:pPr>
              <w:adjustRightInd w:val="0"/>
              <w:snapToGrid w:val="0"/>
              <w:spacing w:line="500" w:lineRule="atLeast"/>
              <w:ind w:firstLine="480" w:firstLineChars="200"/>
              <w:jc w:val="left"/>
              <w:rPr>
                <w:rFonts w:hint="eastAsia"/>
                <w:b/>
                <w:bCs/>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监测及评价结果见表3-</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w:t>
            </w:r>
          </w:p>
          <w:p w14:paraId="31D9A085">
            <w:pPr>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表3-</w:t>
            </w:r>
            <w:r>
              <w:rPr>
                <w:rFonts w:hint="eastAsia"/>
                <w:b/>
                <w:bCs/>
                <w:color w:val="000000" w:themeColor="text1"/>
                <w:sz w:val="21"/>
                <w:szCs w:val="21"/>
                <w:lang w:val="en-US" w:eastAsia="zh-CN"/>
                <w14:textFill>
                  <w14:solidFill>
                    <w14:schemeClr w14:val="tx1"/>
                  </w14:solidFill>
                </w14:textFill>
              </w:rPr>
              <w:t xml:space="preserve">5  </w:t>
            </w:r>
            <w:r>
              <w:rPr>
                <w:rFonts w:hint="eastAsia"/>
                <w:b/>
                <w:bCs/>
                <w:color w:val="000000" w:themeColor="text1"/>
                <w:sz w:val="21"/>
                <w:szCs w:val="21"/>
                <w14:textFill>
                  <w14:solidFill>
                    <w14:schemeClr w14:val="tx1"/>
                  </w14:solidFill>
                </w14:textFill>
              </w:rPr>
              <w:t xml:space="preserve"> 地下水监测结果   单位：mg/L（pH无量纲）</w:t>
            </w:r>
          </w:p>
          <w:tbl>
            <w:tblPr>
              <w:tblStyle w:val="25"/>
              <w:tblW w:w="0" w:type="auto"/>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108" w:type="dxa"/>
                <w:bottom w:w="0" w:type="dxa"/>
                <w:right w:w="108" w:type="dxa"/>
              </w:tblCellMar>
            </w:tblPr>
            <w:tblGrid>
              <w:gridCol w:w="884"/>
              <w:gridCol w:w="2771"/>
              <w:gridCol w:w="1056"/>
              <w:gridCol w:w="1229"/>
              <w:gridCol w:w="946"/>
              <w:gridCol w:w="866"/>
              <w:gridCol w:w="884"/>
            </w:tblGrid>
            <w:tr w14:paraId="173F6E3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57" w:hRule="atLeast"/>
                <w:tblHeader/>
                <w:jc w:val="center"/>
              </w:trPr>
              <w:tc>
                <w:tcPr>
                  <w:tcW w:w="0" w:type="auto"/>
                  <w:gridSpan w:val="2"/>
                  <w:tcBorders>
                    <w:tl2br w:val="nil"/>
                    <w:tr2bl w:val="nil"/>
                  </w:tcBorders>
                  <w:noWrap w:val="0"/>
                  <w:vAlign w:val="center"/>
                </w:tcPr>
                <w:p w14:paraId="4631BA4D">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监测点位</w:t>
                  </w:r>
                </w:p>
              </w:tc>
              <w:tc>
                <w:tcPr>
                  <w:tcW w:w="0" w:type="auto"/>
                  <w:tcBorders>
                    <w:tl2br w:val="nil"/>
                    <w:tr2bl w:val="nil"/>
                  </w:tcBorders>
                  <w:noWrap w:val="0"/>
                  <w:vAlign w:val="center"/>
                </w:tcPr>
                <w:p w14:paraId="01F42675">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监测结果</w:t>
                  </w:r>
                </w:p>
              </w:tc>
              <w:tc>
                <w:tcPr>
                  <w:tcW w:w="0" w:type="auto"/>
                  <w:tcBorders>
                    <w:tl2br w:val="nil"/>
                    <w:tr2bl w:val="nil"/>
                  </w:tcBorders>
                  <w:noWrap w:val="0"/>
                  <w:vAlign w:val="center"/>
                </w:tcPr>
                <w:p w14:paraId="238DE875">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946" w:type="dxa"/>
                  <w:tcBorders>
                    <w:tl2br w:val="nil"/>
                    <w:tr2bl w:val="nil"/>
                  </w:tcBorders>
                  <w:noWrap w:val="0"/>
                  <w:vAlign w:val="center"/>
                </w:tcPr>
                <w:p w14:paraId="1D0CD23E">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标准指数</w:t>
                  </w:r>
                </w:p>
              </w:tc>
              <w:tc>
                <w:tcPr>
                  <w:tcW w:w="866" w:type="dxa"/>
                  <w:tcBorders>
                    <w:tl2br w:val="nil"/>
                    <w:tr2bl w:val="nil"/>
                  </w:tcBorders>
                  <w:noWrap w:val="0"/>
                  <w:vAlign w:val="center"/>
                </w:tcPr>
                <w:p w14:paraId="7C527FD6">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超标倍数</w:t>
                  </w:r>
                </w:p>
              </w:tc>
              <w:tc>
                <w:tcPr>
                  <w:tcW w:w="0" w:type="auto"/>
                  <w:tcBorders>
                    <w:tl2br w:val="nil"/>
                    <w:tr2bl w:val="nil"/>
                  </w:tcBorders>
                  <w:noWrap w:val="0"/>
                  <w:vAlign w:val="center"/>
                </w:tcPr>
                <w:p w14:paraId="53BDB7EF">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是否达标</w:t>
                  </w:r>
                </w:p>
              </w:tc>
            </w:tr>
            <w:tr w14:paraId="1B2D729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restart"/>
                  <w:tcBorders>
                    <w:tl2br w:val="nil"/>
                    <w:tr2bl w:val="nil"/>
                  </w:tcBorders>
                  <w:noWrap w:val="0"/>
                  <w:vAlign w:val="center"/>
                </w:tcPr>
                <w:p w14:paraId="1846B7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0" w:type="auto"/>
                  <w:tcBorders>
                    <w:tl2br w:val="nil"/>
                    <w:tr2bl w:val="nil"/>
                  </w:tcBorders>
                  <w:noWrap w:val="0"/>
                  <w:vAlign w:val="center"/>
                </w:tcPr>
                <w:p w14:paraId="50534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pH（无量纲）</w:t>
                  </w:r>
                </w:p>
              </w:tc>
              <w:tc>
                <w:tcPr>
                  <w:tcW w:w="0" w:type="auto"/>
                  <w:tcBorders>
                    <w:tl2br w:val="nil"/>
                    <w:tr2bl w:val="nil"/>
                  </w:tcBorders>
                  <w:noWrap w:val="0"/>
                  <w:vAlign w:val="center"/>
                </w:tcPr>
                <w:p w14:paraId="0E7740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r>
                    <w:rPr>
                      <w:rFonts w:hint="eastAsia" w:cs="Times New Roman"/>
                      <w:color w:val="auto"/>
                      <w:kern w:val="2"/>
                      <w:sz w:val="21"/>
                      <w:szCs w:val="21"/>
                      <w:highlight w:val="none"/>
                      <w:lang w:val="en-US" w:eastAsia="zh-CN" w:bidi="ar-SA"/>
                    </w:rPr>
                    <w:t>1</w:t>
                  </w:r>
                </w:p>
              </w:tc>
              <w:tc>
                <w:tcPr>
                  <w:tcW w:w="0" w:type="auto"/>
                  <w:tcBorders>
                    <w:tl2br w:val="nil"/>
                    <w:tr2bl w:val="nil"/>
                  </w:tcBorders>
                  <w:noWrap w:val="0"/>
                  <w:vAlign w:val="center"/>
                </w:tcPr>
                <w:p w14:paraId="362B0525">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6.5≤pH≤8.5</w:t>
                  </w:r>
                </w:p>
              </w:tc>
              <w:tc>
                <w:tcPr>
                  <w:tcW w:w="946" w:type="dxa"/>
                  <w:tcBorders>
                    <w:tl2br w:val="nil"/>
                    <w:tr2bl w:val="nil"/>
                  </w:tcBorders>
                  <w:noWrap w:val="0"/>
                  <w:vAlign w:val="center"/>
                </w:tcPr>
                <w:p w14:paraId="608FF6D6">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30</w:t>
                  </w:r>
                </w:p>
              </w:tc>
              <w:tc>
                <w:tcPr>
                  <w:tcW w:w="866" w:type="dxa"/>
                  <w:tcBorders>
                    <w:tl2br w:val="nil"/>
                    <w:tr2bl w:val="nil"/>
                  </w:tcBorders>
                  <w:noWrap w:val="0"/>
                  <w:vAlign w:val="center"/>
                </w:tcPr>
                <w:p w14:paraId="01E13906">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603A7E02">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696531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70ABD702">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0C71BF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Style w:val="120"/>
                      <w:rFonts w:hint="default" w:ascii="Times New Roman" w:hAnsi="Times New Roman" w:eastAsia="宋体" w:cs="Times New Roman"/>
                      <w:color w:val="auto"/>
                      <w:sz w:val="21"/>
                      <w:szCs w:val="21"/>
                      <w:highlight w:val="none"/>
                      <w:lang w:val="en-US" w:eastAsia="zh-CN" w:bidi="ar"/>
                    </w:rPr>
                    <w:t>总硬度</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509597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256</w:t>
                  </w:r>
                </w:p>
              </w:tc>
              <w:tc>
                <w:tcPr>
                  <w:tcW w:w="0" w:type="auto"/>
                  <w:tcBorders>
                    <w:tl2br w:val="nil"/>
                    <w:tr2bl w:val="nil"/>
                  </w:tcBorders>
                  <w:noWrap w:val="0"/>
                  <w:vAlign w:val="center"/>
                </w:tcPr>
                <w:p w14:paraId="5662EFE9">
                  <w:pPr>
                    <w:widowControl/>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≤450</w:t>
                  </w:r>
                </w:p>
              </w:tc>
              <w:tc>
                <w:tcPr>
                  <w:tcW w:w="946" w:type="dxa"/>
                  <w:tcBorders>
                    <w:tl2br w:val="nil"/>
                    <w:tr2bl w:val="nil"/>
                  </w:tcBorders>
                  <w:noWrap w:val="0"/>
                  <w:vAlign w:val="center"/>
                </w:tcPr>
                <w:p w14:paraId="0FA5DD6E">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57</w:t>
                  </w:r>
                </w:p>
              </w:tc>
              <w:tc>
                <w:tcPr>
                  <w:tcW w:w="866" w:type="dxa"/>
                  <w:tcBorders>
                    <w:tl2br w:val="nil"/>
                    <w:tr2bl w:val="nil"/>
                  </w:tcBorders>
                  <w:noWrap w:val="0"/>
                  <w:vAlign w:val="center"/>
                </w:tcPr>
                <w:p w14:paraId="1A08F55F">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72FC58D3">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EC3945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2C016F34">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4E3825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rPr>
                    <w:t>溶解性总固体</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201745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0" w:type="auto"/>
                  <w:tcBorders>
                    <w:tl2br w:val="nil"/>
                    <w:tr2bl w:val="nil"/>
                  </w:tcBorders>
                  <w:noWrap w:val="0"/>
                  <w:vAlign w:val="center"/>
                </w:tcPr>
                <w:p w14:paraId="3A8C1F6F">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1000</w:t>
                  </w:r>
                </w:p>
              </w:tc>
              <w:tc>
                <w:tcPr>
                  <w:tcW w:w="946" w:type="dxa"/>
                  <w:tcBorders>
                    <w:tl2br w:val="nil"/>
                    <w:tr2bl w:val="nil"/>
                  </w:tcBorders>
                  <w:noWrap w:val="0"/>
                  <w:vAlign w:val="center"/>
                </w:tcPr>
                <w:p w14:paraId="54FB63A1">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39</w:t>
                  </w:r>
                </w:p>
              </w:tc>
              <w:tc>
                <w:tcPr>
                  <w:tcW w:w="866" w:type="dxa"/>
                  <w:tcBorders>
                    <w:tl2br w:val="nil"/>
                    <w:tr2bl w:val="nil"/>
                  </w:tcBorders>
                  <w:noWrap w:val="0"/>
                  <w:vAlign w:val="center"/>
                </w:tcPr>
                <w:p w14:paraId="3DB76E9C">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02B17CB4">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37D1AC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7F10E42E">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343EF08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硫酸盐</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0726BE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0" w:type="auto"/>
                  <w:tcBorders>
                    <w:tl2br w:val="nil"/>
                    <w:tr2bl w:val="nil"/>
                  </w:tcBorders>
                  <w:noWrap w:val="0"/>
                  <w:vAlign w:val="center"/>
                </w:tcPr>
                <w:p w14:paraId="04AA55D3">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250</w:t>
                  </w:r>
                </w:p>
              </w:tc>
              <w:tc>
                <w:tcPr>
                  <w:tcW w:w="946" w:type="dxa"/>
                  <w:tcBorders>
                    <w:tl2br w:val="nil"/>
                    <w:tr2bl w:val="nil"/>
                  </w:tcBorders>
                  <w:noWrap w:val="0"/>
                  <w:vAlign w:val="center"/>
                </w:tcPr>
                <w:p w14:paraId="52C243EC">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064</w:t>
                  </w:r>
                </w:p>
              </w:tc>
              <w:tc>
                <w:tcPr>
                  <w:tcW w:w="866" w:type="dxa"/>
                  <w:tcBorders>
                    <w:tl2br w:val="nil"/>
                    <w:tr2bl w:val="nil"/>
                  </w:tcBorders>
                  <w:noWrap w:val="0"/>
                  <w:vAlign w:val="center"/>
                </w:tcPr>
                <w:p w14:paraId="75DA3492">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6E143CE7">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476253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52" w:hRule="atLeast"/>
                <w:jc w:val="center"/>
              </w:trPr>
              <w:tc>
                <w:tcPr>
                  <w:tcW w:w="0" w:type="auto"/>
                  <w:vMerge w:val="continue"/>
                  <w:tcBorders>
                    <w:tl2br w:val="nil"/>
                    <w:tr2bl w:val="nil"/>
                  </w:tcBorders>
                  <w:noWrap w:val="0"/>
                  <w:vAlign w:val="center"/>
                </w:tcPr>
                <w:p w14:paraId="67B64D05">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5E4A42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氯化物</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7886A2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14.6</w:t>
                  </w:r>
                </w:p>
              </w:tc>
              <w:tc>
                <w:tcPr>
                  <w:tcW w:w="0" w:type="auto"/>
                  <w:tcBorders>
                    <w:tl2br w:val="nil"/>
                    <w:tr2bl w:val="nil"/>
                  </w:tcBorders>
                  <w:noWrap w:val="0"/>
                  <w:vAlign w:val="center"/>
                </w:tcPr>
                <w:p w14:paraId="49D05055">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250</w:t>
                  </w:r>
                </w:p>
              </w:tc>
              <w:tc>
                <w:tcPr>
                  <w:tcW w:w="946" w:type="dxa"/>
                  <w:tcBorders>
                    <w:tl2br w:val="nil"/>
                    <w:tr2bl w:val="nil"/>
                  </w:tcBorders>
                  <w:noWrap w:val="0"/>
                  <w:vAlign w:val="center"/>
                </w:tcPr>
                <w:p w14:paraId="4D32DEE7">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058</w:t>
                  </w:r>
                </w:p>
              </w:tc>
              <w:tc>
                <w:tcPr>
                  <w:tcW w:w="866" w:type="dxa"/>
                  <w:tcBorders>
                    <w:tl2br w:val="nil"/>
                    <w:tr2bl w:val="nil"/>
                  </w:tcBorders>
                  <w:noWrap w:val="0"/>
                  <w:vAlign w:val="center"/>
                </w:tcPr>
                <w:p w14:paraId="633D3857">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5B5E7E46">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9745C4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57854FD1">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274A3802">
                  <w:pPr>
                    <w:keepNext w:val="0"/>
                    <w:keepLines w:val="0"/>
                    <w:pageBreakBefore w:val="0"/>
                    <w:widowControl w:val="0"/>
                    <w:kinsoku/>
                    <w:wordWrap/>
                    <w:overflowPunct/>
                    <w:topLinePunct w:val="0"/>
                    <w:autoSpaceDE/>
                    <w:autoSpaceDN/>
                    <w:bidi w:val="0"/>
                    <w:adjustRightInd/>
                    <w:snapToGrid/>
                    <w:spacing w:line="306"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挥发性酚类（以苯酚计）</w:t>
                  </w:r>
                  <w:r>
                    <w:rPr>
                      <w:rFonts w:hint="default" w:ascii="Times New Roman" w:hAnsi="Times New Roman"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2C43EE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0.0003L</w:t>
                  </w:r>
                </w:p>
              </w:tc>
              <w:tc>
                <w:tcPr>
                  <w:tcW w:w="0" w:type="auto"/>
                  <w:tcBorders>
                    <w:tl2br w:val="nil"/>
                    <w:tr2bl w:val="nil"/>
                  </w:tcBorders>
                  <w:noWrap w:val="0"/>
                  <w:vAlign w:val="center"/>
                </w:tcPr>
                <w:p w14:paraId="4BFA1A3E">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0.002</w:t>
                  </w:r>
                </w:p>
              </w:tc>
              <w:tc>
                <w:tcPr>
                  <w:tcW w:w="946" w:type="dxa"/>
                  <w:tcBorders>
                    <w:tl2br w:val="nil"/>
                    <w:tr2bl w:val="nil"/>
                  </w:tcBorders>
                  <w:noWrap w:val="0"/>
                  <w:vAlign w:val="center"/>
                </w:tcPr>
                <w:p w14:paraId="001F9748">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67EBC5F8">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70A338BD">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45E9E6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6634A0AD">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080DE164">
                  <w:pPr>
                    <w:keepNext w:val="0"/>
                    <w:keepLines w:val="0"/>
                    <w:pageBreakBefore w:val="0"/>
                    <w:widowControl w:val="0"/>
                    <w:tabs>
                      <w:tab w:val="left" w:pos="3780"/>
                    </w:tabs>
                    <w:kinsoku/>
                    <w:wordWrap/>
                    <w:overflowPunct/>
                    <w:topLinePunct w:val="0"/>
                    <w:autoSpaceDE/>
                    <w:autoSpaceDN/>
                    <w:bidi w:val="0"/>
                    <w:adjustRightInd/>
                    <w:snapToGrid/>
                    <w:spacing w:line="306"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阴离子表面活性剂</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1CA5C5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0.05L</w:t>
                  </w:r>
                </w:p>
              </w:tc>
              <w:tc>
                <w:tcPr>
                  <w:tcW w:w="0" w:type="auto"/>
                  <w:tcBorders>
                    <w:tl2br w:val="nil"/>
                    <w:tr2bl w:val="nil"/>
                  </w:tcBorders>
                  <w:noWrap w:val="0"/>
                  <w:vAlign w:val="center"/>
                </w:tcPr>
                <w:p w14:paraId="5F009F3A">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0.3</w:t>
                  </w:r>
                </w:p>
              </w:tc>
              <w:tc>
                <w:tcPr>
                  <w:tcW w:w="946" w:type="dxa"/>
                  <w:tcBorders>
                    <w:tl2br w:val="nil"/>
                    <w:tr2bl w:val="nil"/>
                  </w:tcBorders>
                  <w:noWrap w:val="0"/>
                  <w:vAlign w:val="center"/>
                </w:tcPr>
                <w:p w14:paraId="1FDC9174">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3D3A2DE6">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5D30B24D">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B1815F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35CA5249">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57255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耗氧量</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4D4CE0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2.7</w:t>
                  </w:r>
                  <w:r>
                    <w:rPr>
                      <w:rFonts w:hint="eastAsia" w:cs="Times New Roman"/>
                      <w:color w:val="auto"/>
                      <w:kern w:val="2"/>
                      <w:sz w:val="24"/>
                      <w:szCs w:val="24"/>
                      <w:highlight w:val="none"/>
                      <w:lang w:val="en-US" w:eastAsia="zh-CN" w:bidi="ar-SA"/>
                    </w:rPr>
                    <w:t>6</w:t>
                  </w:r>
                </w:p>
              </w:tc>
              <w:tc>
                <w:tcPr>
                  <w:tcW w:w="0" w:type="auto"/>
                  <w:tcBorders>
                    <w:tl2br w:val="nil"/>
                    <w:tr2bl w:val="nil"/>
                  </w:tcBorders>
                  <w:noWrap w:val="0"/>
                  <w:vAlign w:val="center"/>
                </w:tcPr>
                <w:p w14:paraId="4426B1F4">
                  <w:pPr>
                    <w:widowControl/>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3.0</w:t>
                  </w:r>
                </w:p>
              </w:tc>
              <w:tc>
                <w:tcPr>
                  <w:tcW w:w="946" w:type="dxa"/>
                  <w:tcBorders>
                    <w:tl2br w:val="nil"/>
                    <w:tr2bl w:val="nil"/>
                  </w:tcBorders>
                  <w:noWrap w:val="0"/>
                  <w:vAlign w:val="center"/>
                </w:tcPr>
                <w:p w14:paraId="540E1078">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r>
                    <w:rPr>
                      <w:rFonts w:hint="eastAsia" w:cs="Times New Roman"/>
                      <w:color w:val="auto"/>
                      <w:sz w:val="21"/>
                      <w:szCs w:val="21"/>
                      <w:lang w:val="en-US" w:eastAsia="zh-CN"/>
                    </w:rPr>
                    <w:t>2</w:t>
                  </w:r>
                </w:p>
              </w:tc>
              <w:tc>
                <w:tcPr>
                  <w:tcW w:w="866" w:type="dxa"/>
                  <w:tcBorders>
                    <w:tl2br w:val="nil"/>
                    <w:tr2bl w:val="nil"/>
                  </w:tcBorders>
                  <w:noWrap w:val="0"/>
                  <w:vAlign w:val="center"/>
                </w:tcPr>
                <w:p w14:paraId="606E513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79FC16D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52C5E90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45FF193E">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29DEBB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氨氮</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73F6A4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w:t>
                  </w:r>
                  <w:r>
                    <w:rPr>
                      <w:rFonts w:hint="eastAsia" w:cs="Times New Roman"/>
                      <w:color w:val="auto"/>
                      <w:kern w:val="2"/>
                      <w:sz w:val="21"/>
                      <w:szCs w:val="21"/>
                      <w:highlight w:val="none"/>
                      <w:lang w:val="en-US" w:eastAsia="zh-CN" w:bidi="ar-SA"/>
                    </w:rPr>
                    <w:t>60</w:t>
                  </w:r>
                </w:p>
              </w:tc>
              <w:tc>
                <w:tcPr>
                  <w:tcW w:w="0" w:type="auto"/>
                  <w:tcBorders>
                    <w:tl2br w:val="nil"/>
                    <w:tr2bl w:val="nil"/>
                  </w:tcBorders>
                  <w:noWrap w:val="0"/>
                  <w:vAlign w:val="center"/>
                </w:tcPr>
                <w:p w14:paraId="45272E2E">
                  <w:pPr>
                    <w:widowControl/>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0.50</w:t>
                  </w:r>
                </w:p>
              </w:tc>
              <w:tc>
                <w:tcPr>
                  <w:tcW w:w="946" w:type="dxa"/>
                  <w:tcBorders>
                    <w:tl2br w:val="nil"/>
                    <w:tr2bl w:val="nil"/>
                  </w:tcBorders>
                  <w:noWrap w:val="0"/>
                  <w:vAlign w:val="center"/>
                </w:tcPr>
                <w:p w14:paraId="7CC1F1CC">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12</w:t>
                  </w:r>
                </w:p>
              </w:tc>
              <w:tc>
                <w:tcPr>
                  <w:tcW w:w="866" w:type="dxa"/>
                  <w:tcBorders>
                    <w:tl2br w:val="nil"/>
                    <w:tr2bl w:val="nil"/>
                  </w:tcBorders>
                  <w:noWrap w:val="0"/>
                  <w:vAlign w:val="center"/>
                </w:tcPr>
                <w:p w14:paraId="311D48B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604BB3B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676E103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61E7D029">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45615B4C">
                  <w:pPr>
                    <w:keepNext w:val="0"/>
                    <w:keepLines w:val="0"/>
                    <w:pageBreakBefore w:val="0"/>
                    <w:widowControl/>
                    <w:kinsoku/>
                    <w:wordWrap/>
                    <w:overflowPunct/>
                    <w:topLinePunct w:val="0"/>
                    <w:autoSpaceDE/>
                    <w:autoSpaceDN/>
                    <w:bidi w:val="0"/>
                    <w:adjustRightInd/>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硝酸盐氮</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1549C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0" w:type="auto"/>
                  <w:tcBorders>
                    <w:tl2br w:val="nil"/>
                    <w:tr2bl w:val="nil"/>
                  </w:tcBorders>
                  <w:noWrap w:val="0"/>
                  <w:vAlign w:val="center"/>
                </w:tcPr>
                <w:p w14:paraId="0A8C754A">
                  <w:pPr>
                    <w:widowControl/>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20.0</w:t>
                  </w:r>
                </w:p>
              </w:tc>
              <w:tc>
                <w:tcPr>
                  <w:tcW w:w="946" w:type="dxa"/>
                  <w:tcBorders>
                    <w:tl2br w:val="nil"/>
                    <w:tr2bl w:val="nil"/>
                  </w:tcBorders>
                  <w:noWrap w:val="0"/>
                  <w:vAlign w:val="center"/>
                </w:tcPr>
                <w:p w14:paraId="3BA6F4CE">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0.95</w:t>
                  </w:r>
                </w:p>
              </w:tc>
              <w:tc>
                <w:tcPr>
                  <w:tcW w:w="866" w:type="dxa"/>
                  <w:tcBorders>
                    <w:tl2br w:val="nil"/>
                    <w:tr2bl w:val="nil"/>
                  </w:tcBorders>
                  <w:noWrap w:val="0"/>
                  <w:vAlign w:val="center"/>
                </w:tcPr>
                <w:p w14:paraId="5949FD0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10A54AB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29A81DE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4D7F3B85">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286F132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Style w:val="120"/>
                      <w:rFonts w:hint="default" w:ascii="Times New Roman" w:hAnsi="Times New Roman" w:eastAsia="宋体" w:cs="Times New Roman"/>
                      <w:color w:val="auto"/>
                      <w:sz w:val="21"/>
                      <w:szCs w:val="21"/>
                      <w:highlight w:val="none"/>
                      <w:lang w:val="en-US" w:eastAsia="zh-CN" w:bidi="ar"/>
                    </w:rPr>
                    <w:t>亚硝酸盐氮</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538D01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仿宋" w:hAnsi="仿宋" w:eastAsia="仿宋" w:cs="仿宋"/>
                      <w:i w:val="0"/>
                      <w:iCs w:val="0"/>
                      <w:color w:val="auto"/>
                      <w:kern w:val="0"/>
                      <w:sz w:val="21"/>
                      <w:szCs w:val="21"/>
                      <w:u w:val="none"/>
                      <w:lang w:val="en-US" w:eastAsia="zh-CN" w:bidi="ar"/>
                    </w:rPr>
                    <w:t>0.016L</w:t>
                  </w:r>
                </w:p>
              </w:tc>
              <w:tc>
                <w:tcPr>
                  <w:tcW w:w="0" w:type="auto"/>
                  <w:tcBorders>
                    <w:tl2br w:val="nil"/>
                    <w:tr2bl w:val="nil"/>
                  </w:tcBorders>
                  <w:noWrap w:val="0"/>
                  <w:vAlign w:val="center"/>
                </w:tcPr>
                <w:p w14:paraId="30F329A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1.00</w:t>
                  </w:r>
                </w:p>
              </w:tc>
              <w:tc>
                <w:tcPr>
                  <w:tcW w:w="946" w:type="dxa"/>
                  <w:tcBorders>
                    <w:tl2br w:val="nil"/>
                    <w:tr2bl w:val="nil"/>
                  </w:tcBorders>
                  <w:noWrap w:val="0"/>
                  <w:vAlign w:val="center"/>
                </w:tcPr>
                <w:p w14:paraId="0979DB02">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00D7DB1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1633A29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31B7AFF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06A27D0B">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03B6CC1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氟化物</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7288FC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仿宋" w:hAnsi="仿宋" w:eastAsia="仿宋" w:cs="仿宋"/>
                      <w:i w:val="0"/>
                      <w:iCs w:val="0"/>
                      <w:color w:val="auto"/>
                      <w:kern w:val="0"/>
                      <w:sz w:val="21"/>
                      <w:szCs w:val="21"/>
                      <w:u w:val="none"/>
                      <w:lang w:val="en-US" w:eastAsia="zh-CN" w:bidi="ar"/>
                    </w:rPr>
                    <w:t>0.198</w:t>
                  </w:r>
                </w:p>
              </w:tc>
              <w:tc>
                <w:tcPr>
                  <w:tcW w:w="0" w:type="auto"/>
                  <w:tcBorders>
                    <w:tl2br w:val="nil"/>
                    <w:tr2bl w:val="nil"/>
                  </w:tcBorders>
                  <w:noWrap w:val="0"/>
                  <w:vAlign w:val="center"/>
                </w:tcPr>
                <w:p w14:paraId="2C6045A4">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1.0</w:t>
                  </w:r>
                </w:p>
              </w:tc>
              <w:tc>
                <w:tcPr>
                  <w:tcW w:w="946" w:type="dxa"/>
                  <w:tcBorders>
                    <w:tl2br w:val="nil"/>
                    <w:tr2bl w:val="nil"/>
                  </w:tcBorders>
                  <w:noWrap w:val="0"/>
                  <w:vAlign w:val="center"/>
                </w:tcPr>
                <w:p w14:paraId="7CCECE33">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0.50</w:t>
                  </w:r>
                </w:p>
              </w:tc>
              <w:tc>
                <w:tcPr>
                  <w:tcW w:w="866" w:type="dxa"/>
                  <w:tcBorders>
                    <w:tl2br w:val="nil"/>
                    <w:tr2bl w:val="nil"/>
                  </w:tcBorders>
                  <w:noWrap w:val="0"/>
                  <w:vAlign w:val="center"/>
                </w:tcPr>
                <w:p w14:paraId="0C2ED36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7631AD7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0A8C112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2D747357">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5E9C10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氰化物</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3675A1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＜0.002</w:t>
                  </w:r>
                </w:p>
              </w:tc>
              <w:tc>
                <w:tcPr>
                  <w:tcW w:w="0" w:type="auto"/>
                  <w:tcBorders>
                    <w:tl2br w:val="nil"/>
                    <w:tr2bl w:val="nil"/>
                  </w:tcBorders>
                  <w:noWrap w:val="0"/>
                  <w:vAlign w:val="center"/>
                </w:tcPr>
                <w:p w14:paraId="62F9219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0.05</w:t>
                  </w:r>
                </w:p>
              </w:tc>
              <w:tc>
                <w:tcPr>
                  <w:tcW w:w="946" w:type="dxa"/>
                  <w:tcBorders>
                    <w:tl2br w:val="nil"/>
                    <w:tr2bl w:val="nil"/>
                  </w:tcBorders>
                  <w:noWrap w:val="0"/>
                  <w:vAlign w:val="center"/>
                </w:tcPr>
                <w:p w14:paraId="4CB74543">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39F9184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167F59C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5EDD9FA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3DCFC669">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40C28C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30F27F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4.0×10</w:t>
                  </w:r>
                  <w:r>
                    <w:rPr>
                      <w:rFonts w:hint="default" w:ascii="Times New Roman" w:hAnsi="Times New Roman" w:eastAsia="宋体" w:cs="Times New Roman"/>
                      <w:color w:val="auto"/>
                      <w:kern w:val="2"/>
                      <w:sz w:val="21"/>
                      <w:szCs w:val="21"/>
                      <w:highlight w:val="none"/>
                      <w:vertAlign w:val="superscript"/>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L</w:t>
                  </w:r>
                </w:p>
              </w:tc>
              <w:tc>
                <w:tcPr>
                  <w:tcW w:w="0" w:type="auto"/>
                  <w:tcBorders>
                    <w:tl2br w:val="nil"/>
                    <w:tr2bl w:val="nil"/>
                  </w:tcBorders>
                  <w:noWrap w:val="0"/>
                  <w:vAlign w:val="center"/>
                </w:tcPr>
                <w:p w14:paraId="21F5450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0.001</w:t>
                  </w:r>
                </w:p>
              </w:tc>
              <w:tc>
                <w:tcPr>
                  <w:tcW w:w="946" w:type="dxa"/>
                  <w:tcBorders>
                    <w:tl2br w:val="nil"/>
                    <w:tr2bl w:val="nil"/>
                  </w:tcBorders>
                  <w:noWrap w:val="0"/>
                  <w:vAlign w:val="center"/>
                </w:tcPr>
                <w:p w14:paraId="6E96E426">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683BDB8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3051242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216E4AE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2BD48A5D">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112307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29D35A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仿宋" w:hAnsi="仿宋" w:eastAsia="仿宋" w:cs="仿宋"/>
                      <w:i w:val="0"/>
                      <w:iCs w:val="0"/>
                      <w:color w:val="auto"/>
                      <w:kern w:val="0"/>
                      <w:sz w:val="21"/>
                      <w:szCs w:val="21"/>
                      <w:u w:val="none"/>
                      <w:lang w:val="en-US" w:eastAsia="zh-CN" w:bidi="ar"/>
                    </w:rPr>
                    <w:t>2.6×10</w:t>
                  </w:r>
                  <w:r>
                    <w:rPr>
                      <w:rFonts w:hint="eastAsia" w:ascii="仿宋" w:hAnsi="仿宋" w:eastAsia="仿宋" w:cs="仿宋"/>
                      <w:i w:val="0"/>
                      <w:iCs w:val="0"/>
                      <w:color w:val="auto"/>
                      <w:kern w:val="0"/>
                      <w:sz w:val="21"/>
                      <w:szCs w:val="21"/>
                      <w:u w:val="none"/>
                      <w:vertAlign w:val="superscript"/>
                      <w:lang w:val="en-US" w:eastAsia="zh-CN" w:bidi="ar"/>
                    </w:rPr>
                    <w:t>-3</w:t>
                  </w:r>
                </w:p>
              </w:tc>
              <w:tc>
                <w:tcPr>
                  <w:tcW w:w="0" w:type="auto"/>
                  <w:tcBorders>
                    <w:tl2br w:val="nil"/>
                    <w:tr2bl w:val="nil"/>
                  </w:tcBorders>
                  <w:noWrap w:val="0"/>
                  <w:vAlign w:val="center"/>
                </w:tcPr>
                <w:p w14:paraId="2C71D7F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0.01</w:t>
                  </w:r>
                </w:p>
              </w:tc>
              <w:tc>
                <w:tcPr>
                  <w:tcW w:w="946" w:type="dxa"/>
                  <w:tcBorders>
                    <w:tl2br w:val="nil"/>
                    <w:tr2bl w:val="nil"/>
                  </w:tcBorders>
                  <w:noWrap w:val="0"/>
                  <w:vAlign w:val="center"/>
                </w:tcPr>
                <w:p w14:paraId="03AB8AD2">
                  <w:pPr>
                    <w:widowControl/>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0.026</w:t>
                  </w:r>
                </w:p>
              </w:tc>
              <w:tc>
                <w:tcPr>
                  <w:tcW w:w="866" w:type="dxa"/>
                  <w:tcBorders>
                    <w:tl2br w:val="nil"/>
                    <w:tr2bl w:val="nil"/>
                  </w:tcBorders>
                  <w:noWrap w:val="0"/>
                  <w:vAlign w:val="center"/>
                </w:tcPr>
                <w:p w14:paraId="050C856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590DC1C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6119D33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401DA167">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6E0A95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硒</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149F55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4.0×10</w:t>
                  </w:r>
                  <w:r>
                    <w:rPr>
                      <w:rFonts w:hint="default" w:ascii="Times New Roman" w:hAnsi="Times New Roman" w:eastAsia="宋体" w:cs="Times New Roman"/>
                      <w:color w:val="auto"/>
                      <w:kern w:val="2"/>
                      <w:sz w:val="21"/>
                      <w:szCs w:val="21"/>
                      <w:highlight w:val="none"/>
                      <w:vertAlign w:val="superscript"/>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L</w:t>
                  </w:r>
                </w:p>
              </w:tc>
              <w:tc>
                <w:tcPr>
                  <w:tcW w:w="0" w:type="auto"/>
                  <w:tcBorders>
                    <w:tl2br w:val="nil"/>
                    <w:tr2bl w:val="nil"/>
                  </w:tcBorders>
                  <w:noWrap w:val="0"/>
                  <w:vAlign w:val="center"/>
                </w:tcPr>
                <w:p w14:paraId="160B8F3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0.01</w:t>
                  </w:r>
                </w:p>
              </w:tc>
              <w:tc>
                <w:tcPr>
                  <w:tcW w:w="946" w:type="dxa"/>
                  <w:tcBorders>
                    <w:tl2br w:val="nil"/>
                    <w:tr2bl w:val="nil"/>
                  </w:tcBorders>
                  <w:noWrap w:val="0"/>
                  <w:vAlign w:val="center"/>
                </w:tcPr>
                <w:p w14:paraId="73F1A887">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2F23A75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7E251EE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750516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22F65A37">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24A1CF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镉</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6ED406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0.002L</w:t>
                  </w:r>
                </w:p>
              </w:tc>
              <w:tc>
                <w:tcPr>
                  <w:tcW w:w="0" w:type="auto"/>
                  <w:tcBorders>
                    <w:tl2br w:val="nil"/>
                    <w:tr2bl w:val="nil"/>
                  </w:tcBorders>
                  <w:noWrap w:val="0"/>
                  <w:vAlign w:val="center"/>
                </w:tcPr>
                <w:p w14:paraId="3A84531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0.005</w:t>
                  </w:r>
                </w:p>
              </w:tc>
              <w:tc>
                <w:tcPr>
                  <w:tcW w:w="946" w:type="dxa"/>
                  <w:tcBorders>
                    <w:tl2br w:val="nil"/>
                    <w:tr2bl w:val="nil"/>
                  </w:tcBorders>
                  <w:noWrap w:val="0"/>
                  <w:vAlign w:val="center"/>
                </w:tcPr>
                <w:p w14:paraId="3D14F839">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23009BE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2F4DD6C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73C1E4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38E7EE23">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4BAEA6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铬（六价）</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2AF6F8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＜0.004</w:t>
                  </w:r>
                </w:p>
              </w:tc>
              <w:tc>
                <w:tcPr>
                  <w:tcW w:w="0" w:type="auto"/>
                  <w:tcBorders>
                    <w:tl2br w:val="nil"/>
                    <w:tr2bl w:val="nil"/>
                  </w:tcBorders>
                  <w:noWrap w:val="0"/>
                  <w:vAlign w:val="center"/>
                </w:tcPr>
                <w:p w14:paraId="167164B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0.05</w:t>
                  </w:r>
                </w:p>
              </w:tc>
              <w:tc>
                <w:tcPr>
                  <w:tcW w:w="946" w:type="dxa"/>
                  <w:tcBorders>
                    <w:tl2br w:val="nil"/>
                    <w:tr2bl w:val="nil"/>
                  </w:tcBorders>
                  <w:noWrap w:val="0"/>
                  <w:vAlign w:val="center"/>
                </w:tcPr>
                <w:p w14:paraId="7B201A7E">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3CEE1B8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648889E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19A9C4A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vMerge w:val="continue"/>
                  <w:tcBorders>
                    <w:tl2br w:val="nil"/>
                    <w:tr2bl w:val="nil"/>
                  </w:tcBorders>
                  <w:noWrap w:val="0"/>
                  <w:vAlign w:val="center"/>
                </w:tcPr>
                <w:p w14:paraId="7352025D">
                  <w:pPr>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7DEC795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铅</w:t>
                  </w: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0" w:type="auto"/>
                  <w:tcBorders>
                    <w:tl2br w:val="nil"/>
                    <w:tr2bl w:val="nil"/>
                  </w:tcBorders>
                  <w:noWrap w:val="0"/>
                  <w:vAlign w:val="center"/>
                </w:tcPr>
                <w:p w14:paraId="55BE39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0.010L</w:t>
                  </w:r>
                </w:p>
              </w:tc>
              <w:tc>
                <w:tcPr>
                  <w:tcW w:w="0" w:type="auto"/>
                  <w:tcBorders>
                    <w:tl2br w:val="nil"/>
                    <w:tr2bl w:val="nil"/>
                  </w:tcBorders>
                  <w:noWrap w:val="0"/>
                  <w:vAlign w:val="center"/>
                </w:tcPr>
                <w:p w14:paraId="075148D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0.01</w:t>
                  </w:r>
                </w:p>
              </w:tc>
              <w:tc>
                <w:tcPr>
                  <w:tcW w:w="946" w:type="dxa"/>
                  <w:tcBorders>
                    <w:tl2br w:val="nil"/>
                    <w:tr2bl w:val="nil"/>
                  </w:tcBorders>
                  <w:noWrap w:val="0"/>
                  <w:vAlign w:val="center"/>
                </w:tcPr>
                <w:p w14:paraId="1E0ED999">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6" w:type="dxa"/>
                  <w:tcBorders>
                    <w:tl2br w:val="nil"/>
                    <w:tr2bl w:val="nil"/>
                  </w:tcBorders>
                  <w:noWrap w:val="0"/>
                  <w:vAlign w:val="center"/>
                </w:tcPr>
                <w:p w14:paraId="5A5819E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0" w:type="auto"/>
                  <w:tcBorders>
                    <w:tl2br w:val="nil"/>
                    <w:tr2bl w:val="nil"/>
                  </w:tcBorders>
                  <w:noWrap w:val="0"/>
                  <w:vAlign w:val="center"/>
                </w:tcPr>
                <w:p w14:paraId="1070BCD4">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bl>
          <w:p w14:paraId="73E0B786">
            <w:pPr>
              <w:pStyle w:val="14"/>
              <w:spacing w:after="0" w:line="300" w:lineRule="exact"/>
              <w:ind w:left="0" w:left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14:textFill>
                  <w14:solidFill>
                    <w14:schemeClr w14:val="tx1"/>
                  </w14:solidFill>
                </w14:textFill>
              </w:rPr>
              <w:t>注：</w:t>
            </w:r>
            <w:r>
              <w:rPr>
                <w:rFonts w:hint="eastAsia" w:ascii="宋体" w:hAnsi="宋体" w:cs="宋体"/>
                <w:color w:val="000000" w:themeColor="text1"/>
                <w:lang w:val="en-US" w:eastAsia="zh-CN"/>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未列项均为低于检出限，未一一列举。</w:t>
            </w:r>
            <w:r>
              <w:rPr>
                <w:rFonts w:hint="eastAsia" w:hAnsi="宋体" w:cs="宋体"/>
                <w:color w:val="000000" w:themeColor="text1"/>
                <w:sz w:val="21"/>
                <w:szCs w:val="21"/>
                <w:lang w:val="en-US" w:eastAsia="zh-CN"/>
                <w14:textFill>
                  <w14:solidFill>
                    <w14:schemeClr w14:val="tx1"/>
                  </w14:solidFill>
                </w14:textFill>
              </w:rPr>
              <w:t xml:space="preserve">井深50m. </w:t>
            </w:r>
          </w:p>
          <w:p w14:paraId="5D617DD8">
            <w:pPr>
              <w:rPr>
                <w:rFonts w:hint="eastAsia"/>
                <w:color w:val="000000" w:themeColor="text1"/>
                <w14:textFill>
                  <w14:solidFill>
                    <w14:schemeClr w14:val="tx1"/>
                  </w14:solidFill>
                </w14:textFill>
              </w:rPr>
            </w:pPr>
          </w:p>
          <w:p w14:paraId="557337E3">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上述监测因子均符合《地下水质量标准》（GB/T14848-2017）Ⅲ级标准，区域地下水水质较好。</w:t>
            </w:r>
          </w:p>
        </w:tc>
      </w:tr>
      <w:tr w14:paraId="6418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jc w:val="center"/>
        </w:trPr>
        <w:tc>
          <w:tcPr>
            <w:tcW w:w="426" w:type="dxa"/>
            <w:tcBorders>
              <w:tl2br w:val="nil"/>
              <w:tr2bl w:val="nil"/>
            </w:tcBorders>
            <w:vAlign w:val="center"/>
          </w:tcPr>
          <w:p w14:paraId="40611B1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w:t>
            </w:r>
          </w:p>
          <w:p w14:paraId="19E395C4">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保护</w:t>
            </w:r>
          </w:p>
          <w:p w14:paraId="3E185F7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目标</w:t>
            </w:r>
          </w:p>
        </w:tc>
        <w:tc>
          <w:tcPr>
            <w:tcW w:w="8766" w:type="dxa"/>
            <w:tcBorders>
              <w:tl2br w:val="nil"/>
              <w:tr2bl w:val="nil"/>
            </w:tcBorders>
            <w:vAlign w:val="center"/>
          </w:tcPr>
          <w:p w14:paraId="0B162562">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根据《建设项目环境影响报告表编制技术指南（污染影响类）（试行），声环境为厂界外50m范围内。本项目500m范围内无地下水集中式饮用水水源和热水，厂界外50m范围内无环境敏感点，</w:t>
            </w:r>
            <w:r>
              <w:rPr>
                <w:rFonts w:hint="eastAsia" w:ascii="宋体" w:hAnsi="宋体" w:cs="宋体"/>
                <w:color w:val="000000" w:themeColor="text1"/>
                <w:sz w:val="24"/>
                <w:szCs w:val="24"/>
                <w:lang w:val="en-US" w:eastAsia="zh-CN"/>
                <w14:textFill>
                  <w14:solidFill>
                    <w14:schemeClr w14:val="tx1"/>
                  </w14:solidFill>
                </w14:textFill>
              </w:rPr>
              <w:t>大气环境敏感点详见大气环境影响评价专章。项目不新增占地，且位于规划的工业园区内，无生态环境保护目标。</w:t>
            </w:r>
          </w:p>
          <w:p w14:paraId="1F6FBCB5">
            <w:pPr>
              <w:rPr>
                <w:rFonts w:hint="eastAsia" w:ascii="宋体" w:hAnsi="宋体" w:eastAsia="宋体" w:cs="宋体"/>
                <w:color w:val="000000" w:themeColor="text1"/>
                <w14:textFill>
                  <w14:solidFill>
                    <w14:schemeClr w14:val="tx1"/>
                  </w14:solidFill>
                </w14:textFill>
              </w:rPr>
            </w:pPr>
          </w:p>
        </w:tc>
      </w:tr>
      <w:tr w14:paraId="530A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4" w:hRule="atLeast"/>
          <w:jc w:val="center"/>
        </w:trPr>
        <w:tc>
          <w:tcPr>
            <w:tcW w:w="426" w:type="dxa"/>
            <w:tcBorders>
              <w:tl2br w:val="nil"/>
              <w:tr2bl w:val="nil"/>
            </w:tcBorders>
            <w:tcMar>
              <w:left w:w="28" w:type="dxa"/>
              <w:right w:w="28" w:type="dxa"/>
            </w:tcMar>
            <w:vAlign w:val="center"/>
          </w:tcPr>
          <w:p w14:paraId="49092E9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w:t>
            </w:r>
          </w:p>
          <w:p w14:paraId="6F3FDA1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物排</w:t>
            </w:r>
          </w:p>
          <w:p w14:paraId="3D9F315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放控</w:t>
            </w:r>
          </w:p>
          <w:p w14:paraId="62D95E5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制标</w:t>
            </w:r>
          </w:p>
          <w:p w14:paraId="0A14D28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准</w:t>
            </w:r>
          </w:p>
        </w:tc>
        <w:tc>
          <w:tcPr>
            <w:tcW w:w="8766" w:type="dxa"/>
            <w:tcBorders>
              <w:tl2br w:val="nil"/>
              <w:tr2bl w:val="nil"/>
            </w:tcBorders>
            <w:vAlign w:val="center"/>
          </w:tcPr>
          <w:p w14:paraId="7D80CC1B">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大气污染物排放标准</w:t>
            </w:r>
          </w:p>
          <w:p w14:paraId="5566632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2" w:firstLineChars="0"/>
              <w:jc w:val="both"/>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项目运营期产生</w:t>
            </w:r>
            <w:r>
              <w:rPr>
                <w:rFonts w:hint="eastAsia" w:ascii="宋体" w:hAnsi="宋体" w:eastAsia="宋体" w:cs="宋体"/>
                <w:color w:val="000000" w:themeColor="text1"/>
                <w14:textFill>
                  <w14:solidFill>
                    <w14:schemeClr w14:val="tx1"/>
                  </w14:solidFill>
                </w14:textFill>
              </w:rPr>
              <w:t>主要污</w:t>
            </w:r>
            <w:r>
              <w:rPr>
                <w:rFonts w:hint="eastAsia" w:ascii="宋体" w:hAnsi="宋体" w:eastAsia="宋体" w:cs="宋体"/>
                <w:color w:val="000000" w:themeColor="text1"/>
                <w:highlight w:val="none"/>
                <w14:textFill>
                  <w14:solidFill>
                    <w14:schemeClr w14:val="tx1"/>
                  </w14:solidFill>
                </w14:textFill>
              </w:rPr>
              <w:t>染物为颗粒物、VOCs（以非甲烷总烃计）</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非正常排放情况下有少量铅尘及酸雾产生</w:t>
            </w:r>
            <w:r>
              <w:rPr>
                <w:rFonts w:hint="eastAsia" w:ascii="宋体" w:hAnsi="宋体" w:eastAsia="宋体" w:cs="宋体"/>
                <w:color w:val="000000" w:themeColor="text1"/>
                <w:highlight w:val="none"/>
                <w14:textFill>
                  <w14:solidFill>
                    <w14:schemeClr w14:val="tx1"/>
                  </w14:solidFill>
                </w14:textFill>
              </w:rPr>
              <w:t>。废气排放执行《大气污染物综合排放标准》（GB16297-1996）中表2 新污染源大气污染物排放限</w:t>
            </w:r>
            <w:r>
              <w:rPr>
                <w:rFonts w:hint="eastAsia" w:ascii="宋体" w:hAnsi="宋体" w:eastAsia="宋体" w:cs="宋体"/>
                <w:color w:val="000000" w:themeColor="text1"/>
                <w14:textFill>
                  <w14:solidFill>
                    <w14:schemeClr w14:val="tx1"/>
                  </w14:solidFill>
                </w14:textFill>
              </w:rPr>
              <w:t>值二级标准。厂区内VOCs无组织排放监控点浓度执行《挥发性有机物无组织排放控制标准》（GB37822-2019，自2019-07-01起实施）表</w:t>
            </w:r>
            <w:r>
              <w:rPr>
                <w:rFonts w:hint="eastAsia" w:ascii="宋体" w:hAnsi="宋体" w:eastAsia="宋体" w:cs="宋体"/>
                <w:color w:val="000000" w:themeColor="text1"/>
                <w:highlight w:val="none"/>
                <w14:textFill>
                  <w14:solidFill>
                    <w14:schemeClr w14:val="tx1"/>
                  </w14:solidFill>
                </w14:textFill>
              </w:rPr>
              <w:t>A.1</w:t>
            </w:r>
            <w:r>
              <w:rPr>
                <w:rFonts w:hint="eastAsia" w:ascii="宋体" w:hAnsi="宋体" w:eastAsia="宋体" w:cs="宋体"/>
                <w:color w:val="000000" w:themeColor="text1"/>
                <w14:textFill>
                  <w14:solidFill>
                    <w14:schemeClr w14:val="tx1"/>
                  </w14:solidFill>
                </w14:textFill>
              </w:rPr>
              <w:t>中</w:t>
            </w:r>
            <w:r>
              <w:rPr>
                <w:rFonts w:hint="eastAsia" w:ascii="宋体" w:hAnsi="宋体" w:eastAsia="宋体" w:cs="宋体"/>
                <w:color w:val="000000" w:themeColor="text1"/>
                <w:lang w:val="en-US" w:eastAsia="zh-CN"/>
                <w14:textFill>
                  <w14:solidFill>
                    <w14:schemeClr w14:val="tx1"/>
                  </w14:solidFill>
                </w14:textFill>
              </w:rPr>
              <w:t>排放</w:t>
            </w:r>
            <w:r>
              <w:rPr>
                <w:rFonts w:hint="eastAsia" w:ascii="宋体" w:hAnsi="宋体" w:eastAsia="宋体" w:cs="宋体"/>
                <w:color w:val="000000" w:themeColor="text1"/>
                <w14:textFill>
                  <w14:solidFill>
                    <w14:schemeClr w14:val="tx1"/>
                  </w14:solidFill>
                </w14:textFill>
              </w:rPr>
              <w:t>限值要求，具体排放限值详见</w:t>
            </w:r>
            <w:r>
              <w:rPr>
                <w:rFonts w:hint="eastAsia" w:ascii="宋体" w:hAnsi="宋体" w:cs="宋体"/>
                <w:color w:val="000000" w:themeColor="text1"/>
                <w:lang w:val="en-US" w:eastAsia="zh-CN"/>
                <w14:textFill>
                  <w14:solidFill>
                    <w14:schemeClr w14:val="tx1"/>
                  </w14:solidFill>
                </w14:textFill>
              </w:rPr>
              <w:t>大气环境影响评价专章</w:t>
            </w:r>
            <w:r>
              <w:rPr>
                <w:rFonts w:hint="eastAsia" w:ascii="宋体" w:hAnsi="宋体" w:eastAsia="宋体" w:cs="宋体"/>
                <w:color w:val="000000" w:themeColor="text1"/>
                <w14:textFill>
                  <w14:solidFill>
                    <w14:schemeClr w14:val="tx1"/>
                  </w14:solidFill>
                </w14:textFill>
              </w:rPr>
              <w:t>。</w:t>
            </w:r>
          </w:p>
          <w:p w14:paraId="4F28AAA3">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水污染物排放标准</w:t>
            </w:r>
          </w:p>
          <w:p w14:paraId="71A5BC01">
            <w:pPr>
              <w:spacing w:line="360" w:lineRule="auto"/>
              <w:ind w:firstLine="48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lang w:val="en-US" w:eastAsia="zh-CN"/>
                <w14:textFill>
                  <w14:solidFill>
                    <w14:schemeClr w14:val="tx1"/>
                  </w14:solidFill>
                </w14:textFill>
              </w:rPr>
              <w:t>生活污水定期清运</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初期雨水经处理后</w:t>
            </w:r>
            <w:r>
              <w:rPr>
                <w:rFonts w:hint="eastAsia" w:ascii="宋体" w:hAnsi="宋体" w:eastAsia="宋体" w:cs="宋体"/>
                <w:color w:val="000000" w:themeColor="text1"/>
                <w:sz w:val="24"/>
                <w:szCs w:val="24"/>
                <w14:textFill>
                  <w14:solidFill>
                    <w14:schemeClr w14:val="tx1"/>
                  </w14:solidFill>
                </w14:textFill>
              </w:rPr>
              <w:t>污水执行《污水综合排放标准》（GB8978-1996</w:t>
            </w:r>
            <w:r>
              <w:rPr>
                <w:rFonts w:hint="eastAsia" w:ascii="宋体" w:hAnsi="宋体" w:eastAsia="宋体" w:cs="宋体"/>
                <w:color w:val="000000" w:themeColor="text1"/>
                <w:sz w:val="24"/>
                <w:szCs w:val="24"/>
                <w:highlight w:val="none"/>
                <w14:textFill>
                  <w14:solidFill>
                    <w14:schemeClr w14:val="tx1"/>
                  </w14:solidFill>
                </w14:textFill>
              </w:rPr>
              <w:t>）表4</w:t>
            </w:r>
            <w:r>
              <w:rPr>
                <w:rFonts w:hint="eastAsia" w:ascii="宋体" w:hAnsi="宋体" w:eastAsia="宋体" w:cs="宋体"/>
                <w:color w:val="000000" w:themeColor="text1"/>
                <w:sz w:val="24"/>
                <w:szCs w:val="24"/>
                <w14:textFill>
                  <w14:solidFill>
                    <w14:schemeClr w14:val="tx1"/>
                  </w14:solidFill>
                </w14:textFill>
              </w:rPr>
              <w:t>三级排放标准，经市政污水管网排入</w:t>
            </w:r>
            <w:r>
              <w:rPr>
                <w:rFonts w:hint="eastAsia" w:ascii="宋体" w:hAnsi="宋体" w:eastAsia="宋体" w:cs="宋体"/>
                <w:color w:val="000000" w:themeColor="text1"/>
                <w:sz w:val="24"/>
                <w:szCs w:val="24"/>
                <w:lang w:eastAsia="zh-CN"/>
                <w14:textFill>
                  <w14:solidFill>
                    <w14:schemeClr w14:val="tx1"/>
                  </w14:solidFill>
                </w14:textFill>
              </w:rPr>
              <w:t>四平市</w:t>
            </w:r>
            <w:r>
              <w:rPr>
                <w:rFonts w:hint="eastAsia" w:ascii="宋体" w:hAnsi="宋体" w:eastAsia="宋体" w:cs="宋体"/>
                <w:color w:val="000000" w:themeColor="text1"/>
                <w:sz w:val="24"/>
                <w:szCs w:val="24"/>
                <w14:textFill>
                  <w14:solidFill>
                    <w14:schemeClr w14:val="tx1"/>
                  </w14:solidFill>
                </w14:textFill>
              </w:rPr>
              <w:t>污水处理厂。具体排放限值详见</w:t>
            </w:r>
            <w:r>
              <w:rPr>
                <w:rFonts w:hint="eastAsia" w:ascii="宋体" w:hAnsi="宋体" w:eastAsia="宋体" w:cs="宋体"/>
                <w:color w:val="000000" w:themeColor="text1"/>
                <w:sz w:val="24"/>
                <w:szCs w:val="24"/>
                <w:lang w:eastAsia="zh-CN"/>
                <w14:textFill>
                  <w14:solidFill>
                    <w14:schemeClr w14:val="tx1"/>
                  </w14:solidFill>
                </w14:textFill>
              </w:rPr>
              <w:t>下表</w:t>
            </w:r>
            <w:r>
              <w:rPr>
                <w:rFonts w:hint="eastAsia" w:ascii="宋体" w:hAnsi="宋体" w:eastAsia="宋体" w:cs="宋体"/>
                <w:color w:val="000000" w:themeColor="text1"/>
                <w:sz w:val="24"/>
                <w:szCs w:val="24"/>
                <w14:textFill>
                  <w14:solidFill>
                    <w14:schemeClr w14:val="tx1"/>
                  </w14:solidFill>
                </w14:textFill>
              </w:rPr>
              <w:t>。</w:t>
            </w:r>
          </w:p>
          <w:p w14:paraId="1A529474">
            <w:pPr>
              <w:pStyle w:val="37"/>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表3-</w:t>
            </w:r>
            <w:r>
              <w:rPr>
                <w:rFonts w:hint="eastAsia" w:ascii="宋体"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废水排放标准</w:t>
            </w:r>
          </w:p>
          <w:tbl>
            <w:tblPr>
              <w:tblStyle w:val="25"/>
              <w:tblW w:w="8505"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583"/>
              <w:gridCol w:w="2540"/>
              <w:gridCol w:w="3826"/>
              <w:gridCol w:w="1556"/>
            </w:tblGrid>
            <w:tr w14:paraId="3AD8D1B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138F5D62">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序号</w:t>
                  </w:r>
                </w:p>
              </w:tc>
              <w:tc>
                <w:tcPr>
                  <w:tcW w:w="2540" w:type="dxa"/>
                  <w:tcBorders>
                    <w:tl2br w:val="nil"/>
                    <w:tr2bl w:val="nil"/>
                  </w:tcBorders>
                  <w:vAlign w:val="center"/>
                </w:tcPr>
                <w:p w14:paraId="567C5FD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项目</w:t>
                  </w:r>
                </w:p>
              </w:tc>
              <w:tc>
                <w:tcPr>
                  <w:tcW w:w="3826" w:type="dxa"/>
                  <w:tcBorders>
                    <w:tl2br w:val="nil"/>
                    <w:tr2bl w:val="nil"/>
                  </w:tcBorders>
                  <w:vAlign w:val="center"/>
                </w:tcPr>
                <w:p w14:paraId="56E52B4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《污水综合排放标准》（GB8978-1996）表1和表4中的三级排放标准</w:t>
                  </w:r>
                </w:p>
              </w:tc>
              <w:tc>
                <w:tcPr>
                  <w:tcW w:w="1556" w:type="dxa"/>
                  <w:tcBorders>
                    <w:tl2br w:val="nil"/>
                    <w:tr2bl w:val="nil"/>
                  </w:tcBorders>
                  <w:vAlign w:val="center"/>
                </w:tcPr>
                <w:p w14:paraId="53FE3F7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备注</w:t>
                  </w:r>
                </w:p>
              </w:tc>
            </w:tr>
            <w:tr w14:paraId="2144D88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2E1AC52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w:t>
                  </w:r>
                </w:p>
              </w:tc>
              <w:tc>
                <w:tcPr>
                  <w:tcW w:w="2540" w:type="dxa"/>
                  <w:tcBorders>
                    <w:tl2br w:val="nil"/>
                    <w:tr2bl w:val="nil"/>
                  </w:tcBorders>
                  <w:vAlign w:val="center"/>
                </w:tcPr>
                <w:p w14:paraId="786B221D">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pH（无量纲）</w:t>
                  </w:r>
                </w:p>
              </w:tc>
              <w:tc>
                <w:tcPr>
                  <w:tcW w:w="3826" w:type="dxa"/>
                  <w:tcBorders>
                    <w:tl2br w:val="nil"/>
                    <w:tr2bl w:val="nil"/>
                  </w:tcBorders>
                  <w:vAlign w:val="center"/>
                </w:tcPr>
                <w:p w14:paraId="5BD47CC8">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6-9</w:t>
                  </w:r>
                </w:p>
              </w:tc>
              <w:tc>
                <w:tcPr>
                  <w:tcW w:w="1556" w:type="dxa"/>
                  <w:tcBorders>
                    <w:tl2br w:val="nil"/>
                    <w:tr2bl w:val="nil"/>
                  </w:tcBorders>
                  <w:vAlign w:val="center"/>
                </w:tcPr>
                <w:p w14:paraId="2D3271DF">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w:t>
                  </w:r>
                </w:p>
              </w:tc>
            </w:tr>
            <w:tr w14:paraId="0C85C45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6C96FB8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w:t>
                  </w:r>
                </w:p>
              </w:tc>
              <w:tc>
                <w:tcPr>
                  <w:tcW w:w="2540" w:type="dxa"/>
                  <w:tcBorders>
                    <w:tl2br w:val="nil"/>
                    <w:tr2bl w:val="nil"/>
                  </w:tcBorders>
                  <w:vAlign w:val="center"/>
                </w:tcPr>
                <w:p w14:paraId="55AAF995">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COD（mg/L）</w:t>
                  </w:r>
                </w:p>
              </w:tc>
              <w:tc>
                <w:tcPr>
                  <w:tcW w:w="3826" w:type="dxa"/>
                  <w:tcBorders>
                    <w:tl2br w:val="nil"/>
                    <w:tr2bl w:val="nil"/>
                  </w:tcBorders>
                  <w:vAlign w:val="center"/>
                </w:tcPr>
                <w:p w14:paraId="16C9C8F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500</w:t>
                  </w:r>
                </w:p>
              </w:tc>
              <w:tc>
                <w:tcPr>
                  <w:tcW w:w="1556" w:type="dxa"/>
                  <w:tcBorders>
                    <w:tl2br w:val="nil"/>
                    <w:tr2bl w:val="nil"/>
                  </w:tcBorders>
                  <w:vAlign w:val="center"/>
                </w:tcPr>
                <w:p w14:paraId="11C3F56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w:t>
                  </w:r>
                </w:p>
              </w:tc>
            </w:tr>
            <w:tr w14:paraId="4FF0AE6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5588C7A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w:t>
                  </w:r>
                </w:p>
              </w:tc>
              <w:tc>
                <w:tcPr>
                  <w:tcW w:w="2540" w:type="dxa"/>
                  <w:tcBorders>
                    <w:tl2br w:val="nil"/>
                    <w:tr2bl w:val="nil"/>
                  </w:tcBorders>
                  <w:vAlign w:val="center"/>
                </w:tcPr>
                <w:p w14:paraId="41184364">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BOD</w:t>
                  </w:r>
                  <w:r>
                    <w:rPr>
                      <w:rFonts w:hint="eastAsia" w:ascii="宋体" w:hAnsi="宋体" w:eastAsia="宋体" w:cs="宋体"/>
                      <w:color w:val="000000" w:themeColor="text1"/>
                      <w:sz w:val="21"/>
                      <w:vertAlign w:val="subscript"/>
                      <w14:textFill>
                        <w14:solidFill>
                          <w14:schemeClr w14:val="tx1"/>
                        </w14:solidFill>
                      </w14:textFill>
                    </w:rPr>
                    <w:t>5</w:t>
                  </w:r>
                  <w:r>
                    <w:rPr>
                      <w:rFonts w:hint="eastAsia" w:ascii="宋体" w:hAnsi="宋体" w:eastAsia="宋体" w:cs="宋体"/>
                      <w:color w:val="000000" w:themeColor="text1"/>
                      <w:sz w:val="21"/>
                      <w14:textFill>
                        <w14:solidFill>
                          <w14:schemeClr w14:val="tx1"/>
                        </w14:solidFill>
                      </w14:textFill>
                    </w:rPr>
                    <w:t>（mg/L）</w:t>
                  </w:r>
                </w:p>
              </w:tc>
              <w:tc>
                <w:tcPr>
                  <w:tcW w:w="3826" w:type="dxa"/>
                  <w:tcBorders>
                    <w:tl2br w:val="nil"/>
                    <w:tr2bl w:val="nil"/>
                  </w:tcBorders>
                  <w:vAlign w:val="center"/>
                </w:tcPr>
                <w:p w14:paraId="1A30B9D5">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300</w:t>
                  </w:r>
                </w:p>
              </w:tc>
              <w:tc>
                <w:tcPr>
                  <w:tcW w:w="1556" w:type="dxa"/>
                  <w:tcBorders>
                    <w:tl2br w:val="nil"/>
                    <w:tr2bl w:val="nil"/>
                  </w:tcBorders>
                  <w:vAlign w:val="center"/>
                </w:tcPr>
                <w:p w14:paraId="2C27E43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w:t>
                  </w:r>
                </w:p>
              </w:tc>
            </w:tr>
            <w:tr w14:paraId="35BE0D1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1F7E6EB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w:t>
                  </w:r>
                </w:p>
              </w:tc>
              <w:tc>
                <w:tcPr>
                  <w:tcW w:w="2540" w:type="dxa"/>
                  <w:tcBorders>
                    <w:tl2br w:val="nil"/>
                    <w:tr2bl w:val="nil"/>
                  </w:tcBorders>
                  <w:vAlign w:val="center"/>
                </w:tcPr>
                <w:p w14:paraId="159ADC60">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SS（mg/L）</w:t>
                  </w:r>
                </w:p>
              </w:tc>
              <w:tc>
                <w:tcPr>
                  <w:tcW w:w="3826" w:type="dxa"/>
                  <w:tcBorders>
                    <w:tl2br w:val="nil"/>
                    <w:tr2bl w:val="nil"/>
                  </w:tcBorders>
                  <w:vAlign w:val="center"/>
                </w:tcPr>
                <w:p w14:paraId="34FDBCD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400</w:t>
                  </w:r>
                </w:p>
              </w:tc>
              <w:tc>
                <w:tcPr>
                  <w:tcW w:w="1556" w:type="dxa"/>
                  <w:tcBorders>
                    <w:tl2br w:val="nil"/>
                    <w:tr2bl w:val="nil"/>
                  </w:tcBorders>
                  <w:vAlign w:val="center"/>
                </w:tcPr>
                <w:p w14:paraId="62871DF0">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w:t>
                  </w:r>
                </w:p>
              </w:tc>
            </w:tr>
            <w:tr w14:paraId="7FB55BC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4057EA98">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5</w:t>
                  </w:r>
                </w:p>
              </w:tc>
              <w:tc>
                <w:tcPr>
                  <w:tcW w:w="2540" w:type="dxa"/>
                  <w:tcBorders>
                    <w:tl2br w:val="nil"/>
                    <w:tr2bl w:val="nil"/>
                  </w:tcBorders>
                  <w:vAlign w:val="center"/>
                </w:tcPr>
                <w:p w14:paraId="4BD296EB">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氨氮（mg/L）</w:t>
                  </w:r>
                </w:p>
              </w:tc>
              <w:tc>
                <w:tcPr>
                  <w:tcW w:w="3826" w:type="dxa"/>
                  <w:tcBorders>
                    <w:tl2br w:val="nil"/>
                    <w:tr2bl w:val="nil"/>
                  </w:tcBorders>
                  <w:vAlign w:val="center"/>
                </w:tcPr>
                <w:p w14:paraId="2EB528F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45</w:t>
                  </w:r>
                  <w:r>
                    <w:rPr>
                      <w:rFonts w:hint="eastAsia" w:ascii="宋体" w:hAnsi="宋体" w:eastAsia="宋体" w:cs="宋体"/>
                      <w:color w:val="000000" w:themeColor="text1"/>
                      <w:sz w:val="21"/>
                      <w:vertAlign w:val="superscript"/>
                      <w14:textFill>
                        <w14:solidFill>
                          <w14:schemeClr w14:val="tx1"/>
                        </w14:solidFill>
                      </w14:textFill>
                    </w:rPr>
                    <w:t>注</w:t>
                  </w:r>
                </w:p>
              </w:tc>
              <w:tc>
                <w:tcPr>
                  <w:tcW w:w="1556" w:type="dxa"/>
                  <w:tcBorders>
                    <w:tl2br w:val="nil"/>
                    <w:tr2bl w:val="nil"/>
                  </w:tcBorders>
                  <w:vAlign w:val="center"/>
                </w:tcPr>
                <w:p w14:paraId="12E3857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w:t>
                  </w:r>
                </w:p>
              </w:tc>
            </w:tr>
            <w:tr w14:paraId="25BD804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629F8C2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6</w:t>
                  </w:r>
                </w:p>
              </w:tc>
              <w:tc>
                <w:tcPr>
                  <w:tcW w:w="2540" w:type="dxa"/>
                  <w:tcBorders>
                    <w:tl2br w:val="nil"/>
                    <w:tr2bl w:val="nil"/>
                  </w:tcBorders>
                  <w:vAlign w:val="center"/>
                </w:tcPr>
                <w:p w14:paraId="7E5FD52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动植物油（mg/L）</w:t>
                  </w:r>
                </w:p>
              </w:tc>
              <w:tc>
                <w:tcPr>
                  <w:tcW w:w="3826" w:type="dxa"/>
                  <w:tcBorders>
                    <w:tl2br w:val="nil"/>
                    <w:tr2bl w:val="nil"/>
                  </w:tcBorders>
                  <w:vAlign w:val="center"/>
                </w:tcPr>
                <w:p w14:paraId="7C5B1C0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100</w:t>
                  </w:r>
                </w:p>
              </w:tc>
              <w:tc>
                <w:tcPr>
                  <w:tcW w:w="1556" w:type="dxa"/>
                  <w:tcBorders>
                    <w:tl2br w:val="nil"/>
                    <w:tr2bl w:val="nil"/>
                  </w:tcBorders>
                  <w:vAlign w:val="center"/>
                </w:tcPr>
                <w:p w14:paraId="06164345">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w:t>
                  </w:r>
                </w:p>
              </w:tc>
            </w:tr>
            <w:tr w14:paraId="5D2F58D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83" w:type="dxa"/>
                  <w:tcBorders>
                    <w:tl2br w:val="nil"/>
                    <w:tr2bl w:val="nil"/>
                  </w:tcBorders>
                  <w:vAlign w:val="center"/>
                </w:tcPr>
                <w:p w14:paraId="00A07D6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7</w:t>
                  </w:r>
                </w:p>
              </w:tc>
              <w:tc>
                <w:tcPr>
                  <w:tcW w:w="2540" w:type="dxa"/>
                  <w:tcBorders>
                    <w:tl2br w:val="nil"/>
                    <w:tr2bl w:val="nil"/>
                  </w:tcBorders>
                  <w:vAlign w:val="center"/>
                </w:tcPr>
                <w:p w14:paraId="5C72FEB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石油类（mg/L）</w:t>
                  </w:r>
                </w:p>
              </w:tc>
              <w:tc>
                <w:tcPr>
                  <w:tcW w:w="3826" w:type="dxa"/>
                  <w:tcBorders>
                    <w:tl2br w:val="nil"/>
                    <w:tr2bl w:val="nil"/>
                  </w:tcBorders>
                  <w:vAlign w:val="center"/>
                </w:tcPr>
                <w:p w14:paraId="06C847F2">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20</w:t>
                  </w:r>
                </w:p>
              </w:tc>
              <w:tc>
                <w:tcPr>
                  <w:tcW w:w="1556" w:type="dxa"/>
                  <w:tcBorders>
                    <w:tl2br w:val="nil"/>
                    <w:tr2bl w:val="nil"/>
                  </w:tcBorders>
                  <w:vAlign w:val="center"/>
                </w:tcPr>
                <w:p w14:paraId="606C01CD">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w:t>
                  </w:r>
                </w:p>
              </w:tc>
            </w:tr>
            <w:tr w14:paraId="309BA3D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05" w:type="dxa"/>
                  <w:gridSpan w:val="4"/>
                  <w:tcBorders>
                    <w:tl2br w:val="nil"/>
                    <w:tr2bl w:val="nil"/>
                  </w:tcBorders>
                  <w:vAlign w:val="center"/>
                </w:tcPr>
                <w:p w14:paraId="337DCD25">
                  <w:pPr>
                    <w:pStyle w:val="41"/>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bCs/>
                      <w:color w:val="000000" w:themeColor="text1"/>
                      <w:sz w:val="21"/>
                      <w14:textFill>
                        <w14:solidFill>
                          <w14:schemeClr w14:val="tx1"/>
                        </w14:solidFill>
                      </w14:textFill>
                    </w:rPr>
                    <w:t>注：</w:t>
                  </w:r>
                  <w:r>
                    <w:rPr>
                      <w:rFonts w:hint="eastAsia" w:ascii="宋体" w:hAnsi="宋体" w:eastAsia="宋体" w:cs="宋体"/>
                      <w:color w:val="000000" w:themeColor="text1"/>
                      <w:sz w:val="21"/>
                      <w14:textFill>
                        <w14:solidFill>
                          <w14:schemeClr w14:val="tx1"/>
                        </w14:solidFill>
                      </w14:textFill>
                    </w:rPr>
                    <w:t>氨氮参照执行《污水排入城镇下水道水质标准》（GB/T31962-2015）表1中B级标准。</w:t>
                  </w:r>
                </w:p>
              </w:tc>
            </w:tr>
          </w:tbl>
          <w:p w14:paraId="570CB17A">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噪声排放标准</w:t>
            </w:r>
          </w:p>
          <w:p w14:paraId="066A5A87">
            <w:pPr>
              <w:spacing w:line="360" w:lineRule="auto"/>
              <w:ind w:firstLine="482"/>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项目区划为</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类声功能区，运营期厂界噪声排放执行《工业企业厂界环境噪声排放标准》（GB12348-20</w:t>
            </w:r>
            <w:r>
              <w:rPr>
                <w:rFonts w:hint="eastAsia" w:ascii="宋体" w:hAnsi="宋体" w:cs="宋体"/>
                <w:color w:val="000000" w:themeColor="text1"/>
                <w:sz w:val="24"/>
                <w:szCs w:val="24"/>
                <w:lang w:val="en-US" w:eastAsia="zh-CN"/>
                <w14:textFill>
                  <w14:solidFill>
                    <w14:schemeClr w14:val="tx1"/>
                  </w14:solidFill>
                </w14:textFill>
              </w:rPr>
              <w:t>08</w:t>
            </w:r>
            <w:r>
              <w:rPr>
                <w:rFonts w:hint="eastAsia" w:ascii="宋体" w:hAnsi="宋体" w:eastAsia="宋体" w:cs="宋体"/>
                <w:color w:val="000000" w:themeColor="text1"/>
                <w:sz w:val="24"/>
                <w:szCs w:val="24"/>
                <w14:textFill>
                  <w14:solidFill>
                    <w14:schemeClr w14:val="tx1"/>
                  </w14:solidFill>
                </w14:textFill>
              </w:rPr>
              <w:t>）中</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类标准限值。具体排放限值详见</w:t>
            </w:r>
            <w:r>
              <w:rPr>
                <w:rFonts w:hint="eastAsia" w:ascii="宋体" w:hAnsi="宋体" w:cs="宋体"/>
                <w:color w:val="000000" w:themeColor="text1"/>
                <w:sz w:val="24"/>
                <w:szCs w:val="24"/>
                <w:lang w:eastAsia="zh-CN"/>
                <w14:textFill>
                  <w14:solidFill>
                    <w14:schemeClr w14:val="tx1"/>
                  </w14:solidFill>
                </w14:textFill>
              </w:rPr>
              <w:t>下表</w:t>
            </w:r>
            <w:r>
              <w:rPr>
                <w:rFonts w:hint="eastAsia" w:ascii="宋体" w:hAnsi="宋体" w:eastAsia="宋体" w:cs="宋体"/>
                <w:color w:val="000000" w:themeColor="text1"/>
                <w:sz w:val="24"/>
                <w:szCs w:val="24"/>
                <w14:textFill>
                  <w14:solidFill>
                    <w14:schemeClr w14:val="tx1"/>
                  </w14:solidFill>
                </w14:textFill>
              </w:rPr>
              <w:t>。</w:t>
            </w:r>
          </w:p>
          <w:p w14:paraId="465AF583">
            <w:pPr>
              <w:pStyle w:val="37"/>
              <w:rPr>
                <w:rFonts w:hint="eastAsia" w:ascii="宋体" w:hAnsi="宋体" w:eastAsia="宋体" w:cs="宋体"/>
                <w:color w:val="000000" w:themeColor="text1"/>
                <w:sz w:val="21"/>
                <w:szCs w:val="21"/>
                <w14:textFill>
                  <w14:solidFill>
                    <w14:schemeClr w14:val="tx1"/>
                  </w14:solidFill>
                </w14:textFill>
              </w:rPr>
            </w:pPr>
          </w:p>
          <w:p w14:paraId="7FA02D00">
            <w:pPr>
              <w:pStyle w:val="37"/>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表3-</w:t>
            </w: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 xml:space="preserve"> 《建筑施工噪声排放标准》（GB12523-20</w:t>
            </w:r>
            <w:r>
              <w:rPr>
                <w:rFonts w:hint="eastAsia" w:ascii="宋体" w:hAnsi="宋体" w:cs="宋体"/>
                <w:color w:val="000000" w:themeColor="text1"/>
                <w:sz w:val="21"/>
                <w:szCs w:val="21"/>
                <w:lang w:val="en-US" w:eastAsia="zh-CN"/>
                <w14:textFill>
                  <w14:solidFill>
                    <w14:schemeClr w14:val="tx1"/>
                  </w14:solidFill>
                </w14:textFill>
              </w:rPr>
              <w:t>25</w:t>
            </w:r>
            <w:r>
              <w:rPr>
                <w:rFonts w:hint="eastAsia" w:ascii="宋体" w:hAnsi="宋体" w:eastAsia="宋体" w:cs="宋体"/>
                <w:color w:val="000000" w:themeColor="text1"/>
                <w:sz w:val="21"/>
                <w:szCs w:val="21"/>
                <w14:textFill>
                  <w14:solidFill>
                    <w14:schemeClr w14:val="tx1"/>
                  </w14:solidFill>
                </w14:textFill>
              </w:rPr>
              <w:t>）</w:t>
            </w:r>
          </w:p>
          <w:tbl>
            <w:tblPr>
              <w:tblStyle w:val="25"/>
              <w:tblW w:w="4999"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3178"/>
              <w:gridCol w:w="3021"/>
              <w:gridCol w:w="2435"/>
            </w:tblGrid>
            <w:tr w14:paraId="5FC7E54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0" w:type="pct"/>
                  <w:tcBorders>
                    <w:tl2br w:val="nil"/>
                    <w:tr2bl w:val="nil"/>
                  </w:tcBorders>
                  <w:vAlign w:val="center"/>
                </w:tcPr>
                <w:p w14:paraId="0FF8988D">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1749" w:type="pct"/>
                  <w:tcBorders>
                    <w:tl2br w:val="nil"/>
                    <w:tr2bl w:val="nil"/>
                  </w:tcBorders>
                  <w:vAlign w:val="center"/>
                </w:tcPr>
                <w:p w14:paraId="113CE62D">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昼间/dB（A）</w:t>
                  </w:r>
                </w:p>
              </w:tc>
              <w:tc>
                <w:tcPr>
                  <w:tcW w:w="1409" w:type="pct"/>
                  <w:tcBorders>
                    <w:tl2br w:val="nil"/>
                    <w:tr2bl w:val="nil"/>
                  </w:tcBorders>
                  <w:vAlign w:val="center"/>
                </w:tcPr>
                <w:p w14:paraId="6A61DE53">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夜间/dB（A）</w:t>
                  </w:r>
                </w:p>
              </w:tc>
            </w:tr>
            <w:tr w14:paraId="6C063EA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40" w:type="pct"/>
                  <w:tcBorders>
                    <w:tl2br w:val="nil"/>
                    <w:tr2bl w:val="nil"/>
                  </w:tcBorders>
                  <w:vAlign w:val="center"/>
                </w:tcPr>
                <w:p w14:paraId="74A81F08">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场界环境噪声排放限值</w:t>
                  </w:r>
                </w:p>
              </w:tc>
              <w:tc>
                <w:tcPr>
                  <w:tcW w:w="1749" w:type="pct"/>
                  <w:tcBorders>
                    <w:tl2br w:val="nil"/>
                    <w:tr2bl w:val="nil"/>
                  </w:tcBorders>
                  <w:vAlign w:val="center"/>
                </w:tcPr>
                <w:p w14:paraId="11BF584A">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70</w:t>
                  </w:r>
                </w:p>
              </w:tc>
              <w:tc>
                <w:tcPr>
                  <w:tcW w:w="1409" w:type="pct"/>
                  <w:tcBorders>
                    <w:tl2br w:val="nil"/>
                    <w:tr2bl w:val="nil"/>
                  </w:tcBorders>
                  <w:vAlign w:val="center"/>
                </w:tcPr>
                <w:p w14:paraId="6A7869E2">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55</w:t>
                  </w:r>
                </w:p>
              </w:tc>
            </w:tr>
          </w:tbl>
          <w:p w14:paraId="0E490D99">
            <w:pPr>
              <w:pStyle w:val="37"/>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表3-</w:t>
            </w: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 xml:space="preserve"> 《工业企业厂界环境噪声排放标准》（GB12348-20</w:t>
            </w:r>
            <w:r>
              <w:rPr>
                <w:rFonts w:hint="eastAsia" w:ascii="宋体" w:hAnsi="宋体" w:cs="宋体"/>
                <w:color w:val="000000" w:themeColor="text1"/>
                <w:sz w:val="21"/>
                <w:szCs w:val="21"/>
                <w:lang w:val="en-US" w:eastAsia="zh-CN"/>
                <w14:textFill>
                  <w14:solidFill>
                    <w14:schemeClr w14:val="tx1"/>
                  </w14:solidFill>
                </w14:textFill>
              </w:rPr>
              <w:t>08</w:t>
            </w:r>
            <w:r>
              <w:rPr>
                <w:rFonts w:hint="eastAsia" w:ascii="宋体" w:hAnsi="宋体" w:eastAsia="宋体" w:cs="宋体"/>
                <w:color w:val="000000" w:themeColor="text1"/>
                <w:sz w:val="21"/>
                <w:szCs w:val="21"/>
                <w14:textFill>
                  <w14:solidFill>
                    <w14:schemeClr w14:val="tx1"/>
                  </w14:solidFill>
                </w14:textFill>
              </w:rPr>
              <w:t>）</w:t>
            </w:r>
          </w:p>
          <w:tbl>
            <w:tblPr>
              <w:tblStyle w:val="25"/>
              <w:tblW w:w="8505"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2241"/>
              <w:gridCol w:w="2580"/>
              <w:gridCol w:w="1842"/>
              <w:gridCol w:w="1842"/>
            </w:tblGrid>
            <w:tr w14:paraId="4756916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41" w:type="dxa"/>
                  <w:tcBorders>
                    <w:tl2br w:val="nil"/>
                    <w:tr2bl w:val="nil"/>
                  </w:tcBorders>
                  <w:vAlign w:val="center"/>
                </w:tcPr>
                <w:p w14:paraId="23EF79C5">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位置</w:t>
                  </w:r>
                </w:p>
              </w:tc>
              <w:tc>
                <w:tcPr>
                  <w:tcW w:w="2580" w:type="dxa"/>
                  <w:tcBorders>
                    <w:tl2br w:val="nil"/>
                    <w:tr2bl w:val="nil"/>
                  </w:tcBorders>
                  <w:vAlign w:val="center"/>
                </w:tcPr>
                <w:p w14:paraId="00E770F4">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厂界外声环境功能区类别</w:t>
                  </w:r>
                </w:p>
              </w:tc>
              <w:tc>
                <w:tcPr>
                  <w:tcW w:w="1842" w:type="dxa"/>
                  <w:tcBorders>
                    <w:tl2br w:val="nil"/>
                    <w:tr2bl w:val="nil"/>
                  </w:tcBorders>
                  <w:vAlign w:val="center"/>
                </w:tcPr>
                <w:p w14:paraId="55793210">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昼间/dB（A）</w:t>
                  </w:r>
                </w:p>
              </w:tc>
              <w:tc>
                <w:tcPr>
                  <w:tcW w:w="1842" w:type="dxa"/>
                  <w:tcBorders>
                    <w:tl2br w:val="nil"/>
                    <w:tr2bl w:val="nil"/>
                  </w:tcBorders>
                  <w:vAlign w:val="center"/>
                </w:tcPr>
                <w:p w14:paraId="6CBB6548">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夜间/dB（A）</w:t>
                  </w:r>
                </w:p>
              </w:tc>
            </w:tr>
            <w:tr w14:paraId="0CEDB78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41" w:type="dxa"/>
                  <w:tcBorders>
                    <w:tl2br w:val="nil"/>
                    <w:tr2bl w:val="nil"/>
                  </w:tcBorders>
                  <w:vAlign w:val="center"/>
                </w:tcPr>
                <w:p w14:paraId="148BE5F6">
                  <w:pPr>
                    <w:pStyle w:val="38"/>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项目厂界外1m</w:t>
                  </w:r>
                </w:p>
              </w:tc>
              <w:tc>
                <w:tcPr>
                  <w:tcW w:w="2580" w:type="dxa"/>
                  <w:tcBorders>
                    <w:tl2br w:val="nil"/>
                    <w:tr2bl w:val="nil"/>
                  </w:tcBorders>
                  <w:vAlign w:val="center"/>
                </w:tcPr>
                <w:p w14:paraId="0A56E537">
                  <w:pPr>
                    <w:pStyle w:val="38"/>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1842" w:type="dxa"/>
                  <w:tcBorders>
                    <w:tl2br w:val="nil"/>
                    <w:tr2bl w:val="nil"/>
                  </w:tcBorders>
                  <w:vAlign w:val="center"/>
                </w:tcPr>
                <w:p w14:paraId="390C534F">
                  <w:pPr>
                    <w:pStyle w:val="38"/>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65</w:t>
                  </w:r>
                </w:p>
              </w:tc>
              <w:tc>
                <w:tcPr>
                  <w:tcW w:w="1842" w:type="dxa"/>
                  <w:tcBorders>
                    <w:tl2br w:val="nil"/>
                    <w:tr2bl w:val="nil"/>
                  </w:tcBorders>
                  <w:vAlign w:val="center"/>
                </w:tcPr>
                <w:p w14:paraId="1219E78F">
                  <w:pPr>
                    <w:pStyle w:val="38"/>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55</w:t>
                  </w:r>
                </w:p>
              </w:tc>
            </w:tr>
          </w:tbl>
          <w:p w14:paraId="3827E815">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固废排放标准</w:t>
            </w:r>
          </w:p>
          <w:p w14:paraId="567234E0">
            <w:pPr>
              <w:tabs>
                <w:tab w:val="left" w:pos="1080"/>
                <w:tab w:val="left" w:pos="5400"/>
              </w:tabs>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项目一般工业固体废物按《一般工业固体废物贮存和填埋污染控制标准》（GB18599-2020）的要求处置。危险废物按《危险废物贮存污染控制标准》（GB18597-20</w:t>
            </w:r>
            <w:r>
              <w:rPr>
                <w:rFonts w:hint="eastAsia" w:ascii="宋体" w:hAnsi="宋体" w:cs="宋体"/>
                <w:color w:val="000000" w:themeColor="text1"/>
                <w:sz w:val="24"/>
                <w:szCs w:val="24"/>
                <w:lang w:val="en-US" w:eastAsia="zh-CN"/>
                <w14:textFill>
                  <w14:solidFill>
                    <w14:schemeClr w14:val="tx1"/>
                  </w14:solidFill>
                </w14:textFill>
              </w:rPr>
              <w:t>23</w:t>
            </w:r>
            <w:r>
              <w:rPr>
                <w:rFonts w:hint="eastAsia" w:ascii="宋体" w:hAnsi="宋体" w:eastAsia="宋体" w:cs="宋体"/>
                <w:color w:val="000000" w:themeColor="text1"/>
                <w:sz w:val="24"/>
                <w:szCs w:val="24"/>
                <w14:textFill>
                  <w14:solidFill>
                    <w14:schemeClr w14:val="tx1"/>
                  </w14:solidFill>
                </w14:textFill>
              </w:rPr>
              <w:t>）。</w:t>
            </w:r>
          </w:p>
        </w:tc>
      </w:tr>
      <w:tr w14:paraId="1401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426" w:type="dxa"/>
            <w:tcBorders>
              <w:tl2br w:val="nil"/>
              <w:tr2bl w:val="nil"/>
            </w:tcBorders>
            <w:vAlign w:val="center"/>
          </w:tcPr>
          <w:p w14:paraId="700C89DB">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总量</w:t>
            </w:r>
          </w:p>
          <w:p w14:paraId="3A377C1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控制</w:t>
            </w:r>
          </w:p>
          <w:p w14:paraId="248C3862">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指标</w:t>
            </w:r>
          </w:p>
        </w:tc>
        <w:tc>
          <w:tcPr>
            <w:tcW w:w="8766" w:type="dxa"/>
            <w:tcBorders>
              <w:tl2br w:val="nil"/>
              <w:tr2bl w:val="nil"/>
            </w:tcBorders>
            <w:vAlign w:val="center"/>
          </w:tcPr>
          <w:p w14:paraId="250F91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b w:val="0"/>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宋体"/>
                <w:b w:val="0"/>
                <w:bCs/>
                <w:caps w:val="0"/>
                <w:color w:val="000000" w:themeColor="text1"/>
                <w:sz w:val="24"/>
                <w:szCs w:val="24"/>
                <w:highlight w:val="none"/>
                <w:u w:val="none" w:color="auto"/>
                <w:lang w:val="en-US" w:eastAsia="zh-CN"/>
                <w14:textFill>
                  <w14:solidFill>
                    <w14:schemeClr w14:val="tx1"/>
                  </w14:solidFill>
                </w14:textFill>
              </w:rPr>
              <w:t>依据吉林省生态环境厅《关于进一步明确建设项目主要污染物排放总量审核有关事宜的复函》按照行业排污绩效，将建设项目污染物排放总量分为重点行业排放管理、一般行业排放管理和其他行业排放管理三类管理方式，本项目属于一般行业建设项目，无需编制削减替代方案和提供减量替代污染源。在环评审批过程中，仅对测算的新增排放量进行审核。在新增污染物排放事中事后管理中，将其纳入排污许可证进行监管。</w:t>
            </w:r>
          </w:p>
          <w:p w14:paraId="5D2DD6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b w:val="0"/>
                <w:bCs/>
                <w:caps w:val="0"/>
                <w:color w:val="000000" w:themeColor="text1"/>
                <w:sz w:val="24"/>
                <w:szCs w:val="24"/>
                <w:highlight w:val="yellow"/>
                <w:u w:val="none" w:color="auto"/>
                <w:lang w:val="en-US" w:eastAsia="zh-CN"/>
                <w14:textFill>
                  <w14:solidFill>
                    <w14:schemeClr w14:val="tx1"/>
                  </w14:solidFill>
                </w14:textFill>
              </w:rPr>
            </w:pPr>
            <w:r>
              <w:rPr>
                <w:rFonts w:hint="eastAsia" w:ascii="Times New Roman" w:hAnsi="Times New Roman" w:eastAsia="宋体" w:cs="宋体"/>
                <w:b w:val="0"/>
                <w:bCs/>
                <w:caps w:val="0"/>
                <w:color w:val="000000" w:themeColor="text1"/>
                <w:sz w:val="24"/>
                <w:szCs w:val="24"/>
                <w:highlight w:val="none"/>
                <w:u w:val="none" w:color="auto"/>
                <w:lang w:val="en-US" w:eastAsia="zh-CN"/>
                <w14:textFill>
                  <w14:solidFill>
                    <w14:schemeClr w14:val="tx1"/>
                  </w14:solidFill>
                </w14:textFill>
              </w:rPr>
              <w:t>项目建成后废水</w:t>
            </w:r>
            <w:r>
              <w:rPr>
                <w:rFonts w:hint="eastAsia" w:cs="宋体"/>
                <w:b w:val="0"/>
                <w:bCs/>
                <w:caps w:val="0"/>
                <w:color w:val="000000" w:themeColor="text1"/>
                <w:sz w:val="24"/>
                <w:szCs w:val="24"/>
                <w:highlight w:val="none"/>
                <w:u w:val="none" w:color="auto"/>
                <w:lang w:val="en-US" w:eastAsia="zh-CN"/>
                <w14:textFill>
                  <w14:solidFill>
                    <w14:schemeClr w14:val="tx1"/>
                  </w14:solidFill>
                </w14:textFill>
              </w:rPr>
              <w:t>主要为生活污水及初期雨水，初期雨水具有不确定性，因此仅计算生活污水污染物排放量，</w:t>
            </w:r>
            <w:r>
              <w:rPr>
                <w:rFonts w:hint="eastAsia" w:ascii="宋体" w:hAnsi="宋体" w:cs="宋体"/>
                <w:color w:val="000000" w:themeColor="text1"/>
                <w:highlight w:val="none"/>
                <w:lang w:val="en-US" w:eastAsia="zh-CN"/>
                <w14:textFill>
                  <w14:solidFill>
                    <w14:schemeClr w14:val="tx1"/>
                  </w14:solidFill>
                </w14:textFill>
              </w:rPr>
              <w:t>COD产生量为0.08</w:t>
            </w:r>
            <w:r>
              <w:rPr>
                <w:rFonts w:hint="eastAsia" w:ascii="宋体" w:hAnsi="宋体" w:eastAsia="宋体" w:cs="宋体"/>
                <w:color w:val="000000" w:themeColor="text1"/>
                <w:highlight w:val="none"/>
                <w14:textFill>
                  <w14:solidFill>
                    <w14:schemeClr w14:val="tx1"/>
                  </w14:solidFill>
                </w14:textFill>
              </w:rPr>
              <w:t>t/a，</w:t>
            </w:r>
            <w:r>
              <w:rPr>
                <w:rFonts w:hint="eastAsia" w:ascii="宋体" w:hAnsi="宋体" w:cs="宋体"/>
                <w:color w:val="000000" w:themeColor="text1"/>
                <w:highlight w:val="none"/>
                <w:lang w:val="en-US" w:eastAsia="zh-CN"/>
                <w14:textFill>
                  <w14:solidFill>
                    <w14:schemeClr w14:val="tx1"/>
                  </w14:solidFill>
                </w14:textFill>
              </w:rPr>
              <w:t>NH3-N为0.005</w:t>
            </w:r>
            <w:r>
              <w:rPr>
                <w:rFonts w:hint="eastAsia" w:ascii="宋体" w:hAnsi="宋体" w:eastAsia="宋体" w:cs="宋体"/>
                <w:color w:val="000000" w:themeColor="text1"/>
                <w:highlight w:val="none"/>
                <w14:textFill>
                  <w14:solidFill>
                    <w14:schemeClr w14:val="tx1"/>
                  </w14:solidFill>
                </w14:textFill>
              </w:rPr>
              <w:t>t/a</w:t>
            </w:r>
            <w:r>
              <w:rPr>
                <w:rFonts w:hint="eastAsia" w:ascii="宋体" w:hAnsi="宋体" w:eastAsia="宋体" w:cs="宋体"/>
                <w:b w:val="0"/>
                <w:bCs/>
                <w:caps w:val="0"/>
                <w:color w:val="000000" w:themeColor="text1"/>
                <w:sz w:val="24"/>
                <w:szCs w:val="24"/>
                <w:highlight w:val="none"/>
                <w:u w:val="none" w:color="auto"/>
                <w:lang w:val="en-US" w:eastAsia="zh-CN"/>
                <w14:textFill>
                  <w14:solidFill>
                    <w14:schemeClr w14:val="tx1"/>
                  </w14:solidFill>
                </w14:textFill>
              </w:rPr>
              <w:t>。</w:t>
            </w:r>
          </w:p>
          <w:p w14:paraId="73AD20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000000" w:themeColor="text1"/>
                <w:lang w:val="en-US" w:eastAsia="zh-CN"/>
                <w14:textFill>
                  <w14:solidFill>
                    <w14:schemeClr w14:val="tx1"/>
                  </w14:solidFill>
                </w14:textFill>
              </w:rPr>
            </w:pPr>
          </w:p>
          <w:p w14:paraId="737F58F0">
            <w:pPr>
              <w:pStyle w:val="38"/>
              <w:jc w:val="both"/>
              <w:rPr>
                <w:rFonts w:hint="eastAsia" w:ascii="宋体" w:hAnsi="宋体" w:eastAsia="宋体" w:cs="宋体"/>
                <w:color w:val="000000" w:themeColor="text1"/>
                <w14:textFill>
                  <w14:solidFill>
                    <w14:schemeClr w14:val="tx1"/>
                  </w14:solidFill>
                </w14:textFill>
              </w:rPr>
            </w:pPr>
          </w:p>
          <w:p w14:paraId="288316B2">
            <w:pPr>
              <w:pStyle w:val="38"/>
              <w:jc w:val="both"/>
              <w:rPr>
                <w:rFonts w:hint="eastAsia" w:ascii="宋体" w:hAnsi="宋体" w:eastAsia="宋体" w:cs="宋体"/>
                <w:color w:val="000000" w:themeColor="text1"/>
                <w14:textFill>
                  <w14:solidFill>
                    <w14:schemeClr w14:val="tx1"/>
                  </w14:solidFill>
                </w14:textFill>
              </w:rPr>
            </w:pPr>
          </w:p>
          <w:p w14:paraId="7AD7505A">
            <w:pPr>
              <w:pStyle w:val="38"/>
              <w:jc w:val="both"/>
              <w:rPr>
                <w:rFonts w:hint="eastAsia" w:ascii="宋体" w:hAnsi="宋体" w:eastAsia="宋体" w:cs="宋体"/>
                <w:color w:val="000000" w:themeColor="text1"/>
                <w14:textFill>
                  <w14:solidFill>
                    <w14:schemeClr w14:val="tx1"/>
                  </w14:solidFill>
                </w14:textFill>
              </w:rPr>
            </w:pPr>
          </w:p>
          <w:p w14:paraId="3728543C">
            <w:pPr>
              <w:pStyle w:val="38"/>
              <w:jc w:val="both"/>
              <w:rPr>
                <w:rFonts w:hint="eastAsia" w:ascii="宋体" w:hAnsi="宋体" w:eastAsia="宋体" w:cs="宋体"/>
                <w:color w:val="000000" w:themeColor="text1"/>
                <w14:textFill>
                  <w14:solidFill>
                    <w14:schemeClr w14:val="tx1"/>
                  </w14:solidFill>
                </w14:textFill>
              </w:rPr>
            </w:pPr>
          </w:p>
          <w:p w14:paraId="4CFBB4B9">
            <w:pPr>
              <w:pStyle w:val="38"/>
              <w:jc w:val="both"/>
              <w:rPr>
                <w:rFonts w:hint="eastAsia" w:ascii="宋体" w:hAnsi="宋体" w:eastAsia="宋体" w:cs="宋体"/>
                <w:color w:val="000000" w:themeColor="text1"/>
                <w14:textFill>
                  <w14:solidFill>
                    <w14:schemeClr w14:val="tx1"/>
                  </w14:solidFill>
                </w14:textFill>
              </w:rPr>
            </w:pPr>
          </w:p>
          <w:p w14:paraId="2DBC395C">
            <w:pPr>
              <w:pStyle w:val="38"/>
              <w:jc w:val="both"/>
              <w:rPr>
                <w:rFonts w:hint="eastAsia" w:ascii="宋体" w:hAnsi="宋体" w:eastAsia="宋体" w:cs="宋体"/>
                <w:color w:val="000000" w:themeColor="text1"/>
                <w14:textFill>
                  <w14:solidFill>
                    <w14:schemeClr w14:val="tx1"/>
                  </w14:solidFill>
                </w14:textFill>
              </w:rPr>
            </w:pPr>
          </w:p>
          <w:p w14:paraId="596E317B">
            <w:pPr>
              <w:pStyle w:val="38"/>
              <w:jc w:val="both"/>
              <w:rPr>
                <w:rFonts w:hint="eastAsia" w:ascii="宋体" w:hAnsi="宋体" w:eastAsia="宋体" w:cs="宋体"/>
                <w:color w:val="000000" w:themeColor="text1"/>
                <w14:textFill>
                  <w14:solidFill>
                    <w14:schemeClr w14:val="tx1"/>
                  </w14:solidFill>
                </w14:textFill>
              </w:rPr>
            </w:pPr>
          </w:p>
          <w:p w14:paraId="3B06A874">
            <w:pPr>
              <w:pStyle w:val="38"/>
              <w:jc w:val="both"/>
              <w:rPr>
                <w:rFonts w:hint="eastAsia" w:ascii="宋体" w:hAnsi="宋体" w:eastAsia="宋体" w:cs="宋体"/>
                <w:color w:val="000000" w:themeColor="text1"/>
                <w14:textFill>
                  <w14:solidFill>
                    <w14:schemeClr w14:val="tx1"/>
                  </w14:solidFill>
                </w14:textFill>
              </w:rPr>
            </w:pPr>
          </w:p>
          <w:p w14:paraId="21FF1111">
            <w:pPr>
              <w:pStyle w:val="38"/>
              <w:jc w:val="both"/>
              <w:rPr>
                <w:rFonts w:hint="eastAsia" w:ascii="宋体" w:hAnsi="宋体" w:eastAsia="宋体" w:cs="宋体"/>
                <w:color w:val="000000" w:themeColor="text1"/>
                <w14:textFill>
                  <w14:solidFill>
                    <w14:schemeClr w14:val="tx1"/>
                  </w14:solidFill>
                </w14:textFill>
              </w:rPr>
            </w:pPr>
          </w:p>
          <w:p w14:paraId="739F472B">
            <w:pPr>
              <w:pStyle w:val="38"/>
              <w:jc w:val="both"/>
              <w:rPr>
                <w:rFonts w:hint="eastAsia" w:ascii="宋体" w:hAnsi="宋体" w:eastAsia="宋体" w:cs="宋体"/>
                <w:color w:val="000000" w:themeColor="text1"/>
                <w14:textFill>
                  <w14:solidFill>
                    <w14:schemeClr w14:val="tx1"/>
                  </w14:solidFill>
                </w14:textFill>
              </w:rPr>
            </w:pPr>
          </w:p>
          <w:p w14:paraId="3FEB6B1C">
            <w:pPr>
              <w:pStyle w:val="38"/>
              <w:jc w:val="both"/>
              <w:rPr>
                <w:rFonts w:hint="eastAsia" w:ascii="宋体" w:hAnsi="宋体" w:eastAsia="宋体" w:cs="宋体"/>
                <w:color w:val="000000" w:themeColor="text1"/>
                <w14:textFill>
                  <w14:solidFill>
                    <w14:schemeClr w14:val="tx1"/>
                  </w14:solidFill>
                </w14:textFill>
              </w:rPr>
            </w:pPr>
          </w:p>
          <w:p w14:paraId="3E4E05C7">
            <w:pPr>
              <w:pStyle w:val="38"/>
              <w:jc w:val="both"/>
              <w:rPr>
                <w:rFonts w:hint="eastAsia" w:ascii="宋体" w:hAnsi="宋体" w:eastAsia="宋体" w:cs="宋体"/>
                <w:color w:val="000000" w:themeColor="text1"/>
                <w14:textFill>
                  <w14:solidFill>
                    <w14:schemeClr w14:val="tx1"/>
                  </w14:solidFill>
                </w14:textFill>
              </w:rPr>
            </w:pPr>
          </w:p>
          <w:p w14:paraId="75ADD056">
            <w:pPr>
              <w:pStyle w:val="38"/>
              <w:jc w:val="both"/>
              <w:rPr>
                <w:rFonts w:hint="eastAsia" w:ascii="宋体" w:hAnsi="宋体" w:eastAsia="宋体" w:cs="宋体"/>
                <w:color w:val="000000" w:themeColor="text1"/>
                <w14:textFill>
                  <w14:solidFill>
                    <w14:schemeClr w14:val="tx1"/>
                  </w14:solidFill>
                </w14:textFill>
              </w:rPr>
            </w:pPr>
          </w:p>
          <w:p w14:paraId="2A953F17">
            <w:pPr>
              <w:pStyle w:val="38"/>
              <w:jc w:val="both"/>
              <w:rPr>
                <w:rFonts w:hint="eastAsia" w:ascii="宋体" w:hAnsi="宋体" w:eastAsia="宋体" w:cs="宋体"/>
                <w:color w:val="000000" w:themeColor="text1"/>
                <w14:textFill>
                  <w14:solidFill>
                    <w14:schemeClr w14:val="tx1"/>
                  </w14:solidFill>
                </w14:textFill>
              </w:rPr>
            </w:pPr>
          </w:p>
          <w:p w14:paraId="6CA2489B">
            <w:pPr>
              <w:pStyle w:val="38"/>
              <w:jc w:val="both"/>
              <w:rPr>
                <w:rFonts w:hint="eastAsia" w:ascii="宋体" w:hAnsi="宋体" w:eastAsia="宋体" w:cs="宋体"/>
                <w:color w:val="000000" w:themeColor="text1"/>
                <w14:textFill>
                  <w14:solidFill>
                    <w14:schemeClr w14:val="tx1"/>
                  </w14:solidFill>
                </w14:textFill>
              </w:rPr>
            </w:pPr>
          </w:p>
          <w:p w14:paraId="55D91F3E">
            <w:pPr>
              <w:pStyle w:val="38"/>
              <w:jc w:val="both"/>
              <w:rPr>
                <w:rFonts w:hint="eastAsia" w:ascii="宋体" w:hAnsi="宋体" w:eastAsia="宋体" w:cs="宋体"/>
                <w:color w:val="000000" w:themeColor="text1"/>
                <w14:textFill>
                  <w14:solidFill>
                    <w14:schemeClr w14:val="tx1"/>
                  </w14:solidFill>
                </w14:textFill>
              </w:rPr>
            </w:pPr>
          </w:p>
          <w:p w14:paraId="7D606562">
            <w:pPr>
              <w:pStyle w:val="38"/>
              <w:jc w:val="both"/>
              <w:rPr>
                <w:rFonts w:hint="eastAsia" w:ascii="宋体" w:hAnsi="宋体" w:eastAsia="宋体" w:cs="宋体"/>
                <w:color w:val="000000" w:themeColor="text1"/>
                <w14:textFill>
                  <w14:solidFill>
                    <w14:schemeClr w14:val="tx1"/>
                  </w14:solidFill>
                </w14:textFill>
              </w:rPr>
            </w:pPr>
          </w:p>
          <w:p w14:paraId="70234F91">
            <w:pPr>
              <w:pStyle w:val="38"/>
              <w:jc w:val="both"/>
              <w:rPr>
                <w:rFonts w:hint="eastAsia" w:ascii="宋体" w:hAnsi="宋体" w:eastAsia="宋体" w:cs="宋体"/>
                <w:color w:val="000000" w:themeColor="text1"/>
                <w14:textFill>
                  <w14:solidFill>
                    <w14:schemeClr w14:val="tx1"/>
                  </w14:solidFill>
                </w14:textFill>
              </w:rPr>
            </w:pPr>
          </w:p>
          <w:p w14:paraId="70C5248A">
            <w:pPr>
              <w:pStyle w:val="38"/>
              <w:jc w:val="both"/>
              <w:rPr>
                <w:rFonts w:hint="eastAsia" w:ascii="宋体" w:hAnsi="宋体" w:eastAsia="宋体" w:cs="宋体"/>
                <w:color w:val="000000" w:themeColor="text1"/>
                <w14:textFill>
                  <w14:solidFill>
                    <w14:schemeClr w14:val="tx1"/>
                  </w14:solidFill>
                </w14:textFill>
              </w:rPr>
            </w:pPr>
          </w:p>
          <w:p w14:paraId="70982459">
            <w:pPr>
              <w:pStyle w:val="38"/>
              <w:jc w:val="both"/>
              <w:rPr>
                <w:rFonts w:hint="eastAsia" w:ascii="宋体" w:hAnsi="宋体" w:eastAsia="宋体" w:cs="宋体"/>
                <w:color w:val="000000" w:themeColor="text1"/>
                <w14:textFill>
                  <w14:solidFill>
                    <w14:schemeClr w14:val="tx1"/>
                  </w14:solidFill>
                </w14:textFill>
              </w:rPr>
            </w:pPr>
          </w:p>
        </w:tc>
      </w:tr>
    </w:tbl>
    <w:p w14:paraId="5A274BEB">
      <w:pPr>
        <w:pStyle w:val="2"/>
        <w:spacing w:before="120" w:after="1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snapToGrid w:val="0"/>
          <w:color w:val="000000" w:themeColor="text1"/>
          <w:sz w:val="36"/>
          <w:szCs w:val="36"/>
          <w14:textFill>
            <w14:solidFill>
              <w14:schemeClr w14:val="tx1"/>
            </w14:solidFill>
          </w14:textFill>
        </w:rPr>
        <w:br w:type="page"/>
      </w:r>
      <w:r>
        <w:rPr>
          <w:rFonts w:hint="eastAsia" w:ascii="宋体" w:hAnsi="宋体" w:eastAsia="宋体" w:cs="宋体"/>
          <w:color w:val="000000" w:themeColor="text1"/>
          <w14:textFill>
            <w14:solidFill>
              <w14:schemeClr w14:val="tx1"/>
            </w14:solidFill>
          </w14:textFill>
        </w:rPr>
        <w:t>四、主要环境影响和保护措施</w:t>
      </w:r>
    </w:p>
    <w:tbl>
      <w:tblPr>
        <w:tblStyle w:val="2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57"/>
        <w:gridCol w:w="8479"/>
      </w:tblGrid>
      <w:tr w14:paraId="42D2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33" w:hRule="atLeast"/>
          <w:jc w:val="center"/>
        </w:trPr>
        <w:tc>
          <w:tcPr>
            <w:tcW w:w="557" w:type="dxa"/>
            <w:tcBorders>
              <w:tl2br w:val="nil"/>
              <w:tr2bl w:val="nil"/>
            </w:tcBorders>
            <w:tcMar>
              <w:left w:w="28" w:type="dxa"/>
              <w:right w:w="28" w:type="dxa"/>
            </w:tcMar>
            <w:vAlign w:val="center"/>
          </w:tcPr>
          <w:p w14:paraId="6EF2F380">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施工</w:t>
            </w:r>
          </w:p>
          <w:p w14:paraId="31FC5BD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期环</w:t>
            </w:r>
          </w:p>
          <w:p w14:paraId="1BD7F02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境保</w:t>
            </w:r>
          </w:p>
          <w:p w14:paraId="018D509B">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护措</w:t>
            </w:r>
          </w:p>
          <w:p w14:paraId="2123554D">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施</w:t>
            </w:r>
          </w:p>
        </w:tc>
        <w:tc>
          <w:tcPr>
            <w:tcW w:w="8479" w:type="dxa"/>
            <w:tcBorders>
              <w:tl2br w:val="nil"/>
              <w:tr2bl w:val="nil"/>
            </w:tcBorders>
            <w:vAlign w:val="center"/>
          </w:tcPr>
          <w:p w14:paraId="2EA046B8">
            <w:pPr>
              <w:spacing w:line="360" w:lineRule="auto"/>
              <w:ind w:firstLine="482"/>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本次扩建利用企业现有基础设施、环保工程以及生产设备，无基础施工、装修及设备安装等施工行为，无施工期环境影响。</w:t>
            </w:r>
          </w:p>
        </w:tc>
      </w:tr>
      <w:tr w14:paraId="4912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58" w:hRule="atLeast"/>
          <w:jc w:val="center"/>
        </w:trPr>
        <w:tc>
          <w:tcPr>
            <w:tcW w:w="557" w:type="dxa"/>
            <w:tcBorders>
              <w:tl2br w:val="nil"/>
              <w:tr2bl w:val="nil"/>
            </w:tcBorders>
            <w:tcMar>
              <w:left w:w="28" w:type="dxa"/>
              <w:right w:w="28" w:type="dxa"/>
            </w:tcMar>
            <w:vAlign w:val="center"/>
          </w:tcPr>
          <w:p w14:paraId="7A8CB7E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运营</w:t>
            </w:r>
          </w:p>
          <w:p w14:paraId="0D17C498">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期环</w:t>
            </w:r>
          </w:p>
          <w:p w14:paraId="1DDFE0F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境影</w:t>
            </w:r>
          </w:p>
          <w:p w14:paraId="405BD13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响和</w:t>
            </w:r>
          </w:p>
          <w:p w14:paraId="67BAB25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保护</w:t>
            </w:r>
          </w:p>
          <w:p w14:paraId="24B692E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措施</w:t>
            </w:r>
          </w:p>
        </w:tc>
        <w:tc>
          <w:tcPr>
            <w:tcW w:w="8479" w:type="dxa"/>
            <w:tcBorders>
              <w:tl2br w:val="nil"/>
              <w:tr2bl w:val="nil"/>
            </w:tcBorders>
            <w:vAlign w:val="center"/>
          </w:tcPr>
          <w:p w14:paraId="47791537">
            <w:pPr>
              <w:pStyle w:val="4"/>
              <w:keepNext w:val="0"/>
              <w:keepLines w:val="0"/>
              <w:pageBreakBefore w:val="0"/>
              <w:widowControl w:val="0"/>
              <w:numPr>
                <w:ilvl w:val="0"/>
                <w:numId w:val="10"/>
              </w:numPr>
              <w:kinsoku/>
              <w:wordWrap/>
              <w:overflowPunct/>
              <w:topLinePunct w:val="0"/>
              <w:autoSpaceDE/>
              <w:autoSpaceDN/>
              <w:bidi w:val="0"/>
              <w:adjustRightInd/>
              <w:snapToGrid w:val="0"/>
              <w:spacing w:beforeLines="0" w:afterLines="0" w:line="420" w:lineRule="exact"/>
              <w:ind w:left="0" w:leftChars="0" w:right="0" w:right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运营期废气</w:t>
            </w:r>
          </w:p>
          <w:p w14:paraId="215F7CC7">
            <w:pPr>
              <w:widowControl w:val="0"/>
              <w:numPr>
                <w:ilvl w:val="0"/>
                <w:numId w:val="0"/>
              </w:numPr>
              <w:jc w:val="both"/>
              <w:rPr>
                <w:rFonts w:hint="eastAsia"/>
                <w:color w:val="000000" w:themeColor="text1"/>
                <w14:textFill>
                  <w14:solidFill>
                    <w14:schemeClr w14:val="tx1"/>
                  </w14:solidFill>
                </w14:textFill>
              </w:rPr>
            </w:pPr>
          </w:p>
          <w:p w14:paraId="4DA08647">
            <w:pPr>
              <w:spacing w:before="7" w:line="359" w:lineRule="auto"/>
              <w:ind w:left="115" w:right="6" w:firstLine="481"/>
              <w:jc w:val="both"/>
              <w:rPr>
                <w:rFonts w:ascii="宋体" w:hAnsi="宋体" w:eastAsia="宋体" w:cs="宋体"/>
                <w:color w:val="000000" w:themeColor="text1"/>
                <w:sz w:val="24"/>
                <w:szCs w:val="24"/>
                <w:u w:val="none" w:color="auto"/>
                <w14:textFill>
                  <w14:solidFill>
                    <w14:schemeClr w14:val="tx1"/>
                  </w14:solidFill>
                </w14:textFill>
              </w:rPr>
            </w:pPr>
            <w:r>
              <w:rPr>
                <w:rFonts w:ascii="宋体" w:hAnsi="宋体" w:eastAsia="宋体" w:cs="宋体"/>
                <w:color w:val="000000" w:themeColor="text1"/>
                <w:spacing w:val="-1"/>
                <w:sz w:val="24"/>
                <w:szCs w:val="24"/>
                <w:u w:val="none" w:color="auto"/>
                <w14:textFill>
                  <w14:solidFill>
                    <w14:schemeClr w14:val="tx1"/>
                  </w14:solidFill>
                </w14:textFill>
              </w:rPr>
              <w:t>本项目废气主要为</w:t>
            </w:r>
            <w:r>
              <w:rPr>
                <w:rFonts w:hint="eastAsia" w:ascii="宋体" w:hAnsi="宋体" w:cs="宋体"/>
                <w:color w:val="000000" w:themeColor="text1"/>
                <w:spacing w:val="-1"/>
                <w:sz w:val="24"/>
                <w:szCs w:val="24"/>
                <w:u w:val="none" w:color="auto"/>
                <w:lang w:val="en-US" w:eastAsia="zh-CN"/>
                <w14:textFill>
                  <w14:solidFill>
                    <w14:schemeClr w14:val="tx1"/>
                  </w14:solidFill>
                </w14:textFill>
              </w:rPr>
              <w:t>汽车拆解</w:t>
            </w:r>
            <w:r>
              <w:rPr>
                <w:rFonts w:ascii="宋体" w:hAnsi="宋体" w:eastAsia="宋体" w:cs="宋体"/>
                <w:color w:val="000000" w:themeColor="text1"/>
                <w:spacing w:val="-1"/>
                <w:sz w:val="24"/>
                <w:szCs w:val="24"/>
                <w:u w:val="none" w:color="auto"/>
                <w14:textFill>
                  <w14:solidFill>
                    <w14:schemeClr w14:val="tx1"/>
                  </w14:solidFill>
                </w14:textFill>
              </w:rPr>
              <w:t>过程中废油液挥发有机废气</w:t>
            </w:r>
            <w:r>
              <w:rPr>
                <w:rFonts w:ascii="宋体" w:hAnsi="宋体" w:eastAsia="宋体" w:cs="宋体"/>
                <w:color w:val="000000" w:themeColor="text1"/>
                <w:spacing w:val="-2"/>
                <w:sz w:val="24"/>
                <w:szCs w:val="24"/>
                <w:u w:val="none" w:color="auto"/>
                <w14:textFill>
                  <w14:solidFill>
                    <w14:schemeClr w14:val="tx1"/>
                  </w14:solidFill>
                </w14:textFill>
              </w:rPr>
              <w:t>、切割粉尘、</w:t>
            </w:r>
            <w:r>
              <w:rPr>
                <w:rFonts w:hint="eastAsia" w:ascii="宋体" w:hAnsi="宋体" w:eastAsia="宋体" w:cs="宋体"/>
                <w:color w:val="000000" w:themeColor="text1"/>
                <w:spacing w:val="-2"/>
                <w:sz w:val="24"/>
                <w:szCs w:val="24"/>
                <w:u w:val="none" w:color="auto"/>
                <w:lang w:val="en-US" w:eastAsia="zh-CN"/>
                <w14:textFill>
                  <w14:solidFill>
                    <w14:schemeClr w14:val="tx1"/>
                  </w14:solidFill>
                </w14:textFill>
              </w:rPr>
              <w:t>非正常情况下拆解过程产生破损的</w:t>
            </w:r>
            <w:r>
              <w:rPr>
                <w:rFonts w:ascii="宋体" w:hAnsi="宋体" w:eastAsia="宋体" w:cs="宋体"/>
                <w:color w:val="000000" w:themeColor="text1"/>
                <w:spacing w:val="-1"/>
                <w:sz w:val="24"/>
                <w:szCs w:val="24"/>
                <w:u w:val="none" w:color="auto"/>
                <w14:textFill>
                  <w14:solidFill>
                    <w14:schemeClr w14:val="tx1"/>
                  </w14:solidFill>
                </w14:textFill>
              </w:rPr>
              <w:t>废铅蓄电池</w:t>
            </w:r>
            <w:r>
              <w:rPr>
                <w:rFonts w:hint="eastAsia" w:ascii="宋体" w:hAnsi="宋体" w:eastAsia="宋体" w:cs="宋体"/>
                <w:color w:val="000000" w:themeColor="text1"/>
                <w:spacing w:val="-1"/>
                <w:sz w:val="24"/>
                <w:szCs w:val="24"/>
                <w:u w:val="none" w:color="auto"/>
                <w:lang w:eastAsia="zh-CN"/>
                <w14:textFill>
                  <w14:solidFill>
                    <w14:schemeClr w14:val="tx1"/>
                  </w14:solidFill>
                </w14:textFill>
              </w:rPr>
              <w:t>，</w:t>
            </w:r>
            <w:r>
              <w:rPr>
                <w:rFonts w:ascii="宋体" w:hAnsi="宋体" w:eastAsia="宋体" w:cs="宋体"/>
                <w:color w:val="000000" w:themeColor="text1"/>
                <w:spacing w:val="-1"/>
                <w:sz w:val="24"/>
                <w:szCs w:val="24"/>
                <w:u w:val="none" w:color="auto"/>
                <w14:textFill>
                  <w14:solidFill>
                    <w14:schemeClr w14:val="tx1"/>
                  </w14:solidFill>
                </w14:textFill>
              </w:rPr>
              <w:t>产生</w:t>
            </w:r>
            <w:r>
              <w:rPr>
                <w:rFonts w:hint="eastAsia" w:ascii="宋体" w:hAnsi="宋体" w:eastAsia="宋体" w:cs="宋体"/>
                <w:color w:val="000000" w:themeColor="text1"/>
                <w:spacing w:val="-1"/>
                <w:sz w:val="24"/>
                <w:szCs w:val="24"/>
                <w:u w:val="none" w:color="auto"/>
                <w:lang w:val="en-US" w:eastAsia="zh-CN"/>
                <w14:textFill>
                  <w14:solidFill>
                    <w14:schemeClr w14:val="tx1"/>
                  </w14:solidFill>
                </w14:textFill>
              </w:rPr>
              <w:t>少量</w:t>
            </w:r>
            <w:r>
              <w:rPr>
                <w:rFonts w:ascii="宋体" w:hAnsi="宋体" w:eastAsia="宋体" w:cs="宋体"/>
                <w:color w:val="000000" w:themeColor="text1"/>
                <w:spacing w:val="-1"/>
                <w:sz w:val="24"/>
                <w:szCs w:val="24"/>
                <w:u w:val="none" w:color="auto"/>
                <w14:textFill>
                  <w14:solidFill>
                    <w14:schemeClr w14:val="tx1"/>
                  </w14:solidFill>
                </w14:textFill>
              </w:rPr>
              <w:t>硫酸雾及铅废气等。废油</w:t>
            </w:r>
            <w:r>
              <w:rPr>
                <w:rFonts w:ascii="宋体" w:hAnsi="宋体" w:eastAsia="宋体" w:cs="宋体"/>
                <w:color w:val="000000" w:themeColor="text1"/>
                <w:spacing w:val="-2"/>
                <w:sz w:val="24"/>
                <w:szCs w:val="24"/>
                <w:u w:val="none" w:color="auto"/>
                <w14:textFill>
                  <w14:solidFill>
                    <w14:schemeClr w14:val="tx1"/>
                  </w14:solidFill>
                </w14:textFill>
              </w:rPr>
              <w:t>液挥发有机废气采用</w:t>
            </w:r>
            <w:r>
              <w:rPr>
                <w:rFonts w:ascii="宋体" w:hAnsi="宋体" w:eastAsia="宋体" w:cs="宋体"/>
                <w:color w:val="000000" w:themeColor="text1"/>
                <w:spacing w:val="-1"/>
                <w:sz w:val="24"/>
                <w:szCs w:val="24"/>
                <w:u w:val="none" w:color="auto"/>
                <w14:textFill>
                  <w14:solidFill>
                    <w14:schemeClr w14:val="tx1"/>
                  </w14:solidFill>
                </w14:textFill>
              </w:rPr>
              <w:t>活性炭吸附处理后经</w:t>
            </w:r>
            <w:r>
              <w:rPr>
                <w:rFonts w:ascii="宋体" w:hAnsi="宋体" w:eastAsia="宋体" w:cs="宋体"/>
                <w:color w:val="000000" w:themeColor="text1"/>
                <w:spacing w:val="-27"/>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u w:val="none" w:color="auto"/>
                <w14:textFill>
                  <w14:solidFill>
                    <w14:schemeClr w14:val="tx1"/>
                  </w14:solidFill>
                </w14:textFill>
              </w:rPr>
              <w:t>15m</w:t>
            </w:r>
            <w:r>
              <w:rPr>
                <w:rFonts w:ascii="Times New Roman" w:hAnsi="Times New Roman" w:eastAsia="Times New Roman" w:cs="Times New Roman"/>
                <w:color w:val="000000" w:themeColor="text1"/>
                <w:spacing w:val="19"/>
                <w:sz w:val="24"/>
                <w:szCs w:val="24"/>
                <w:u w:val="none" w:color="auto"/>
                <w14:textFill>
                  <w14:solidFill>
                    <w14:schemeClr w14:val="tx1"/>
                  </w14:solidFill>
                </w14:textFill>
              </w:rPr>
              <w:t xml:space="preserve"> </w:t>
            </w:r>
            <w:r>
              <w:rPr>
                <w:rFonts w:ascii="宋体" w:hAnsi="宋体" w:eastAsia="宋体" w:cs="宋体"/>
                <w:color w:val="000000" w:themeColor="text1"/>
                <w:spacing w:val="-1"/>
                <w:sz w:val="24"/>
                <w:szCs w:val="24"/>
                <w:u w:val="none" w:color="auto"/>
                <w14:textFill>
                  <w14:solidFill>
                    <w14:schemeClr w14:val="tx1"/>
                  </w14:solidFill>
                </w14:textFill>
              </w:rPr>
              <w:t>高排气筒排放、切割粉尘采用布袋除尘器处理后排放，液态危险废物暂存</w:t>
            </w:r>
            <w:r>
              <w:rPr>
                <w:rFonts w:hint="eastAsia" w:ascii="宋体" w:hAnsi="宋体" w:eastAsia="宋体" w:cs="宋体"/>
                <w:color w:val="000000" w:themeColor="text1"/>
                <w:spacing w:val="-1"/>
                <w:sz w:val="24"/>
                <w:szCs w:val="24"/>
                <w:u w:val="none" w:color="auto"/>
                <w:lang w:val="en-US" w:eastAsia="zh-CN"/>
                <w14:textFill>
                  <w14:solidFill>
                    <w14:schemeClr w14:val="tx1"/>
                  </w14:solidFill>
                </w14:textFill>
              </w:rPr>
              <w:t>库加强管理，在暂存库内密闭暂存；破损的废铅蓄电池在暂存库内密闭暂存</w:t>
            </w:r>
            <w:r>
              <w:rPr>
                <w:rFonts w:hint="eastAsia" w:ascii="宋体" w:hAnsi="宋体" w:cs="宋体"/>
                <w:color w:val="000000" w:themeColor="text1"/>
                <w:spacing w:val="-1"/>
                <w:sz w:val="24"/>
                <w:szCs w:val="24"/>
                <w:u w:val="none" w:color="auto"/>
                <w:lang w:val="en-US" w:eastAsia="zh-CN"/>
                <w14:textFill>
                  <w14:solidFill>
                    <w14:schemeClr w14:val="tx1"/>
                  </w14:solidFill>
                </w14:textFill>
              </w:rPr>
              <w:t>，</w:t>
            </w:r>
            <w:r>
              <w:rPr>
                <w:rFonts w:hint="eastAsia" w:ascii="宋体" w:hAnsi="宋体" w:eastAsia="宋体" w:cs="宋体"/>
                <w:color w:val="000000" w:themeColor="text1"/>
                <w:spacing w:val="-2"/>
                <w:sz w:val="24"/>
                <w:szCs w:val="24"/>
                <w:u w:val="none" w:color="auto"/>
                <w14:textFill>
                  <w14:solidFill>
                    <w14:schemeClr w14:val="tx1"/>
                  </w14:solidFill>
                </w14:textFill>
              </w:rPr>
              <w:t>保存期限少于</w:t>
            </w:r>
            <w:r>
              <w:rPr>
                <w:rFonts w:hint="eastAsia" w:ascii="宋体" w:hAnsi="宋体" w:eastAsia="宋体" w:cs="宋体"/>
                <w:color w:val="000000" w:themeColor="text1"/>
                <w:spacing w:val="-2"/>
                <w:sz w:val="24"/>
                <w:szCs w:val="24"/>
                <w:u w:val="none" w:color="auto"/>
                <w:lang w:val="en-US" w:eastAsia="zh-CN"/>
                <w14:textFill>
                  <w14:solidFill>
                    <w14:schemeClr w14:val="tx1"/>
                  </w14:solidFill>
                </w14:textFill>
              </w:rPr>
              <w:t>1天</w:t>
            </w:r>
            <w:r>
              <w:rPr>
                <w:rFonts w:hint="eastAsia" w:ascii="宋体" w:hAnsi="宋体" w:eastAsia="宋体" w:cs="宋体"/>
                <w:color w:val="000000" w:themeColor="text1"/>
                <w:spacing w:val="-2"/>
                <w:sz w:val="24"/>
                <w:szCs w:val="24"/>
                <w:u w:val="none" w:color="auto"/>
                <w14:textFill>
                  <w14:solidFill>
                    <w14:schemeClr w14:val="tx1"/>
                  </w14:solidFill>
                </w14:textFill>
              </w:rPr>
              <w:t>。</w:t>
            </w:r>
            <w:r>
              <w:rPr>
                <w:rFonts w:hint="eastAsia" w:ascii="宋体" w:hAnsi="宋体" w:eastAsia="宋体" w:cs="宋体"/>
                <w:color w:val="000000" w:themeColor="text1"/>
                <w:spacing w:val="-2"/>
                <w:sz w:val="24"/>
                <w:szCs w:val="24"/>
                <w:u w:val="none" w:color="auto"/>
                <w:lang w:val="en-US" w:eastAsia="zh-CN"/>
                <w14:textFill>
                  <w14:solidFill>
                    <w14:schemeClr w14:val="tx1"/>
                  </w14:solidFill>
                </w14:textFill>
              </w:rPr>
              <w:t>及时与当地专业废铅酸蓄电池贮存场所联系，及时清运。</w:t>
            </w:r>
            <w:r>
              <w:rPr>
                <w:rFonts w:ascii="宋体" w:hAnsi="宋体" w:eastAsia="宋体" w:cs="宋体"/>
                <w:color w:val="000000" w:themeColor="text1"/>
                <w:spacing w:val="1"/>
                <w:sz w:val="24"/>
                <w:szCs w:val="24"/>
                <w:u w:val="none" w:color="auto"/>
                <w14:textFill>
                  <w14:solidFill>
                    <w14:schemeClr w14:val="tx1"/>
                  </w14:solidFill>
                </w14:textFill>
              </w:rPr>
              <w:t>本项目各项</w:t>
            </w:r>
            <w:r>
              <w:rPr>
                <w:rFonts w:ascii="宋体" w:hAnsi="宋体" w:eastAsia="宋体" w:cs="宋体"/>
                <w:color w:val="000000" w:themeColor="text1"/>
                <w:spacing w:val="-11"/>
                <w:sz w:val="24"/>
                <w:szCs w:val="24"/>
                <w:u w:val="none" w:color="auto"/>
                <w14:textFill>
                  <w14:solidFill>
                    <w14:schemeClr w14:val="tx1"/>
                  </w14:solidFill>
                </w14:textFill>
              </w:rPr>
              <w:t>废气污染物得到</w:t>
            </w:r>
            <w:r>
              <w:rPr>
                <w:rFonts w:hint="eastAsia" w:ascii="宋体" w:hAnsi="宋体" w:cs="宋体"/>
                <w:color w:val="000000" w:themeColor="text1"/>
                <w:spacing w:val="-11"/>
                <w:sz w:val="24"/>
                <w:szCs w:val="24"/>
                <w:u w:val="none" w:color="auto"/>
                <w:lang w:val="en-US" w:eastAsia="zh-CN"/>
                <w14:textFill>
                  <w14:solidFill>
                    <w14:schemeClr w14:val="tx1"/>
                  </w14:solidFill>
                </w14:textFill>
              </w:rPr>
              <w:t>有效</w:t>
            </w:r>
            <w:r>
              <w:rPr>
                <w:rFonts w:ascii="宋体" w:hAnsi="宋体" w:eastAsia="宋体" w:cs="宋体"/>
                <w:color w:val="000000" w:themeColor="text1"/>
                <w:spacing w:val="-11"/>
                <w:sz w:val="24"/>
                <w:szCs w:val="24"/>
                <w:u w:val="none" w:color="auto"/>
                <w14:textFill>
                  <w14:solidFill>
                    <w14:schemeClr w14:val="tx1"/>
                  </w14:solidFill>
                </w14:textFill>
              </w:rPr>
              <w:t>处理，废气排放能够满足《大气污染物综合排放标准》（</w:t>
            </w:r>
            <w:r>
              <w:rPr>
                <w:rFonts w:ascii="Times New Roman" w:hAnsi="Times New Roman" w:eastAsia="Times New Roman" w:cs="Times New Roman"/>
                <w:color w:val="000000" w:themeColor="text1"/>
                <w:spacing w:val="-11"/>
                <w:sz w:val="24"/>
                <w:szCs w:val="24"/>
                <w:u w:val="none" w:color="auto"/>
                <w14:textFill>
                  <w14:solidFill>
                    <w14:schemeClr w14:val="tx1"/>
                  </w14:solidFill>
                </w14:textFill>
              </w:rPr>
              <w:t>GB16297-1996</w:t>
            </w:r>
            <w:r>
              <w:rPr>
                <w:rFonts w:ascii="宋体" w:hAnsi="宋体" w:eastAsia="宋体" w:cs="宋体"/>
                <w:color w:val="000000" w:themeColor="text1"/>
                <w:spacing w:val="-11"/>
                <w:sz w:val="24"/>
                <w:szCs w:val="24"/>
                <w:u w:val="none" w:color="auto"/>
                <w14:textFill>
                  <w14:solidFill>
                    <w14:schemeClr w14:val="tx1"/>
                  </w14:solidFill>
                </w14:textFill>
              </w:rPr>
              <w:t>）</w:t>
            </w:r>
            <w:r>
              <w:rPr>
                <w:rFonts w:hint="eastAsia" w:ascii="宋体" w:hAnsi="宋体" w:eastAsia="宋体" w:cs="宋体"/>
                <w:color w:val="000000" w:themeColor="text1"/>
                <w:spacing w:val="-11"/>
                <w:sz w:val="24"/>
                <w:szCs w:val="24"/>
                <w:u w:val="none" w:color="auto"/>
                <w:lang w:val="en-US" w:eastAsia="zh-CN"/>
                <w14:textFill>
                  <w14:solidFill>
                    <w14:schemeClr w14:val="tx1"/>
                  </w14:solidFill>
                </w14:textFill>
              </w:rPr>
              <w:t>以及</w:t>
            </w:r>
            <w:r>
              <w:rPr>
                <w:rFonts w:hint="eastAsia" w:ascii="宋体" w:hAnsi="宋体" w:eastAsia="宋体" w:cs="宋体"/>
                <w:color w:val="000000" w:themeColor="text1"/>
                <w:u w:val="none" w:color="auto"/>
                <w14:textFill>
                  <w14:solidFill>
                    <w14:schemeClr w14:val="tx1"/>
                  </w14:solidFill>
                </w14:textFill>
              </w:rPr>
              <w:t>《挥发性有机物无组织排放控制标准》（GB37822-2019</w:t>
            </w:r>
            <w:r>
              <w:rPr>
                <w:rFonts w:ascii="宋体" w:hAnsi="宋体" w:eastAsia="宋体" w:cs="宋体"/>
                <w:color w:val="000000" w:themeColor="text1"/>
                <w:spacing w:val="1"/>
                <w:sz w:val="24"/>
                <w:szCs w:val="24"/>
                <w:u w:val="none" w:color="auto"/>
                <w14:textFill>
                  <w14:solidFill>
                    <w14:schemeClr w14:val="tx1"/>
                  </w14:solidFill>
                </w14:textFill>
              </w:rPr>
              <w:t>要求，</w:t>
            </w:r>
            <w:r>
              <w:rPr>
                <w:rFonts w:hint="eastAsia" w:ascii="宋体" w:hAnsi="宋体" w:eastAsia="宋体" w:cs="宋体"/>
                <w:color w:val="000000" w:themeColor="text1"/>
                <w:spacing w:val="1"/>
                <w:sz w:val="24"/>
                <w:szCs w:val="24"/>
                <w:u w:val="none" w:color="auto"/>
                <w:lang w:val="en-US" w:eastAsia="zh-CN"/>
                <w14:textFill>
                  <w14:solidFill>
                    <w14:schemeClr w14:val="tx1"/>
                  </w14:solidFill>
                </w14:textFill>
              </w:rPr>
              <w:t>且不会对周边居民产生不良影响，综上所述，本项目</w:t>
            </w:r>
            <w:r>
              <w:rPr>
                <w:rFonts w:ascii="宋体" w:hAnsi="宋体" w:eastAsia="宋体" w:cs="宋体"/>
                <w:color w:val="000000" w:themeColor="text1"/>
                <w:spacing w:val="1"/>
                <w:sz w:val="24"/>
                <w:szCs w:val="24"/>
                <w:u w:val="none" w:color="auto"/>
                <w14:textFill>
                  <w14:solidFill>
                    <w14:schemeClr w14:val="tx1"/>
                  </w14:solidFill>
                </w14:textFill>
              </w:rPr>
              <w:t>对周围环境空气影响可接受。</w:t>
            </w:r>
          </w:p>
          <w:p w14:paraId="76D1CB9C">
            <w:pPr>
              <w:pStyle w:val="37"/>
              <w:ind w:firstLine="480"/>
              <w:jc w:val="both"/>
              <w:rPr>
                <w:rFonts w:hint="eastAsia" w:ascii="宋体" w:hAnsi="宋体" w:eastAsia="宋体" w:cs="宋体"/>
                <w:b w:val="0"/>
                <w:color w:val="000000" w:themeColor="text1"/>
                <w14:textFill>
                  <w14:solidFill>
                    <w14:schemeClr w14:val="tx1"/>
                  </w14:solidFill>
                </w14:textFill>
              </w:rPr>
            </w:pPr>
          </w:p>
          <w:p w14:paraId="5B23D516">
            <w:pPr>
              <w:pStyle w:val="37"/>
              <w:ind w:firstLine="480"/>
              <w:jc w:val="both"/>
              <w:rPr>
                <w:rFonts w:hint="eastAsia" w:ascii="宋体" w:hAnsi="宋体" w:eastAsia="宋体" w:cs="宋体"/>
                <w:b w:val="0"/>
                <w:color w:val="000000" w:themeColor="text1"/>
                <w14:textFill>
                  <w14:solidFill>
                    <w14:schemeClr w14:val="tx1"/>
                  </w14:solidFill>
                </w14:textFill>
              </w:rPr>
            </w:pPr>
          </w:p>
          <w:p w14:paraId="0D26F7C2">
            <w:pPr>
              <w:pStyle w:val="37"/>
              <w:jc w:val="both"/>
              <w:rPr>
                <w:rFonts w:hint="eastAsia" w:ascii="宋体" w:hAnsi="宋体" w:eastAsia="宋体" w:cs="宋体"/>
                <w:b w:val="0"/>
                <w:color w:val="000000" w:themeColor="text1"/>
                <w14:textFill>
                  <w14:solidFill>
                    <w14:schemeClr w14:val="tx1"/>
                  </w14:solidFill>
                </w14:textFill>
              </w:rPr>
            </w:pPr>
          </w:p>
        </w:tc>
      </w:tr>
    </w:tbl>
    <w:p w14:paraId="6357051D">
      <w:pPr>
        <w:adjustRightInd w:val="0"/>
        <w:snapToGrid w:val="0"/>
        <w:ind w:firstLine="562"/>
        <w:rPr>
          <w:rFonts w:hint="eastAsia" w:ascii="宋体" w:hAnsi="宋体" w:eastAsia="宋体" w:cs="宋体"/>
          <w:b/>
          <w:color w:val="000000" w:themeColor="text1"/>
          <w:kern w:val="0"/>
          <w:sz w:val="28"/>
          <w:szCs w:val="28"/>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5"/>
        <w:gridCol w:w="8561"/>
      </w:tblGrid>
      <w:tr w14:paraId="27C4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8" w:hRule="atLeast"/>
          <w:jc w:val="center"/>
        </w:trPr>
        <w:tc>
          <w:tcPr>
            <w:tcW w:w="475" w:type="dxa"/>
            <w:tcBorders>
              <w:tl2br w:val="nil"/>
              <w:tr2bl w:val="nil"/>
            </w:tcBorders>
            <w:tcMar>
              <w:left w:w="28" w:type="dxa"/>
              <w:right w:w="28" w:type="dxa"/>
            </w:tcMar>
            <w:vAlign w:val="center"/>
          </w:tcPr>
          <w:p w14:paraId="7A200CAF">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运营</w:t>
            </w:r>
          </w:p>
          <w:p w14:paraId="138142C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期环</w:t>
            </w:r>
          </w:p>
          <w:p w14:paraId="3C72C96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境影</w:t>
            </w:r>
          </w:p>
          <w:p w14:paraId="383241D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响和</w:t>
            </w:r>
          </w:p>
          <w:p w14:paraId="6EC4B62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保护</w:t>
            </w:r>
          </w:p>
          <w:p w14:paraId="5877EA7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措施</w:t>
            </w:r>
          </w:p>
        </w:tc>
        <w:tc>
          <w:tcPr>
            <w:tcW w:w="8561" w:type="dxa"/>
            <w:tcBorders>
              <w:tl2br w:val="nil"/>
              <w:tr2bl w:val="nil"/>
            </w:tcBorders>
            <w:vAlign w:val="center"/>
          </w:tcPr>
          <w:p w14:paraId="7D988897">
            <w:pPr>
              <w:pStyle w:val="4"/>
              <w:spacing w:before="120" w:after="1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 xml:space="preserve">运营期废水 </w:t>
            </w:r>
          </w:p>
          <w:p w14:paraId="4037F848">
            <w:pPr>
              <w:pStyle w:val="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废水源强分析</w:t>
            </w:r>
          </w:p>
          <w:p w14:paraId="7D9016A2">
            <w:pPr>
              <w:numPr>
                <w:ilvl w:val="0"/>
                <w:numId w:val="11"/>
              </w:numPr>
              <w:spacing w:line="360" w:lineRule="auto"/>
              <w:ind w:left="238" w:leftChars="0" w:firstLine="482"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生活污水</w:t>
            </w:r>
          </w:p>
          <w:p w14:paraId="0E5EC136">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本项目扩建后，全厂职工不发生变化，生活污水也无新增，</w:t>
            </w:r>
            <w:r>
              <w:rPr>
                <w:rFonts w:hint="eastAsia" w:ascii="宋体" w:hAnsi="宋体" w:eastAsia="宋体" w:cs="宋体"/>
                <w:color w:val="000000" w:themeColor="text1"/>
                <w14:textFill>
                  <w14:solidFill>
                    <w14:schemeClr w14:val="tx1"/>
                  </w14:solidFill>
                </w14:textFill>
              </w:rPr>
              <w:t>全厂废水排放量</w:t>
            </w:r>
            <w:r>
              <w:rPr>
                <w:rFonts w:hint="eastAsia" w:ascii="宋体" w:hAnsi="宋体" w:eastAsia="宋体" w:cs="宋体"/>
                <w:color w:val="000000" w:themeColor="text1"/>
                <w:lang w:val="en-US" w:eastAsia="zh-CN"/>
                <w14:textFill>
                  <w14:solidFill>
                    <w14:schemeClr w14:val="tx1"/>
                  </w14:solidFill>
                </w14:textFill>
              </w:rPr>
              <w:t>265.2</w:t>
            </w:r>
            <w:r>
              <w:rPr>
                <w:rFonts w:hint="eastAsia" w:ascii="宋体" w:hAnsi="宋体" w:eastAsia="宋体" w:cs="宋体"/>
                <w:color w:val="000000" w:themeColor="text1"/>
                <w14:textFill>
                  <w14:solidFill>
                    <w14:schemeClr w14:val="tx1"/>
                  </w14:solidFill>
                </w14:textFill>
              </w:rPr>
              <w:t>t/a，</w:t>
            </w:r>
            <w:r>
              <w:rPr>
                <w:rFonts w:hint="eastAsia" w:ascii="宋体" w:hAnsi="宋体" w:cs="宋体"/>
                <w:color w:val="000000" w:themeColor="text1"/>
                <w:lang w:val="en-US" w:eastAsia="zh-CN"/>
                <w14:textFill>
                  <w14:solidFill>
                    <w14:schemeClr w14:val="tx1"/>
                  </w14:solidFill>
                </w14:textFill>
              </w:rPr>
              <w:t>COD产生量为0.08</w:t>
            </w:r>
            <w:r>
              <w:rPr>
                <w:rFonts w:hint="eastAsia" w:ascii="宋体" w:hAnsi="宋体" w:eastAsia="宋体" w:cs="宋体"/>
                <w:color w:val="000000" w:themeColor="text1"/>
                <w14:textFill>
                  <w14:solidFill>
                    <w14:schemeClr w14:val="tx1"/>
                  </w14:solidFill>
                </w14:textFill>
              </w:rPr>
              <w:t>t/a，</w:t>
            </w:r>
            <w:r>
              <w:rPr>
                <w:rFonts w:hint="eastAsia" w:ascii="宋体" w:hAnsi="宋体" w:cs="宋体"/>
                <w:color w:val="000000" w:themeColor="text1"/>
                <w:lang w:val="en-US" w:eastAsia="zh-CN"/>
                <w14:textFill>
                  <w14:solidFill>
                    <w14:schemeClr w14:val="tx1"/>
                  </w14:solidFill>
                </w14:textFill>
              </w:rPr>
              <w:t>NH3-N为0.005</w:t>
            </w:r>
            <w:r>
              <w:rPr>
                <w:rFonts w:hint="eastAsia" w:ascii="宋体" w:hAnsi="宋体" w:eastAsia="宋体" w:cs="宋体"/>
                <w:color w:val="000000" w:themeColor="text1"/>
                <w14:textFill>
                  <w14:solidFill>
                    <w14:schemeClr w14:val="tx1"/>
                  </w14:solidFill>
                </w14:textFill>
              </w:rPr>
              <w:t>t/a，</w:t>
            </w:r>
            <w:r>
              <w:rPr>
                <w:rFonts w:hint="eastAsia" w:ascii="宋体" w:hAnsi="宋体" w:cs="宋体"/>
                <w:color w:val="000000" w:themeColor="text1"/>
                <w:lang w:val="en-US" w:eastAsia="zh-CN"/>
                <w14:textFill>
                  <w14:solidFill>
                    <w14:schemeClr w14:val="tx1"/>
                  </w14:solidFill>
                </w14:textFill>
              </w:rPr>
              <w:t>通过厂区化粪池处理后定期清运（详见附件）</w:t>
            </w:r>
            <w:r>
              <w:rPr>
                <w:rFonts w:hint="eastAsia" w:ascii="宋体" w:hAnsi="宋体" w:eastAsia="宋体" w:cs="宋体"/>
                <w:color w:val="000000" w:themeColor="text1"/>
                <w:lang w:eastAsia="zh-CN"/>
                <w14:textFill>
                  <w14:solidFill>
                    <w14:schemeClr w14:val="tx1"/>
                  </w14:solidFill>
                </w14:textFill>
              </w:rPr>
              <w:t>。</w:t>
            </w:r>
          </w:p>
          <w:p w14:paraId="6BB11A07">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（2）初期雨水</w:t>
            </w:r>
          </w:p>
          <w:p w14:paraId="02B7F6A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本次扩建后全厂无新增用地，初期雨水也未发生变化，</w:t>
            </w:r>
            <w:r>
              <w:rPr>
                <w:rFonts w:hint="eastAsia" w:ascii="宋体" w:hAnsi="宋体" w:eastAsia="宋体" w:cs="宋体"/>
                <w:color w:val="000000" w:themeColor="text1"/>
                <w:lang w:val="en-US" w:eastAsia="zh-CN"/>
                <w14:textFill>
                  <w14:solidFill>
                    <w14:schemeClr w14:val="tx1"/>
                  </w14:solidFill>
                </w14:textFill>
              </w:rPr>
              <w:t>初期雨水中主要污染物为COD、SS、石油类，设置初期雨水收集系统，</w:t>
            </w:r>
            <w:r>
              <w:rPr>
                <w:rFonts w:hint="eastAsia" w:ascii="宋体" w:hAnsi="宋体" w:cs="宋体"/>
                <w:color w:val="000000" w:themeColor="text1"/>
                <w:lang w:val="en-US" w:eastAsia="zh-CN"/>
                <w14:textFill>
                  <w14:solidFill>
                    <w14:schemeClr w14:val="tx1"/>
                  </w14:solidFill>
                </w14:textFill>
              </w:rPr>
              <w:t>初期雨水经收集后，采用隔油沉淀工艺进行处理，经检测水质达到相应排放标准后，利用市政吸污车运至市政指定的具备市政排水管网接纳条件的排放口。通过四平市污水处理厂处理后排入条子河。</w:t>
            </w:r>
          </w:p>
          <w:p w14:paraId="2F9BDFED">
            <w:pPr>
              <w:spacing w:line="360" w:lineRule="auto"/>
              <w:ind w:firstLine="482"/>
              <w:rPr>
                <w:rFonts w:hint="eastAsia" w:ascii="宋体" w:hAnsi="宋体" w:eastAsia="宋体" w:cs="宋体"/>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880110</wp:posOffset>
                      </wp:positionH>
                      <wp:positionV relativeFrom="paragraph">
                        <wp:posOffset>237490</wp:posOffset>
                      </wp:positionV>
                      <wp:extent cx="808990" cy="233045"/>
                      <wp:effectExtent l="12700" t="12700" r="16510" b="287655"/>
                      <wp:wrapNone/>
                      <wp:docPr id="96" name="矩形标注 96"/>
                      <wp:cNvGraphicFramePr/>
                      <a:graphic xmlns:a="http://schemas.openxmlformats.org/drawingml/2006/main">
                        <a:graphicData uri="http://schemas.microsoft.com/office/word/2010/wordprocessingShape">
                          <wps:wsp>
                            <wps:cNvSpPr/>
                            <wps:spPr>
                              <a:xfrm>
                                <a:off x="0" y="0"/>
                                <a:ext cx="808990" cy="233045"/>
                              </a:xfrm>
                              <a:prstGeom prst="wedgeRectCallout">
                                <a:avLst>
                                  <a:gd name="adj1" fmla="val 1412"/>
                                  <a:gd name="adj2" fmla="val 162806"/>
                                </a:avLst>
                              </a:prstGeom>
                              <a:gradFill>
                                <a:gsLst>
                                  <a:gs pos="0">
                                    <a:srgbClr val="D7F0FC"/>
                                  </a:gs>
                                  <a:gs pos="52000">
                                    <a:srgbClr val="FFEFDE"/>
                                  </a:gs>
                                  <a:gs pos="100000">
                                    <a:srgbClr val="FFDCFC"/>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3E2ACDF0">
                                  <w:pPr>
                                    <w:jc w:val="center"/>
                                    <w:rPr>
                                      <w:rFonts w:hint="default" w:eastAsia="宋体"/>
                                      <w:color w:val="000000" w:themeColor="text1"/>
                                      <w:sz w:val="15"/>
                                      <w:szCs w:val="15"/>
                                      <w:lang w:val="en-US" w:eastAsia="zh-CN"/>
                                      <w14:textFill>
                                        <w14:solidFill>
                                          <w14:schemeClr w14:val="tx1"/>
                                        </w14:solidFill>
                                      </w14:textFill>
                                    </w:rPr>
                                  </w:pPr>
                                  <w:r>
                                    <w:rPr>
                                      <w:rFonts w:hint="eastAsia" w:eastAsia="宋体"/>
                                      <w:color w:val="000000" w:themeColor="text1"/>
                                      <w:sz w:val="15"/>
                                      <w:szCs w:val="15"/>
                                      <w:lang w:val="en-US" w:eastAsia="zh-CN"/>
                                      <w14:textFill>
                                        <w14:solidFill>
                                          <w14:schemeClr w14:val="tx1"/>
                                        </w14:solidFill>
                                      </w14:textFill>
                                    </w:rPr>
                                    <w:t>新发村居民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9.3pt;margin-top:18.7pt;height:18.35pt;width:63.7pt;z-index:251718656;v-text-anchor:middle;mso-width-relative:page;mso-height-relative:page;" fillcolor="#D7F0FC" filled="t" stroked="t" coordsize="21600,21600" o:gfxdata="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PB/+ZfZAAAACQEAAA8AAAAAAAAAAQAg&#10;AAAAIgAAAGRycy9kb3ducmV2LnhtbFBLAQIUABQAAAAIAIdO4kB/VpbO8QIAABoGAAAOAAAAAAAA&#10;AAEAIAAAACgBAABkcnMvZTJvRG9jLnhtbFBLBQYAAAAABgAGAFkBAACLBgAAAAA=&#10;" adj="11105,45966">
                      <v:fill type="gradient" on="t" color2="#FFDCFC" colors="0f #D7F0FC;34079f #FFEFDE;65536f #FFDCFC" focus="100%" focussize="0,0" rotate="t"/>
                      <v:stroke weight="2pt" color="#376092 [2404]" joinstyle="round"/>
                      <v:imagedata o:title=""/>
                      <o:lock v:ext="edit" aspectratio="f"/>
                      <v:textbox>
                        <w:txbxContent>
                          <w:p w14:paraId="3E2ACDF0">
                            <w:pPr>
                              <w:jc w:val="center"/>
                              <w:rPr>
                                <w:rFonts w:hint="default" w:eastAsia="宋体"/>
                                <w:color w:val="000000" w:themeColor="text1"/>
                                <w:sz w:val="15"/>
                                <w:szCs w:val="15"/>
                                <w:lang w:val="en-US" w:eastAsia="zh-CN"/>
                                <w14:textFill>
                                  <w14:solidFill>
                                    <w14:schemeClr w14:val="tx1"/>
                                  </w14:solidFill>
                                </w14:textFill>
                              </w:rPr>
                            </w:pPr>
                            <w:r>
                              <w:rPr>
                                <w:rFonts w:hint="eastAsia" w:eastAsia="宋体"/>
                                <w:color w:val="000000" w:themeColor="text1"/>
                                <w:sz w:val="15"/>
                                <w:szCs w:val="15"/>
                                <w:lang w:val="en-US" w:eastAsia="zh-CN"/>
                                <w14:textFill>
                                  <w14:solidFill>
                                    <w14:schemeClr w14:val="tx1"/>
                                  </w14:solidFill>
                                </w14:textFill>
                              </w:rPr>
                              <w:t>新发村居民</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951230</wp:posOffset>
                      </wp:positionH>
                      <wp:positionV relativeFrom="paragraph">
                        <wp:posOffset>551180</wp:posOffset>
                      </wp:positionV>
                      <wp:extent cx="624205" cy="328930"/>
                      <wp:effectExtent l="12700" t="12700" r="23495" b="13970"/>
                      <wp:wrapNone/>
                      <wp:docPr id="94" name="任意多边形 94"/>
                      <wp:cNvGraphicFramePr/>
                      <a:graphic xmlns:a="http://schemas.openxmlformats.org/drawingml/2006/main">
                        <a:graphicData uri="http://schemas.microsoft.com/office/word/2010/wordprocessingShape">
                          <wps:wsp>
                            <wps:cNvSpPr/>
                            <wps:spPr>
                              <a:xfrm>
                                <a:off x="2181225" y="4475480"/>
                                <a:ext cx="624205" cy="328930"/>
                              </a:xfrm>
                              <a:custGeom>
                                <a:avLst/>
                                <a:gdLst>
                                  <a:gd name="connisteX0" fmla="*/ 449580 w 624205"/>
                                  <a:gd name="connsiteY0" fmla="*/ 328930 h 328930"/>
                                  <a:gd name="connisteX1" fmla="*/ 523875 w 624205"/>
                                  <a:gd name="connsiteY1" fmla="*/ 328930 h 328930"/>
                                  <a:gd name="connisteX2" fmla="*/ 624205 w 624205"/>
                                  <a:gd name="connsiteY2" fmla="*/ 244475 h 328930"/>
                                  <a:gd name="connisteX3" fmla="*/ 454660 w 624205"/>
                                  <a:gd name="connsiteY3" fmla="*/ 158750 h 328930"/>
                                  <a:gd name="connisteX4" fmla="*/ 486410 w 624205"/>
                                  <a:gd name="connsiteY4" fmla="*/ 0 h 328930"/>
                                  <a:gd name="connisteX5" fmla="*/ 295910 w 624205"/>
                                  <a:gd name="connsiteY5" fmla="*/ 22225 h 328930"/>
                                  <a:gd name="connisteX6" fmla="*/ 0 w 624205"/>
                                  <a:gd name="connsiteY6" fmla="*/ 90805 h 328930"/>
                                  <a:gd name="connisteX7" fmla="*/ 52705 w 624205"/>
                                  <a:gd name="connsiteY7" fmla="*/ 149225 h 328930"/>
                                  <a:gd name="connisteX8" fmla="*/ 41910 w 624205"/>
                                  <a:gd name="connsiteY8" fmla="*/ 238125 h 328930"/>
                                  <a:gd name="connisteX9" fmla="*/ 147955 w 624205"/>
                                  <a:gd name="connsiteY9" fmla="*/ 222250 h 328930"/>
                                  <a:gd name="connisteX10" fmla="*/ 381000 w 624205"/>
                                  <a:gd name="connsiteY10" fmla="*/ 244475 h 328930"/>
                                  <a:gd name="connisteX11" fmla="*/ 460375 w 624205"/>
                                  <a:gd name="connsiteY11" fmla="*/ 254000 h 328930"/>
                                  <a:gd name="connisteX12" fmla="*/ 449580 w 624205"/>
                                  <a:gd name="connsiteY12" fmla="*/ 328930 h 3289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624205" h="328930">
                                    <a:moveTo>
                                      <a:pt x="449580" y="328930"/>
                                    </a:moveTo>
                                    <a:lnTo>
                                      <a:pt x="523875" y="328930"/>
                                    </a:lnTo>
                                    <a:lnTo>
                                      <a:pt x="624205" y="244475"/>
                                    </a:lnTo>
                                    <a:lnTo>
                                      <a:pt x="454660" y="158750"/>
                                    </a:lnTo>
                                    <a:lnTo>
                                      <a:pt x="486410" y="0"/>
                                    </a:lnTo>
                                    <a:lnTo>
                                      <a:pt x="295910" y="22225"/>
                                    </a:lnTo>
                                    <a:lnTo>
                                      <a:pt x="0" y="90805"/>
                                    </a:lnTo>
                                    <a:lnTo>
                                      <a:pt x="52705" y="149225"/>
                                    </a:lnTo>
                                    <a:lnTo>
                                      <a:pt x="41910" y="238125"/>
                                    </a:lnTo>
                                    <a:lnTo>
                                      <a:pt x="147955" y="222250"/>
                                    </a:lnTo>
                                    <a:lnTo>
                                      <a:pt x="381000" y="244475"/>
                                    </a:lnTo>
                                    <a:lnTo>
                                      <a:pt x="460375" y="254000"/>
                                    </a:lnTo>
                                    <a:lnTo>
                                      <a:pt x="449580" y="328930"/>
                                    </a:lnTo>
                                    <a:close/>
                                  </a:path>
                                </a:pathLst>
                              </a:custGeom>
                              <a:solidFill>
                                <a:schemeClr val="accent1">
                                  <a:alpha val="57000"/>
                                </a:scheme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4.9pt;margin-top:43.4pt;height:25.9pt;width:49.15pt;z-index:251717632;mso-width-relative:page;mso-height-relative:page;" fillcolor="#4F81BD [3204]" filled="t" stroked="t" coordsize="624205,328930" o:gfxdata="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BcWae01AAAAAoBAAAPAAAAAAAAAAEAIAAAACIAAABkcnMvZG93bnJldi54&#10;bWxQSwECFAAUAAAACACHTuJAIKwfkTgEAAA5DwAADgAAAAAAAAABACAAAAAjAQAAZHJzL2Uyb0Rv&#10;Yy54bWxQSwUGAAAAAAYABgBZAQAAzQcAAAAA&#10;" path="m449580,328930l523875,328930,624205,244475,454660,158750,486410,0,295910,22225,0,90805,52705,149225,41910,238125,147955,222250,381000,244475,460375,254000,449580,328930xe">
                      <v:path o:connectlocs="449580,328930;523875,328930;624205,244475;454660,158750;486410,0;295910,22225;0,90805;52705,149225;41910,238125;147955,222250;381000,244475;460375,254000;449580,328930" o:connectangles="0,0,0,0,0,0,0,0,0,0,0,0,0"/>
                      <v:fill on="t" opacity="37355f" focussize="0,0"/>
                      <v:stroke weight="2pt" color="#376092 [2404]" joinstyle="round"/>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1938020</wp:posOffset>
                      </wp:positionH>
                      <wp:positionV relativeFrom="paragraph">
                        <wp:posOffset>819150</wp:posOffset>
                      </wp:positionV>
                      <wp:extent cx="808990" cy="233045"/>
                      <wp:effectExtent l="104775" t="178435" r="13335" b="20320"/>
                      <wp:wrapNone/>
                      <wp:docPr id="92" name="矩形标注 92"/>
                      <wp:cNvGraphicFramePr/>
                      <a:graphic xmlns:a="http://schemas.openxmlformats.org/drawingml/2006/main">
                        <a:graphicData uri="http://schemas.microsoft.com/office/word/2010/wordprocessingShape">
                          <wps:wsp>
                            <wps:cNvSpPr/>
                            <wps:spPr>
                              <a:xfrm>
                                <a:off x="0" y="0"/>
                                <a:ext cx="808990" cy="233045"/>
                              </a:xfrm>
                              <a:prstGeom prst="wedgeRectCallout">
                                <a:avLst>
                                  <a:gd name="adj1" fmla="val -61414"/>
                                  <a:gd name="adj2" fmla="val -121000"/>
                                </a:avLst>
                              </a:prstGeom>
                              <a:gradFill>
                                <a:gsLst>
                                  <a:gs pos="0">
                                    <a:srgbClr val="D7F0FC"/>
                                  </a:gs>
                                  <a:gs pos="52000">
                                    <a:srgbClr val="FFEFDE"/>
                                  </a:gs>
                                  <a:gs pos="100000">
                                    <a:srgbClr val="FFDCFC"/>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128F4642">
                                  <w:pPr>
                                    <w:jc w:val="center"/>
                                    <w:rPr>
                                      <w:rFonts w:hint="default" w:eastAsia="宋体"/>
                                      <w:color w:val="000000" w:themeColor="text1"/>
                                      <w:sz w:val="15"/>
                                      <w:szCs w:val="15"/>
                                      <w:lang w:val="en-US" w:eastAsia="zh-CN"/>
                                      <w14:textFill>
                                        <w14:solidFill>
                                          <w14:schemeClr w14:val="tx1"/>
                                        </w14:solidFill>
                                      </w14:textFill>
                                    </w:rPr>
                                  </w:pPr>
                                  <w:r>
                                    <w:rPr>
                                      <w:rFonts w:hint="eastAsia" w:eastAsia="宋体"/>
                                      <w:color w:val="000000" w:themeColor="text1"/>
                                      <w:sz w:val="15"/>
                                      <w:szCs w:val="15"/>
                                      <w:lang w:val="en-US" w:eastAsia="zh-CN"/>
                                      <w14:textFill>
                                        <w14:solidFill>
                                          <w14:schemeClr w14:val="tx1"/>
                                        </w14:solidFill>
                                      </w14:textFill>
                                    </w:rPr>
                                    <w:t>运输路线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2.6pt;margin-top:64.5pt;height:18.35pt;width:63.7pt;z-index:251716608;v-text-anchor:middle;mso-width-relative:page;mso-height-relative:page;" fillcolor="#D7F0FC" filled="t" stroked="t" coordsize="21600,21600" o:gfxdata="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1YJj8dkAAAALAQAADwAAAAAA&#10;AAABACAAAAAiAAAAZHJzL2Rvd25yZXYueG1sUEsBAhQAFAAAAAgAh07iQPqyurv2AgAAHQYAAA4A&#10;AAAAAAAAAQAgAAAAKAEAAGRycy9lMm9Eb2MueG1sUEsFBgAAAAAGAAYAWQEAAJAGAAAAAA==&#10;" adj="-2465,-15336">
                      <v:fill type="gradient" on="t" color2="#FFDCFC" colors="0f #D7F0FC;34079f #FFEFDE;65536f #FFDCFC" focus="100%" focussize="0,0" rotate="t"/>
                      <v:stroke weight="2pt" color="#376092 [2404]" joinstyle="round"/>
                      <v:imagedata o:title=""/>
                      <o:lock v:ext="edit" aspectratio="f"/>
                      <v:textbox>
                        <w:txbxContent>
                          <w:p w14:paraId="128F4642">
                            <w:pPr>
                              <w:jc w:val="center"/>
                              <w:rPr>
                                <w:rFonts w:hint="default" w:eastAsia="宋体"/>
                                <w:color w:val="000000" w:themeColor="text1"/>
                                <w:sz w:val="15"/>
                                <w:szCs w:val="15"/>
                                <w:lang w:val="en-US" w:eastAsia="zh-CN"/>
                                <w14:textFill>
                                  <w14:solidFill>
                                    <w14:schemeClr w14:val="tx1"/>
                                  </w14:solidFill>
                                </w14:textFill>
                              </w:rPr>
                            </w:pPr>
                            <w:r>
                              <w:rPr>
                                <w:rFonts w:hint="eastAsia" w:eastAsia="宋体"/>
                                <w:color w:val="000000" w:themeColor="text1"/>
                                <w:sz w:val="15"/>
                                <w:szCs w:val="15"/>
                                <w:lang w:val="en-US" w:eastAsia="zh-CN"/>
                                <w14:textFill>
                                  <w14:solidFill>
                                    <w14:schemeClr w14:val="tx1"/>
                                  </w14:solidFill>
                                </w14:textFill>
                              </w:rPr>
                              <w:t>运输路线</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1233170</wp:posOffset>
                      </wp:positionH>
                      <wp:positionV relativeFrom="paragraph">
                        <wp:posOffset>1129665</wp:posOffset>
                      </wp:positionV>
                      <wp:extent cx="140970" cy="75565"/>
                      <wp:effectExtent l="2540" t="4445" r="8890" b="8890"/>
                      <wp:wrapNone/>
                      <wp:docPr id="89" name="直接连接符 89"/>
                      <wp:cNvGraphicFramePr/>
                      <a:graphic xmlns:a="http://schemas.openxmlformats.org/drawingml/2006/main">
                        <a:graphicData uri="http://schemas.microsoft.com/office/word/2010/wordprocessingShape">
                          <wps:wsp>
                            <wps:cNvCnPr/>
                            <wps:spPr>
                              <a:xfrm>
                                <a:off x="2569210" y="5080000"/>
                                <a:ext cx="140970" cy="75565"/>
                              </a:xfrm>
                              <a:prstGeom prst="line">
                                <a:avLst/>
                              </a:prstGeom>
                              <a:ln w="6350">
                                <a:solidFill>
                                  <a:srgbClr val="C0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7.1pt;margin-top:88.95pt;height:5.95pt;width:11.1pt;z-index:251715584;mso-width-relative:page;mso-height-relative:page;" filled="f" stroked="t" coordsize="21600,21600" o:gfxdata="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m9QUdoAAAALAQAADwAAAAAAAAABACAAAAAiAAAAZHJzL2Rvd25yZXYueG1sUEsBAhQAFAAAAAgA&#10;h07iQPT2pKzqAQAAqwMAAA4AAAAAAAAAAQAgAAAAKQEAAGRycy9lMm9Eb2MueG1sUEsFBgAAAAAG&#10;AAYAWQEAAIUFAAAAAA==&#10;">
                      <v:fill on="f" focussize="0,0"/>
                      <v:stroke weight="0.5pt" color="#C00000 [3204]"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1247140</wp:posOffset>
                      </wp:positionH>
                      <wp:positionV relativeFrom="paragraph">
                        <wp:posOffset>322580</wp:posOffset>
                      </wp:positionV>
                      <wp:extent cx="1550670" cy="830580"/>
                      <wp:effectExtent l="8890" t="12700" r="2540" b="20320"/>
                      <wp:wrapNone/>
                      <wp:docPr id="87" name="任意多边形 87"/>
                      <wp:cNvGraphicFramePr/>
                      <a:graphic xmlns:a="http://schemas.openxmlformats.org/drawingml/2006/main">
                        <a:graphicData uri="http://schemas.microsoft.com/office/word/2010/wordprocessingShape">
                          <wps:wsp>
                            <wps:cNvSpPr/>
                            <wps:spPr>
                              <a:xfrm>
                                <a:off x="2477135" y="4246880"/>
                                <a:ext cx="1550670" cy="830580"/>
                              </a:xfrm>
                              <a:custGeom>
                                <a:avLst/>
                                <a:gdLst>
                                  <a:gd name="connisteX0" fmla="*/ 1550670 w 1550670"/>
                                  <a:gd name="connsiteY0" fmla="*/ 0 h 830580"/>
                                  <a:gd name="connisteX1" fmla="*/ 1190625 w 1550670"/>
                                  <a:gd name="connsiteY1" fmla="*/ 68580 h 830580"/>
                                  <a:gd name="connisteX2" fmla="*/ 783590 w 1550670"/>
                                  <a:gd name="connsiteY2" fmla="*/ 227330 h 830580"/>
                                  <a:gd name="connisteX3" fmla="*/ 375920 w 1550670"/>
                                  <a:gd name="connsiteY3" fmla="*/ 476250 h 830580"/>
                                  <a:gd name="connisteX4" fmla="*/ 0 w 1550670"/>
                                  <a:gd name="connsiteY4" fmla="*/ 830580 h 83058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550670" h="830580">
                                    <a:moveTo>
                                      <a:pt x="1550670" y="0"/>
                                    </a:moveTo>
                                    <a:cubicBezTo>
                                      <a:pt x="1486535" y="10795"/>
                                      <a:pt x="1344295" y="22860"/>
                                      <a:pt x="1190625" y="68580"/>
                                    </a:cubicBezTo>
                                    <a:cubicBezTo>
                                      <a:pt x="1036955" y="114300"/>
                                      <a:pt x="946785" y="146050"/>
                                      <a:pt x="783590" y="227330"/>
                                    </a:cubicBezTo>
                                    <a:cubicBezTo>
                                      <a:pt x="620395" y="308610"/>
                                      <a:pt x="532765" y="355600"/>
                                      <a:pt x="375920" y="476250"/>
                                    </a:cubicBezTo>
                                    <a:cubicBezTo>
                                      <a:pt x="219075" y="596900"/>
                                      <a:pt x="67310" y="764540"/>
                                      <a:pt x="0" y="830580"/>
                                    </a:cubicBezTo>
                                  </a:path>
                                </a:pathLst>
                              </a:custGeom>
                              <a:noFill/>
                              <a:ln w="6350">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8.2pt;margin-top:25.4pt;height:65.4pt;width:122.1pt;z-index:251714560;mso-width-relative:page;mso-height-relative:page;" filled="f" stroked="t" coordsize="1550670,830580" o:gfxdata="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A/IE1W&#10;1wAAAAoBAAAPAAAAAAAAAAEAIAAAACIAAABkcnMvZG93bnJldi54bWxQSwECFAAUAAAACACHTuJA&#10;kR/VFHgDAABXCQAADgAAAAAAAAABACAAAAAmAQAAZHJzL2Uyb0RvYy54bWxQSwUGAAAAAAYABgBZ&#10;AQAAEAcAAAAA&#10;" path="m1550670,0c1486535,10795,1344295,22860,1190625,68580c1036955,114300,946785,146050,783590,227330c620395,308610,532765,355600,375920,476250c219075,596900,67310,764540,0,830580e">
                      <v:path o:connectlocs="1550670,0;1190625,68580;783590,227330;375920,476250;0,830580" o:connectangles="0,0,0,0,0"/>
                      <v:fill on="f" focussize="0,0"/>
                      <v:stroke weight="0.5pt" color="#C00000 [2404]" joinstyle="round"/>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1985645</wp:posOffset>
                      </wp:positionH>
                      <wp:positionV relativeFrom="paragraph">
                        <wp:posOffset>1622425</wp:posOffset>
                      </wp:positionV>
                      <wp:extent cx="808990" cy="228600"/>
                      <wp:effectExtent l="614045" t="452120" r="24765" b="17780"/>
                      <wp:wrapNone/>
                      <wp:docPr id="86" name="矩形标注 86"/>
                      <wp:cNvGraphicFramePr/>
                      <a:graphic xmlns:a="http://schemas.openxmlformats.org/drawingml/2006/main">
                        <a:graphicData uri="http://schemas.microsoft.com/office/word/2010/wordprocessingShape">
                          <wps:wsp>
                            <wps:cNvSpPr/>
                            <wps:spPr>
                              <a:xfrm>
                                <a:off x="0" y="0"/>
                                <a:ext cx="808990" cy="228600"/>
                              </a:xfrm>
                              <a:prstGeom prst="wedgeRectCallout">
                                <a:avLst>
                                  <a:gd name="adj1" fmla="val -124332"/>
                                  <a:gd name="adj2" fmla="val -242222"/>
                                </a:avLst>
                              </a:prstGeom>
                              <a:gradFill>
                                <a:gsLst>
                                  <a:gs pos="0">
                                    <a:srgbClr val="D7F0FC"/>
                                  </a:gs>
                                  <a:gs pos="52000">
                                    <a:srgbClr val="FFEFDE"/>
                                  </a:gs>
                                  <a:gs pos="100000">
                                    <a:srgbClr val="FFDCFC"/>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3D61A1AD">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指定排污口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6.35pt;margin-top:127.75pt;height:18pt;width:63.7pt;z-index:251713536;v-text-anchor:middle;mso-width-relative:page;mso-height-relative:page;" fillcolor="#D7F0FC" filled="t" stroked="t" coordsize="21600,21600" o:gfxdata="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CiqYDv2wAAAAsBAAAPAAAA&#10;AAAAAAEAIAAAACIAAABkcnMvZG93bnJldi54bWxQSwECFAAUAAAACACHTuJAZODIU/YCAAAeBgAA&#10;DgAAAAAAAAABACAAAAAqAQAAZHJzL2Uyb0RvYy54bWxQSwUGAAAAAAYABgBZAQAAkgYAAAAA&#10;" adj="-16056,-41520">
                      <v:fill type="gradient" on="t" color2="#FFDCFC" colors="0f #D7F0FC;34079f #FFEFDE;65536f #FFDCFC" focus="100%" focussize="0,0" rotate="t"/>
                      <v:stroke weight="2pt" color="#376092 [2404]" joinstyle="round"/>
                      <v:imagedata o:title=""/>
                      <o:lock v:ext="edit" aspectratio="f"/>
                      <v:textbox>
                        <w:txbxContent>
                          <w:p w14:paraId="3D61A1AD">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指定排污口</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1328420</wp:posOffset>
                      </wp:positionH>
                      <wp:positionV relativeFrom="paragraph">
                        <wp:posOffset>1144905</wp:posOffset>
                      </wp:positionV>
                      <wp:extent cx="75565" cy="75565"/>
                      <wp:effectExtent l="12700" t="12700" r="13335" b="13335"/>
                      <wp:wrapNone/>
                      <wp:docPr id="80" name="椭圆 80"/>
                      <wp:cNvGraphicFramePr/>
                      <a:graphic xmlns:a="http://schemas.openxmlformats.org/drawingml/2006/main">
                        <a:graphicData uri="http://schemas.microsoft.com/office/word/2010/wordprocessingShape">
                          <wps:wsp>
                            <wps:cNvSpPr/>
                            <wps:spPr>
                              <a:xfrm>
                                <a:off x="2547620" y="5095875"/>
                                <a:ext cx="75565" cy="75565"/>
                              </a:xfrm>
                              <a:prstGeom prst="ellipse">
                                <a:avLst/>
                              </a:prstGeom>
                              <a:solidFill>
                                <a:srgbClr val="C0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4.6pt;margin-top:90.15pt;height:5.95pt;width:5.95pt;z-index:251712512;v-text-anchor:middle;mso-width-relative:page;mso-height-relative:page;" fillcolor="#C00000" filled="t" stroked="t" coordsize="21600,21600" o:gfxdata="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AdBLP1wAAAAsBAAAPAAAAAAAAAAEAIAAA&#10;ACIAAABkcnMvZG93bnJldi54bWxQSwECFAAUAAAACACHTuJAFfapXn8CAAANBQAADgAAAAAAAAAB&#10;ACAAAAAmAQAAZHJzL2Uyb0RvYy54bWxQSwUGAAAAAAYABgBZAQAAFwYAAAAA&#10;">
                      <v:fill on="t" focussize="0,0"/>
                      <v:stroke weight="2pt" color="#376092 [2404]" joinstyle="round"/>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2959100</wp:posOffset>
                      </wp:positionH>
                      <wp:positionV relativeFrom="paragraph">
                        <wp:posOffset>591820</wp:posOffset>
                      </wp:positionV>
                      <wp:extent cx="808990" cy="233045"/>
                      <wp:effectExtent l="104775" t="178435" r="13335" b="20320"/>
                      <wp:wrapNone/>
                      <wp:docPr id="73" name="矩形标注 73"/>
                      <wp:cNvGraphicFramePr/>
                      <a:graphic xmlns:a="http://schemas.openxmlformats.org/drawingml/2006/main">
                        <a:graphicData uri="http://schemas.microsoft.com/office/word/2010/wordprocessingShape">
                          <wps:wsp>
                            <wps:cNvSpPr/>
                            <wps:spPr>
                              <a:xfrm>
                                <a:off x="3909060" y="4584700"/>
                                <a:ext cx="808990" cy="233045"/>
                              </a:xfrm>
                              <a:prstGeom prst="wedgeRectCallout">
                                <a:avLst>
                                  <a:gd name="adj1" fmla="val -61414"/>
                                  <a:gd name="adj2" fmla="val -121000"/>
                                </a:avLst>
                              </a:prstGeom>
                              <a:gradFill>
                                <a:gsLst>
                                  <a:gs pos="0">
                                    <a:srgbClr val="D7F0FC"/>
                                  </a:gs>
                                  <a:gs pos="52000">
                                    <a:srgbClr val="FFEFDE"/>
                                  </a:gs>
                                  <a:gs pos="100000">
                                    <a:srgbClr val="FFDCFC"/>
                                  </a:gs>
                                </a:gsLst>
                                <a:lin ang="5400000" scaled="1"/>
                              </a:gradFill>
                            </wps:spPr>
                            <wps:style>
                              <a:lnRef idx="2">
                                <a:schemeClr val="accent1">
                                  <a:lumMod val="75000"/>
                                </a:schemeClr>
                              </a:lnRef>
                              <a:fillRef idx="1">
                                <a:schemeClr val="accent1"/>
                              </a:fillRef>
                              <a:effectRef idx="0">
                                <a:srgbClr val="FFFFFF"/>
                              </a:effectRef>
                              <a:fontRef idx="minor">
                                <a:schemeClr val="lt1"/>
                              </a:fontRef>
                            </wps:style>
                            <wps:txbx>
                              <w:txbxContent>
                                <w:p w14:paraId="70C0F568">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3pt;margin-top:46.6pt;height:18.35pt;width:63.7pt;z-index:251711488;v-text-anchor:middle;mso-width-relative:page;mso-height-relative:page;" fillcolor="#D7F0FC" filled="t" stroked="t" coordsize="21600,21600" o:gfxdata="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D5kB9NkA&#10;AAAKAQAADwAAAAAAAAABACAAAAAiAAAAZHJzL2Rvd25yZXYueG1sUEsBAhQAFAAAAAgAh07iQCE5&#10;+4UCAwAAKQYAAA4AAAAAAAAAAQAgAAAAKAEAAGRycy9lMm9Eb2MueG1sUEsFBgAAAAAGAAYAWQEA&#10;AJwGAAAAAA==&#10;" adj="-2465,-15336">
                      <v:fill type="gradient" on="t" color2="#FFDCFC" colors="0f #D7F0FC;34079f #FFEFDE;65536f #FFDCFC" focus="100%" focussize="0,0" rotate="t"/>
                      <v:stroke weight="2pt" color="#376092 [2404]" joinstyle="round"/>
                      <v:imagedata o:title=""/>
                      <o:lock v:ext="edit" aspectratio="f"/>
                      <v:textbox>
                        <w:txbxContent>
                          <w:p w14:paraId="70C0F568">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本项目所在地</w:t>
                            </w:r>
                          </w:p>
                        </w:txbxContent>
                      </v:textbox>
                    </v:shape>
                  </w:pict>
                </mc:Fallback>
              </mc:AlternateContent>
            </w: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4662170" cy="2111375"/>
                  <wp:effectExtent l="0" t="0" r="11430" b="9525"/>
                  <wp:docPr id="32" name="图片 32" descr="12fe9eb5-7a43-44ab-a900-af0abe9d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2fe9eb5-7a43-44ab-a900-af0abe9d0799"/>
                          <pic:cNvPicPr>
                            <a:picLocks noChangeAspect="1"/>
                          </pic:cNvPicPr>
                        </pic:nvPicPr>
                        <pic:blipFill>
                          <a:blip r:embed="rId29"/>
                          <a:stretch>
                            <a:fillRect/>
                          </a:stretch>
                        </pic:blipFill>
                        <pic:spPr>
                          <a:xfrm>
                            <a:off x="0" y="0"/>
                            <a:ext cx="4662170" cy="2111375"/>
                          </a:xfrm>
                          <a:prstGeom prst="rect">
                            <a:avLst/>
                          </a:prstGeom>
                        </pic:spPr>
                      </pic:pic>
                    </a:graphicData>
                  </a:graphic>
                </wp:inline>
              </w:drawing>
            </w:r>
          </w:p>
          <w:p w14:paraId="0505CD18">
            <w:pPr>
              <w:pStyle w:val="3"/>
              <w:jc w:val="center"/>
              <w:rPr>
                <w:rFonts w:hint="default"/>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图4-1 污水运输路线图</w:t>
            </w:r>
          </w:p>
          <w:p w14:paraId="32060989">
            <w:pPr>
              <w:pStyle w:val="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达标排放分析</w:t>
            </w:r>
          </w:p>
          <w:p w14:paraId="07FA7D31">
            <w:pPr>
              <w:spacing w:line="360" w:lineRule="auto"/>
              <w:ind w:firstLine="482"/>
              <w:rPr>
                <w:rFonts w:hint="eastAsia" w:ascii="宋体" w:hAnsi="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本项目扩建后全厂污水排放情况不发生变化，根据2025年初期雨水监测报告及企业排污许可证执行报告中对废水的自行监测可以看出</w:t>
            </w:r>
            <w:r>
              <w:rPr>
                <w:rFonts w:hint="eastAsia" w:ascii="宋体" w:hAnsi="宋体" w:eastAsia="宋体" w:cs="宋体"/>
                <w:color w:val="000000" w:themeColor="text1"/>
                <w14:textFill>
                  <w14:solidFill>
                    <w14:schemeClr w14:val="tx1"/>
                  </w14:solidFill>
                </w14:textFill>
              </w:rPr>
              <w:t>，污水符合《污水综合排放标准》（GB8978-1996）表4中的三级排放标准要求（其中氨氮参照执行</w:t>
            </w:r>
            <w:r>
              <w:rPr>
                <w:rFonts w:hint="eastAsia" w:ascii="宋体" w:hAnsi="宋体" w:eastAsia="宋体" w:cs="宋体"/>
                <w:color w:val="000000" w:themeColor="text1"/>
                <w:kern w:val="18"/>
                <w14:textFill>
                  <w14:solidFill>
                    <w14:schemeClr w14:val="tx1"/>
                  </w14:solidFill>
                </w14:textFill>
              </w:rPr>
              <w:t>《污水排入城镇下水道水质标准》（GB/T31962-2015）表1中B级标准限值</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，可通过下水管网排入四平市污水处理厂</w:t>
            </w:r>
            <w:r>
              <w:rPr>
                <w:rFonts w:hint="eastAsia" w:ascii="宋体" w:hAnsi="宋体" w:eastAsia="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指定排污口距离本项目2.5km，运输路线沿线200m范围内，沿线无饮用水源地，森林公园等特殊环境敏感区等生态红线，仅在沿线西侧有新发村居民分布，在运输过程吸污车通过禁止鸣笛，降低车速等措施减少运输过程产生的粉和和运输噪声对沿线居民的不良影响。</w:t>
            </w:r>
          </w:p>
          <w:p w14:paraId="4BC1638B">
            <w:pPr>
              <w:spacing w:line="360" w:lineRule="auto"/>
              <w:ind w:firstLine="482" w:firstLineChars="200"/>
              <w:rPr>
                <w:rFonts w:hint="eastAsia"/>
                <w:b/>
                <w:bCs/>
                <w:color w:val="000000" w:themeColor="text1"/>
                <w:sz w:val="24"/>
                <w:lang w:val="en-US" w:eastAsia="zh-CN"/>
                <w14:textFill>
                  <w14:solidFill>
                    <w14:schemeClr w14:val="tx1"/>
                  </w14:solidFill>
                </w14:textFill>
              </w:rPr>
            </w:pPr>
          </w:p>
          <w:p w14:paraId="089F402E">
            <w:pPr>
              <w:spacing w:line="360" w:lineRule="auto"/>
              <w:ind w:firstLine="482" w:firstLineChars="200"/>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3、本项目</w:t>
            </w:r>
            <w:r>
              <w:rPr>
                <w:rFonts w:hint="eastAsia" w:ascii="宋体" w:hAnsi="宋体" w:eastAsia="宋体" w:cs="宋体"/>
                <w:b/>
                <w:bCs/>
                <w:color w:val="000000" w:themeColor="text1"/>
                <w:sz w:val="24"/>
                <w14:textFill>
                  <w14:solidFill>
                    <w14:schemeClr w14:val="tx1"/>
                  </w14:solidFill>
                </w14:textFill>
              </w:rPr>
              <w:t>废水处理措施可行性分析</w:t>
            </w:r>
          </w:p>
          <w:p w14:paraId="7644F118">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本项目采取的废水处理工艺流程见下图</w:t>
            </w:r>
          </w:p>
          <w:p w14:paraId="4840E718">
            <w:pPr>
              <w:pStyle w:val="33"/>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1246505</wp:posOffset>
                      </wp:positionH>
                      <wp:positionV relativeFrom="paragraph">
                        <wp:posOffset>96520</wp:posOffset>
                      </wp:positionV>
                      <wp:extent cx="791845" cy="239395"/>
                      <wp:effectExtent l="4445" t="5080" r="16510" b="9525"/>
                      <wp:wrapNone/>
                      <wp:docPr id="97" name="文本框 97"/>
                      <wp:cNvGraphicFramePr/>
                      <a:graphic xmlns:a="http://schemas.openxmlformats.org/drawingml/2006/main">
                        <a:graphicData uri="http://schemas.microsoft.com/office/word/2010/wordprocessingShape">
                          <wps:wsp>
                            <wps:cNvSpPr txBox="1"/>
                            <wps:spPr>
                              <a:xfrm>
                                <a:off x="0" y="0"/>
                                <a:ext cx="791845" cy="239395"/>
                              </a:xfrm>
                              <a:prstGeom prst="rect">
                                <a:avLst/>
                              </a:prstGeom>
                              <a:noFill/>
                              <a:ln w="9525" cap="flat" cmpd="sng">
                                <a:solidFill>
                                  <a:srgbClr val="000000"/>
                                </a:solidFill>
                                <a:prstDash val="solid"/>
                                <a:miter/>
                                <a:headEnd type="none" w="med" len="med"/>
                                <a:tailEnd type="none" w="med" len="med"/>
                              </a:ln>
                            </wps:spPr>
                            <wps:txbx>
                              <w:txbxContent>
                                <w:p w14:paraId="4A3DE2E2">
                                  <w:pPr>
                                    <w:jc w:val="center"/>
                                    <w:rPr>
                                      <w:rFonts w:hint="default" w:eastAsia="宋体"/>
                                      <w:sz w:val="18"/>
                                      <w:szCs w:val="18"/>
                                      <w:lang w:val="en-US" w:eastAsia="zh-CN"/>
                                    </w:rPr>
                                  </w:pPr>
                                  <w:r>
                                    <w:rPr>
                                      <w:rFonts w:hint="eastAsia"/>
                                      <w:sz w:val="18"/>
                                      <w:szCs w:val="18"/>
                                      <w:lang w:val="en-US" w:eastAsia="zh-CN"/>
                                    </w:rPr>
                                    <w:t>油水分离器</w:t>
                                  </w:r>
                                </w:p>
                              </w:txbxContent>
                            </wps:txbx>
                            <wps:bodyPr upright="1"/>
                          </wps:wsp>
                        </a:graphicData>
                      </a:graphic>
                    </wp:anchor>
                  </w:drawing>
                </mc:Choice>
                <mc:Fallback>
                  <w:pict>
                    <v:shape id="_x0000_s1026" o:spid="_x0000_s1026" o:spt="202" type="#_x0000_t202" style="position:absolute;left:0pt;margin-left:98.15pt;margin-top:7.6pt;height:18.85pt;width:62.35pt;z-index:251721728;mso-width-relative:page;mso-height-relative:page;" filled="f" stroked="t" coordsize="21600,21600" o:gfxdata="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EwCh1gAAAAkBAAAPAAAAAAAAAAEAIAAAACIAAABkcnMv&#10;ZG93bnJldi54bWxQSwECFAAUAAAACACHTuJAO/bDRAUCAAAOBAAADgAAAAAAAAABACAAAAAlAQAA&#10;ZHJzL2Uyb0RvYy54bWxQSwUGAAAAAAYABgBZAQAAnAUAAAAA&#10;">
                      <v:fill on="f" focussize="0,0"/>
                      <v:stroke color="#000000" joinstyle="miter"/>
                      <v:imagedata o:title=""/>
                      <o:lock v:ext="edit" aspectratio="f"/>
                      <v:textbox>
                        <w:txbxContent>
                          <w:p w14:paraId="4A3DE2E2">
                            <w:pPr>
                              <w:jc w:val="center"/>
                              <w:rPr>
                                <w:rFonts w:hint="default" w:eastAsia="宋体"/>
                                <w:sz w:val="18"/>
                                <w:szCs w:val="18"/>
                                <w:lang w:val="en-US" w:eastAsia="zh-CN"/>
                              </w:rPr>
                            </w:pPr>
                            <w:r>
                              <w:rPr>
                                <w:rFonts w:hint="eastAsia"/>
                                <w:sz w:val="18"/>
                                <w:szCs w:val="18"/>
                                <w:lang w:val="en-US" w:eastAsia="zh-CN"/>
                              </w:rPr>
                              <w:t>油水分离器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64770</wp:posOffset>
                      </wp:positionH>
                      <wp:positionV relativeFrom="paragraph">
                        <wp:posOffset>80645</wp:posOffset>
                      </wp:positionV>
                      <wp:extent cx="791845" cy="239395"/>
                      <wp:effectExtent l="4445" t="5080" r="16510" b="9525"/>
                      <wp:wrapNone/>
                      <wp:docPr id="101" name="文本框 101"/>
                      <wp:cNvGraphicFramePr/>
                      <a:graphic xmlns:a="http://schemas.openxmlformats.org/drawingml/2006/main">
                        <a:graphicData uri="http://schemas.microsoft.com/office/word/2010/wordprocessingShape">
                          <wps:wsp>
                            <wps:cNvSpPr txBox="1"/>
                            <wps:spPr>
                              <a:xfrm>
                                <a:off x="0" y="0"/>
                                <a:ext cx="791845" cy="239395"/>
                              </a:xfrm>
                              <a:prstGeom prst="rect">
                                <a:avLst/>
                              </a:prstGeom>
                              <a:noFill/>
                              <a:ln w="9525" cap="flat" cmpd="sng">
                                <a:solidFill>
                                  <a:srgbClr val="000000"/>
                                </a:solidFill>
                                <a:prstDash val="solid"/>
                                <a:miter/>
                                <a:headEnd type="none" w="med" len="med"/>
                                <a:tailEnd type="none" w="med" len="med"/>
                              </a:ln>
                            </wps:spPr>
                            <wps:txbx>
                              <w:txbxContent>
                                <w:p w14:paraId="303B6C79">
                                  <w:pPr>
                                    <w:jc w:val="center"/>
                                    <w:rPr>
                                      <w:rFonts w:hint="default" w:eastAsia="宋体"/>
                                      <w:sz w:val="18"/>
                                      <w:szCs w:val="18"/>
                                      <w:lang w:val="en-US" w:eastAsia="zh-CN"/>
                                    </w:rPr>
                                  </w:pPr>
                                  <w:r>
                                    <w:rPr>
                                      <w:rFonts w:hint="eastAsia"/>
                                      <w:sz w:val="18"/>
                                      <w:szCs w:val="18"/>
                                      <w:lang w:val="en-US" w:eastAsia="zh-CN"/>
                                    </w:rPr>
                                    <w:t>收集池</w:t>
                                  </w:r>
                                </w:p>
                              </w:txbxContent>
                            </wps:txbx>
                            <wps:bodyPr upright="1"/>
                          </wps:wsp>
                        </a:graphicData>
                      </a:graphic>
                    </wp:anchor>
                  </w:drawing>
                </mc:Choice>
                <mc:Fallback>
                  <w:pict>
                    <v:shape id="_x0000_s1026" o:spid="_x0000_s1026" o:spt="202" type="#_x0000_t202" style="position:absolute;left:0pt;margin-left:5.1pt;margin-top:6.35pt;height:18.85pt;width:62.35pt;z-index:251725824;mso-width-relative:page;mso-height-relative:page;" filled="f" stroked="t" coordsize="21600,21600" o:gfxdata="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fMenUAAAACAEAAA8AAAAAAAAAAQAgAAAAIgAAAGRycy9k&#10;b3ducmV2LnhtbFBLAQIUABQAAAAIAIdO4kDJ8AvdBgIAABAEAAAOAAAAAAAAAAEAIAAAACMBAABk&#10;cnMvZTJvRG9jLnhtbFBLBQYAAAAABgAGAFkBAACbBQAAAAA=&#10;">
                      <v:fill on="f" focussize="0,0"/>
                      <v:stroke color="#000000" joinstyle="miter"/>
                      <v:imagedata o:title=""/>
                      <o:lock v:ext="edit" aspectratio="f"/>
                      <v:textbox>
                        <w:txbxContent>
                          <w:p w14:paraId="303B6C79">
                            <w:pPr>
                              <w:jc w:val="center"/>
                              <w:rPr>
                                <w:rFonts w:hint="default" w:eastAsia="宋体"/>
                                <w:sz w:val="18"/>
                                <w:szCs w:val="18"/>
                                <w:lang w:val="en-US" w:eastAsia="zh-CN"/>
                              </w:rPr>
                            </w:pPr>
                            <w:r>
                              <w:rPr>
                                <w:rFonts w:hint="eastAsia"/>
                                <w:sz w:val="18"/>
                                <w:szCs w:val="18"/>
                                <w:lang w:val="en-US" w:eastAsia="zh-CN"/>
                              </w:rPr>
                              <w:t>收集池</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2475865</wp:posOffset>
                      </wp:positionH>
                      <wp:positionV relativeFrom="paragraph">
                        <wp:posOffset>80010</wp:posOffset>
                      </wp:positionV>
                      <wp:extent cx="701040" cy="239395"/>
                      <wp:effectExtent l="4445" t="5080" r="5715" b="9525"/>
                      <wp:wrapNone/>
                      <wp:docPr id="98" name="文本框 98"/>
                      <wp:cNvGraphicFramePr/>
                      <a:graphic xmlns:a="http://schemas.openxmlformats.org/drawingml/2006/main">
                        <a:graphicData uri="http://schemas.microsoft.com/office/word/2010/wordprocessingShape">
                          <wps:wsp>
                            <wps:cNvSpPr txBox="1"/>
                            <wps:spPr>
                              <a:xfrm>
                                <a:off x="0" y="0"/>
                                <a:ext cx="701040" cy="239395"/>
                              </a:xfrm>
                              <a:prstGeom prst="rect">
                                <a:avLst/>
                              </a:prstGeom>
                              <a:noFill/>
                              <a:ln w="9525" cap="flat" cmpd="sng">
                                <a:solidFill>
                                  <a:srgbClr val="000000"/>
                                </a:solidFill>
                                <a:prstDash val="solid"/>
                                <a:miter/>
                                <a:headEnd type="none" w="med" len="med"/>
                                <a:tailEnd type="none" w="med" len="med"/>
                              </a:ln>
                            </wps:spPr>
                            <wps:txbx>
                              <w:txbxContent>
                                <w:p w14:paraId="045708C3">
                                  <w:pPr>
                                    <w:jc w:val="center"/>
                                    <w:rPr>
                                      <w:rFonts w:hint="default" w:eastAsia="宋体"/>
                                      <w:sz w:val="18"/>
                                      <w:szCs w:val="18"/>
                                      <w:lang w:val="en-US" w:eastAsia="zh-CN"/>
                                    </w:rPr>
                                  </w:pPr>
                                  <w:r>
                                    <w:rPr>
                                      <w:rFonts w:hint="eastAsia"/>
                                      <w:sz w:val="18"/>
                                      <w:szCs w:val="18"/>
                                      <w:lang w:val="en-US" w:eastAsia="zh-CN"/>
                                    </w:rPr>
                                    <w:t>沉淀池</w:t>
                                  </w:r>
                                </w:p>
                              </w:txbxContent>
                            </wps:txbx>
                            <wps:bodyPr upright="1"/>
                          </wps:wsp>
                        </a:graphicData>
                      </a:graphic>
                    </wp:anchor>
                  </w:drawing>
                </mc:Choice>
                <mc:Fallback>
                  <w:pict>
                    <v:shape id="_x0000_s1026" o:spid="_x0000_s1026" o:spt="202" type="#_x0000_t202" style="position:absolute;left:0pt;margin-left:194.95pt;margin-top:6.3pt;height:18.85pt;width:55.2pt;z-index:251719680;mso-width-relative:page;mso-height-relative:page;" filled="f" stroked="t" coordsize="21600,21600" o:gfxdata="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22hU1QAAAAkBAAAPAAAAAAAAAAEAIAAAACIAAABkcnMvZG93&#10;bnJldi54bWxQSwECFAAUAAAACACHTuJAyuGXBAMCAAAOBAAADgAAAAAAAAABACAAAAAkAQAAZHJz&#10;L2Uyb0RvYy54bWxQSwUGAAAAAAYABgBZAQAAmQUAAAAA&#10;">
                      <v:fill on="f" focussize="0,0"/>
                      <v:stroke color="#000000" joinstyle="miter"/>
                      <v:imagedata o:title=""/>
                      <o:lock v:ext="edit" aspectratio="f"/>
                      <v:textbox>
                        <w:txbxContent>
                          <w:p w14:paraId="045708C3">
                            <w:pPr>
                              <w:jc w:val="center"/>
                              <w:rPr>
                                <w:rFonts w:hint="default" w:eastAsia="宋体"/>
                                <w:sz w:val="18"/>
                                <w:szCs w:val="18"/>
                                <w:lang w:val="en-US" w:eastAsia="zh-CN"/>
                              </w:rPr>
                            </w:pPr>
                            <w:r>
                              <w:rPr>
                                <w:rFonts w:hint="eastAsia"/>
                                <w:sz w:val="18"/>
                                <w:szCs w:val="18"/>
                                <w:lang w:val="en-US" w:eastAsia="zh-CN"/>
                              </w:rPr>
                              <w:t>沉淀池</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3616960</wp:posOffset>
                      </wp:positionH>
                      <wp:positionV relativeFrom="paragraph">
                        <wp:posOffset>57150</wp:posOffset>
                      </wp:positionV>
                      <wp:extent cx="1604010" cy="23939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604010" cy="239395"/>
                              </a:xfrm>
                              <a:prstGeom prst="rect">
                                <a:avLst/>
                              </a:prstGeom>
                              <a:noFill/>
                              <a:ln>
                                <a:noFill/>
                              </a:ln>
                            </wps:spPr>
                            <wps:txbx>
                              <w:txbxContent>
                                <w:p w14:paraId="00D27D90">
                                  <w:pPr>
                                    <w:rPr>
                                      <w:rFonts w:hint="default" w:eastAsia="宋体"/>
                                      <w:sz w:val="18"/>
                                      <w:szCs w:val="18"/>
                                      <w:lang w:val="en-US" w:eastAsia="zh-CN"/>
                                    </w:rPr>
                                  </w:pPr>
                                  <w:r>
                                    <w:rPr>
                                      <w:rFonts w:hint="eastAsia"/>
                                      <w:sz w:val="18"/>
                                      <w:szCs w:val="18"/>
                                      <w:lang w:val="en-US" w:eastAsia="zh-CN"/>
                                    </w:rPr>
                                    <w:t>运输至有污水管网的指定点</w:t>
                                  </w:r>
                                </w:p>
                              </w:txbxContent>
                            </wps:txbx>
                            <wps:bodyPr upright="1"/>
                          </wps:wsp>
                        </a:graphicData>
                      </a:graphic>
                    </wp:anchor>
                  </w:drawing>
                </mc:Choice>
                <mc:Fallback>
                  <w:pict>
                    <v:shape id="_x0000_s1026" o:spid="_x0000_s1026" o:spt="202" type="#_x0000_t202" style="position:absolute;left:0pt;margin-left:284.8pt;margin-top:4.5pt;height:18.85pt;width:126.3pt;z-index:251724800;mso-width-relative:page;mso-height-relative:page;" filled="f" stroked="f" coordsize="21600,21600" o:gfxdata="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IntY1gAA&#10;AAgBAAAPAAAAAAAAAAEAIAAAACIAAABkcnMvZG93bnJldi54bWxQSwECFAAUAAAACACHTuJApoAf&#10;La4BAABQAwAADgAAAAAAAAABACAAAAAlAQAAZHJzL2Uyb0RvYy54bWxQSwUGAAAAAAYABgBZAQAA&#10;RQUAAAAA&#10;">
                      <v:fill on="f" focussize="0,0"/>
                      <v:stroke on="f"/>
                      <v:imagedata o:title=""/>
                      <o:lock v:ext="edit" aspectratio="f"/>
                      <v:textbox>
                        <w:txbxContent>
                          <w:p w14:paraId="00D27D90">
                            <w:pPr>
                              <w:rPr>
                                <w:rFonts w:hint="default" w:eastAsia="宋体"/>
                                <w:sz w:val="18"/>
                                <w:szCs w:val="18"/>
                                <w:lang w:val="en-US" w:eastAsia="zh-CN"/>
                              </w:rPr>
                            </w:pPr>
                            <w:r>
                              <w:rPr>
                                <w:rFonts w:hint="eastAsia"/>
                                <w:sz w:val="18"/>
                                <w:szCs w:val="18"/>
                                <w:lang w:val="en-US" w:eastAsia="zh-CN"/>
                              </w:rPr>
                              <w:t>运输至有污水管网的指定点</w:t>
                            </w:r>
                          </w:p>
                        </w:txbxContent>
                      </v:textbox>
                    </v:shape>
                  </w:pict>
                </mc:Fallback>
              </mc:AlternateContent>
            </w:r>
          </w:p>
          <w:p w14:paraId="17BE0E35">
            <w:pPr>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2047240</wp:posOffset>
                      </wp:positionH>
                      <wp:positionV relativeFrom="paragraph">
                        <wp:posOffset>19685</wp:posOffset>
                      </wp:positionV>
                      <wp:extent cx="403860" cy="635"/>
                      <wp:effectExtent l="0" t="37465" r="2540" b="38100"/>
                      <wp:wrapNone/>
                      <wp:docPr id="102" name="直接连接符 102"/>
                      <wp:cNvGraphicFramePr/>
                      <a:graphic xmlns:a="http://schemas.openxmlformats.org/drawingml/2006/main">
                        <a:graphicData uri="http://schemas.microsoft.com/office/word/2010/wordprocessingShape">
                          <wps:wsp>
                            <wps:cNvCnPr/>
                            <wps:spPr>
                              <a:xfrm>
                                <a:off x="0" y="0"/>
                                <a:ext cx="4038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1.2pt;margin-top:1.55pt;height:0.05pt;width:31.8pt;z-index:251722752;mso-width-relative:page;mso-height-relative:page;" filled="f" stroked="t" coordsize="21600,21600" o:gfxdata="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pu/F1wAAAAcBAAAPAAAAAAAAAAEAIAAAACIAAABkcnMvZG93bnJl&#10;di54bWxQSwECFAAUAAAACACHTuJA8eOC9f4BAADtAwAADgAAAAAAAAABACAAAAAmAQAAZHJzL2Uy&#10;b0RvYy54bWxQSwUGAAAAAAYABgBZAQAAlgUAAAAA&#10;">
                      <v:fill on="f" focussize="0,0"/>
                      <v:stroke color="#000000" joinstyle="round" endarrow="block"/>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3205480</wp:posOffset>
                      </wp:positionH>
                      <wp:positionV relativeFrom="paragraph">
                        <wp:posOffset>4445</wp:posOffset>
                      </wp:positionV>
                      <wp:extent cx="403860" cy="635"/>
                      <wp:effectExtent l="0" t="37465" r="2540" b="38100"/>
                      <wp:wrapNone/>
                      <wp:docPr id="103" name="直接连接符 103"/>
                      <wp:cNvGraphicFramePr/>
                      <a:graphic xmlns:a="http://schemas.openxmlformats.org/drawingml/2006/main">
                        <a:graphicData uri="http://schemas.microsoft.com/office/word/2010/wordprocessingShape">
                          <wps:wsp>
                            <wps:cNvCnPr/>
                            <wps:spPr>
                              <a:xfrm>
                                <a:off x="0" y="0"/>
                                <a:ext cx="4038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4pt;margin-top:0.35pt;height:0.05pt;width:31.8pt;z-index:251723776;mso-width-relative:page;mso-height-relative:page;" filled="f" stroked="t" coordsize="21600,21600" o:gfxdata="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4VzpHWAAAABQEAAA8AAAAAAAAAAQAgAAAAIgAAAGRycy9kb3ducmV2&#10;LnhtbFBLAQIUABQAAAAIAIdO4kC+gWs0/gEAAO0DAAAOAAAAAAAAAAEAIAAAACUBAABkcnMvZTJv&#10;RG9jLnhtbFBLBQYAAAAABgAGAFkBAACVBQAAAAA=&#10;">
                      <v:fill on="f" focussize="0,0"/>
                      <v:stroke color="#000000" joinstyle="round" endarrow="block"/>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843280</wp:posOffset>
                      </wp:positionH>
                      <wp:positionV relativeFrom="paragraph">
                        <wp:posOffset>34925</wp:posOffset>
                      </wp:positionV>
                      <wp:extent cx="403860" cy="635"/>
                      <wp:effectExtent l="0" t="37465" r="2540" b="38100"/>
                      <wp:wrapNone/>
                      <wp:docPr id="104" name="直接连接符 104"/>
                      <wp:cNvGraphicFramePr/>
                      <a:graphic xmlns:a="http://schemas.openxmlformats.org/drawingml/2006/main">
                        <a:graphicData uri="http://schemas.microsoft.com/office/word/2010/wordprocessingShape">
                          <wps:wsp>
                            <wps:cNvCnPr/>
                            <wps:spPr>
                              <a:xfrm>
                                <a:off x="0" y="0"/>
                                <a:ext cx="4038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6.4pt;margin-top:2.75pt;height:0.05pt;width:31.8pt;z-index:251720704;mso-width-relative:page;mso-height-relative:page;" filled="f" stroked="t" coordsize="21600,21600" o:gfxdata="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CEtS1gAAAAcBAAAPAAAAAAAAAAEAIAAAACIAAABkcnMvZG93bnJl&#10;di54bWxQSwECFAAUAAAACACHTuJAkKRmHP8BAADtAwAADgAAAAAAAAABACAAAAAlAQAAZHJzL2Uy&#10;b0RvYy54bWxQSwUGAAAAAAYABgBZAQAAlgUAAAAA&#10;">
                      <v:fill on="f" focussize="0,0"/>
                      <v:stroke color="#000000" joinstyle="round" endarrow="block"/>
                      <v:imagedata o:title=""/>
                      <o:lock v:ext="edit" aspectratio="f"/>
                    </v:line>
                  </w:pict>
                </mc:Fallback>
              </mc:AlternateContent>
            </w:r>
          </w:p>
          <w:p w14:paraId="798DAFF1">
            <w:pPr>
              <w:spacing w:line="360" w:lineRule="auto"/>
              <w:ind w:firstLine="480" w:firstLineChars="200"/>
              <w:rPr>
                <w:color w:val="000000" w:themeColor="text1"/>
                <w:sz w:val="24"/>
                <w14:textFill>
                  <w14:solidFill>
                    <w14:schemeClr w14:val="tx1"/>
                  </w14:solidFill>
                </w14:textFill>
              </w:rPr>
            </w:pPr>
          </w:p>
          <w:p w14:paraId="467DD23C">
            <w:pPr>
              <w:autoSpaceDE w:val="0"/>
              <w:autoSpaceDN w:val="0"/>
              <w:spacing w:line="360" w:lineRule="auto"/>
              <w:jc w:val="center"/>
              <w:rPr>
                <w:rFonts w:hint="default"/>
                <w:color w:val="000000" w:themeColor="text1"/>
                <w:lang w:val="en-US" w:eastAsia="zh-CN"/>
                <w14:textFill>
                  <w14:solidFill>
                    <w14:schemeClr w14:val="tx1"/>
                  </w14:solidFill>
                </w14:textFill>
              </w:rPr>
            </w:pPr>
            <w:r>
              <w:rPr>
                <w:rFonts w:hint="eastAsia"/>
                <w:b/>
                <w:bCs/>
                <w:color w:val="000000" w:themeColor="text1"/>
                <w:szCs w:val="21"/>
                <w14:textFill>
                  <w14:solidFill>
                    <w14:schemeClr w14:val="tx1"/>
                  </w14:solidFill>
                </w14:textFill>
              </w:rPr>
              <w:t>图</w:t>
            </w:r>
            <w:r>
              <w:rPr>
                <w:rFonts w:hint="eastAsia"/>
                <w:b/>
                <w:bCs/>
                <w:color w:val="000000" w:themeColor="text1"/>
                <w:szCs w:val="21"/>
                <w:lang w:val="en-US" w:eastAsia="zh-CN"/>
                <w14:textFill>
                  <w14:solidFill>
                    <w14:schemeClr w14:val="tx1"/>
                  </w14:solidFill>
                </w14:textFill>
              </w:rPr>
              <w:t xml:space="preserve"> 4-2</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本项目污水处理工艺流程图</w:t>
            </w:r>
          </w:p>
          <w:p w14:paraId="08FA6A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污水处理工艺流程简述：</w:t>
            </w:r>
            <w:r>
              <w:rPr>
                <w:rFonts w:hint="eastAsia" w:ascii="宋体" w:hAnsi="宋体" w:eastAsia="宋体" w:cs="宋体"/>
                <w:color w:val="000000" w:themeColor="text1"/>
                <w:sz w:val="24"/>
                <w:lang w:val="en-US" w:eastAsia="zh-CN"/>
                <w14:textFill>
                  <w14:solidFill>
                    <w14:schemeClr w14:val="tx1"/>
                  </w14:solidFill>
                </w14:textFill>
              </w:rPr>
              <w:t>车辆冲洗废水、车间保洁</w:t>
            </w:r>
            <w:r>
              <w:rPr>
                <w:rFonts w:hint="eastAsia" w:ascii="宋体" w:hAnsi="宋体" w:eastAsia="宋体" w:cs="宋体"/>
                <w:color w:val="000000" w:themeColor="text1"/>
                <w:sz w:val="24"/>
                <w14:textFill>
                  <w14:solidFill>
                    <w14:schemeClr w14:val="tx1"/>
                  </w14:solidFill>
                </w14:textFill>
              </w:rPr>
              <w:t>废水、初期雨水</w:t>
            </w:r>
            <w:r>
              <w:rPr>
                <w:rFonts w:hint="eastAsia" w:ascii="宋体" w:hAnsi="宋体" w:eastAsia="宋体" w:cs="宋体"/>
                <w:color w:val="000000" w:themeColor="text1"/>
                <w:sz w:val="24"/>
                <w:lang w:val="en-US" w:eastAsia="zh-CN"/>
                <w14:textFill>
                  <w14:solidFill>
                    <w14:schemeClr w14:val="tx1"/>
                  </w14:solidFill>
                </w14:textFill>
              </w:rPr>
              <w:t>经各收集池收集，</w:t>
            </w:r>
            <w:r>
              <w:rPr>
                <w:rFonts w:hint="eastAsia" w:ascii="宋体" w:hAnsi="宋体" w:eastAsia="宋体" w:cs="宋体"/>
                <w:color w:val="000000" w:themeColor="text1"/>
                <w:sz w:val="24"/>
                <w14:textFill>
                  <w14:solidFill>
                    <w14:schemeClr w14:val="tx1"/>
                  </w14:solidFill>
                </w14:textFill>
              </w:rPr>
              <w:t>经</w:t>
            </w:r>
            <w:r>
              <w:rPr>
                <w:rFonts w:hint="eastAsia" w:ascii="宋体" w:hAnsi="宋体" w:eastAsia="宋体" w:cs="宋体"/>
                <w:color w:val="000000" w:themeColor="text1"/>
                <w:sz w:val="24"/>
                <w:szCs w:val="24"/>
                <w:lang w:val="en-US" w:eastAsia="zh-CN"/>
                <w14:textFill>
                  <w14:solidFill>
                    <w14:schemeClr w14:val="tx1"/>
                  </w14:solidFill>
                </w14:textFill>
              </w:rPr>
              <w:t>管道至油水分离器，去除油类物质，再经过沉淀池沉淀去除SS。污水收集池各单元作用：</w:t>
            </w:r>
          </w:p>
          <w:p w14:paraId="3A847E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收集池：收集废水，起到调节废水水量、水质作用。</w:t>
            </w:r>
          </w:p>
          <w:p w14:paraId="48D345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（2）油水分离器：去除废水中的含油污染物。</w:t>
            </w:r>
          </w:p>
          <w:p w14:paraId="1EAF9B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（3）沉淀池：通过沉淀，去除部分SS。</w:t>
            </w:r>
          </w:p>
          <w:p w14:paraId="341C004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对照《排污许可证申请与核发技术规范 废弃资源加工工业》HJ1034—2019，本项目污水处理技术为属于《排污许可证申请与核发技术规范 废弃资源加工工业》HJ1034—2019中附录A表A.2中推荐的可行技术。</w:t>
            </w:r>
          </w:p>
          <w:p w14:paraId="397A8B7E">
            <w:pPr>
              <w:pStyle w:val="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废水依托污水处理厂可行性</w:t>
            </w:r>
          </w:p>
          <w:p w14:paraId="1C73D2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目前</w:t>
            </w:r>
            <w:r>
              <w:rPr>
                <w:rFonts w:hint="eastAsia" w:ascii="宋体" w:hAnsi="宋体" w:eastAsia="宋体" w:cs="宋体"/>
                <w:color w:val="000000" w:themeColor="text1"/>
                <w:lang w:eastAsia="zh-CN"/>
                <w14:textFill>
                  <w14:solidFill>
                    <w14:schemeClr w14:val="tx1"/>
                  </w14:solidFill>
                </w14:textFill>
              </w:rPr>
              <w:t>四平市</w:t>
            </w:r>
            <w:r>
              <w:rPr>
                <w:rFonts w:hint="eastAsia" w:ascii="宋体" w:hAnsi="宋体" w:eastAsia="宋体" w:cs="宋体"/>
                <w:color w:val="000000" w:themeColor="text1"/>
                <w14:textFill>
                  <w14:solidFill>
                    <w14:schemeClr w14:val="tx1"/>
                  </w14:solidFill>
                </w14:textFill>
              </w:rPr>
              <w:t>污水处理厂日处理污水</w:t>
            </w:r>
            <w:r>
              <w:rPr>
                <w:rFonts w:hint="eastAsia" w:ascii="宋体" w:hAnsi="宋体" w:cs="宋体"/>
                <w:color w:val="000000" w:themeColor="text1"/>
                <w:lang w:val="en-US" w:eastAsia="zh-CN"/>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t>万吨，出水排入</w:t>
            </w:r>
            <w:r>
              <w:rPr>
                <w:rFonts w:hint="eastAsia" w:ascii="宋体" w:hAnsi="宋体" w:eastAsia="宋体" w:cs="宋体"/>
                <w:color w:val="000000" w:themeColor="text1"/>
                <w:lang w:eastAsia="zh-CN"/>
                <w14:textFill>
                  <w14:solidFill>
                    <w14:schemeClr w14:val="tx1"/>
                  </w14:solidFill>
                </w14:textFill>
              </w:rPr>
              <w:t>条子河</w:t>
            </w:r>
            <w:r>
              <w:rPr>
                <w:rFonts w:hint="eastAsia" w:ascii="宋体" w:hAnsi="宋体" w:eastAsia="宋体" w:cs="宋体"/>
                <w:color w:val="000000" w:themeColor="text1"/>
                <w14:textFill>
                  <w14:solidFill>
                    <w14:schemeClr w14:val="tx1"/>
                  </w14:solidFill>
                </w14:textFill>
              </w:rPr>
              <w:t>，出水水质执行GB18918-2002《城镇污水处理厂污染物排放标准》表1一级A标准。</w:t>
            </w:r>
          </w:p>
          <w:p w14:paraId="2283A884">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themeColor="text1"/>
                <w:sz w:val="24"/>
                <w14:textFill>
                  <w14:solidFill>
                    <w14:schemeClr w14:val="tx1"/>
                  </w14:solidFill>
                </w14:textFill>
              </w:rPr>
              <w:t>①从水质上：项目废水中主要污染物为COD、BOD</w:t>
            </w:r>
            <w:r>
              <w:rPr>
                <w:rFonts w:hint="eastAsia" w:ascii="宋体" w:hAnsi="宋体" w:eastAsia="宋体" w:cs="宋体"/>
                <w:b w:val="0"/>
                <w:bCs w:val="0"/>
                <w:color w:val="000000" w:themeColor="text1"/>
                <w:sz w:val="24"/>
                <w:vertAlign w:val="subscript"/>
                <w14:textFill>
                  <w14:solidFill>
                    <w14:schemeClr w14:val="tx1"/>
                  </w14:solidFill>
                </w14:textFill>
              </w:rPr>
              <w:t>5</w:t>
            </w:r>
            <w:r>
              <w:rPr>
                <w:rFonts w:hint="eastAsia" w:ascii="宋体" w:hAnsi="宋体" w:eastAsia="宋体" w:cs="宋体"/>
                <w:b w:val="0"/>
                <w:bCs w:val="0"/>
                <w:color w:val="000000" w:themeColor="text1"/>
                <w:sz w:val="24"/>
                <w14:textFill>
                  <w14:solidFill>
                    <w14:schemeClr w14:val="tx1"/>
                  </w14:solidFill>
                </w14:textFill>
              </w:rPr>
              <w:t>、SS、氨氮、水质较为简单；不会对污水处理厂正常运行造成影响。</w:t>
            </w:r>
            <w:r>
              <w:rPr>
                <w:rFonts w:hint="eastAsia" w:ascii="宋体" w:hAnsi="宋体" w:eastAsia="宋体" w:cs="宋体"/>
                <w:b w:val="0"/>
                <w:bCs w:val="0"/>
                <w:color w:val="000000" w:themeColor="text1"/>
                <w:sz w:val="24"/>
                <w:lang w:val="en-US" w:eastAsia="zh-CN"/>
                <w14:textFill>
                  <w14:solidFill>
                    <w14:schemeClr w14:val="tx1"/>
                  </w14:solidFill>
                </w14:textFill>
              </w:rPr>
              <w:t>企业在排放前对污水进行监测，监测报告电子存档，并在指定排放口排放时有影像资料，确保合法合规，不对外环境产生不良影响。</w:t>
            </w:r>
          </w:p>
          <w:p w14:paraId="34D01010">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14:textFill>
                  <w14:solidFill>
                    <w14:schemeClr w14:val="tx1"/>
                  </w14:solidFill>
                </w14:textFill>
              </w:rPr>
              <w:t>②从水量上：本项目</w:t>
            </w:r>
            <w:r>
              <w:rPr>
                <w:rFonts w:hint="eastAsia" w:ascii="宋体" w:hAnsi="宋体" w:eastAsia="宋体" w:cs="宋体"/>
                <w:b w:val="0"/>
                <w:bCs w:val="0"/>
                <w:color w:val="000000" w:themeColor="text1"/>
                <w:sz w:val="24"/>
                <w:lang w:val="en-US" w:eastAsia="zh-CN"/>
                <w14:textFill>
                  <w14:solidFill>
                    <w14:schemeClr w14:val="tx1"/>
                  </w14:solidFill>
                </w14:textFill>
              </w:rPr>
              <w:t>初期雨水</w:t>
            </w:r>
            <w:r>
              <w:rPr>
                <w:rFonts w:hint="eastAsia" w:ascii="宋体" w:hAnsi="宋体" w:eastAsia="宋体" w:cs="宋体"/>
                <w:b w:val="0"/>
                <w:bCs w:val="0"/>
                <w:color w:val="000000" w:themeColor="text1"/>
                <w:sz w:val="24"/>
                <w14:textFill>
                  <w14:solidFill>
                    <w14:schemeClr w14:val="tx1"/>
                  </w14:solidFill>
                </w14:textFill>
              </w:rPr>
              <w:t>排水量</w:t>
            </w:r>
            <w:r>
              <w:rPr>
                <w:rFonts w:hint="eastAsia" w:ascii="宋体" w:hAnsi="宋体" w:eastAsia="宋体" w:cs="宋体"/>
                <w:b w:val="0"/>
                <w:bCs w:val="0"/>
                <w:color w:val="000000" w:themeColor="text1"/>
                <w:sz w:val="24"/>
                <w:lang w:val="en-US" w:eastAsia="zh-CN"/>
                <w14:textFill>
                  <w14:solidFill>
                    <w14:schemeClr w14:val="tx1"/>
                  </w14:solidFill>
                </w14:textFill>
              </w:rPr>
              <w:t>264</w:t>
            </w:r>
            <w:r>
              <w:rPr>
                <w:rFonts w:hint="eastAsia" w:ascii="宋体" w:hAnsi="宋体" w:eastAsia="宋体" w:cs="宋体"/>
                <w:b w:val="0"/>
                <w:bCs w:val="0"/>
                <w:color w:val="000000" w:themeColor="text1"/>
                <w:sz w:val="24"/>
                <w14:textFill>
                  <w14:solidFill>
                    <w14:schemeClr w14:val="tx1"/>
                  </w14:solidFill>
                </w14:textFill>
              </w:rPr>
              <w:t>m</w:t>
            </w:r>
            <w:r>
              <w:rPr>
                <w:rFonts w:hint="eastAsia" w:ascii="宋体" w:hAnsi="宋体" w:eastAsia="宋体" w:cs="宋体"/>
                <w:b w:val="0"/>
                <w:bCs w:val="0"/>
                <w:color w:val="000000" w:themeColor="text1"/>
                <w:sz w:val="24"/>
                <w:vertAlign w:val="superscript"/>
                <w14:textFill>
                  <w14:solidFill>
                    <w14:schemeClr w14:val="tx1"/>
                  </w14:solidFill>
                </w14:textFill>
              </w:rPr>
              <w:t>3</w:t>
            </w:r>
            <w:r>
              <w:rPr>
                <w:rFonts w:hint="eastAsia" w:ascii="宋体" w:hAnsi="宋体" w:eastAsia="宋体" w:cs="宋体"/>
                <w:b w:val="0"/>
                <w:bCs w:val="0"/>
                <w:color w:val="000000" w:themeColor="text1"/>
                <w:sz w:val="24"/>
                <w14:textFill>
                  <w14:solidFill>
                    <w14:schemeClr w14:val="tx1"/>
                  </w14:solidFill>
                </w14:textFill>
              </w:rPr>
              <w:t>/d，占</w:t>
            </w:r>
            <w:r>
              <w:rPr>
                <w:rFonts w:hint="eastAsia" w:ascii="宋体" w:hAnsi="宋体" w:eastAsia="宋体" w:cs="宋体"/>
                <w:b w:val="0"/>
                <w:bCs w:val="0"/>
                <w:color w:val="000000" w:themeColor="text1"/>
                <w:sz w:val="24"/>
                <w:lang w:eastAsia="zh-CN"/>
                <w14:textFill>
                  <w14:solidFill>
                    <w14:schemeClr w14:val="tx1"/>
                  </w14:solidFill>
                </w14:textFill>
              </w:rPr>
              <w:t>四平市</w:t>
            </w:r>
            <w:r>
              <w:rPr>
                <w:rFonts w:hint="eastAsia" w:ascii="宋体" w:hAnsi="宋体" w:eastAsia="宋体" w:cs="宋体"/>
                <w:b w:val="0"/>
                <w:bCs w:val="0"/>
                <w:color w:val="000000" w:themeColor="text1"/>
                <w:sz w:val="24"/>
                <w14:textFill>
                  <w14:solidFill>
                    <w14:schemeClr w14:val="tx1"/>
                  </w14:solidFill>
                </w14:textFill>
              </w:rPr>
              <w:t>污水处理厂处理能力</w:t>
            </w:r>
            <w:r>
              <w:rPr>
                <w:rFonts w:hint="eastAsia" w:ascii="宋体" w:hAnsi="宋体" w:eastAsia="宋体" w:cs="宋体"/>
                <w:b w:val="0"/>
                <w:bCs w:val="0"/>
                <w:color w:val="000000" w:themeColor="text1"/>
                <w:sz w:val="24"/>
                <w:lang w:val="en-US" w:eastAsia="zh-CN"/>
                <w14:textFill>
                  <w14:solidFill>
                    <w14:schemeClr w14:val="tx1"/>
                  </w14:solidFill>
                </w14:textFill>
              </w:rPr>
              <w:t>18</w:t>
            </w:r>
            <w:r>
              <w:rPr>
                <w:rFonts w:hint="eastAsia" w:ascii="宋体" w:hAnsi="宋体" w:eastAsia="宋体" w:cs="宋体"/>
                <w:b w:val="0"/>
                <w:bCs w:val="0"/>
                <w:color w:val="000000" w:themeColor="text1"/>
                <w:sz w:val="24"/>
                <w14:textFill>
                  <w14:solidFill>
                    <w14:schemeClr w14:val="tx1"/>
                  </w14:solidFill>
                </w14:textFill>
              </w:rPr>
              <w:t>万m</w:t>
            </w:r>
            <w:r>
              <w:rPr>
                <w:rFonts w:hint="eastAsia" w:ascii="宋体" w:hAnsi="宋体" w:eastAsia="宋体" w:cs="宋体"/>
                <w:b w:val="0"/>
                <w:bCs w:val="0"/>
                <w:color w:val="000000" w:themeColor="text1"/>
                <w:sz w:val="24"/>
                <w:vertAlign w:val="superscript"/>
                <w14:textFill>
                  <w14:solidFill>
                    <w14:schemeClr w14:val="tx1"/>
                  </w14:solidFill>
                </w14:textFill>
              </w:rPr>
              <w:t>3</w:t>
            </w:r>
            <w:r>
              <w:rPr>
                <w:rFonts w:hint="eastAsia" w:ascii="宋体" w:hAnsi="宋体" w:eastAsia="宋体" w:cs="宋体"/>
                <w:b w:val="0"/>
                <w:bCs w:val="0"/>
                <w:color w:val="000000" w:themeColor="text1"/>
                <w:sz w:val="24"/>
                <w14:textFill>
                  <w14:solidFill>
                    <w14:schemeClr w14:val="tx1"/>
                  </w14:solidFill>
                </w14:textFill>
              </w:rPr>
              <w:t>/d</w:t>
            </w:r>
            <w:r>
              <w:rPr>
                <w:rFonts w:hint="eastAsia" w:ascii="宋体" w:hAnsi="宋体" w:eastAsia="宋体" w:cs="宋体"/>
                <w:b w:val="0"/>
                <w:bCs w:val="0"/>
                <w:color w:val="000000" w:themeColor="text1"/>
                <w:sz w:val="24"/>
                <w:lang w:val="en-US" w:eastAsia="zh-CN"/>
                <w14:textFill>
                  <w14:solidFill>
                    <w14:schemeClr w14:val="tx1"/>
                  </w14:solidFill>
                </w14:textFill>
              </w:rPr>
              <w:t>不足千分之1.5</w:t>
            </w:r>
            <w:r>
              <w:rPr>
                <w:rFonts w:hint="eastAsia" w:ascii="宋体" w:hAnsi="宋体" w:eastAsia="宋体" w:cs="宋体"/>
                <w:b w:val="0"/>
                <w:bCs w:val="0"/>
                <w:color w:val="000000" w:themeColor="text1"/>
                <w:sz w:val="24"/>
                <w14:textFill>
                  <w14:solidFill>
                    <w14:schemeClr w14:val="tx1"/>
                  </w14:solidFill>
                </w14:textFill>
              </w:rPr>
              <w:t>，因此，项目运营期废水纳入该污水处理厂处理不会额外增加污水处理厂的处理负荷。</w:t>
            </w:r>
          </w:p>
          <w:p w14:paraId="1302E04D">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14:textFill>
                  <w14:solidFill>
                    <w14:schemeClr w14:val="tx1"/>
                  </w14:solidFill>
                </w14:textFill>
              </w:rPr>
              <w:t>综上所述，单从本项目生活废水量及水质来看，</w:t>
            </w:r>
            <w:r>
              <w:rPr>
                <w:rFonts w:hint="eastAsia" w:ascii="宋体" w:hAnsi="宋体" w:eastAsia="宋体" w:cs="宋体"/>
                <w:b w:val="0"/>
                <w:bCs w:val="0"/>
                <w:color w:val="000000" w:themeColor="text1"/>
                <w:sz w:val="24"/>
                <w:lang w:eastAsia="zh-CN"/>
                <w14:textFill>
                  <w14:solidFill>
                    <w14:schemeClr w14:val="tx1"/>
                  </w14:solidFill>
                </w14:textFill>
              </w:rPr>
              <w:t>四平市</w:t>
            </w:r>
            <w:r>
              <w:rPr>
                <w:rFonts w:hint="eastAsia" w:ascii="宋体" w:hAnsi="宋体" w:eastAsia="宋体" w:cs="宋体"/>
                <w:b w:val="0"/>
                <w:bCs w:val="0"/>
                <w:color w:val="000000" w:themeColor="text1"/>
                <w:sz w:val="24"/>
                <w14:textFill>
                  <w14:solidFill>
                    <w14:schemeClr w14:val="tx1"/>
                  </w14:solidFill>
                </w14:textFill>
              </w:rPr>
              <w:t>污水处理厂完全可接纳本项目废水，项目废水排放不影响污水厂正常运行。项目生活污水通过污水管网纳入</w:t>
            </w:r>
            <w:r>
              <w:rPr>
                <w:rFonts w:hint="eastAsia" w:ascii="宋体" w:hAnsi="宋体" w:eastAsia="宋体" w:cs="宋体"/>
                <w:b w:val="0"/>
                <w:bCs w:val="0"/>
                <w:color w:val="000000" w:themeColor="text1"/>
                <w:sz w:val="24"/>
                <w:lang w:eastAsia="zh-CN"/>
                <w14:textFill>
                  <w14:solidFill>
                    <w14:schemeClr w14:val="tx1"/>
                  </w14:solidFill>
                </w14:textFill>
              </w:rPr>
              <w:t>四平市</w:t>
            </w:r>
            <w:r>
              <w:rPr>
                <w:rFonts w:hint="eastAsia" w:ascii="宋体" w:hAnsi="宋体" w:eastAsia="宋体" w:cs="宋体"/>
                <w:b w:val="0"/>
                <w:bCs w:val="0"/>
                <w:color w:val="000000" w:themeColor="text1"/>
                <w:sz w:val="24"/>
                <w14:textFill>
                  <w14:solidFill>
                    <w14:schemeClr w14:val="tx1"/>
                  </w14:solidFill>
                </w14:textFill>
              </w:rPr>
              <w:t>污水处理厂集中处理是完全可行的。</w:t>
            </w:r>
          </w:p>
          <w:p w14:paraId="5D2D28BA">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运营期噪声</w:t>
            </w:r>
          </w:p>
          <w:p w14:paraId="31985263">
            <w:pPr>
              <w:spacing w:line="360" w:lineRule="auto"/>
              <w:ind w:firstLine="439" w:firstLineChars="18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本项目噪声源主要是航吊、拆胎机、空压机、安全气囊引爆噪声等。其噪声值一般在80～95 dB（A），源强见表4-</w:t>
            </w:r>
            <w:r>
              <w:rPr>
                <w:rFonts w:hint="eastAsia" w:ascii="宋体" w:hAnsi="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w:t>
            </w:r>
          </w:p>
          <w:p w14:paraId="37DFF864">
            <w:pPr>
              <w:pStyle w:val="37"/>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表4-</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eastAsia="zh-CN"/>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噪声源强</w:t>
            </w:r>
            <w:r>
              <w:rPr>
                <w:rFonts w:hint="eastAsia" w:ascii="宋体" w:hAnsi="宋体" w:eastAsia="宋体" w:cs="宋体"/>
                <w:color w:val="000000" w:themeColor="text1"/>
                <w:sz w:val="21"/>
                <w:szCs w:val="21"/>
                <w:lang w:eastAsia="zh-CN"/>
                <w14:textFill>
                  <w14:solidFill>
                    <w14:schemeClr w14:val="tx1"/>
                  </w14:solidFill>
                </w14:textFill>
              </w:rPr>
              <w:t>一览表</w:t>
            </w:r>
          </w:p>
          <w:tbl>
            <w:tblPr>
              <w:tblStyle w:val="25"/>
              <w:tblW w:w="8475" w:type="dxa"/>
              <w:tblInd w:w="5"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846"/>
              <w:gridCol w:w="2169"/>
              <w:gridCol w:w="1976"/>
              <w:gridCol w:w="1698"/>
              <w:gridCol w:w="1786"/>
            </w:tblGrid>
            <w:tr w14:paraId="56609B2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4C3D6E47">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2169" w:type="dxa"/>
                  <w:tcBorders>
                    <w:tl2br w:val="nil"/>
                    <w:tr2bl w:val="nil"/>
                  </w:tcBorders>
                  <w:vAlign w:val="center"/>
                </w:tcPr>
                <w:p w14:paraId="6AFD247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设备名称</w:t>
                  </w:r>
                </w:p>
              </w:tc>
              <w:tc>
                <w:tcPr>
                  <w:tcW w:w="1976" w:type="dxa"/>
                  <w:tcBorders>
                    <w:tl2br w:val="nil"/>
                    <w:tr2bl w:val="nil"/>
                  </w:tcBorders>
                  <w:vAlign w:val="center"/>
                </w:tcPr>
                <w:p w14:paraId="02B6CE8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噪声声级dB(A)</w:t>
                  </w:r>
                </w:p>
              </w:tc>
              <w:tc>
                <w:tcPr>
                  <w:tcW w:w="1698" w:type="dxa"/>
                  <w:tcBorders>
                    <w:tl2br w:val="nil"/>
                    <w:tr2bl w:val="nil"/>
                  </w:tcBorders>
                  <w:vAlign w:val="center"/>
                </w:tcPr>
                <w:p w14:paraId="490EB10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台（套）数</w:t>
                  </w:r>
                </w:p>
              </w:tc>
              <w:tc>
                <w:tcPr>
                  <w:tcW w:w="1786" w:type="dxa"/>
                  <w:tcBorders>
                    <w:tl2br w:val="nil"/>
                    <w:tr2bl w:val="nil"/>
                  </w:tcBorders>
                  <w:vAlign w:val="center"/>
                </w:tcPr>
                <w:p w14:paraId="0D01F1D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r>
            <w:tr w14:paraId="5A796CF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75" w:type="dxa"/>
                  <w:gridSpan w:val="5"/>
                  <w:tcBorders>
                    <w:tl2br w:val="nil"/>
                    <w:tr2bl w:val="nil"/>
                  </w:tcBorders>
                  <w:vAlign w:val="center"/>
                </w:tcPr>
                <w:p w14:paraId="0C151E6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车间1</w:t>
                  </w:r>
                </w:p>
              </w:tc>
            </w:tr>
            <w:tr w14:paraId="1ABDA97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34C208C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169" w:type="dxa"/>
                  <w:tcBorders>
                    <w:tl2br w:val="nil"/>
                    <w:tr2bl w:val="nil"/>
                  </w:tcBorders>
                  <w:vAlign w:val="center"/>
                </w:tcPr>
                <w:p w14:paraId="27B1C31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安全气囊引爆装置</w:t>
                  </w:r>
                </w:p>
              </w:tc>
              <w:tc>
                <w:tcPr>
                  <w:tcW w:w="1976" w:type="dxa"/>
                  <w:tcBorders>
                    <w:tl2br w:val="nil"/>
                    <w:tr2bl w:val="nil"/>
                  </w:tcBorders>
                  <w:vAlign w:val="center"/>
                </w:tcPr>
                <w:p w14:paraId="3E07FE3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80~85</w:t>
                  </w:r>
                </w:p>
              </w:tc>
              <w:tc>
                <w:tcPr>
                  <w:tcW w:w="1698" w:type="dxa"/>
                  <w:tcBorders>
                    <w:tl2br w:val="nil"/>
                    <w:tr2bl w:val="nil"/>
                  </w:tcBorders>
                  <w:vAlign w:val="center"/>
                </w:tcPr>
                <w:p w14:paraId="6002CD2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2937ACC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偶发性噪声</w:t>
                  </w:r>
                </w:p>
              </w:tc>
            </w:tr>
            <w:tr w14:paraId="2919095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60B35A7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169" w:type="dxa"/>
                  <w:tcBorders>
                    <w:tl2br w:val="nil"/>
                    <w:tr2bl w:val="nil"/>
                  </w:tcBorders>
                  <w:vAlign w:val="center"/>
                </w:tcPr>
                <w:p w14:paraId="41F84516">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空压机</w:t>
                  </w:r>
                </w:p>
              </w:tc>
              <w:tc>
                <w:tcPr>
                  <w:tcW w:w="1976" w:type="dxa"/>
                  <w:tcBorders>
                    <w:tl2br w:val="nil"/>
                    <w:tr2bl w:val="nil"/>
                  </w:tcBorders>
                  <w:vAlign w:val="center"/>
                </w:tcPr>
                <w:p w14:paraId="53A1686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85~90</w:t>
                  </w:r>
                </w:p>
              </w:tc>
              <w:tc>
                <w:tcPr>
                  <w:tcW w:w="1698" w:type="dxa"/>
                  <w:tcBorders>
                    <w:tl2br w:val="nil"/>
                    <w:tr2bl w:val="nil"/>
                  </w:tcBorders>
                  <w:vAlign w:val="center"/>
                </w:tcPr>
                <w:p w14:paraId="690779C5">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60B971C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r w14:paraId="631B9E0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59A09832">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169" w:type="dxa"/>
                  <w:tcBorders>
                    <w:tl2br w:val="nil"/>
                    <w:tr2bl w:val="nil"/>
                  </w:tcBorders>
                  <w:vAlign w:val="center"/>
                </w:tcPr>
                <w:p w14:paraId="0CC8F55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拆胎机</w:t>
                  </w:r>
                </w:p>
              </w:tc>
              <w:tc>
                <w:tcPr>
                  <w:tcW w:w="1976" w:type="dxa"/>
                  <w:tcBorders>
                    <w:tl2br w:val="nil"/>
                    <w:tr2bl w:val="nil"/>
                  </w:tcBorders>
                  <w:vAlign w:val="center"/>
                </w:tcPr>
                <w:p w14:paraId="14DEF61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80~85</w:t>
                  </w:r>
                </w:p>
              </w:tc>
              <w:tc>
                <w:tcPr>
                  <w:tcW w:w="1698" w:type="dxa"/>
                  <w:tcBorders>
                    <w:tl2br w:val="nil"/>
                    <w:tr2bl w:val="nil"/>
                  </w:tcBorders>
                  <w:vAlign w:val="center"/>
                </w:tcPr>
                <w:p w14:paraId="7F78820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6185F2F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r w14:paraId="46FEF14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299DEB9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2169" w:type="dxa"/>
                  <w:tcBorders>
                    <w:tl2br w:val="nil"/>
                    <w:tr2bl w:val="nil"/>
                  </w:tcBorders>
                  <w:vAlign w:val="center"/>
                </w:tcPr>
                <w:p w14:paraId="298EAC2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航吊</w:t>
                  </w:r>
                </w:p>
              </w:tc>
              <w:tc>
                <w:tcPr>
                  <w:tcW w:w="1976" w:type="dxa"/>
                  <w:tcBorders>
                    <w:tl2br w:val="nil"/>
                    <w:tr2bl w:val="nil"/>
                  </w:tcBorders>
                  <w:vAlign w:val="center"/>
                </w:tcPr>
                <w:p w14:paraId="4F5B9E1F">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80~85</w:t>
                  </w:r>
                </w:p>
              </w:tc>
              <w:tc>
                <w:tcPr>
                  <w:tcW w:w="1698" w:type="dxa"/>
                  <w:tcBorders>
                    <w:tl2br w:val="nil"/>
                    <w:tr2bl w:val="nil"/>
                  </w:tcBorders>
                  <w:vAlign w:val="center"/>
                </w:tcPr>
                <w:p w14:paraId="5A3383A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56C6289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r w14:paraId="470EA6C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846" w:type="dxa"/>
                  <w:tcBorders>
                    <w:tl2br w:val="nil"/>
                    <w:tr2bl w:val="nil"/>
                  </w:tcBorders>
                  <w:vAlign w:val="center"/>
                </w:tcPr>
                <w:p w14:paraId="1C889CA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2169" w:type="dxa"/>
                  <w:tcBorders>
                    <w:tl2br w:val="nil"/>
                    <w:tr2bl w:val="nil"/>
                  </w:tcBorders>
                  <w:vAlign w:val="center"/>
                </w:tcPr>
                <w:p w14:paraId="3CCDB1E6">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机械敲打声</w:t>
                  </w:r>
                </w:p>
              </w:tc>
              <w:tc>
                <w:tcPr>
                  <w:tcW w:w="1976" w:type="dxa"/>
                  <w:tcBorders>
                    <w:tl2br w:val="nil"/>
                    <w:tr2bl w:val="nil"/>
                  </w:tcBorders>
                  <w:vAlign w:val="center"/>
                </w:tcPr>
                <w:p w14:paraId="328FDE63">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80~95</w:t>
                  </w:r>
                </w:p>
              </w:tc>
              <w:tc>
                <w:tcPr>
                  <w:tcW w:w="1698" w:type="dxa"/>
                  <w:tcBorders>
                    <w:tl2br w:val="nil"/>
                    <w:tr2bl w:val="nil"/>
                  </w:tcBorders>
                  <w:vAlign w:val="center"/>
                </w:tcPr>
                <w:p w14:paraId="4AA112D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1786" w:type="dxa"/>
                  <w:tcBorders>
                    <w:tl2br w:val="nil"/>
                    <w:tr2bl w:val="nil"/>
                  </w:tcBorders>
                  <w:vAlign w:val="center"/>
                </w:tcPr>
                <w:p w14:paraId="6DBE0497">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r w14:paraId="049968A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846" w:type="dxa"/>
                  <w:tcBorders>
                    <w:tl2br w:val="nil"/>
                    <w:tr2bl w:val="nil"/>
                  </w:tcBorders>
                  <w:vAlign w:val="center"/>
                </w:tcPr>
                <w:p w14:paraId="52173AD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2169" w:type="dxa"/>
                  <w:tcBorders>
                    <w:tl2br w:val="nil"/>
                    <w:tr2bl w:val="nil"/>
                  </w:tcBorders>
                  <w:vAlign w:val="center"/>
                </w:tcPr>
                <w:p w14:paraId="4CE7EF74">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切割机</w:t>
                  </w:r>
                </w:p>
              </w:tc>
              <w:tc>
                <w:tcPr>
                  <w:tcW w:w="1976" w:type="dxa"/>
                  <w:tcBorders>
                    <w:tl2br w:val="nil"/>
                    <w:tr2bl w:val="nil"/>
                  </w:tcBorders>
                  <w:vAlign w:val="center"/>
                </w:tcPr>
                <w:p w14:paraId="7E4A56E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80~95</w:t>
                  </w:r>
                </w:p>
              </w:tc>
              <w:tc>
                <w:tcPr>
                  <w:tcW w:w="1698" w:type="dxa"/>
                  <w:tcBorders>
                    <w:tl2br w:val="nil"/>
                    <w:tr2bl w:val="nil"/>
                  </w:tcBorders>
                  <w:vAlign w:val="center"/>
                </w:tcPr>
                <w:p w14:paraId="7EAEE8A6">
                  <w:pPr>
                    <w:jc w:val="center"/>
                    <w:rPr>
                      <w:rFonts w:hint="eastAsia" w:ascii="宋体" w:hAnsi="宋体" w:eastAsia="宋体" w:cs="宋体"/>
                      <w:color w:val="000000" w:themeColor="text1"/>
                      <w:sz w:val="21"/>
                      <w:szCs w:val="21"/>
                      <w14:textFill>
                        <w14:solidFill>
                          <w14:schemeClr w14:val="tx1"/>
                        </w14:solidFill>
                      </w14:textFill>
                    </w:rPr>
                  </w:pPr>
                </w:p>
              </w:tc>
              <w:tc>
                <w:tcPr>
                  <w:tcW w:w="1786" w:type="dxa"/>
                  <w:tcBorders>
                    <w:tl2br w:val="nil"/>
                    <w:tr2bl w:val="nil"/>
                  </w:tcBorders>
                  <w:vAlign w:val="center"/>
                </w:tcPr>
                <w:p w14:paraId="4F3486A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r>
            <w:tr w14:paraId="3D6166A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75" w:type="dxa"/>
                  <w:gridSpan w:val="5"/>
                  <w:tcBorders>
                    <w:tl2br w:val="nil"/>
                    <w:tr2bl w:val="nil"/>
                  </w:tcBorders>
                  <w:vAlign w:val="center"/>
                </w:tcPr>
                <w:p w14:paraId="2460ABE3">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车间2</w:t>
                  </w:r>
                </w:p>
              </w:tc>
            </w:tr>
            <w:tr w14:paraId="2744E07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74F68F6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169" w:type="dxa"/>
                  <w:tcBorders>
                    <w:tl2br w:val="nil"/>
                    <w:tr2bl w:val="nil"/>
                  </w:tcBorders>
                  <w:vAlign w:val="center"/>
                </w:tcPr>
                <w:p w14:paraId="2E6FDDE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安全气囊引爆装置</w:t>
                  </w:r>
                </w:p>
              </w:tc>
              <w:tc>
                <w:tcPr>
                  <w:tcW w:w="1976" w:type="dxa"/>
                  <w:tcBorders>
                    <w:tl2br w:val="nil"/>
                    <w:tr2bl w:val="nil"/>
                  </w:tcBorders>
                  <w:vAlign w:val="center"/>
                </w:tcPr>
                <w:p w14:paraId="1D257C1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80~85</w:t>
                  </w:r>
                </w:p>
              </w:tc>
              <w:tc>
                <w:tcPr>
                  <w:tcW w:w="1698" w:type="dxa"/>
                  <w:tcBorders>
                    <w:tl2br w:val="nil"/>
                    <w:tr2bl w:val="nil"/>
                  </w:tcBorders>
                  <w:vAlign w:val="center"/>
                </w:tcPr>
                <w:p w14:paraId="7D00DD5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28BE7C1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偶发性噪声</w:t>
                  </w:r>
                </w:p>
              </w:tc>
            </w:tr>
            <w:tr w14:paraId="7124694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6D4CB1B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169" w:type="dxa"/>
                  <w:tcBorders>
                    <w:tl2br w:val="nil"/>
                    <w:tr2bl w:val="nil"/>
                  </w:tcBorders>
                  <w:vAlign w:val="center"/>
                </w:tcPr>
                <w:p w14:paraId="1617CA6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空压机</w:t>
                  </w:r>
                </w:p>
              </w:tc>
              <w:tc>
                <w:tcPr>
                  <w:tcW w:w="1976" w:type="dxa"/>
                  <w:tcBorders>
                    <w:tl2br w:val="nil"/>
                    <w:tr2bl w:val="nil"/>
                  </w:tcBorders>
                  <w:vAlign w:val="center"/>
                </w:tcPr>
                <w:p w14:paraId="1638785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85~90</w:t>
                  </w:r>
                </w:p>
              </w:tc>
              <w:tc>
                <w:tcPr>
                  <w:tcW w:w="1698" w:type="dxa"/>
                  <w:tcBorders>
                    <w:tl2br w:val="nil"/>
                    <w:tr2bl w:val="nil"/>
                  </w:tcBorders>
                  <w:vAlign w:val="center"/>
                </w:tcPr>
                <w:p w14:paraId="09E91AD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1E15C9A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r w14:paraId="2904E54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6328642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169" w:type="dxa"/>
                  <w:tcBorders>
                    <w:tl2br w:val="nil"/>
                    <w:tr2bl w:val="nil"/>
                  </w:tcBorders>
                  <w:vAlign w:val="center"/>
                </w:tcPr>
                <w:p w14:paraId="675DB55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拆胎机</w:t>
                  </w:r>
                </w:p>
              </w:tc>
              <w:tc>
                <w:tcPr>
                  <w:tcW w:w="1976" w:type="dxa"/>
                  <w:tcBorders>
                    <w:tl2br w:val="nil"/>
                    <w:tr2bl w:val="nil"/>
                  </w:tcBorders>
                  <w:vAlign w:val="center"/>
                </w:tcPr>
                <w:p w14:paraId="72C530E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80~85</w:t>
                  </w:r>
                </w:p>
              </w:tc>
              <w:tc>
                <w:tcPr>
                  <w:tcW w:w="1698" w:type="dxa"/>
                  <w:tcBorders>
                    <w:tl2br w:val="nil"/>
                    <w:tr2bl w:val="nil"/>
                  </w:tcBorders>
                  <w:vAlign w:val="center"/>
                </w:tcPr>
                <w:p w14:paraId="7EB72E6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7B3E2B4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r w14:paraId="153B708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2CA778A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2169" w:type="dxa"/>
                  <w:tcBorders>
                    <w:tl2br w:val="nil"/>
                    <w:tr2bl w:val="nil"/>
                  </w:tcBorders>
                  <w:vAlign w:val="center"/>
                </w:tcPr>
                <w:p w14:paraId="7ACD915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航吊</w:t>
                  </w:r>
                </w:p>
              </w:tc>
              <w:tc>
                <w:tcPr>
                  <w:tcW w:w="1976" w:type="dxa"/>
                  <w:tcBorders>
                    <w:tl2br w:val="nil"/>
                    <w:tr2bl w:val="nil"/>
                  </w:tcBorders>
                  <w:vAlign w:val="center"/>
                </w:tcPr>
                <w:p w14:paraId="25C67C1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80~85</w:t>
                  </w:r>
                </w:p>
              </w:tc>
              <w:tc>
                <w:tcPr>
                  <w:tcW w:w="1698" w:type="dxa"/>
                  <w:tcBorders>
                    <w:tl2br w:val="nil"/>
                    <w:tr2bl w:val="nil"/>
                  </w:tcBorders>
                  <w:vAlign w:val="center"/>
                </w:tcPr>
                <w:p w14:paraId="0E4EBA8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786" w:type="dxa"/>
                  <w:tcBorders>
                    <w:tl2br w:val="nil"/>
                    <w:tr2bl w:val="nil"/>
                  </w:tcBorders>
                  <w:vAlign w:val="center"/>
                </w:tcPr>
                <w:p w14:paraId="445DDD8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r w14:paraId="72909AF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846" w:type="dxa"/>
                  <w:tcBorders>
                    <w:tl2br w:val="nil"/>
                    <w:tr2bl w:val="nil"/>
                  </w:tcBorders>
                  <w:vAlign w:val="center"/>
                </w:tcPr>
                <w:p w14:paraId="17C5D79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2169" w:type="dxa"/>
                  <w:tcBorders>
                    <w:tl2br w:val="nil"/>
                    <w:tr2bl w:val="nil"/>
                  </w:tcBorders>
                  <w:vAlign w:val="center"/>
                </w:tcPr>
                <w:p w14:paraId="6E693A6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机械敲打声</w:t>
                  </w:r>
                </w:p>
              </w:tc>
              <w:tc>
                <w:tcPr>
                  <w:tcW w:w="1976" w:type="dxa"/>
                  <w:tcBorders>
                    <w:tl2br w:val="nil"/>
                    <w:tr2bl w:val="nil"/>
                  </w:tcBorders>
                  <w:vAlign w:val="center"/>
                </w:tcPr>
                <w:p w14:paraId="7E6E8E8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80~95</w:t>
                  </w:r>
                </w:p>
              </w:tc>
              <w:tc>
                <w:tcPr>
                  <w:tcW w:w="1698" w:type="dxa"/>
                  <w:tcBorders>
                    <w:tl2br w:val="nil"/>
                    <w:tr2bl w:val="nil"/>
                  </w:tcBorders>
                  <w:vAlign w:val="center"/>
                </w:tcPr>
                <w:p w14:paraId="2254D27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1786" w:type="dxa"/>
                  <w:tcBorders>
                    <w:tl2br w:val="nil"/>
                    <w:tr2bl w:val="nil"/>
                  </w:tcBorders>
                  <w:vAlign w:val="center"/>
                </w:tcPr>
                <w:p w14:paraId="112317E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间断</w:t>
                  </w:r>
                </w:p>
              </w:tc>
            </w:tr>
          </w:tbl>
          <w:p w14:paraId="506FC71C">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项目将采取优化设备布局，选用低噪音设备，隔声减震，加强管理等措施，车间围墙开小窗但不密闭，门未经隔声处理但较密闭，隔墙隔声量为15dB(A)。</w:t>
            </w:r>
            <w:r>
              <w:rPr>
                <w:rFonts w:hint="eastAsia" w:ascii="宋体" w:hAnsi="宋体" w:eastAsia="宋体" w:cs="宋体"/>
                <w:color w:val="000000" w:themeColor="text1"/>
                <w:sz w:val="24"/>
                <w:szCs w:val="24"/>
                <w:lang w:val="en-US" w:eastAsia="zh-CN"/>
                <w14:textFill>
                  <w14:solidFill>
                    <w14:schemeClr w14:val="tx1"/>
                  </w14:solidFill>
                </w14:textFill>
              </w:rPr>
              <w:t>本次扩建后企业无新增设备，根据2025年企业排污许可证执行报告中噪声自行监测结果可以看出</w:t>
            </w:r>
            <w:r>
              <w:rPr>
                <w:rFonts w:hint="eastAsia" w:ascii="宋体" w:hAnsi="宋体" w:eastAsia="宋体" w:cs="宋体"/>
                <w:color w:val="000000" w:themeColor="text1"/>
                <w:sz w:val="24"/>
                <w:szCs w:val="24"/>
                <w14:textFill>
                  <w14:solidFill>
                    <w14:schemeClr w14:val="tx1"/>
                  </w14:solidFill>
                </w14:textFill>
              </w:rPr>
              <w:t>。采取相应的降噪措施后厂界可以达到《工业企业厂界环境噪声排放标准》（GB12348-2008）中</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类标准（昼间6</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dB(A)，夜间不生产）限值。监测频次为每季度监测1次。</w:t>
            </w:r>
          </w:p>
          <w:p w14:paraId="07708FE8">
            <w:pPr>
              <w:pStyle w:val="4"/>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运营期固废</w:t>
            </w:r>
          </w:p>
          <w:p w14:paraId="76C21A6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为报废机动车拆解项目，由于其行业特征，生产过程中产生大量的固体物质，其中大部分以目前的技术水平是可利用的，即作为本项目的产品，在厂区内分类收集后直接出售给相关回收单位再生利用，不在厂区内进行进一步拆解加工。其余不可利用的为本项目产生的固废，包括一般工业固废、危险废物、职工生活垃圾。</w:t>
            </w:r>
          </w:p>
          <w:p w14:paraId="7FF22C8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一般工业固废</w:t>
            </w:r>
          </w:p>
          <w:p w14:paraId="54E40EB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一般工业固废指拆解过程中产生的无法分离回收利用的含有贴膜的碎玻璃、碎橡胶及其他不可利用垃圾等。根据物料平衡分析结果，项目一般工业固废产生量为</w:t>
            </w: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5211.38</w:t>
            </w:r>
            <w:r>
              <w:rPr>
                <w:rFonts w:hint="eastAsia" w:ascii="宋体" w:hAnsi="宋体" w:eastAsia="宋体" w:cs="宋体"/>
                <w:color w:val="000000" w:themeColor="text1"/>
                <w:sz w:val="24"/>
                <w:szCs w:val="24"/>
                <w:highlight w:val="none"/>
                <w14:textFill>
                  <w14:solidFill>
                    <w14:schemeClr w14:val="tx1"/>
                  </w14:solidFill>
                </w14:textFill>
              </w:rPr>
              <w:t>t/a，</w:t>
            </w:r>
            <w:r>
              <w:rPr>
                <w:rFonts w:hint="eastAsia" w:ascii="宋体" w:hAnsi="宋体" w:eastAsia="宋体" w:cs="宋体"/>
                <w:color w:val="000000" w:themeColor="text1"/>
                <w:sz w:val="24"/>
                <w:szCs w:val="24"/>
                <w:highlight w:val="none"/>
                <w:lang w:eastAsia="zh-CN"/>
                <w14:textFill>
                  <w14:solidFill>
                    <w14:schemeClr w14:val="tx1"/>
                  </w14:solidFill>
                </w14:textFill>
              </w:rPr>
              <w:t>此外拆解车间产生的切割粉尘采取布袋除尘器治理后，布袋除下的粉尘约为</w:t>
            </w:r>
            <w:r>
              <w:rPr>
                <w:rFonts w:hint="eastAsia" w:ascii="宋体" w:hAnsi="宋体" w:cs="宋体"/>
                <w:color w:val="000000" w:themeColor="text1"/>
                <w:sz w:val="24"/>
                <w:szCs w:val="24"/>
                <w:highlight w:val="none"/>
                <w:lang w:val="en-US" w:eastAsia="zh-CN"/>
                <w14:textFill>
                  <w14:solidFill>
                    <w14:schemeClr w14:val="tx1"/>
                  </w14:solidFill>
                </w14:textFill>
              </w:rPr>
              <w:t>12.31</w:t>
            </w:r>
            <w:r>
              <w:rPr>
                <w:rFonts w:hint="eastAsia" w:ascii="宋体" w:hAnsi="宋体" w:eastAsia="宋体" w:cs="宋体"/>
                <w:color w:val="000000" w:themeColor="text1"/>
                <w:sz w:val="24"/>
                <w:szCs w:val="24"/>
                <w:highlight w:val="none"/>
                <w14:textFill>
                  <w14:solidFill>
                    <w14:schemeClr w14:val="tx1"/>
                  </w14:solidFill>
                </w14:textFill>
              </w:rPr>
              <w:t>t/a</w:t>
            </w:r>
            <w:r>
              <w:rPr>
                <w:rFonts w:hint="eastAsia" w:ascii="宋体" w:hAnsi="宋体" w:eastAsia="宋体" w:cs="宋体"/>
                <w:color w:val="000000" w:themeColor="text1"/>
                <w:sz w:val="24"/>
                <w:szCs w:val="24"/>
                <w14:textFill>
                  <w14:solidFill>
                    <w14:schemeClr w14:val="tx1"/>
                  </w14:solidFill>
                </w14:textFill>
              </w:rPr>
              <w:t>，在厂区一般废物仓库暂存后，出售</w:t>
            </w:r>
            <w:r>
              <w:rPr>
                <w:rFonts w:hint="eastAsia" w:ascii="宋体" w:hAnsi="宋体" w:eastAsia="宋体" w:cs="宋体"/>
                <w:color w:val="000000" w:themeColor="text1"/>
                <w:sz w:val="24"/>
                <w:szCs w:val="24"/>
                <w:lang w:val="en-US" w:eastAsia="zh-CN"/>
                <w14:textFill>
                  <w14:solidFill>
                    <w14:schemeClr w14:val="tx1"/>
                  </w14:solidFill>
                </w14:textFill>
              </w:rPr>
              <w:t>给相应</w:t>
            </w:r>
            <w:r>
              <w:rPr>
                <w:rFonts w:hint="eastAsia" w:ascii="宋体" w:hAnsi="宋体" w:eastAsia="宋体" w:cs="宋体"/>
                <w:color w:val="000000" w:themeColor="text1"/>
                <w:sz w:val="24"/>
                <w:szCs w:val="24"/>
                <w14:textFill>
                  <w14:solidFill>
                    <w14:schemeClr w14:val="tx1"/>
                  </w14:solidFill>
                </w14:textFill>
              </w:rPr>
              <w:t>回收单位。</w:t>
            </w:r>
          </w:p>
        </w:tc>
      </w:tr>
    </w:tbl>
    <w:p w14:paraId="0182E878">
      <w:pPr>
        <w:pStyle w:val="38"/>
        <w:rPr>
          <w:rFonts w:hint="eastAsia" w:ascii="宋体" w:hAnsi="宋体" w:eastAsia="宋体" w:cs="宋体"/>
          <w:color w:val="000000" w:themeColor="text1"/>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000000" w:themeColor="text1"/>
          <w14:textFill>
            <w14:solidFill>
              <w14:schemeClr w14:val="tx1"/>
            </w14:solidFill>
          </w14:textFill>
        </w:rPr>
        <w:br w:type="page"/>
      </w:r>
    </w:p>
    <w:p w14:paraId="0771E3C0">
      <w:pPr>
        <w:pStyle w:val="38"/>
        <w:rPr>
          <w:rFonts w:hint="eastAsia" w:ascii="宋体" w:hAnsi="宋体" w:eastAsia="宋体" w:cs="宋体"/>
          <w:color w:val="000000" w:themeColor="text1"/>
          <w14:textFill>
            <w14:solidFill>
              <w14:schemeClr w14:val="tx1"/>
            </w14:solidFill>
          </w14:textFill>
        </w:rPr>
      </w:pP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37"/>
        <w:gridCol w:w="13320"/>
      </w:tblGrid>
      <w:tr w14:paraId="20C4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8" w:hRule="atLeast"/>
          <w:jc w:val="center"/>
        </w:trPr>
        <w:tc>
          <w:tcPr>
            <w:tcW w:w="262" w:type="pct"/>
            <w:tcBorders>
              <w:tl2br w:val="nil"/>
              <w:tr2bl w:val="nil"/>
            </w:tcBorders>
            <w:tcMar>
              <w:left w:w="28" w:type="dxa"/>
              <w:right w:w="28" w:type="dxa"/>
            </w:tcMar>
            <w:vAlign w:val="center"/>
          </w:tcPr>
          <w:p w14:paraId="413D8E4D">
            <w:pPr>
              <w:pStyle w:val="38"/>
              <w:rPr>
                <w:rFonts w:hint="eastAsia" w:ascii="宋体" w:hAnsi="宋体" w:eastAsia="宋体" w:cs="宋体"/>
                <w:color w:val="000000" w:themeColor="text1"/>
                <w14:textFill>
                  <w14:solidFill>
                    <w14:schemeClr w14:val="tx1"/>
                  </w14:solidFill>
                </w14:textFill>
              </w:rPr>
            </w:pPr>
          </w:p>
        </w:tc>
        <w:tc>
          <w:tcPr>
            <w:tcW w:w="4737" w:type="pct"/>
            <w:tcBorders>
              <w:tl2br w:val="nil"/>
              <w:tr2bl w:val="nil"/>
            </w:tcBorders>
            <w:vAlign w:val="center"/>
          </w:tcPr>
          <w:p w14:paraId="17E1EFC6">
            <w:pPr>
              <w:keepNext w:val="0"/>
              <w:keepLines w:val="0"/>
              <w:pageBreakBefore w:val="0"/>
              <w:widowControl w:val="0"/>
              <w:kinsoku/>
              <w:wordWrap/>
              <w:overflowPunct/>
              <w:topLinePunct w:val="0"/>
              <w:autoSpaceDE/>
              <w:autoSpaceDN/>
              <w:bidi w:val="0"/>
              <w:adjustRightInd/>
              <w:snapToGrid/>
              <w:spacing w:line="360" w:lineRule="auto"/>
              <w:ind w:firstLine="3584" w:firstLineChars="1700"/>
              <w:textAlignment w:val="auto"/>
              <w:rPr>
                <w:rFonts w:hint="eastAsia" w:ascii="宋体" w:hAnsi="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表4-2   一般固体废物产生与排放情况一览表</w:t>
            </w:r>
          </w:p>
          <w:tbl>
            <w:tblPr>
              <w:tblStyle w:val="25"/>
              <w:tblW w:w="4979"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1402"/>
              <w:gridCol w:w="2608"/>
              <w:gridCol w:w="921"/>
              <w:gridCol w:w="1544"/>
              <w:gridCol w:w="942"/>
              <w:gridCol w:w="797"/>
              <w:gridCol w:w="3453"/>
              <w:gridCol w:w="850"/>
              <w:gridCol w:w="671"/>
            </w:tblGrid>
            <w:tr w14:paraId="1E2FA1F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55" w:hRule="atLeast"/>
              </w:trPr>
              <w:tc>
                <w:tcPr>
                  <w:tcW w:w="531" w:type="pct"/>
                  <w:tcBorders>
                    <w:tl2br w:val="nil"/>
                    <w:tr2bl w:val="nil"/>
                  </w:tcBorders>
                  <w:shd w:val="clear" w:color="auto" w:fill="auto"/>
                  <w:vAlign w:val="center"/>
                </w:tcPr>
                <w:p w14:paraId="55D20D4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sz w:val="18"/>
                      <w:szCs w:val="18"/>
                      <w:u w:val="none"/>
                      <w:lang w:val="en-US" w:eastAsia="zh-CN"/>
                      <w14:textFill>
                        <w14:solidFill>
                          <w14:schemeClr w14:val="tx1"/>
                        </w14:solidFill>
                      </w14:textFill>
                    </w:rPr>
                    <w:t>名称</w:t>
                  </w:r>
                </w:p>
              </w:tc>
              <w:tc>
                <w:tcPr>
                  <w:tcW w:w="988" w:type="pct"/>
                  <w:tcBorders>
                    <w:tl2br w:val="nil"/>
                    <w:tr2bl w:val="nil"/>
                  </w:tcBorders>
                  <w:shd w:val="clear" w:color="auto" w:fill="auto"/>
                  <w:vAlign w:val="center"/>
                </w:tcPr>
                <w:p w14:paraId="072847AF">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来源</w:t>
                  </w:r>
                </w:p>
              </w:tc>
              <w:tc>
                <w:tcPr>
                  <w:tcW w:w="349" w:type="pct"/>
                  <w:tcBorders>
                    <w:tl2br w:val="nil"/>
                    <w:tr2bl w:val="nil"/>
                  </w:tcBorders>
                  <w:shd w:val="clear" w:color="auto" w:fill="auto"/>
                  <w:vAlign w:val="center"/>
                </w:tcPr>
                <w:p w14:paraId="757ABC6D">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环境特性</w:t>
                  </w:r>
                </w:p>
              </w:tc>
              <w:tc>
                <w:tcPr>
                  <w:tcW w:w="585" w:type="pct"/>
                  <w:tcBorders>
                    <w:tl2br w:val="nil"/>
                    <w:tr2bl w:val="nil"/>
                  </w:tcBorders>
                  <w:shd w:val="clear" w:color="auto" w:fill="auto"/>
                  <w:vAlign w:val="center"/>
                </w:tcPr>
                <w:p w14:paraId="79DB4EC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t>种类/代码</w:t>
                  </w:r>
                </w:p>
              </w:tc>
              <w:tc>
                <w:tcPr>
                  <w:tcW w:w="357" w:type="pct"/>
                  <w:tcBorders>
                    <w:tl2br w:val="nil"/>
                    <w:tr2bl w:val="nil"/>
                  </w:tcBorders>
                  <w:shd w:val="clear" w:color="auto" w:fill="auto"/>
                  <w:vAlign w:val="center"/>
                </w:tcPr>
                <w:p w14:paraId="2AA957BE">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产生量</w:t>
                  </w:r>
                </w:p>
              </w:tc>
              <w:tc>
                <w:tcPr>
                  <w:tcW w:w="1610" w:type="pct"/>
                  <w:gridSpan w:val="2"/>
                  <w:tcBorders>
                    <w:tl2br w:val="nil"/>
                    <w:tr2bl w:val="nil"/>
                  </w:tcBorders>
                  <w:shd w:val="clear" w:color="auto" w:fill="auto"/>
                  <w:vAlign w:val="center"/>
                </w:tcPr>
                <w:p w14:paraId="633C8D6A">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39"/>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污染防治措</w:t>
                  </w:r>
                  <w:r>
                    <w:rPr>
                      <w:rFonts w:hint="eastAsia" w:ascii="宋体" w:hAnsi="宋体" w:eastAsia="宋体" w:cs="宋体"/>
                      <w:b w:val="0"/>
                      <w:bCs w:val="0"/>
                      <w:color w:val="000000" w:themeColor="text1"/>
                      <w:sz w:val="18"/>
                      <w:szCs w:val="18"/>
                      <w14:textFill>
                        <w14:solidFill>
                          <w14:schemeClr w14:val="tx1"/>
                        </w14:solidFill>
                      </w14:textFill>
                    </w:rPr>
                    <w:t>施</w:t>
                  </w:r>
                </w:p>
              </w:tc>
              <w:tc>
                <w:tcPr>
                  <w:tcW w:w="322" w:type="pct"/>
                  <w:tcBorders>
                    <w:tl2br w:val="nil"/>
                    <w:tr2bl w:val="nil"/>
                  </w:tcBorders>
                  <w:shd w:val="clear" w:color="auto" w:fill="auto"/>
                  <w:vAlign w:val="center"/>
                </w:tcPr>
                <w:p w14:paraId="66F95AC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2"/>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2"/>
                      <w:sz w:val="18"/>
                      <w:szCs w:val="18"/>
                      <w:lang w:val="en-US" w:eastAsia="zh-CN"/>
                      <w14:textFill>
                        <w14:solidFill>
                          <w14:schemeClr w14:val="tx1"/>
                        </w14:solidFill>
                      </w14:textFill>
                    </w:rPr>
                    <w:t>排放量</w:t>
                  </w:r>
                </w:p>
              </w:tc>
              <w:tc>
                <w:tcPr>
                  <w:tcW w:w="254" w:type="pct"/>
                  <w:tcBorders>
                    <w:tl2br w:val="nil"/>
                    <w:tr2bl w:val="nil"/>
                  </w:tcBorders>
                  <w:shd w:val="clear" w:color="auto" w:fill="auto"/>
                  <w:vAlign w:val="center"/>
                </w:tcPr>
                <w:p w14:paraId="31E1F631">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2"/>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2"/>
                      <w:sz w:val="18"/>
                      <w:szCs w:val="18"/>
                      <w:lang w:val="en-US" w:eastAsia="zh-CN"/>
                      <w14:textFill>
                        <w14:solidFill>
                          <w14:schemeClr w14:val="tx1"/>
                        </w14:solidFill>
                      </w14:textFill>
                    </w:rPr>
                    <w:t>处理效果</w:t>
                  </w:r>
                </w:p>
              </w:tc>
            </w:tr>
            <w:tr w14:paraId="67E1656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61" w:hRule="atLeast"/>
              </w:trPr>
              <w:tc>
                <w:tcPr>
                  <w:tcW w:w="531" w:type="pct"/>
                  <w:tcBorders>
                    <w:tl2br w:val="nil"/>
                    <w:tr2bl w:val="nil"/>
                  </w:tcBorders>
                  <w:shd w:val="clear" w:color="auto" w:fill="auto"/>
                  <w:vAlign w:val="center"/>
                </w:tcPr>
                <w:p w14:paraId="7845E669">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废弃车用电子零部件</w:t>
                  </w:r>
                </w:p>
              </w:tc>
              <w:tc>
                <w:tcPr>
                  <w:tcW w:w="988" w:type="pct"/>
                  <w:tcBorders>
                    <w:tl2br w:val="nil"/>
                    <w:tr2bl w:val="nil"/>
                  </w:tcBorders>
                  <w:shd w:val="clear" w:color="auto" w:fill="auto"/>
                  <w:vAlign w:val="center"/>
                </w:tcPr>
                <w:p w14:paraId="5182CAF1">
                  <w:pPr>
                    <w:keepNext w:val="0"/>
                    <w:keepLines w:val="0"/>
                    <w:pageBreakBefore w:val="0"/>
                    <w:kinsoku/>
                    <w:wordWrap/>
                    <w:topLinePunct w:val="0"/>
                    <w:autoSpaceDE/>
                    <w:autoSpaceDN/>
                    <w:bidi w:val="0"/>
                    <w:adjustRightInd/>
                    <w:snapToGrid/>
                    <w:spacing w:line="240" w:lineRule="atLeast"/>
                    <w:jc w:val="cente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拆解过程产生的车控电子零部件和车载电子零部件</w:t>
                  </w:r>
                </w:p>
              </w:tc>
              <w:tc>
                <w:tcPr>
                  <w:tcW w:w="349" w:type="pct"/>
                  <w:tcBorders>
                    <w:tl2br w:val="nil"/>
                    <w:tr2bl w:val="nil"/>
                  </w:tcBorders>
                  <w:shd w:val="clear" w:color="auto" w:fill="auto"/>
                  <w:vAlign w:val="center"/>
                </w:tcPr>
                <w:p w14:paraId="4C6B8B5C">
                  <w:pPr>
                    <w:keepNext w:val="0"/>
                    <w:keepLines w:val="0"/>
                    <w:pageBreakBefore w:val="0"/>
                    <w:kinsoku/>
                    <w:wordWrap/>
                    <w:topLinePunct w:val="0"/>
                    <w:autoSpaceDE/>
                    <w:autoSpaceDN/>
                    <w:bidi w:val="0"/>
                    <w:adjustRightInd/>
                    <w:snapToGrid/>
                    <w:spacing w:line="240" w:lineRule="atLeast"/>
                    <w:jc w:val="cente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69227310">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09B24FF1">
                  <w:pPr>
                    <w:keepNext w:val="0"/>
                    <w:keepLines w:val="0"/>
                    <w:widowControl/>
                    <w:suppressLineNumbers w:val="0"/>
                    <w:jc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900-008-S17</w:t>
                  </w:r>
                </w:p>
              </w:tc>
              <w:tc>
                <w:tcPr>
                  <w:tcW w:w="357" w:type="pct"/>
                  <w:tcBorders>
                    <w:tl2br w:val="nil"/>
                    <w:tr2bl w:val="nil"/>
                  </w:tcBorders>
                  <w:shd w:val="clear" w:color="auto" w:fill="auto"/>
                  <w:vAlign w:val="center"/>
                </w:tcPr>
                <w:p w14:paraId="25DDFFA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1688</w:t>
                  </w:r>
                </w:p>
              </w:tc>
              <w:tc>
                <w:tcPr>
                  <w:tcW w:w="302" w:type="pct"/>
                  <w:vMerge w:val="restart"/>
                  <w:tcBorders>
                    <w:tl2br w:val="nil"/>
                    <w:tr2bl w:val="nil"/>
                  </w:tcBorders>
                  <w:shd w:val="clear" w:color="auto" w:fill="auto"/>
                  <w:vAlign w:val="center"/>
                </w:tcPr>
                <w:p w14:paraId="4B943938">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具有一定的环境风险性，交由相应处理部门，厂区暂存时加强管理</w:t>
                  </w:r>
                </w:p>
              </w:tc>
              <w:tc>
                <w:tcPr>
                  <w:tcW w:w="1308" w:type="pct"/>
                  <w:tcBorders>
                    <w:tl2br w:val="nil"/>
                    <w:tr2bl w:val="nil"/>
                  </w:tcBorders>
                  <w:shd w:val="clear" w:color="auto" w:fill="auto"/>
                  <w:vAlign w:val="center"/>
                </w:tcPr>
                <w:p w14:paraId="24B49148">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交由具有相应废弃电器电子产品处理资格企业、电子废物拆解利用处置单位名录内企业</w:t>
                  </w:r>
                </w:p>
              </w:tc>
              <w:tc>
                <w:tcPr>
                  <w:tcW w:w="322" w:type="pct"/>
                  <w:tcBorders>
                    <w:tl2br w:val="nil"/>
                    <w:tr2bl w:val="nil"/>
                  </w:tcBorders>
                  <w:shd w:val="clear" w:color="auto" w:fill="auto"/>
                  <w:vAlign w:val="center"/>
                </w:tcPr>
                <w:p w14:paraId="782593A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restart"/>
                  <w:tcBorders>
                    <w:tl2br w:val="nil"/>
                    <w:tr2bl w:val="nil"/>
                  </w:tcBorders>
                  <w:shd w:val="clear" w:color="auto" w:fill="auto"/>
                  <w:vAlign w:val="center"/>
                </w:tcPr>
                <w:p w14:paraId="0F6F2079">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default"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不会产生二次污染</w:t>
                  </w:r>
                </w:p>
              </w:tc>
            </w:tr>
            <w:tr w14:paraId="7A4E41F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99" w:hRule="atLeast"/>
              </w:trPr>
              <w:tc>
                <w:tcPr>
                  <w:tcW w:w="531" w:type="pct"/>
                  <w:tcBorders>
                    <w:tl2br w:val="nil"/>
                    <w:tr2bl w:val="nil"/>
                  </w:tcBorders>
                  <w:shd w:val="clear" w:color="auto" w:fill="auto"/>
                  <w:vAlign w:val="center"/>
                </w:tcPr>
                <w:p w14:paraId="29A758F1">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sz w:val="18"/>
                      <w:szCs w:val="18"/>
                      <w:u w:val="none"/>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废安全气囊</w:t>
                  </w:r>
                </w:p>
              </w:tc>
              <w:tc>
                <w:tcPr>
                  <w:tcW w:w="988" w:type="pct"/>
                  <w:tcBorders>
                    <w:tl2br w:val="nil"/>
                    <w:tr2bl w:val="nil"/>
                  </w:tcBorders>
                  <w:shd w:val="clear" w:color="auto" w:fill="auto"/>
                  <w:vAlign w:val="center"/>
                </w:tcPr>
                <w:p w14:paraId="3C04F5D3">
                  <w:pPr>
                    <w:keepNext w:val="0"/>
                    <w:keepLines w:val="0"/>
                    <w:pageBreakBefore w:val="0"/>
                    <w:kinsoku/>
                    <w:wordWrap/>
                    <w:topLinePunct w:val="0"/>
                    <w:autoSpaceDE/>
                    <w:autoSpaceDN/>
                    <w:bidi w:val="0"/>
                    <w:adjustRightInd/>
                    <w:snapToGrid/>
                    <w:spacing w:line="240" w:lineRule="atLeast"/>
                    <w:jc w:val="cente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拆解过程产生的安全气囊</w:t>
                  </w:r>
                </w:p>
              </w:tc>
              <w:tc>
                <w:tcPr>
                  <w:tcW w:w="349" w:type="pct"/>
                  <w:tcBorders>
                    <w:tl2br w:val="nil"/>
                    <w:tr2bl w:val="nil"/>
                  </w:tcBorders>
                  <w:shd w:val="clear" w:color="auto" w:fill="auto"/>
                  <w:vAlign w:val="center"/>
                </w:tcPr>
                <w:p w14:paraId="583FF8B7">
                  <w:pPr>
                    <w:keepNext w:val="0"/>
                    <w:keepLines w:val="0"/>
                    <w:pageBreakBefore w:val="0"/>
                    <w:kinsoku/>
                    <w:wordWrap/>
                    <w:topLinePunct w:val="0"/>
                    <w:autoSpaceDE/>
                    <w:autoSpaceDN/>
                    <w:bidi w:val="0"/>
                    <w:adjustRightInd/>
                    <w:snapToGrid/>
                    <w:spacing w:line="240" w:lineRule="atLeast"/>
                    <w:jc w:val="cente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729B8EBB">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59C0603F">
                  <w:pPr>
                    <w:keepNext w:val="0"/>
                    <w:keepLines w:val="0"/>
                    <w:widowControl/>
                    <w:suppressLineNumbers w:val="0"/>
                    <w:jc w:val="center"/>
                    <w:rPr>
                      <w:rFonts w:hint="eastAsia" w:ascii="宋体" w:hAnsi="宋体" w:eastAsia="宋体" w:cs="宋体"/>
                      <w:b w:val="0"/>
                      <w:bCs w:val="0"/>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900-099-S17</w:t>
                  </w:r>
                </w:p>
              </w:tc>
              <w:tc>
                <w:tcPr>
                  <w:tcW w:w="357" w:type="pct"/>
                  <w:tcBorders>
                    <w:tl2br w:val="nil"/>
                    <w:tr2bl w:val="nil"/>
                  </w:tcBorders>
                  <w:shd w:val="clear" w:color="auto" w:fill="auto"/>
                  <w:vAlign w:val="center"/>
                </w:tcPr>
                <w:p w14:paraId="55B9CB1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13</w:t>
                  </w:r>
                </w:p>
              </w:tc>
              <w:tc>
                <w:tcPr>
                  <w:tcW w:w="302" w:type="pct"/>
                  <w:vMerge w:val="continue"/>
                  <w:tcBorders>
                    <w:tl2br w:val="nil"/>
                    <w:tr2bl w:val="nil"/>
                  </w:tcBorders>
                  <w:shd w:val="clear" w:color="auto" w:fill="auto"/>
                  <w:vAlign w:val="center"/>
                </w:tcPr>
                <w:p w14:paraId="6DD8EE3D">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1308" w:type="pct"/>
                  <w:tcBorders>
                    <w:tl2br w:val="nil"/>
                    <w:tr2bl w:val="nil"/>
                  </w:tcBorders>
                  <w:shd w:val="clear" w:color="auto" w:fill="auto"/>
                  <w:vAlign w:val="center"/>
                </w:tcPr>
                <w:p w14:paraId="537068CD">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交由具有相应处理能力或经营范围的单位利</w:t>
                  </w:r>
                  <w:r>
                    <w:rPr>
                      <w:rFonts w:hint="eastAsia" w:ascii="宋体" w:hAnsi="宋体" w:eastAsia="宋体" w:cs="宋体"/>
                      <w:b w:val="0"/>
                      <w:bCs w:val="0"/>
                      <w:color w:val="000000" w:themeColor="text1"/>
                      <w:spacing w:val="-2"/>
                      <w:sz w:val="18"/>
                      <w:szCs w:val="18"/>
                      <w14:textFill>
                        <w14:solidFill>
                          <w14:schemeClr w14:val="tx1"/>
                        </w14:solidFill>
                      </w14:textFill>
                    </w:rPr>
                    <w:t>用和处置</w:t>
                  </w:r>
                </w:p>
              </w:tc>
              <w:tc>
                <w:tcPr>
                  <w:tcW w:w="322" w:type="pct"/>
                  <w:tcBorders>
                    <w:tl2br w:val="nil"/>
                    <w:tr2bl w:val="nil"/>
                  </w:tcBorders>
                  <w:shd w:val="clear" w:color="auto" w:fill="auto"/>
                  <w:vAlign w:val="center"/>
                </w:tcPr>
                <w:p w14:paraId="2C1C5601">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continue"/>
                  <w:tcBorders>
                    <w:tl2br w:val="nil"/>
                    <w:tr2bl w:val="nil"/>
                  </w:tcBorders>
                  <w:shd w:val="clear" w:color="auto" w:fill="auto"/>
                  <w:vAlign w:val="center"/>
                </w:tcPr>
                <w:p w14:paraId="4015380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p>
              </w:tc>
            </w:tr>
            <w:tr w14:paraId="7C9E52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177" w:hRule="atLeast"/>
              </w:trPr>
              <w:tc>
                <w:tcPr>
                  <w:tcW w:w="531" w:type="pct"/>
                  <w:tcBorders>
                    <w:tl2br w:val="nil"/>
                    <w:tr2bl w:val="nil"/>
                  </w:tcBorders>
                  <w:shd w:val="clear" w:color="auto" w:fill="auto"/>
                  <w:vAlign w:val="center"/>
                </w:tcPr>
                <w:p w14:paraId="1AEF3C1C">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sz w:val="18"/>
                      <w:szCs w:val="18"/>
                      <w:u w:val="none"/>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动力电池（锂电池）</w:t>
                  </w:r>
                </w:p>
              </w:tc>
              <w:tc>
                <w:tcPr>
                  <w:tcW w:w="988" w:type="pct"/>
                  <w:tcBorders>
                    <w:tl2br w:val="nil"/>
                    <w:tr2bl w:val="nil"/>
                  </w:tcBorders>
                  <w:shd w:val="clear" w:color="auto" w:fill="auto"/>
                  <w:vAlign w:val="center"/>
                </w:tcPr>
                <w:p w14:paraId="0BA891E1">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报废电动汽车拆卸下来的废旧动力蓄电池</w:t>
                  </w:r>
                </w:p>
              </w:tc>
              <w:tc>
                <w:tcPr>
                  <w:tcW w:w="349" w:type="pct"/>
                  <w:tcBorders>
                    <w:tl2br w:val="nil"/>
                    <w:tr2bl w:val="nil"/>
                  </w:tcBorders>
                  <w:shd w:val="clear" w:color="auto" w:fill="auto"/>
                  <w:vAlign w:val="center"/>
                </w:tcPr>
                <w:p w14:paraId="655BF613">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6A379497">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3A64A3F9">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w:t>
                  </w:r>
                  <w:r>
                    <w:rPr>
                      <w:rFonts w:hint="eastAsia" w:ascii="宋体" w:hAnsi="宋体" w:eastAsia="宋体" w:cs="宋体"/>
                      <w:b w:val="0"/>
                      <w:bCs w:val="0"/>
                      <w:color w:val="000000" w:themeColor="text1"/>
                      <w:kern w:val="0"/>
                      <w:sz w:val="18"/>
                      <w:szCs w:val="18"/>
                      <w:lang w:bidi="ar"/>
                      <w14:textFill>
                        <w14:solidFill>
                          <w14:schemeClr w14:val="tx1"/>
                        </w14:solidFill>
                      </w14:textFill>
                    </w:rPr>
                    <w:t>-0</w:t>
                  </w: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12</w:t>
                  </w:r>
                  <w:r>
                    <w:rPr>
                      <w:rFonts w:hint="eastAsia" w:ascii="宋体" w:hAnsi="宋体" w:eastAsia="宋体" w:cs="宋体"/>
                      <w:b w:val="0"/>
                      <w:bCs w:val="0"/>
                      <w:color w:val="000000" w:themeColor="text1"/>
                      <w:kern w:val="0"/>
                      <w:sz w:val="18"/>
                      <w:szCs w:val="18"/>
                      <w:lang w:bidi="ar"/>
                      <w14:textFill>
                        <w14:solidFill>
                          <w14:schemeClr w14:val="tx1"/>
                        </w14:solidFill>
                      </w14:textFill>
                    </w:rPr>
                    <w:t>-</w:t>
                  </w: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S17</w:t>
                  </w:r>
                </w:p>
              </w:tc>
              <w:tc>
                <w:tcPr>
                  <w:tcW w:w="357" w:type="pct"/>
                  <w:tcBorders>
                    <w:tl2br w:val="nil"/>
                    <w:tr2bl w:val="nil"/>
                  </w:tcBorders>
                  <w:shd w:val="clear" w:color="auto" w:fill="auto"/>
                  <w:vAlign w:val="center"/>
                </w:tcPr>
                <w:p w14:paraId="3883BEB8">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520</w:t>
                  </w:r>
                </w:p>
              </w:tc>
              <w:tc>
                <w:tcPr>
                  <w:tcW w:w="302" w:type="pct"/>
                  <w:vMerge w:val="continue"/>
                  <w:tcBorders>
                    <w:tl2br w:val="nil"/>
                    <w:tr2bl w:val="nil"/>
                  </w:tcBorders>
                  <w:shd w:val="clear" w:color="auto" w:fill="auto"/>
                  <w:vAlign w:val="center"/>
                </w:tcPr>
                <w:p w14:paraId="7C8C2D44">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1308" w:type="pct"/>
                  <w:tcBorders>
                    <w:tl2br w:val="nil"/>
                    <w:tr2bl w:val="nil"/>
                  </w:tcBorders>
                  <w:shd w:val="clear" w:color="auto" w:fill="auto"/>
                  <w:vAlign w:val="center"/>
                </w:tcPr>
                <w:p w14:paraId="57B92FCC">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交售给新能源汽车生产企业建立的动力蓄电</w:t>
                  </w:r>
                  <w:r>
                    <w:rPr>
                      <w:rFonts w:hint="eastAsia" w:ascii="宋体" w:hAnsi="宋体" w:eastAsia="宋体" w:cs="宋体"/>
                      <w:b w:val="0"/>
                      <w:bCs w:val="0"/>
                      <w:color w:val="000000" w:themeColor="text1"/>
                      <w:spacing w:val="-5"/>
                      <w:sz w:val="18"/>
                      <w:szCs w:val="18"/>
                      <w14:textFill>
                        <w14:solidFill>
                          <w14:schemeClr w14:val="tx1"/>
                        </w14:solidFill>
                      </w14:textFill>
                    </w:rPr>
                    <w:t>池回收服务网点，或符合国家对动力蓄电池梯次利用管理有关要求的梯次利用企业，或者从</w:t>
                  </w:r>
                  <w:r>
                    <w:rPr>
                      <w:rFonts w:hint="eastAsia" w:ascii="宋体" w:hAnsi="宋体" w:eastAsia="宋体" w:cs="宋体"/>
                      <w:b w:val="0"/>
                      <w:bCs w:val="0"/>
                      <w:color w:val="000000" w:themeColor="text1"/>
                      <w:spacing w:val="-1"/>
                      <w:sz w:val="18"/>
                      <w:szCs w:val="18"/>
                      <w14:textFill>
                        <w14:solidFill>
                          <w14:schemeClr w14:val="tx1"/>
                        </w14:solidFill>
                      </w14:textFill>
                    </w:rPr>
                    <w:t>事废旧动力蓄电池综合利用的企业</w:t>
                  </w:r>
                </w:p>
              </w:tc>
              <w:tc>
                <w:tcPr>
                  <w:tcW w:w="322" w:type="pct"/>
                  <w:tcBorders>
                    <w:tl2br w:val="nil"/>
                    <w:tr2bl w:val="nil"/>
                  </w:tcBorders>
                  <w:shd w:val="clear" w:color="auto" w:fill="auto"/>
                  <w:vAlign w:val="center"/>
                </w:tcPr>
                <w:p w14:paraId="5432CE9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continue"/>
                  <w:tcBorders>
                    <w:tl2br w:val="nil"/>
                    <w:tr2bl w:val="nil"/>
                  </w:tcBorders>
                  <w:shd w:val="clear" w:color="auto" w:fill="auto"/>
                  <w:vAlign w:val="center"/>
                </w:tcPr>
                <w:p w14:paraId="35E4F60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p>
              </w:tc>
            </w:tr>
            <w:tr w14:paraId="64C8415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531" w:type="pct"/>
                  <w:tcBorders>
                    <w:tl2br w:val="nil"/>
                    <w:tr2bl w:val="nil"/>
                  </w:tcBorders>
                  <w:shd w:val="clear" w:color="auto" w:fill="auto"/>
                  <w:vAlign w:val="center"/>
                </w:tcPr>
                <w:p w14:paraId="35D7C54C">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sz w:val="18"/>
                      <w:szCs w:val="18"/>
                      <w:u w:val="none"/>
                      <w14:textFill>
                        <w14:solidFill>
                          <w14:schemeClr w14:val="tx1"/>
                        </w14:solidFill>
                      </w14:textFill>
                    </w:rPr>
                  </w:pPr>
                  <w:r>
                    <w:rPr>
                      <w:rFonts w:hint="eastAsia" w:ascii="宋体" w:hAnsi="宋体" w:eastAsia="宋体" w:cs="宋体"/>
                      <w:b w:val="0"/>
                      <w:bCs w:val="0"/>
                      <w:color w:val="000000" w:themeColor="text1"/>
                      <w:sz w:val="18"/>
                      <w:szCs w:val="18"/>
                      <w:lang w:val="en-US" w:eastAsia="zh-CN" w:bidi="ar"/>
                      <w14:textFill>
                        <w14:solidFill>
                          <w14:schemeClr w14:val="tx1"/>
                        </w14:solidFill>
                      </w14:textFill>
                    </w:rPr>
                    <w:t>液化气罐</w:t>
                  </w:r>
                </w:p>
              </w:tc>
              <w:tc>
                <w:tcPr>
                  <w:tcW w:w="988" w:type="pct"/>
                  <w:tcBorders>
                    <w:tl2br w:val="nil"/>
                    <w:tr2bl w:val="nil"/>
                  </w:tcBorders>
                  <w:shd w:val="clear" w:color="auto" w:fill="auto"/>
                  <w:vAlign w:val="center"/>
                </w:tcPr>
                <w:p w14:paraId="2AF4E5D9">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使用液化气的机动车</w:t>
                  </w:r>
                </w:p>
              </w:tc>
              <w:tc>
                <w:tcPr>
                  <w:tcW w:w="349" w:type="pct"/>
                  <w:tcBorders>
                    <w:tl2br w:val="nil"/>
                    <w:tr2bl w:val="nil"/>
                  </w:tcBorders>
                  <w:shd w:val="clear" w:color="auto" w:fill="auto"/>
                  <w:vAlign w:val="center"/>
                </w:tcPr>
                <w:p w14:paraId="77D8E34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515AC76E">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320AC84D">
                  <w:pPr>
                    <w:keepNext w:val="0"/>
                    <w:keepLines w:val="0"/>
                    <w:widowControl/>
                    <w:suppressLineNumbers w:val="0"/>
                    <w:jc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900-099-S17</w:t>
                  </w:r>
                </w:p>
              </w:tc>
              <w:tc>
                <w:tcPr>
                  <w:tcW w:w="357" w:type="pct"/>
                  <w:tcBorders>
                    <w:tl2br w:val="nil"/>
                    <w:tr2bl w:val="nil"/>
                  </w:tcBorders>
                  <w:shd w:val="clear" w:color="auto" w:fill="auto"/>
                  <w:vAlign w:val="center"/>
                </w:tcPr>
                <w:p w14:paraId="676D3A1E">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50</w:t>
                  </w:r>
                </w:p>
              </w:tc>
              <w:tc>
                <w:tcPr>
                  <w:tcW w:w="302" w:type="pct"/>
                  <w:vMerge w:val="continue"/>
                  <w:tcBorders>
                    <w:tl2br w:val="nil"/>
                    <w:tr2bl w:val="nil"/>
                  </w:tcBorders>
                  <w:shd w:val="clear" w:color="auto" w:fill="auto"/>
                  <w:vAlign w:val="center"/>
                </w:tcPr>
                <w:p w14:paraId="328C2513">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1308" w:type="pct"/>
                  <w:tcBorders>
                    <w:tl2br w:val="nil"/>
                    <w:tr2bl w:val="nil"/>
                  </w:tcBorders>
                  <w:shd w:val="clear" w:color="auto" w:fill="auto"/>
                  <w:vAlign w:val="center"/>
                </w:tcPr>
                <w:p w14:paraId="2AF8018F">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交由具有相应资质的单位利用和处置</w:t>
                  </w:r>
                </w:p>
              </w:tc>
              <w:tc>
                <w:tcPr>
                  <w:tcW w:w="322" w:type="pct"/>
                  <w:tcBorders>
                    <w:tl2br w:val="nil"/>
                    <w:tr2bl w:val="nil"/>
                  </w:tcBorders>
                  <w:shd w:val="clear" w:color="auto" w:fill="auto"/>
                  <w:vAlign w:val="center"/>
                </w:tcPr>
                <w:p w14:paraId="07A66B1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continue"/>
                  <w:tcBorders>
                    <w:tl2br w:val="nil"/>
                    <w:tr2bl w:val="nil"/>
                  </w:tcBorders>
                  <w:shd w:val="clear" w:color="auto" w:fill="auto"/>
                  <w:vAlign w:val="center"/>
                </w:tcPr>
                <w:p w14:paraId="69C89193">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p>
              </w:tc>
            </w:tr>
            <w:tr w14:paraId="4A2790E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531" w:type="pct"/>
                  <w:tcBorders>
                    <w:tl2br w:val="nil"/>
                    <w:tr2bl w:val="nil"/>
                  </w:tcBorders>
                  <w:shd w:val="clear" w:color="auto" w:fill="auto"/>
                  <w:vAlign w:val="center"/>
                </w:tcPr>
                <w:p w14:paraId="6B111632">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制冷剂</w:t>
                  </w:r>
                </w:p>
              </w:tc>
              <w:tc>
                <w:tcPr>
                  <w:tcW w:w="988" w:type="pct"/>
                  <w:tcBorders>
                    <w:tl2br w:val="nil"/>
                    <w:tr2bl w:val="nil"/>
                  </w:tcBorders>
                  <w:shd w:val="clear" w:color="auto" w:fill="auto"/>
                  <w:vAlign w:val="center"/>
                </w:tcPr>
                <w:p w14:paraId="651B137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拆解过程产生的废制冷剂（CFCs</w:t>
                  </w:r>
                  <w:r>
                    <w:rPr>
                      <w:rFonts w:hint="eastAsia" w:ascii="宋体" w:hAnsi="宋体" w:eastAsia="宋体" w:cs="宋体"/>
                      <w:b w:val="0"/>
                      <w:bCs w:val="0"/>
                      <w:color w:val="000000" w:themeColor="text1"/>
                      <w:spacing w:val="-9"/>
                      <w:sz w:val="18"/>
                      <w:szCs w:val="18"/>
                      <w14:textFill>
                        <w14:solidFill>
                          <w14:schemeClr w14:val="tx1"/>
                        </w14:solidFill>
                      </w14:textFill>
                    </w:rPr>
                    <w:t xml:space="preserve"> </w:t>
                  </w:r>
                  <w:r>
                    <w:rPr>
                      <w:rFonts w:hint="eastAsia" w:ascii="宋体" w:hAnsi="宋体" w:eastAsia="宋体" w:cs="宋体"/>
                      <w:b w:val="0"/>
                      <w:bCs w:val="0"/>
                      <w:color w:val="000000" w:themeColor="text1"/>
                      <w:spacing w:val="-2"/>
                      <w:sz w:val="18"/>
                      <w:szCs w:val="18"/>
                      <w14:textFill>
                        <w14:solidFill>
                          <w14:schemeClr w14:val="tx1"/>
                        </w14:solidFill>
                      </w14:textFill>
                    </w:rPr>
                    <w:t>、HFCs 等）</w:t>
                  </w:r>
                </w:p>
              </w:tc>
              <w:tc>
                <w:tcPr>
                  <w:tcW w:w="349" w:type="pct"/>
                  <w:tcBorders>
                    <w:tl2br w:val="nil"/>
                    <w:tr2bl w:val="nil"/>
                  </w:tcBorders>
                  <w:shd w:val="clear" w:color="auto" w:fill="auto"/>
                  <w:vAlign w:val="center"/>
                </w:tcPr>
                <w:p w14:paraId="429129EF">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0B439CB7">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55EC9766">
                  <w:pPr>
                    <w:keepNext w:val="0"/>
                    <w:keepLines w:val="0"/>
                    <w:widowControl/>
                    <w:suppressLineNumbers w:val="0"/>
                    <w:jc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900-099-S17</w:t>
                  </w:r>
                </w:p>
              </w:tc>
              <w:tc>
                <w:tcPr>
                  <w:tcW w:w="357" w:type="pct"/>
                  <w:tcBorders>
                    <w:tl2br w:val="nil"/>
                    <w:tr2bl w:val="nil"/>
                  </w:tcBorders>
                  <w:shd w:val="clear" w:color="auto" w:fill="auto"/>
                  <w:vAlign w:val="center"/>
                </w:tcPr>
                <w:p w14:paraId="7D7F2497">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2.38</w:t>
                  </w:r>
                </w:p>
              </w:tc>
              <w:tc>
                <w:tcPr>
                  <w:tcW w:w="302" w:type="pct"/>
                  <w:vMerge w:val="continue"/>
                  <w:tcBorders>
                    <w:tl2br w:val="nil"/>
                    <w:tr2bl w:val="nil"/>
                  </w:tcBorders>
                  <w:shd w:val="clear" w:color="auto" w:fill="auto"/>
                  <w:vAlign w:val="center"/>
                </w:tcPr>
                <w:p w14:paraId="443B66B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1308" w:type="pct"/>
                  <w:tcBorders>
                    <w:tl2br w:val="nil"/>
                    <w:tr2bl w:val="nil"/>
                  </w:tcBorders>
                  <w:shd w:val="clear" w:color="auto" w:fill="auto"/>
                  <w:vAlign w:val="center"/>
                </w:tcPr>
                <w:p w14:paraId="0358F6BE">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交由具有相应资质的单位利用和处置</w:t>
                  </w:r>
                </w:p>
              </w:tc>
              <w:tc>
                <w:tcPr>
                  <w:tcW w:w="322" w:type="pct"/>
                  <w:tcBorders>
                    <w:tl2br w:val="nil"/>
                    <w:tr2bl w:val="nil"/>
                  </w:tcBorders>
                  <w:shd w:val="clear" w:color="auto" w:fill="auto"/>
                  <w:vAlign w:val="center"/>
                </w:tcPr>
                <w:p w14:paraId="08CE870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continue"/>
                  <w:tcBorders>
                    <w:tl2br w:val="nil"/>
                    <w:tr2bl w:val="nil"/>
                  </w:tcBorders>
                  <w:shd w:val="clear" w:color="auto" w:fill="auto"/>
                  <w:vAlign w:val="center"/>
                </w:tcPr>
                <w:p w14:paraId="7C7EA74A">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p>
              </w:tc>
            </w:tr>
            <w:tr w14:paraId="6CC3A68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531" w:type="pct"/>
                  <w:tcBorders>
                    <w:tl2br w:val="nil"/>
                    <w:tr2bl w:val="nil"/>
                  </w:tcBorders>
                  <w:shd w:val="clear" w:color="auto" w:fill="auto"/>
                  <w:vAlign w:val="center"/>
                </w:tcPr>
                <w:p w14:paraId="49AD07E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轻质物料</w:t>
                  </w:r>
                  <w:r>
                    <w:rPr>
                      <w:rFonts w:hint="eastAsia" w:ascii="宋体" w:hAnsi="宋体" w:eastAsia="宋体" w:cs="宋体"/>
                      <w:b w:val="0"/>
                      <w:bCs w:val="0"/>
                      <w:color w:val="000000" w:themeColor="text1"/>
                      <w:spacing w:val="-2"/>
                      <w:sz w:val="18"/>
                      <w:szCs w:val="18"/>
                      <w:lang w:eastAsia="zh-CN"/>
                      <w14:textFill>
                        <w14:solidFill>
                          <w14:schemeClr w14:val="tx1"/>
                        </w14:solidFill>
                      </w14:textFill>
                    </w:rPr>
                    <w:t>、</w:t>
                  </w:r>
                  <w:r>
                    <w:rPr>
                      <w:rFonts w:hint="eastAsia" w:ascii="宋体" w:hAnsi="宋体" w:eastAsia="宋体" w:cs="宋体"/>
                      <w:b w:val="0"/>
                      <w:bCs w:val="0"/>
                      <w:color w:val="000000" w:themeColor="text1"/>
                      <w:spacing w:val="-2"/>
                      <w:sz w:val="18"/>
                      <w:szCs w:val="18"/>
                      <w14:textFill>
                        <w14:solidFill>
                          <w14:schemeClr w14:val="tx1"/>
                        </w14:solidFill>
                      </w14:textFill>
                    </w:rPr>
                    <w:t>安全带及相关纺织品</w:t>
                  </w:r>
                  <w:r>
                    <w:rPr>
                      <w:rFonts w:hint="eastAsia" w:ascii="宋体" w:hAnsi="宋体" w:eastAsia="宋体" w:cs="宋体"/>
                      <w:b w:val="0"/>
                      <w:bCs w:val="0"/>
                      <w:color w:val="000000" w:themeColor="text1"/>
                      <w:spacing w:val="-2"/>
                      <w:sz w:val="18"/>
                      <w:szCs w:val="18"/>
                      <w:lang w:eastAsia="zh-CN"/>
                      <w14:textFill>
                        <w14:solidFill>
                          <w14:schemeClr w14:val="tx1"/>
                        </w14:solidFill>
                      </w14:textFill>
                    </w:rPr>
                    <w:t>、</w:t>
                  </w:r>
                  <w:r>
                    <w:rPr>
                      <w:rFonts w:hint="eastAsia" w:ascii="宋体" w:hAnsi="宋体" w:eastAsia="宋体" w:cs="宋体"/>
                      <w:b w:val="0"/>
                      <w:bCs w:val="0"/>
                      <w:color w:val="000000" w:themeColor="text1"/>
                      <w:spacing w:val="-1"/>
                      <w:sz w:val="18"/>
                      <w:szCs w:val="18"/>
                      <w14:textFill>
                        <w14:solidFill>
                          <w14:schemeClr w14:val="tx1"/>
                        </w14:solidFill>
                      </w14:textFill>
                    </w:rPr>
                    <w:t>报废机动车残余</w:t>
                  </w:r>
                  <w:r>
                    <w:rPr>
                      <w:rFonts w:hint="eastAsia" w:ascii="宋体" w:hAnsi="宋体" w:eastAsia="宋体" w:cs="宋体"/>
                      <w:b w:val="0"/>
                      <w:bCs w:val="0"/>
                      <w:color w:val="000000" w:themeColor="text1"/>
                      <w:sz w:val="18"/>
                      <w:szCs w:val="18"/>
                      <w14:textFill>
                        <w14:solidFill>
                          <w14:schemeClr w14:val="tx1"/>
                        </w14:solidFill>
                      </w14:textFill>
                    </w:rPr>
                    <w:t>物</w:t>
                  </w:r>
                </w:p>
              </w:tc>
              <w:tc>
                <w:tcPr>
                  <w:tcW w:w="988" w:type="pct"/>
                  <w:tcBorders>
                    <w:tl2br w:val="nil"/>
                    <w:tr2bl w:val="nil"/>
                  </w:tcBorders>
                  <w:shd w:val="clear" w:color="auto" w:fill="auto"/>
                  <w:vAlign w:val="center"/>
                </w:tcPr>
                <w:p w14:paraId="602443A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拆解过程产生的泡沫、皮革、细小塑料、棉絮等混合</w:t>
                  </w:r>
                  <w:r>
                    <w:rPr>
                      <w:rFonts w:hint="eastAsia" w:ascii="宋体" w:hAnsi="宋体" w:eastAsia="宋体" w:cs="宋体"/>
                      <w:b w:val="0"/>
                      <w:bCs w:val="0"/>
                      <w:color w:val="000000" w:themeColor="text1"/>
                      <w:sz w:val="18"/>
                      <w:szCs w:val="18"/>
                      <w14:textFill>
                        <w14:solidFill>
                          <w14:schemeClr w14:val="tx1"/>
                        </w14:solidFill>
                      </w14:textFill>
                    </w:rPr>
                    <w:t>物</w:t>
                  </w:r>
                </w:p>
                <w:p w14:paraId="21261F6C">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拆解过程产生的汽车编织物、安全带、纺织品等</w:t>
                  </w:r>
                </w:p>
                <w:p w14:paraId="4ADCB1B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报废机动车拆解废料经过破碎分选后的残渣</w:t>
                  </w:r>
                </w:p>
              </w:tc>
              <w:tc>
                <w:tcPr>
                  <w:tcW w:w="349" w:type="pct"/>
                  <w:tcBorders>
                    <w:tl2br w:val="nil"/>
                    <w:tr2bl w:val="nil"/>
                  </w:tcBorders>
                  <w:shd w:val="clear" w:color="auto" w:fill="auto"/>
                  <w:vAlign w:val="center"/>
                </w:tcPr>
                <w:p w14:paraId="677B5BDF">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69EE05C1">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57E1719C">
                  <w:pPr>
                    <w:keepNext w:val="0"/>
                    <w:keepLines w:val="0"/>
                    <w:widowControl/>
                    <w:suppressLineNumbers w:val="0"/>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900-099-S17</w:t>
                  </w:r>
                </w:p>
                <w:p w14:paraId="6B774427">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357" w:type="pct"/>
                  <w:tcBorders>
                    <w:tl2br w:val="nil"/>
                    <w:tr2bl w:val="nil"/>
                  </w:tcBorders>
                  <w:shd w:val="clear" w:color="auto" w:fill="auto"/>
                  <w:vAlign w:val="center"/>
                </w:tcPr>
                <w:p w14:paraId="4E2F0A3C">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402</w:t>
                  </w:r>
                </w:p>
              </w:tc>
              <w:tc>
                <w:tcPr>
                  <w:tcW w:w="302" w:type="pct"/>
                  <w:vMerge w:val="continue"/>
                  <w:tcBorders>
                    <w:tl2br w:val="nil"/>
                    <w:tr2bl w:val="nil"/>
                  </w:tcBorders>
                  <w:shd w:val="clear" w:color="auto" w:fill="auto"/>
                  <w:vAlign w:val="center"/>
                </w:tcPr>
                <w:p w14:paraId="3016E26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1308" w:type="pct"/>
                  <w:tcBorders>
                    <w:tl2br w:val="nil"/>
                    <w:tr2bl w:val="nil"/>
                  </w:tcBorders>
                  <w:shd w:val="clear" w:color="auto" w:fill="auto"/>
                  <w:vAlign w:val="center"/>
                </w:tcPr>
                <w:p w14:paraId="658A92D4">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交由具有相应处理能力或经营范围的单位利</w:t>
                  </w:r>
                  <w:r>
                    <w:rPr>
                      <w:rFonts w:hint="eastAsia" w:ascii="宋体" w:hAnsi="宋体" w:eastAsia="宋体" w:cs="宋体"/>
                      <w:b w:val="0"/>
                      <w:bCs w:val="0"/>
                      <w:color w:val="000000" w:themeColor="text1"/>
                      <w:spacing w:val="-2"/>
                      <w:sz w:val="18"/>
                      <w:szCs w:val="18"/>
                      <w14:textFill>
                        <w14:solidFill>
                          <w14:schemeClr w14:val="tx1"/>
                        </w14:solidFill>
                      </w14:textFill>
                    </w:rPr>
                    <w:t>用和处置</w:t>
                  </w:r>
                </w:p>
              </w:tc>
              <w:tc>
                <w:tcPr>
                  <w:tcW w:w="322" w:type="pct"/>
                  <w:tcBorders>
                    <w:tl2br w:val="nil"/>
                    <w:tr2bl w:val="nil"/>
                  </w:tcBorders>
                  <w:shd w:val="clear" w:color="auto" w:fill="auto"/>
                  <w:vAlign w:val="center"/>
                </w:tcPr>
                <w:p w14:paraId="1EF75956">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continue"/>
                  <w:tcBorders>
                    <w:tl2br w:val="nil"/>
                    <w:tr2bl w:val="nil"/>
                  </w:tcBorders>
                  <w:shd w:val="clear" w:color="auto" w:fill="auto"/>
                  <w:vAlign w:val="center"/>
                </w:tcPr>
                <w:p w14:paraId="11BA24D7">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p>
              </w:tc>
            </w:tr>
            <w:tr w14:paraId="302C4D0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83" w:hRule="atLeast"/>
              </w:trPr>
              <w:tc>
                <w:tcPr>
                  <w:tcW w:w="531" w:type="pct"/>
                  <w:tcBorders>
                    <w:tl2br w:val="nil"/>
                    <w:tr2bl w:val="nil"/>
                  </w:tcBorders>
                  <w:shd w:val="clear" w:color="auto" w:fill="auto"/>
                  <w:vAlign w:val="center"/>
                </w:tcPr>
                <w:p w14:paraId="14A42C1A">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废旧轮胎</w:t>
                  </w:r>
                </w:p>
              </w:tc>
              <w:tc>
                <w:tcPr>
                  <w:tcW w:w="988" w:type="pct"/>
                  <w:tcBorders>
                    <w:tl2br w:val="nil"/>
                    <w:tr2bl w:val="nil"/>
                  </w:tcBorders>
                  <w:shd w:val="clear" w:color="auto" w:fill="auto"/>
                  <w:vAlign w:val="center"/>
                </w:tcPr>
                <w:p w14:paraId="771CDA22">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拆解过程产生的废旧轮胎</w:t>
                  </w:r>
                </w:p>
              </w:tc>
              <w:tc>
                <w:tcPr>
                  <w:tcW w:w="349" w:type="pct"/>
                  <w:tcBorders>
                    <w:tl2br w:val="nil"/>
                    <w:tr2bl w:val="nil"/>
                  </w:tcBorders>
                  <w:shd w:val="clear" w:color="auto" w:fill="auto"/>
                  <w:vAlign w:val="center"/>
                </w:tcPr>
                <w:p w14:paraId="1687367E">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3E827CFF">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7661B7B3">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w:t>
                  </w:r>
                  <w:r>
                    <w:rPr>
                      <w:rFonts w:hint="eastAsia" w:ascii="宋体" w:hAnsi="宋体" w:eastAsia="宋体" w:cs="宋体"/>
                      <w:b w:val="0"/>
                      <w:bCs w:val="0"/>
                      <w:color w:val="000000" w:themeColor="text1"/>
                      <w:kern w:val="0"/>
                      <w:sz w:val="18"/>
                      <w:szCs w:val="18"/>
                      <w:lang w:bidi="ar"/>
                      <w14:textFill>
                        <w14:solidFill>
                          <w14:schemeClr w14:val="tx1"/>
                        </w14:solidFill>
                      </w14:textFill>
                    </w:rPr>
                    <w:t>-0</w:t>
                  </w: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06</w:t>
                  </w:r>
                  <w:r>
                    <w:rPr>
                      <w:rFonts w:hint="eastAsia" w:ascii="宋体" w:hAnsi="宋体" w:eastAsia="宋体" w:cs="宋体"/>
                      <w:b w:val="0"/>
                      <w:bCs w:val="0"/>
                      <w:color w:val="000000" w:themeColor="text1"/>
                      <w:kern w:val="0"/>
                      <w:sz w:val="18"/>
                      <w:szCs w:val="18"/>
                      <w:lang w:bidi="ar"/>
                      <w14:textFill>
                        <w14:solidFill>
                          <w14:schemeClr w14:val="tx1"/>
                        </w14:solidFill>
                      </w14:textFill>
                    </w:rPr>
                    <w:t>-</w:t>
                  </w: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S17</w:t>
                  </w:r>
                </w:p>
              </w:tc>
              <w:tc>
                <w:tcPr>
                  <w:tcW w:w="357" w:type="pct"/>
                  <w:tcBorders>
                    <w:tl2br w:val="nil"/>
                    <w:tr2bl w:val="nil"/>
                  </w:tcBorders>
                  <w:shd w:val="clear" w:color="auto" w:fill="auto"/>
                  <w:vAlign w:val="center"/>
                </w:tcPr>
                <w:p w14:paraId="2A874FF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510</w:t>
                  </w:r>
                </w:p>
              </w:tc>
              <w:tc>
                <w:tcPr>
                  <w:tcW w:w="302" w:type="pct"/>
                  <w:vMerge w:val="continue"/>
                  <w:tcBorders>
                    <w:tl2br w:val="nil"/>
                    <w:tr2bl w:val="nil"/>
                  </w:tcBorders>
                  <w:shd w:val="clear" w:color="auto" w:fill="auto"/>
                  <w:vAlign w:val="center"/>
                </w:tcPr>
                <w:p w14:paraId="66D6D2DF">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1308" w:type="pct"/>
                  <w:tcBorders>
                    <w:tl2br w:val="nil"/>
                    <w:tr2bl w:val="nil"/>
                  </w:tcBorders>
                  <w:shd w:val="clear" w:color="auto" w:fill="auto"/>
                  <w:vAlign w:val="center"/>
                </w:tcPr>
                <w:p w14:paraId="57483FA7">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交由具有相应处理能力或经营范围的单位利</w:t>
                  </w:r>
                  <w:r>
                    <w:rPr>
                      <w:rFonts w:hint="eastAsia" w:ascii="宋体" w:hAnsi="宋体" w:eastAsia="宋体" w:cs="宋体"/>
                      <w:b w:val="0"/>
                      <w:bCs w:val="0"/>
                      <w:color w:val="000000" w:themeColor="text1"/>
                      <w:spacing w:val="-2"/>
                      <w:sz w:val="18"/>
                      <w:szCs w:val="18"/>
                      <w14:textFill>
                        <w14:solidFill>
                          <w14:schemeClr w14:val="tx1"/>
                        </w14:solidFill>
                      </w14:textFill>
                    </w:rPr>
                    <w:t>用和处置</w:t>
                  </w:r>
                </w:p>
              </w:tc>
              <w:tc>
                <w:tcPr>
                  <w:tcW w:w="322" w:type="pct"/>
                  <w:tcBorders>
                    <w:tl2br w:val="nil"/>
                    <w:tr2bl w:val="nil"/>
                  </w:tcBorders>
                  <w:shd w:val="clear" w:color="auto" w:fill="auto"/>
                  <w:vAlign w:val="center"/>
                </w:tcPr>
                <w:p w14:paraId="6C99F5E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continue"/>
                  <w:tcBorders>
                    <w:tl2br w:val="nil"/>
                    <w:tr2bl w:val="nil"/>
                  </w:tcBorders>
                  <w:shd w:val="clear" w:color="auto" w:fill="auto"/>
                  <w:vAlign w:val="center"/>
                </w:tcPr>
                <w:p w14:paraId="44D6B2EE">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p>
              </w:tc>
            </w:tr>
            <w:tr w14:paraId="7EA5B97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531" w:type="pct"/>
                  <w:tcBorders>
                    <w:tl2br w:val="nil"/>
                    <w:tr2bl w:val="nil"/>
                  </w:tcBorders>
                  <w:shd w:val="clear" w:color="auto" w:fill="auto"/>
                  <w:vAlign w:val="center"/>
                </w:tcPr>
                <w:p w14:paraId="725AD6CD">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color w:val="000000" w:themeColor="text1"/>
                      <w:spacing w:val="-6"/>
                      <w:sz w:val="18"/>
                      <w:szCs w:val="18"/>
                      <w14:textFill>
                        <w14:solidFill>
                          <w14:schemeClr w14:val="tx1"/>
                        </w14:solidFill>
                      </w14:textFill>
                    </w:rPr>
                    <w:t>内饰材料</w:t>
                  </w:r>
                  <w:r>
                    <w:rPr>
                      <w:rFonts w:hint="eastAsia" w:ascii="宋体" w:hAnsi="宋体" w:eastAsia="宋体" w:cs="宋体"/>
                      <w:b w:val="0"/>
                      <w:bCs w:val="0"/>
                      <w:color w:val="000000" w:themeColor="text1"/>
                      <w:spacing w:val="-1"/>
                      <w:sz w:val="18"/>
                      <w:szCs w:val="18"/>
                      <w14:textFill>
                        <w14:solidFill>
                          <w14:schemeClr w14:val="tx1"/>
                        </w14:solidFill>
                      </w14:textFill>
                    </w:rPr>
                    <w:t>海绵及座椅材料</w:t>
                  </w:r>
                </w:p>
              </w:tc>
              <w:tc>
                <w:tcPr>
                  <w:tcW w:w="988" w:type="pct"/>
                  <w:tcBorders>
                    <w:tl2br w:val="nil"/>
                    <w:tr2bl w:val="nil"/>
                  </w:tcBorders>
                  <w:shd w:val="clear" w:color="auto" w:fill="auto"/>
                  <w:vAlign w:val="center"/>
                </w:tcPr>
                <w:p w14:paraId="32C42DA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拆解过程产生的机动车内饰材料</w:t>
                  </w:r>
                  <w:r>
                    <w:rPr>
                      <w:rFonts w:hint="eastAsia" w:ascii="宋体" w:hAnsi="宋体" w:eastAsia="宋体" w:cs="宋体"/>
                      <w:b w:val="0"/>
                      <w:bCs w:val="0"/>
                      <w:color w:val="000000" w:themeColor="text1"/>
                      <w:spacing w:val="-1"/>
                      <w:sz w:val="18"/>
                      <w:szCs w:val="18"/>
                      <w:lang w:eastAsia="zh-CN"/>
                      <w14:textFill>
                        <w14:solidFill>
                          <w14:schemeClr w14:val="tx1"/>
                        </w14:solidFill>
                      </w14:textFill>
                    </w:rPr>
                    <w:t>、</w:t>
                  </w:r>
                  <w:r>
                    <w:rPr>
                      <w:rFonts w:hint="eastAsia" w:ascii="宋体" w:hAnsi="宋体" w:eastAsia="宋体" w:cs="宋体"/>
                      <w:b w:val="0"/>
                      <w:bCs w:val="0"/>
                      <w:color w:val="000000" w:themeColor="text1"/>
                      <w:spacing w:val="-1"/>
                      <w:sz w:val="18"/>
                      <w:szCs w:val="18"/>
                      <w14:textFill>
                        <w14:solidFill>
                          <w14:schemeClr w14:val="tx1"/>
                        </w14:solidFill>
                      </w14:textFill>
                    </w:rPr>
                    <w:t>拆解过程产生的座椅海绵和布艺、皮具等</w:t>
                  </w:r>
                </w:p>
              </w:tc>
              <w:tc>
                <w:tcPr>
                  <w:tcW w:w="349" w:type="pct"/>
                  <w:tcBorders>
                    <w:tl2br w:val="nil"/>
                    <w:tr2bl w:val="nil"/>
                  </w:tcBorders>
                  <w:shd w:val="clear" w:color="auto" w:fill="auto"/>
                  <w:vAlign w:val="center"/>
                </w:tcPr>
                <w:p w14:paraId="2A0C87C4">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2"/>
                      <w:sz w:val="18"/>
                      <w:szCs w:val="18"/>
                      <w14:textFill>
                        <w14:solidFill>
                          <w14:schemeClr w14:val="tx1"/>
                        </w14:solidFill>
                      </w14:textFill>
                    </w:rPr>
                    <w:t>具有环境风险</w:t>
                  </w:r>
                </w:p>
              </w:tc>
              <w:tc>
                <w:tcPr>
                  <w:tcW w:w="585" w:type="pct"/>
                  <w:tcBorders>
                    <w:tl2br w:val="nil"/>
                    <w:tr2bl w:val="nil"/>
                  </w:tcBorders>
                  <w:shd w:val="clear" w:color="auto" w:fill="auto"/>
                  <w:vAlign w:val="center"/>
                </w:tcPr>
                <w:p w14:paraId="291F7E84">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4D6C6999">
                  <w:pPr>
                    <w:keepNext w:val="0"/>
                    <w:keepLines w:val="0"/>
                    <w:widowControl/>
                    <w:suppressLineNumbers w:val="0"/>
                    <w:jc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900-099-S17</w:t>
                  </w:r>
                </w:p>
              </w:tc>
              <w:tc>
                <w:tcPr>
                  <w:tcW w:w="357" w:type="pct"/>
                  <w:tcBorders>
                    <w:tl2br w:val="nil"/>
                    <w:tr2bl w:val="nil"/>
                  </w:tcBorders>
                  <w:shd w:val="clear" w:color="auto" w:fill="auto"/>
                  <w:vAlign w:val="center"/>
                </w:tcPr>
                <w:p w14:paraId="7569A31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348</w:t>
                  </w:r>
                </w:p>
              </w:tc>
              <w:tc>
                <w:tcPr>
                  <w:tcW w:w="302" w:type="pct"/>
                  <w:vMerge w:val="continue"/>
                  <w:tcBorders>
                    <w:tl2br w:val="nil"/>
                    <w:tr2bl w:val="nil"/>
                  </w:tcBorders>
                  <w:shd w:val="clear" w:color="auto" w:fill="auto"/>
                  <w:vAlign w:val="center"/>
                </w:tcPr>
                <w:p w14:paraId="324F2E06">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c>
                <w:tcPr>
                  <w:tcW w:w="1308" w:type="pct"/>
                  <w:tcBorders>
                    <w:tl2br w:val="nil"/>
                    <w:tr2bl w:val="nil"/>
                  </w:tcBorders>
                  <w:shd w:val="clear" w:color="auto" w:fill="auto"/>
                  <w:vAlign w:val="center"/>
                </w:tcPr>
                <w:p w14:paraId="63E26340">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spacing w:val="-1"/>
                      <w:sz w:val="18"/>
                      <w:szCs w:val="18"/>
                      <w14:textFill>
                        <w14:solidFill>
                          <w14:schemeClr w14:val="tx1"/>
                        </w14:solidFill>
                      </w14:textFill>
                    </w:rPr>
                    <w:t>交由具有相应处理能力或经营范围的单位利</w:t>
                  </w:r>
                  <w:r>
                    <w:rPr>
                      <w:rFonts w:hint="eastAsia" w:ascii="宋体" w:hAnsi="宋体" w:eastAsia="宋体" w:cs="宋体"/>
                      <w:b w:val="0"/>
                      <w:bCs w:val="0"/>
                      <w:color w:val="000000" w:themeColor="text1"/>
                      <w:spacing w:val="-2"/>
                      <w:sz w:val="18"/>
                      <w:szCs w:val="18"/>
                      <w14:textFill>
                        <w14:solidFill>
                          <w14:schemeClr w14:val="tx1"/>
                        </w14:solidFill>
                      </w14:textFill>
                    </w:rPr>
                    <w:t>用和处置</w:t>
                  </w:r>
                </w:p>
              </w:tc>
              <w:tc>
                <w:tcPr>
                  <w:tcW w:w="322" w:type="pct"/>
                  <w:tcBorders>
                    <w:tl2br w:val="nil"/>
                    <w:tr2bl w:val="nil"/>
                  </w:tcBorders>
                  <w:shd w:val="clear" w:color="auto" w:fill="auto"/>
                  <w:vAlign w:val="center"/>
                </w:tcPr>
                <w:p w14:paraId="7448C3A6">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1"/>
                      <w:sz w:val="18"/>
                      <w:szCs w:val="18"/>
                      <w:lang w:val="en-US" w:eastAsia="zh-CN"/>
                      <w14:textFill>
                        <w14:solidFill>
                          <w14:schemeClr w14:val="tx1"/>
                        </w14:solidFill>
                      </w14:textFill>
                    </w:rPr>
                    <w:t>0</w:t>
                  </w:r>
                </w:p>
              </w:tc>
              <w:tc>
                <w:tcPr>
                  <w:tcW w:w="254" w:type="pct"/>
                  <w:vMerge w:val="continue"/>
                  <w:tcBorders>
                    <w:tl2br w:val="nil"/>
                    <w:tr2bl w:val="nil"/>
                  </w:tcBorders>
                  <w:shd w:val="clear" w:color="auto" w:fill="auto"/>
                  <w:vAlign w:val="center"/>
                </w:tcPr>
                <w:p w14:paraId="2AACBE4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1"/>
                      <w:sz w:val="18"/>
                      <w:szCs w:val="18"/>
                      <w14:textFill>
                        <w14:solidFill>
                          <w14:schemeClr w14:val="tx1"/>
                        </w14:solidFill>
                      </w14:textFill>
                    </w:rPr>
                  </w:pPr>
                </w:p>
              </w:tc>
            </w:tr>
            <w:tr w14:paraId="2063A61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531" w:type="pct"/>
                  <w:tcBorders>
                    <w:tl2br w:val="nil"/>
                    <w:tr2bl w:val="nil"/>
                  </w:tcBorders>
                  <w:shd w:val="clear" w:color="auto" w:fill="auto"/>
                  <w:vAlign w:val="center"/>
                </w:tcPr>
                <w:p w14:paraId="2B4A3227">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6"/>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6"/>
                      <w:sz w:val="18"/>
                      <w:szCs w:val="18"/>
                      <w:lang w:val="en-US" w:eastAsia="zh-CN"/>
                      <w14:textFill>
                        <w14:solidFill>
                          <w14:schemeClr w14:val="tx1"/>
                        </w14:solidFill>
                      </w14:textFill>
                    </w:rPr>
                    <w:t>其它不可用废物</w:t>
                  </w:r>
                </w:p>
              </w:tc>
              <w:tc>
                <w:tcPr>
                  <w:tcW w:w="988" w:type="pct"/>
                  <w:tcBorders>
                    <w:tl2br w:val="nil"/>
                    <w:tr2bl w:val="nil"/>
                  </w:tcBorders>
                  <w:shd w:val="clear" w:color="auto" w:fill="auto"/>
                  <w:vAlign w:val="center"/>
                </w:tcPr>
                <w:p w14:paraId="6CFC36D2">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其它汽车拆解过程中产生</w:t>
                  </w:r>
                </w:p>
              </w:tc>
              <w:tc>
                <w:tcPr>
                  <w:tcW w:w="349" w:type="pct"/>
                  <w:tcBorders>
                    <w:tl2br w:val="nil"/>
                    <w:tr2bl w:val="nil"/>
                  </w:tcBorders>
                  <w:shd w:val="clear" w:color="auto" w:fill="auto"/>
                  <w:vAlign w:val="center"/>
                </w:tcPr>
                <w:p w14:paraId="655F2E86">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w:t>
                  </w:r>
                </w:p>
              </w:tc>
              <w:tc>
                <w:tcPr>
                  <w:tcW w:w="585" w:type="pct"/>
                  <w:tcBorders>
                    <w:tl2br w:val="nil"/>
                    <w:tr2bl w:val="nil"/>
                  </w:tcBorders>
                  <w:shd w:val="clear" w:color="auto" w:fill="auto"/>
                  <w:vAlign w:val="center"/>
                </w:tcPr>
                <w:p w14:paraId="34612576">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SW17</w:t>
                  </w:r>
                </w:p>
                <w:p w14:paraId="2DD399EB">
                  <w:pPr>
                    <w:keepNext w:val="0"/>
                    <w:keepLines w:val="0"/>
                    <w:widowControl/>
                    <w:suppressLineNumbers w:val="0"/>
                    <w:jc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900-099-S17</w:t>
                  </w:r>
                </w:p>
              </w:tc>
              <w:tc>
                <w:tcPr>
                  <w:tcW w:w="357" w:type="pct"/>
                  <w:tcBorders>
                    <w:tl2br w:val="nil"/>
                    <w:tr2bl w:val="nil"/>
                  </w:tcBorders>
                  <w:shd w:val="clear" w:color="auto" w:fill="auto"/>
                  <w:vAlign w:val="center"/>
                </w:tcPr>
                <w:p w14:paraId="6D551947">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1688</w:t>
                  </w:r>
                </w:p>
              </w:tc>
              <w:tc>
                <w:tcPr>
                  <w:tcW w:w="1610" w:type="pct"/>
                  <w:gridSpan w:val="2"/>
                  <w:tcBorders>
                    <w:tl2br w:val="nil"/>
                    <w:tr2bl w:val="nil"/>
                  </w:tcBorders>
                  <w:shd w:val="clear" w:color="auto" w:fill="auto"/>
                  <w:vAlign w:val="center"/>
                </w:tcPr>
                <w:p w14:paraId="3DAFA66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出售给回收部门</w:t>
                  </w:r>
                </w:p>
              </w:tc>
              <w:tc>
                <w:tcPr>
                  <w:tcW w:w="322" w:type="pct"/>
                  <w:tcBorders>
                    <w:tl2br w:val="nil"/>
                    <w:tr2bl w:val="nil"/>
                  </w:tcBorders>
                  <w:shd w:val="clear" w:color="auto" w:fill="auto"/>
                  <w:vAlign w:val="center"/>
                </w:tcPr>
                <w:p w14:paraId="452C6884">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0</w:t>
                  </w:r>
                </w:p>
              </w:tc>
              <w:tc>
                <w:tcPr>
                  <w:tcW w:w="254" w:type="pct"/>
                  <w:vMerge w:val="continue"/>
                  <w:tcBorders>
                    <w:tl2br w:val="nil"/>
                    <w:tr2bl w:val="nil"/>
                  </w:tcBorders>
                  <w:shd w:val="clear" w:color="auto" w:fill="auto"/>
                  <w:vAlign w:val="center"/>
                </w:tcPr>
                <w:p w14:paraId="0D750815">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r>
            <w:tr w14:paraId="08C28D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531" w:type="pct"/>
                  <w:tcBorders>
                    <w:tl2br w:val="nil"/>
                    <w:tr2bl w:val="nil"/>
                  </w:tcBorders>
                  <w:shd w:val="clear" w:color="auto" w:fill="auto"/>
                  <w:vAlign w:val="center"/>
                </w:tcPr>
                <w:p w14:paraId="37F54B26">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color w:val="000000" w:themeColor="text1"/>
                      <w:spacing w:val="-6"/>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6"/>
                      <w:sz w:val="18"/>
                      <w:szCs w:val="18"/>
                      <w:lang w:val="en-US" w:eastAsia="zh-CN"/>
                      <w14:textFill>
                        <w14:solidFill>
                          <w14:schemeClr w14:val="tx1"/>
                        </w14:solidFill>
                      </w14:textFill>
                    </w:rPr>
                    <w:t>除尘器除下的粉尘</w:t>
                  </w:r>
                </w:p>
              </w:tc>
              <w:tc>
                <w:tcPr>
                  <w:tcW w:w="988" w:type="pct"/>
                  <w:tcBorders>
                    <w:tl2br w:val="nil"/>
                    <w:tr2bl w:val="nil"/>
                  </w:tcBorders>
                  <w:shd w:val="clear" w:color="auto" w:fill="auto"/>
                  <w:vAlign w:val="center"/>
                </w:tcPr>
                <w:p w14:paraId="03FAD5B8">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切割设备除尘器产生</w:t>
                  </w:r>
                </w:p>
              </w:tc>
              <w:tc>
                <w:tcPr>
                  <w:tcW w:w="349" w:type="pct"/>
                  <w:tcBorders>
                    <w:tl2br w:val="nil"/>
                    <w:tr2bl w:val="nil"/>
                  </w:tcBorders>
                  <w:shd w:val="clear" w:color="auto" w:fill="auto"/>
                  <w:vAlign w:val="center"/>
                </w:tcPr>
                <w:p w14:paraId="2E5E4E33">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w:t>
                  </w:r>
                </w:p>
              </w:tc>
              <w:tc>
                <w:tcPr>
                  <w:tcW w:w="585" w:type="pct"/>
                  <w:tcBorders>
                    <w:tl2br w:val="nil"/>
                    <w:tr2bl w:val="nil"/>
                  </w:tcBorders>
                  <w:shd w:val="clear" w:color="auto" w:fill="auto"/>
                  <w:vAlign w:val="center"/>
                </w:tcPr>
                <w:p w14:paraId="2409F40E">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SW59</w:t>
                  </w:r>
                </w:p>
                <w:p w14:paraId="3F34A199">
                  <w:pPr>
                    <w:keepNext w:val="0"/>
                    <w:keepLines w:val="0"/>
                    <w:widowControl/>
                    <w:suppressLineNumbers w:val="0"/>
                    <w:jc w:val="cente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bidi="ar"/>
                      <w14:textFill>
                        <w14:solidFill>
                          <w14:schemeClr w14:val="tx1"/>
                        </w14:solidFill>
                      </w14:textFill>
                    </w:rPr>
                    <w:t>900-099-S59</w:t>
                  </w:r>
                </w:p>
              </w:tc>
              <w:tc>
                <w:tcPr>
                  <w:tcW w:w="357" w:type="pct"/>
                  <w:tcBorders>
                    <w:tl2br w:val="nil"/>
                    <w:tr2bl w:val="nil"/>
                  </w:tcBorders>
                  <w:shd w:val="clear" w:color="auto" w:fill="auto"/>
                  <w:vAlign w:val="center"/>
                </w:tcPr>
                <w:p w14:paraId="42091A9F">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default"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12.31</w:t>
                  </w:r>
                </w:p>
              </w:tc>
              <w:tc>
                <w:tcPr>
                  <w:tcW w:w="1610" w:type="pct"/>
                  <w:gridSpan w:val="2"/>
                  <w:tcBorders>
                    <w:tl2br w:val="nil"/>
                    <w:tr2bl w:val="nil"/>
                  </w:tcBorders>
                  <w:shd w:val="clear" w:color="auto" w:fill="auto"/>
                  <w:vAlign w:val="center"/>
                </w:tcPr>
                <w:p w14:paraId="5EB920A6">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出售给回收部门</w:t>
                  </w:r>
                </w:p>
              </w:tc>
              <w:tc>
                <w:tcPr>
                  <w:tcW w:w="322" w:type="pct"/>
                  <w:tcBorders>
                    <w:tl2br w:val="nil"/>
                    <w:tr2bl w:val="nil"/>
                  </w:tcBorders>
                  <w:shd w:val="clear" w:color="auto" w:fill="auto"/>
                  <w:vAlign w:val="center"/>
                </w:tcPr>
                <w:p w14:paraId="05EF8FF2">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t>0</w:t>
                  </w:r>
                </w:p>
              </w:tc>
              <w:tc>
                <w:tcPr>
                  <w:tcW w:w="254" w:type="pct"/>
                  <w:vMerge w:val="continue"/>
                  <w:tcBorders>
                    <w:tl2br w:val="nil"/>
                    <w:tr2bl w:val="nil"/>
                  </w:tcBorders>
                  <w:shd w:val="clear" w:color="auto" w:fill="auto"/>
                  <w:vAlign w:val="center"/>
                </w:tcPr>
                <w:p w14:paraId="47EF658B">
                  <w:pPr>
                    <w:keepNext w:val="0"/>
                    <w:keepLines w:val="0"/>
                    <w:pageBreakBefore w:val="0"/>
                    <w:widowControl/>
                    <w:suppressLineNumbers w:val="0"/>
                    <w:kinsoku/>
                    <w:wordWrap/>
                    <w:topLinePunct w:val="0"/>
                    <w:autoSpaceDE/>
                    <w:autoSpaceDN/>
                    <w:bidi w:val="0"/>
                    <w:adjustRightInd/>
                    <w:snapToGrid/>
                    <w:spacing w:line="240" w:lineRule="atLeast"/>
                    <w:jc w:val="center"/>
                    <w:textAlignment w:val="center"/>
                    <w:rPr>
                      <w:rFonts w:hint="eastAsia" w:ascii="宋体" w:hAnsi="宋体" w:eastAsia="宋体" w:cs="宋体"/>
                      <w:b w:val="0"/>
                      <w:bCs w:val="0"/>
                      <w:i w:val="0"/>
                      <w:iCs w:val="0"/>
                      <w:color w:val="000000" w:themeColor="text1"/>
                      <w:kern w:val="0"/>
                      <w:sz w:val="18"/>
                      <w:szCs w:val="18"/>
                      <w:u w:val="none"/>
                      <w:lang w:val="en-US" w:eastAsia="zh-CN" w:bidi="ar"/>
                      <w14:textFill>
                        <w14:solidFill>
                          <w14:schemeClr w14:val="tx1"/>
                        </w14:solidFill>
                      </w14:textFill>
                    </w:rPr>
                  </w:pPr>
                </w:p>
              </w:tc>
            </w:tr>
          </w:tbl>
          <w:p w14:paraId="4BBD725E">
            <w:pPr>
              <w:keepNext w:val="0"/>
              <w:keepLines w:val="0"/>
              <w:pageBreakBefore w:val="0"/>
              <w:widowControl w:val="0"/>
              <w:kinsoku/>
              <w:wordWrap/>
              <w:overflowPunct/>
              <w:topLinePunct w:val="0"/>
              <w:autoSpaceDE/>
              <w:autoSpaceDN/>
              <w:bidi w:val="0"/>
              <w:adjustRightInd/>
              <w:snapToGrid/>
              <w:spacing w:line="360" w:lineRule="auto"/>
              <w:ind w:firstLine="3584" w:firstLineChars="1700"/>
              <w:textAlignment w:val="auto"/>
              <w:rPr>
                <w:rFonts w:hint="default" w:ascii="宋体" w:hAnsi="宋体" w:cs="宋体"/>
                <w:b/>
                <w:bCs/>
                <w:color w:val="000000" w:themeColor="text1"/>
                <w:sz w:val="21"/>
                <w:szCs w:val="21"/>
                <w:lang w:val="en-US" w:eastAsia="zh-CN"/>
                <w14:textFill>
                  <w14:solidFill>
                    <w14:schemeClr w14:val="tx1"/>
                  </w14:solidFill>
                </w14:textFill>
              </w:rPr>
            </w:pPr>
          </w:p>
        </w:tc>
      </w:tr>
    </w:tbl>
    <w:p w14:paraId="3B65D500">
      <w:pPr>
        <w:pStyle w:val="38"/>
        <w:rPr>
          <w:rFonts w:hint="eastAsia" w:ascii="宋体" w:hAnsi="宋体" w:eastAsia="宋体" w:cs="宋体"/>
          <w:color w:val="000000" w:themeColor="text1"/>
          <w14:textFill>
            <w14:solidFill>
              <w14:schemeClr w14:val="tx1"/>
            </w14:solidFill>
          </w14:textFill>
        </w:rPr>
        <w:sectPr>
          <w:pgSz w:w="16838" w:h="11905"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5"/>
        <w:gridCol w:w="8561"/>
      </w:tblGrid>
      <w:tr w14:paraId="6D57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26" w:hRule="atLeast"/>
          <w:jc w:val="center"/>
        </w:trPr>
        <w:tc>
          <w:tcPr>
            <w:tcW w:w="475" w:type="dxa"/>
            <w:tcBorders>
              <w:tl2br w:val="nil"/>
              <w:tr2bl w:val="nil"/>
            </w:tcBorders>
            <w:tcMar>
              <w:left w:w="28" w:type="dxa"/>
              <w:right w:w="28" w:type="dxa"/>
            </w:tcMar>
            <w:vAlign w:val="center"/>
          </w:tcPr>
          <w:p w14:paraId="589107CA">
            <w:pPr>
              <w:pStyle w:val="38"/>
              <w:rPr>
                <w:rFonts w:hint="eastAsia" w:ascii="宋体" w:hAnsi="宋体" w:eastAsia="宋体" w:cs="宋体"/>
                <w:color w:val="000000" w:themeColor="text1"/>
                <w14:textFill>
                  <w14:solidFill>
                    <w14:schemeClr w14:val="tx1"/>
                  </w14:solidFill>
                </w14:textFill>
              </w:rPr>
            </w:pPr>
          </w:p>
        </w:tc>
        <w:tc>
          <w:tcPr>
            <w:tcW w:w="8561" w:type="dxa"/>
            <w:tcBorders>
              <w:tl2br w:val="nil"/>
              <w:tr2bl w:val="nil"/>
            </w:tcBorders>
            <w:vAlign w:val="center"/>
          </w:tcPr>
          <w:p w14:paraId="381A907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危险废物</w:t>
            </w:r>
          </w:p>
          <w:p w14:paraId="3704B0A8">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本环评按照《建设项目危险废物环境影响评价指南》对危险废物进行评价。</w:t>
            </w:r>
          </w:p>
          <w:p w14:paraId="7F92C6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（1）危险废物属性判定来源</w:t>
            </w:r>
          </w:p>
          <w:p w14:paraId="6752608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根据《报废机动车拆解企业污染控制技术规范》》（HJ348-20</w:t>
            </w:r>
            <w:r>
              <w:rPr>
                <w:rFonts w:hint="eastAsia" w:ascii="宋体" w:hAnsi="宋体" w:eastAsia="宋体" w:cs="宋体"/>
                <w:color w:val="000000" w:themeColor="text1"/>
                <w:sz w:val="24"/>
                <w:szCs w:val="24"/>
                <w:lang w:val="en-US" w:eastAsia="zh-CN"/>
                <w14:textFill>
                  <w14:solidFill>
                    <w14:schemeClr w14:val="tx1"/>
                  </w14:solidFill>
                </w14:textFill>
              </w:rPr>
              <w:t>22</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中</w:t>
            </w:r>
            <w:r>
              <w:rPr>
                <w:rFonts w:hint="eastAsia" w:ascii="宋体" w:hAnsi="宋体" w:eastAsia="宋体" w:cs="宋体"/>
                <w:color w:val="000000" w:themeColor="text1"/>
                <w:sz w:val="24"/>
                <w:szCs w:val="24"/>
                <w:lang w:val="en-US" w:eastAsia="zh-CN"/>
                <w14:textFill>
                  <w14:solidFill>
                    <w14:schemeClr w14:val="tx1"/>
                  </w14:solidFill>
                </w14:textFill>
              </w:rPr>
              <w:t>4.3””</w:t>
            </w:r>
            <w:r>
              <w:rPr>
                <w:rFonts w:hint="eastAsia" w:ascii="宋体" w:hAnsi="宋体" w:eastAsia="宋体" w:cs="宋体"/>
                <w:color w:val="000000" w:themeColor="text1"/>
                <w:sz w:val="24"/>
                <w:szCs w:val="24"/>
                <w14:textFill>
                  <w14:solidFill>
                    <w14:schemeClr w14:val="tx1"/>
                  </w14:solidFill>
                </w14:textFill>
              </w:rPr>
              <w:t>报废机动车拆解产生的废蓄电池、废尾气净化催化剂、废矿物油与含矿物油废物</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废有机溶剂与含有机溶剂废物、</w:t>
            </w:r>
            <w:r>
              <w:rPr>
                <w:rFonts w:hint="eastAsia" w:ascii="宋体" w:hAnsi="宋体" w:eastAsia="宋体" w:cs="宋体"/>
                <w:color w:val="000000" w:themeColor="text1"/>
                <w:sz w:val="24"/>
                <w:szCs w:val="24"/>
                <w:lang w:val="en-US" w:eastAsia="zh-CN"/>
                <w14:textFill>
                  <w14:solidFill>
                    <w14:schemeClr w14:val="tx1"/>
                  </w14:solidFill>
                </w14:textFill>
              </w:rPr>
              <w:t>线路板、</w:t>
            </w:r>
            <w:r>
              <w:rPr>
                <w:rFonts w:hint="eastAsia" w:ascii="宋体" w:hAnsi="宋体" w:eastAsia="宋体" w:cs="宋体"/>
                <w:color w:val="000000" w:themeColor="text1"/>
                <w:sz w:val="24"/>
                <w:szCs w:val="24"/>
                <w14:textFill>
                  <w14:solidFill>
                    <w14:schemeClr w14:val="tx1"/>
                  </w14:solidFill>
                </w14:textFill>
              </w:rPr>
              <w:t>废活性炭</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含汞废物</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石棉废物等属于危险废物，应按照危险废物的有关规定进行管理和处置。</w:t>
            </w:r>
            <w:r>
              <w:rPr>
                <w:rFonts w:hint="eastAsia" w:ascii="宋体" w:hAnsi="宋体" w:eastAsia="宋体" w:cs="宋体"/>
                <w:color w:val="000000" w:themeColor="text1"/>
                <w:sz w:val="24"/>
                <w:szCs w:val="24"/>
                <w:lang w:val="en-US" w:eastAsia="zh-CN"/>
                <w14:textFill>
                  <w14:solidFill>
                    <w14:schemeClr w14:val="tx1"/>
                  </w14:solidFill>
                </w14:textFill>
              </w:rPr>
              <w:t>”</w:t>
            </w:r>
          </w:p>
          <w:p w14:paraId="083737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（2）产生量来源</w:t>
            </w:r>
          </w:p>
          <w:p w14:paraId="68072413">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56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活性炭</w:t>
            </w:r>
            <w:r>
              <w:rPr>
                <w:rFonts w:hint="eastAsia" w:ascii="宋体" w:hAnsi="宋体" w:eastAsia="宋体" w:cs="宋体"/>
                <w:b w:val="0"/>
                <w:bCs w:val="0"/>
                <w:color w:val="000000" w:themeColor="text1"/>
                <w:sz w:val="24"/>
                <w:szCs w:val="24"/>
                <w:highlight w:val="none"/>
                <w14:textFill>
                  <w14:solidFill>
                    <w14:schemeClr w14:val="tx1"/>
                  </w14:solidFill>
                </w14:textFill>
              </w:rPr>
              <w:t>吸附效率按0.25kg废气/kg活性炭计算，则本项目建成后全厂废活性炭产生量约为</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3.553</w:t>
            </w:r>
            <w:r>
              <w:rPr>
                <w:rFonts w:hint="eastAsia" w:ascii="宋体" w:hAnsi="宋体" w:eastAsia="宋体" w:cs="宋体"/>
                <w:b w:val="0"/>
                <w:bCs w:val="0"/>
                <w:color w:val="000000" w:themeColor="text1"/>
                <w:sz w:val="24"/>
                <w:szCs w:val="24"/>
                <w:highlight w:val="none"/>
                <w14:textFill>
                  <w14:solidFill>
                    <w14:schemeClr w14:val="tx1"/>
                  </w14:solidFill>
                </w14:textFill>
              </w:rPr>
              <w:t>t/a。</w:t>
            </w:r>
          </w:p>
          <w:p w14:paraId="252CDCF4">
            <w:pPr>
              <w:pStyle w:val="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56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其它采用类比与物料平衡法，产生量详见工程分析。</w:t>
            </w:r>
          </w:p>
          <w:p w14:paraId="566F69C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危险废物汇总表详见</w:t>
            </w:r>
            <w:r>
              <w:rPr>
                <w:rFonts w:hint="eastAsia" w:ascii="宋体" w:hAnsi="宋体" w:eastAsia="宋体" w:cs="宋体"/>
                <w:color w:val="000000" w:themeColor="text1"/>
                <w:sz w:val="24"/>
                <w:szCs w:val="24"/>
                <w:highlight w:val="none"/>
                <w:lang w:val="en-US" w:eastAsia="zh-CN"/>
                <w14:textFill>
                  <w14:solidFill>
                    <w14:schemeClr w14:val="tx1"/>
                  </w14:solidFill>
                </w14:textFill>
              </w:rPr>
              <w:t>表4－4</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p w14:paraId="2255725B">
            <w:pPr>
              <w:pStyle w:val="20"/>
              <w:keepNext w:val="0"/>
              <w:keepLines w:val="0"/>
              <w:pageBreakBefore w:val="0"/>
              <w:widowControl/>
              <w:numPr>
                <w:ilvl w:val="0"/>
                <w:numId w:val="1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38" w:leftChars="0" w:right="0" w:rightChars="0" w:firstLine="482" w:firstLineChars="0"/>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环境影响分析</w:t>
            </w:r>
          </w:p>
          <w:p w14:paraId="2457BAA0">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720" w:leftChars="0" w:right="0" w:rightChars="0"/>
              <w:textAlignment w:val="auto"/>
              <w:rPr>
                <w:rFonts w:hint="eastAsia" w:ascii="宋体" w:hAnsi="宋体" w:eastAsia="宋体" w:cs="宋体"/>
                <w:color w:val="000000" w:themeColor="text1"/>
                <w:highlight w:val="none"/>
                <w14:textFill>
                  <w14:solidFill>
                    <w14:schemeClr w14:val="tx1"/>
                  </w14:solidFill>
                </w14:textFill>
              </w:rPr>
            </w:pPr>
            <w:r>
              <w:rPr>
                <w:rFonts w:hint="eastAsia"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危险废物</w:t>
            </w:r>
            <w:r>
              <w:rPr>
                <w:rFonts w:hint="eastAsia" w:cs="宋体"/>
                <w:color w:val="000000" w:themeColor="text1"/>
                <w:highlight w:val="none"/>
                <w:lang w:eastAsia="zh-CN"/>
                <w14:textFill>
                  <w14:solidFill>
                    <w14:schemeClr w14:val="tx1"/>
                  </w14:solidFill>
                </w14:textFill>
              </w:rPr>
              <w:t>暂存库</w:t>
            </w:r>
            <w:r>
              <w:rPr>
                <w:rFonts w:hint="eastAsia" w:ascii="宋体" w:hAnsi="宋体" w:eastAsia="宋体" w:cs="宋体"/>
                <w:color w:val="000000" w:themeColor="text1"/>
                <w:highlight w:val="none"/>
                <w:lang w:eastAsia="zh-CN"/>
                <w14:textFill>
                  <w14:solidFill>
                    <w14:schemeClr w14:val="tx1"/>
                  </w14:solidFill>
                </w14:textFill>
              </w:rPr>
              <w:t>暂存能力分析</w:t>
            </w:r>
          </w:p>
          <w:p w14:paraId="67AF4999">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tLeast"/>
              <w:ind w:left="420" w:leftChars="0" w:right="0" w:rightChars="0"/>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　　　　　　　　　</w:t>
            </w:r>
            <w:r>
              <w:rPr>
                <w:rFonts w:hint="eastAsia" w:ascii="宋体" w:hAnsi="宋体" w:eastAsia="宋体" w:cs="宋体"/>
                <w:b/>
                <w:bCs/>
                <w:color w:val="000000" w:themeColor="text1"/>
                <w:sz w:val="21"/>
                <w:szCs w:val="21"/>
                <w:highlight w:val="none"/>
                <w:lang w:eastAsia="zh-CN"/>
                <w14:textFill>
                  <w14:solidFill>
                    <w14:schemeClr w14:val="tx1"/>
                  </w14:solidFill>
                </w14:textFill>
              </w:rPr>
              <w:t>表</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w:t>
            </w:r>
            <w:r>
              <w:rPr>
                <w:rFonts w:hint="eastAsia" w:cs="宋体"/>
                <w:b/>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危废间暂存能力分析</w:t>
            </w:r>
          </w:p>
          <w:tbl>
            <w:tblPr>
              <w:tblStyle w:val="25"/>
              <w:tblW w:w="4998"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1045"/>
              <w:gridCol w:w="576"/>
              <w:gridCol w:w="1225"/>
              <w:gridCol w:w="646"/>
              <w:gridCol w:w="623"/>
              <w:gridCol w:w="804"/>
              <w:gridCol w:w="945"/>
              <w:gridCol w:w="1950"/>
              <w:gridCol w:w="668"/>
            </w:tblGrid>
            <w:tr w14:paraId="3086076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616" w:type="pct"/>
                  <w:tcBorders>
                    <w:tl2br w:val="nil"/>
                    <w:tr2bl w:val="nil"/>
                  </w:tcBorders>
                  <w:shd w:val="clear" w:color="auto" w:fill="auto"/>
                  <w:vAlign w:val="center"/>
                </w:tcPr>
                <w:p w14:paraId="667800EF">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spacing w:val="-6"/>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6"/>
                      <w:sz w:val="18"/>
                      <w:szCs w:val="18"/>
                      <w:u w:val="none" w:color="auto"/>
                      <w:lang w:val="en-US" w:eastAsia="zh-CN"/>
                      <w14:textFill>
                        <w14:solidFill>
                          <w14:schemeClr w14:val="tx1"/>
                        </w14:solidFill>
                      </w14:textFill>
                    </w:rPr>
                    <w:t>名称</w:t>
                  </w:r>
                </w:p>
              </w:tc>
              <w:tc>
                <w:tcPr>
                  <w:tcW w:w="339" w:type="pct"/>
                  <w:tcBorders>
                    <w:tl2br w:val="nil"/>
                    <w:tr2bl w:val="nil"/>
                  </w:tcBorders>
                  <w:shd w:val="clear" w:color="auto" w:fill="auto"/>
                  <w:vAlign w:val="center"/>
                </w:tcPr>
                <w:p w14:paraId="05D5946F">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环境特性</w:t>
                  </w:r>
                </w:p>
              </w:tc>
              <w:tc>
                <w:tcPr>
                  <w:tcW w:w="722" w:type="pct"/>
                  <w:tcBorders>
                    <w:tl2br w:val="nil"/>
                    <w:tr2bl w:val="nil"/>
                  </w:tcBorders>
                  <w:shd w:val="clear" w:color="auto" w:fill="auto"/>
                  <w:vAlign w:val="center"/>
                </w:tcPr>
                <w:p w14:paraId="63F90B20">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t>代码</w:t>
                  </w:r>
                </w:p>
              </w:tc>
              <w:tc>
                <w:tcPr>
                  <w:tcW w:w="380" w:type="pct"/>
                  <w:tcBorders>
                    <w:tl2br w:val="nil"/>
                    <w:tr2bl w:val="nil"/>
                  </w:tcBorders>
                  <w:shd w:val="clear" w:color="auto" w:fill="auto"/>
                  <w:vAlign w:val="center"/>
                </w:tcPr>
                <w:p w14:paraId="30DAC0BF">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产生量</w:t>
                  </w:r>
                </w:p>
              </w:tc>
              <w:tc>
                <w:tcPr>
                  <w:tcW w:w="367" w:type="pct"/>
                  <w:tcBorders>
                    <w:tl2br w:val="nil"/>
                    <w:tr2bl w:val="nil"/>
                  </w:tcBorders>
                  <w:shd w:val="clear" w:color="auto" w:fill="auto"/>
                  <w:vAlign w:val="center"/>
                </w:tcPr>
                <w:p w14:paraId="624B8FE9">
                  <w:pPr>
                    <w:keepNext w:val="0"/>
                    <w:keepLines w:val="0"/>
                    <w:pageBreakBefore w:val="0"/>
                    <w:widowControl/>
                    <w:suppressLineNumbers w:val="0"/>
                    <w:kinsoku/>
                    <w:wordWrap/>
                    <w:overflowPunct w:val="0"/>
                    <w:topLinePunct w:val="0"/>
                    <w:autoSpaceDE w:val="0"/>
                    <w:autoSpaceDN w:val="0"/>
                    <w:bidi w:val="0"/>
                    <w:adjustRightInd/>
                    <w:snapToGrid/>
                    <w:spacing w:line="240" w:lineRule="atLeast"/>
                    <w:ind w:right="-151" w:rightChars="-63"/>
                    <w:jc w:val="both"/>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物理</w:t>
                  </w:r>
                </w:p>
                <w:p w14:paraId="5A3CDE8A">
                  <w:pPr>
                    <w:keepNext w:val="0"/>
                    <w:keepLines w:val="0"/>
                    <w:pageBreakBefore w:val="0"/>
                    <w:widowControl/>
                    <w:suppressLineNumbers w:val="0"/>
                    <w:kinsoku/>
                    <w:wordWrap/>
                    <w:overflowPunct w:val="0"/>
                    <w:topLinePunct w:val="0"/>
                    <w:autoSpaceDE w:val="0"/>
                    <w:autoSpaceDN w:val="0"/>
                    <w:bidi w:val="0"/>
                    <w:adjustRightInd/>
                    <w:snapToGrid/>
                    <w:spacing w:line="240" w:lineRule="atLeast"/>
                    <w:ind w:right="-151" w:rightChars="-63"/>
                    <w:jc w:val="both"/>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性质</w:t>
                  </w:r>
                </w:p>
              </w:tc>
              <w:tc>
                <w:tcPr>
                  <w:tcW w:w="473" w:type="pct"/>
                  <w:tcBorders>
                    <w:tl2br w:val="nil"/>
                    <w:tr2bl w:val="nil"/>
                  </w:tcBorders>
                  <w:shd w:val="clear" w:color="auto" w:fill="auto"/>
                  <w:vAlign w:val="center"/>
                </w:tcPr>
                <w:p w14:paraId="4F10D4CF">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default" w:ascii="宋体" w:hAnsi="宋体" w:eastAsia="宋体" w:cs="宋体"/>
                      <w:color w:val="000000" w:themeColor="text1"/>
                      <w:spacing w:val="39"/>
                      <w:sz w:val="18"/>
                      <w:szCs w:val="18"/>
                      <w:u w:val="none" w:color="auto"/>
                      <w:lang w:val="en-US" w:eastAsia="zh-CN"/>
                      <w14:textFill>
                        <w14:solidFill>
                          <w14:schemeClr w14:val="tx1"/>
                        </w14:solidFill>
                      </w14:textFill>
                    </w:rPr>
                  </w:pPr>
                  <w:r>
                    <w:rPr>
                      <w:rFonts w:hint="eastAsia" w:ascii="宋体" w:hAnsi="宋体" w:cs="宋体"/>
                      <w:color w:val="000000" w:themeColor="text1"/>
                      <w:spacing w:val="39"/>
                      <w:sz w:val="18"/>
                      <w:szCs w:val="18"/>
                      <w:u w:val="none" w:color="auto"/>
                      <w:lang w:val="en-US" w:eastAsia="zh-CN"/>
                      <w14:textFill>
                        <w14:solidFill>
                          <w14:schemeClr w14:val="tx1"/>
                        </w14:solidFill>
                      </w14:textFill>
                    </w:rPr>
                    <w:t>最大</w:t>
                  </w:r>
                  <w:r>
                    <w:rPr>
                      <w:rFonts w:hint="eastAsia" w:ascii="宋体" w:hAnsi="宋体" w:eastAsia="宋体" w:cs="宋体"/>
                      <w:color w:val="000000" w:themeColor="text1"/>
                      <w:spacing w:val="39"/>
                      <w:sz w:val="18"/>
                      <w:szCs w:val="18"/>
                      <w:u w:val="none" w:color="auto"/>
                      <w:lang w:val="en-US" w:eastAsia="zh-CN"/>
                      <w14:textFill>
                        <w14:solidFill>
                          <w14:schemeClr w14:val="tx1"/>
                        </w14:solidFill>
                      </w14:textFill>
                    </w:rPr>
                    <w:t>储存量</w:t>
                  </w:r>
                </w:p>
              </w:tc>
              <w:tc>
                <w:tcPr>
                  <w:tcW w:w="557" w:type="pct"/>
                  <w:tcBorders>
                    <w:tl2br w:val="nil"/>
                    <w:tr2bl w:val="nil"/>
                  </w:tcBorders>
                  <w:shd w:val="clear" w:color="auto" w:fill="auto"/>
                  <w:vAlign w:val="center"/>
                </w:tcPr>
                <w:p w14:paraId="1AE9E843">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default" w:ascii="宋体" w:hAnsi="宋体" w:eastAsia="宋体" w:cs="宋体"/>
                      <w:color w:val="000000" w:themeColor="text1"/>
                      <w:spacing w:val="39"/>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9"/>
                      <w:sz w:val="18"/>
                      <w:szCs w:val="18"/>
                      <w:u w:val="none" w:color="auto"/>
                      <w:lang w:val="en-US" w:eastAsia="zh-CN"/>
                      <w14:textFill>
                        <w14:solidFill>
                          <w14:schemeClr w14:val="tx1"/>
                        </w14:solidFill>
                      </w14:textFill>
                    </w:rPr>
                    <w:t>周转周期</w:t>
                  </w:r>
                </w:p>
              </w:tc>
              <w:tc>
                <w:tcPr>
                  <w:tcW w:w="1543" w:type="pct"/>
                  <w:gridSpan w:val="2"/>
                  <w:tcBorders>
                    <w:tl2br w:val="nil"/>
                    <w:tr2bl w:val="nil"/>
                  </w:tcBorders>
                  <w:shd w:val="clear" w:color="auto" w:fill="auto"/>
                  <w:vAlign w:val="center"/>
                </w:tcPr>
                <w:p w14:paraId="6879B298">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spacing w:val="39"/>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9"/>
                      <w:sz w:val="18"/>
                      <w:szCs w:val="18"/>
                      <w:u w:val="none" w:color="auto"/>
                      <w:lang w:val="en-US" w:eastAsia="zh-CN"/>
                      <w14:textFill>
                        <w14:solidFill>
                          <w14:schemeClr w14:val="tx1"/>
                        </w14:solidFill>
                      </w14:textFill>
                    </w:rPr>
                    <w:t>暂存能力是否满足需求</w:t>
                  </w:r>
                </w:p>
              </w:tc>
            </w:tr>
            <w:tr w14:paraId="3BDFB40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8" w:hRule="atLeast"/>
              </w:trPr>
              <w:tc>
                <w:tcPr>
                  <w:tcW w:w="616" w:type="pct"/>
                  <w:tcBorders>
                    <w:tl2br w:val="nil"/>
                    <w:tr2bl w:val="nil"/>
                  </w:tcBorders>
                  <w:shd w:val="clear" w:color="auto" w:fill="auto"/>
                  <w:vAlign w:val="center"/>
                </w:tcPr>
                <w:p w14:paraId="346BDB17">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铅蓄电池</w:t>
                  </w:r>
                </w:p>
              </w:tc>
              <w:tc>
                <w:tcPr>
                  <w:tcW w:w="339" w:type="pct"/>
                  <w:tcBorders>
                    <w:tl2br w:val="nil"/>
                    <w:tr2bl w:val="nil"/>
                  </w:tcBorders>
                  <w:shd w:val="clear" w:color="auto" w:fill="auto"/>
                  <w:vAlign w:val="center"/>
                </w:tcPr>
                <w:p w14:paraId="2A68F216">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en-US"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HW3</w:t>
                  </w:r>
                  <w:r>
                    <w:rPr>
                      <w:rFonts w:hint="eastAsia" w:ascii="宋体" w:hAnsi="宋体" w:eastAsia="宋体" w:cs="宋体"/>
                      <w:color w:val="000000" w:themeColor="text1"/>
                      <w:spacing w:val="-11"/>
                      <w:sz w:val="18"/>
                      <w:szCs w:val="18"/>
                      <w:u w:val="none" w:color="auto"/>
                      <w14:textFill>
                        <w14:solidFill>
                          <w14:schemeClr w14:val="tx1"/>
                        </w14:solidFill>
                      </w14:textFill>
                    </w:rPr>
                    <w:t>1</w:t>
                  </w:r>
                </w:p>
              </w:tc>
              <w:tc>
                <w:tcPr>
                  <w:tcW w:w="722" w:type="pct"/>
                  <w:tcBorders>
                    <w:tl2br w:val="nil"/>
                    <w:tr2bl w:val="nil"/>
                  </w:tcBorders>
                  <w:shd w:val="clear" w:color="auto" w:fill="auto"/>
                  <w:vAlign w:val="center"/>
                </w:tcPr>
                <w:p w14:paraId="4EB96178">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900-052-31</w:t>
                  </w:r>
                </w:p>
              </w:tc>
              <w:tc>
                <w:tcPr>
                  <w:tcW w:w="380" w:type="pct"/>
                  <w:tcBorders>
                    <w:tl2br w:val="nil"/>
                    <w:tr2bl w:val="nil"/>
                  </w:tcBorders>
                  <w:shd w:val="clear" w:color="auto" w:fill="auto"/>
                  <w:vAlign w:val="center"/>
                </w:tcPr>
                <w:p w14:paraId="2ED3707A">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240</w:t>
                  </w:r>
                </w:p>
              </w:tc>
              <w:tc>
                <w:tcPr>
                  <w:tcW w:w="367" w:type="pct"/>
                  <w:tcBorders>
                    <w:tl2br w:val="nil"/>
                    <w:tr2bl w:val="nil"/>
                  </w:tcBorders>
                  <w:shd w:val="clear" w:color="auto" w:fill="auto"/>
                  <w:vAlign w:val="center"/>
                </w:tcPr>
                <w:p w14:paraId="7E9892F1">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固体</w:t>
                  </w:r>
                </w:p>
              </w:tc>
              <w:tc>
                <w:tcPr>
                  <w:tcW w:w="473" w:type="pct"/>
                  <w:tcBorders>
                    <w:tl2br w:val="nil"/>
                    <w:tr2bl w:val="nil"/>
                  </w:tcBorders>
                  <w:shd w:val="clear" w:color="auto" w:fill="auto"/>
                  <w:vAlign w:val="center"/>
                </w:tcPr>
                <w:p w14:paraId="08A52299">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8</w:t>
                  </w:r>
                </w:p>
              </w:tc>
              <w:tc>
                <w:tcPr>
                  <w:tcW w:w="557" w:type="pct"/>
                  <w:tcBorders>
                    <w:tl2br w:val="nil"/>
                    <w:tr2bl w:val="nil"/>
                  </w:tcBorders>
                  <w:shd w:val="clear" w:color="auto" w:fill="auto"/>
                  <w:vAlign w:val="center"/>
                </w:tcPr>
                <w:p w14:paraId="43493DD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10天</w:t>
                  </w:r>
                </w:p>
              </w:tc>
              <w:tc>
                <w:tcPr>
                  <w:tcW w:w="1149" w:type="pct"/>
                  <w:tcBorders>
                    <w:tl2br w:val="nil"/>
                    <w:tr2bl w:val="nil"/>
                  </w:tcBorders>
                  <w:shd w:val="clear" w:color="auto" w:fill="auto"/>
                  <w:vAlign w:val="top"/>
                </w:tcPr>
                <w:p w14:paraId="5824965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危废间120</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按密度2.5</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高度为0.2m,储存</w:t>
                  </w:r>
                  <w:r>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t>面积16</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p>
              </w:tc>
              <w:tc>
                <w:tcPr>
                  <w:tcW w:w="393" w:type="pct"/>
                  <w:tcBorders>
                    <w:tl2br w:val="nil"/>
                    <w:tr2bl w:val="nil"/>
                  </w:tcBorders>
                  <w:shd w:val="clear" w:color="auto" w:fill="auto"/>
                  <w:vAlign w:val="top"/>
                </w:tcPr>
                <w:p w14:paraId="5D9DBA91">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Style w:val="28"/>
                      <w:rFonts w:hint="default"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满足</w:t>
                  </w:r>
                </w:p>
              </w:tc>
            </w:tr>
            <w:tr w14:paraId="11C7D23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88" w:hRule="atLeast"/>
              </w:trPr>
              <w:tc>
                <w:tcPr>
                  <w:tcW w:w="616" w:type="pct"/>
                  <w:tcBorders>
                    <w:tl2br w:val="nil"/>
                    <w:tr2bl w:val="nil"/>
                  </w:tcBorders>
                  <w:shd w:val="clear" w:color="auto" w:fill="auto"/>
                  <w:vAlign w:val="center"/>
                </w:tcPr>
                <w:p w14:paraId="49D438BE">
                  <w:pPr>
                    <w:keepNext w:val="0"/>
                    <w:keepLines w:val="0"/>
                    <w:pageBreakBefore w:val="0"/>
                    <w:kinsoku/>
                    <w:wordWrap/>
                    <w:overflowPunct w:val="0"/>
                    <w:topLinePunct w:val="0"/>
                    <w:autoSpaceDE w:val="0"/>
                    <w:autoSpaceDN w:val="0"/>
                    <w:bidi w:val="0"/>
                    <w:adjustRightInd/>
                    <w:snapToGrid/>
                    <w:spacing w:line="240" w:lineRule="atLeast"/>
                    <w:ind w:right="-61" w:rightChars="0"/>
                    <w:jc w:val="center"/>
                    <w:rPr>
                      <w:rFonts w:hint="eastAsia" w:ascii="宋体" w:hAnsi="宋体" w:eastAsia="宋体" w:cs="宋体"/>
                      <w:color w:val="000000" w:themeColor="text1"/>
                      <w:kern w:val="2"/>
                      <w:sz w:val="18"/>
                      <w:szCs w:val="18"/>
                      <w:highlight w:val="darkGray"/>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u w:val="none" w:color="auto"/>
                      <w14:textFill>
                        <w14:solidFill>
                          <w14:schemeClr w14:val="tx1"/>
                        </w14:solidFill>
                      </w14:textFill>
                    </w:rPr>
                    <w:t>废矿物油与含矿物油</w:t>
                  </w:r>
                  <w:r>
                    <w:rPr>
                      <w:rFonts w:hint="eastAsia" w:ascii="宋体" w:hAnsi="宋体" w:eastAsia="宋体" w:cs="宋体"/>
                      <w:color w:val="000000" w:themeColor="text1"/>
                      <w:spacing w:val="-2"/>
                      <w:sz w:val="18"/>
                      <w:szCs w:val="18"/>
                      <w:highlight w:val="none"/>
                      <w:u w:val="none" w:color="auto"/>
                      <w14:textFill>
                        <w14:solidFill>
                          <w14:schemeClr w14:val="tx1"/>
                        </w14:solidFill>
                      </w14:textFill>
                    </w:rPr>
                    <w:t>废物</w:t>
                  </w:r>
                </w:p>
              </w:tc>
              <w:tc>
                <w:tcPr>
                  <w:tcW w:w="339" w:type="pct"/>
                  <w:tcBorders>
                    <w:tl2br w:val="nil"/>
                    <w:tr2bl w:val="nil"/>
                  </w:tcBorders>
                  <w:shd w:val="clear" w:color="auto" w:fill="auto"/>
                  <w:vAlign w:val="center"/>
                </w:tcPr>
                <w:p w14:paraId="37CF63E7">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en-US"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HW08</w:t>
                  </w:r>
                </w:p>
              </w:tc>
              <w:tc>
                <w:tcPr>
                  <w:tcW w:w="722" w:type="pct"/>
                  <w:tcBorders>
                    <w:tl2br w:val="nil"/>
                    <w:tr2bl w:val="nil"/>
                  </w:tcBorders>
                  <w:shd w:val="clear" w:color="auto" w:fill="auto"/>
                  <w:vAlign w:val="center"/>
                </w:tcPr>
                <w:p w14:paraId="47FCC633">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cs="宋体"/>
                      <w:color w:val="000000" w:themeColor="text1"/>
                      <w:spacing w:val="-4"/>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900-2</w:t>
                  </w:r>
                  <w:r>
                    <w:rPr>
                      <w:rFonts w:hint="eastAsia" w:ascii="宋体" w:hAnsi="宋体" w:eastAsia="宋体" w:cs="宋体"/>
                      <w:color w:val="000000" w:themeColor="text1"/>
                      <w:spacing w:val="-4"/>
                      <w:sz w:val="18"/>
                      <w:szCs w:val="18"/>
                      <w:u w:val="none" w:color="auto"/>
                      <w14:textFill>
                        <w14:solidFill>
                          <w14:schemeClr w14:val="tx1"/>
                        </w14:solidFill>
                      </w14:textFill>
                    </w:rPr>
                    <w:t>14-0</w:t>
                  </w:r>
                  <w:r>
                    <w:rPr>
                      <w:rFonts w:hint="eastAsia" w:ascii="宋体" w:hAnsi="宋体" w:cs="宋体"/>
                      <w:color w:val="000000" w:themeColor="text1"/>
                      <w:spacing w:val="-4"/>
                      <w:sz w:val="18"/>
                      <w:szCs w:val="18"/>
                      <w:u w:val="none" w:color="auto"/>
                      <w:lang w:val="en-US" w:eastAsia="zh-CN"/>
                      <w14:textFill>
                        <w14:solidFill>
                          <w14:schemeClr w14:val="tx1"/>
                        </w14:solidFill>
                      </w14:textFill>
                    </w:rPr>
                    <w:t>8</w:t>
                  </w:r>
                </w:p>
                <w:p w14:paraId="3B87004D">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cs="宋体"/>
                      <w:color w:val="000000" w:themeColor="text1"/>
                      <w:spacing w:val="-4"/>
                      <w:sz w:val="18"/>
                      <w:szCs w:val="18"/>
                      <w:u w:val="none" w:color="auto"/>
                      <w:lang w:val="en-US" w:eastAsia="zh-CN"/>
                      <w14:textFill>
                        <w14:solidFill>
                          <w14:schemeClr w14:val="tx1"/>
                        </w14:solidFill>
                      </w14:textFill>
                    </w:rPr>
                    <w:t>900-199-08</w:t>
                  </w:r>
                </w:p>
              </w:tc>
              <w:tc>
                <w:tcPr>
                  <w:tcW w:w="380" w:type="pct"/>
                  <w:tcBorders>
                    <w:tl2br w:val="nil"/>
                    <w:tr2bl w:val="nil"/>
                  </w:tcBorders>
                  <w:shd w:val="clear" w:color="auto" w:fill="auto"/>
                  <w:vAlign w:val="center"/>
                </w:tcPr>
                <w:p w14:paraId="2C6FCA12">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20.5</w:t>
                  </w:r>
                </w:p>
              </w:tc>
              <w:tc>
                <w:tcPr>
                  <w:tcW w:w="367" w:type="pct"/>
                  <w:tcBorders>
                    <w:tl2br w:val="nil"/>
                    <w:tr2bl w:val="nil"/>
                  </w:tcBorders>
                  <w:shd w:val="clear" w:color="auto" w:fill="auto"/>
                  <w:vAlign w:val="center"/>
                </w:tcPr>
                <w:p w14:paraId="360552EE">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液体</w:t>
                  </w:r>
                </w:p>
              </w:tc>
              <w:tc>
                <w:tcPr>
                  <w:tcW w:w="473" w:type="pct"/>
                  <w:vMerge w:val="restart"/>
                  <w:tcBorders>
                    <w:tl2br w:val="nil"/>
                    <w:tr2bl w:val="nil"/>
                  </w:tcBorders>
                  <w:shd w:val="clear" w:color="auto" w:fill="auto"/>
                  <w:vAlign w:val="center"/>
                </w:tcPr>
                <w:p w14:paraId="130D3CCD">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w:t>
                  </w:r>
                </w:p>
              </w:tc>
              <w:tc>
                <w:tcPr>
                  <w:tcW w:w="557" w:type="pct"/>
                  <w:vMerge w:val="restart"/>
                  <w:tcBorders>
                    <w:tl2br w:val="nil"/>
                    <w:tr2bl w:val="nil"/>
                  </w:tcBorders>
                  <w:shd w:val="clear" w:color="auto" w:fill="auto"/>
                  <w:vAlign w:val="center"/>
                </w:tcPr>
                <w:p w14:paraId="55D64562">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20天</w:t>
                  </w:r>
                </w:p>
              </w:tc>
              <w:tc>
                <w:tcPr>
                  <w:tcW w:w="1149" w:type="pct"/>
                  <w:vMerge w:val="restart"/>
                  <w:tcBorders>
                    <w:tl2br w:val="nil"/>
                    <w:tr2bl w:val="nil"/>
                  </w:tcBorders>
                  <w:shd w:val="clear" w:color="auto" w:fill="auto"/>
                  <w:vAlign w:val="top"/>
                </w:tcPr>
                <w:p w14:paraId="6E1D486D">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危废间120</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按密度0.8</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高度为0.5m,储存</w:t>
                  </w:r>
                  <w:r>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t>面积25</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p>
                <w:p w14:paraId="1459D19C">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393" w:type="pct"/>
                  <w:vMerge w:val="restart"/>
                  <w:tcBorders>
                    <w:tl2br w:val="nil"/>
                    <w:tr2bl w:val="nil"/>
                  </w:tcBorders>
                  <w:shd w:val="clear" w:color="auto" w:fill="auto"/>
                  <w:vAlign w:val="top"/>
                </w:tcPr>
                <w:p w14:paraId="2D26C306">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both"/>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满足</w:t>
                  </w:r>
                </w:p>
              </w:tc>
            </w:tr>
            <w:tr w14:paraId="73BEB23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832" w:hRule="atLeast"/>
              </w:trPr>
              <w:tc>
                <w:tcPr>
                  <w:tcW w:w="616" w:type="pct"/>
                  <w:tcBorders>
                    <w:tl2br w:val="nil"/>
                    <w:tr2bl w:val="nil"/>
                  </w:tcBorders>
                  <w:shd w:val="clear" w:color="auto" w:fill="auto"/>
                  <w:vAlign w:val="center"/>
                </w:tcPr>
                <w:p w14:paraId="2B4E9F0E">
                  <w:pPr>
                    <w:keepNext w:val="0"/>
                    <w:keepLines w:val="0"/>
                    <w:pageBreakBefore w:val="0"/>
                    <w:kinsoku/>
                    <w:wordWrap/>
                    <w:overflowPunct w:val="0"/>
                    <w:topLinePunct w:val="0"/>
                    <w:autoSpaceDE w:val="0"/>
                    <w:autoSpaceDN w:val="0"/>
                    <w:bidi w:val="0"/>
                    <w:adjustRightInd/>
                    <w:snapToGrid/>
                    <w:spacing w:line="240" w:lineRule="atLeast"/>
                    <w:ind w:right="-61" w:rightChars="0"/>
                    <w:jc w:val="center"/>
                    <w:rPr>
                      <w:rFonts w:hint="eastAsia" w:ascii="宋体" w:hAnsi="宋体" w:eastAsia="宋体" w:cs="宋体"/>
                      <w:color w:val="000000" w:themeColor="text1"/>
                      <w:kern w:val="2"/>
                      <w:sz w:val="18"/>
                      <w:szCs w:val="18"/>
                      <w:highlight w:val="darkGray"/>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u w:val="none" w:color="auto"/>
                      <w14:textFill>
                        <w14:solidFill>
                          <w14:schemeClr w14:val="tx1"/>
                        </w14:solidFill>
                      </w14:textFill>
                    </w:rPr>
                    <w:t>废有机溶剂与含有机</w:t>
                  </w:r>
                  <w:r>
                    <w:rPr>
                      <w:rFonts w:hint="eastAsia" w:ascii="宋体" w:hAnsi="宋体" w:eastAsia="宋体" w:cs="宋体"/>
                      <w:color w:val="000000" w:themeColor="text1"/>
                      <w:spacing w:val="-2"/>
                      <w:sz w:val="18"/>
                      <w:szCs w:val="18"/>
                      <w:highlight w:val="none"/>
                      <w:u w:val="none" w:color="auto"/>
                      <w14:textFill>
                        <w14:solidFill>
                          <w14:schemeClr w14:val="tx1"/>
                        </w14:solidFill>
                      </w14:textFill>
                    </w:rPr>
                    <w:t>溶剂废物</w:t>
                  </w:r>
                </w:p>
              </w:tc>
              <w:tc>
                <w:tcPr>
                  <w:tcW w:w="339" w:type="pct"/>
                  <w:tcBorders>
                    <w:tl2br w:val="nil"/>
                    <w:tr2bl w:val="nil"/>
                  </w:tcBorders>
                  <w:shd w:val="clear" w:color="auto" w:fill="auto"/>
                  <w:vAlign w:val="center"/>
                </w:tcPr>
                <w:p w14:paraId="589F1CA6">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en-US"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HW06</w:t>
                  </w:r>
                </w:p>
              </w:tc>
              <w:tc>
                <w:tcPr>
                  <w:tcW w:w="722" w:type="pct"/>
                  <w:tcBorders>
                    <w:tl2br w:val="nil"/>
                    <w:tr2bl w:val="nil"/>
                  </w:tcBorders>
                  <w:shd w:val="clear" w:color="auto" w:fill="auto"/>
                  <w:vAlign w:val="center"/>
                </w:tcPr>
                <w:p w14:paraId="683F46B7">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900-40</w:t>
                  </w:r>
                  <w:r>
                    <w:rPr>
                      <w:rFonts w:hint="eastAsia" w:ascii="宋体" w:hAnsi="宋体" w:cs="宋体"/>
                      <w:color w:val="000000" w:themeColor="text1"/>
                      <w:spacing w:val="-2"/>
                      <w:sz w:val="18"/>
                      <w:szCs w:val="18"/>
                      <w:u w:val="none" w:color="auto"/>
                      <w:lang w:val="en-US" w:eastAsia="zh-CN"/>
                      <w14:textFill>
                        <w14:solidFill>
                          <w14:schemeClr w14:val="tx1"/>
                        </w14:solidFill>
                      </w14:textFill>
                    </w:rPr>
                    <w:t>2</w:t>
                  </w:r>
                  <w:r>
                    <w:rPr>
                      <w:rFonts w:hint="eastAsia" w:ascii="宋体" w:hAnsi="宋体" w:eastAsia="宋体" w:cs="宋体"/>
                      <w:color w:val="000000" w:themeColor="text1"/>
                      <w:spacing w:val="-2"/>
                      <w:sz w:val="18"/>
                      <w:szCs w:val="18"/>
                      <w:u w:val="none" w:color="auto"/>
                      <w14:textFill>
                        <w14:solidFill>
                          <w14:schemeClr w14:val="tx1"/>
                        </w14:solidFill>
                      </w14:textFill>
                    </w:rPr>
                    <w:t>-06</w:t>
                  </w:r>
                </w:p>
              </w:tc>
              <w:tc>
                <w:tcPr>
                  <w:tcW w:w="380" w:type="pct"/>
                  <w:tcBorders>
                    <w:tl2br w:val="nil"/>
                    <w:tr2bl w:val="nil"/>
                  </w:tcBorders>
                  <w:shd w:val="clear" w:color="auto" w:fill="auto"/>
                  <w:vAlign w:val="center"/>
                </w:tcPr>
                <w:p w14:paraId="09D4FEC4">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87.2</w:t>
                  </w:r>
                </w:p>
              </w:tc>
              <w:tc>
                <w:tcPr>
                  <w:tcW w:w="367" w:type="pct"/>
                  <w:tcBorders>
                    <w:tl2br w:val="nil"/>
                    <w:tr2bl w:val="nil"/>
                  </w:tcBorders>
                  <w:shd w:val="clear" w:color="auto" w:fill="auto"/>
                  <w:vAlign w:val="center"/>
                </w:tcPr>
                <w:p w14:paraId="3C521B26">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液体</w:t>
                  </w:r>
                </w:p>
              </w:tc>
              <w:tc>
                <w:tcPr>
                  <w:tcW w:w="473" w:type="pct"/>
                  <w:vMerge w:val="continue"/>
                  <w:tcBorders>
                    <w:tl2br w:val="nil"/>
                    <w:tr2bl w:val="nil"/>
                  </w:tcBorders>
                  <w:shd w:val="clear" w:color="auto" w:fill="auto"/>
                  <w:vAlign w:val="center"/>
                </w:tcPr>
                <w:p w14:paraId="5C4EF293">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p>
              </w:tc>
              <w:tc>
                <w:tcPr>
                  <w:tcW w:w="557" w:type="pct"/>
                  <w:vMerge w:val="continue"/>
                  <w:tcBorders>
                    <w:tl2br w:val="nil"/>
                    <w:tr2bl w:val="nil"/>
                  </w:tcBorders>
                  <w:shd w:val="clear" w:color="auto" w:fill="auto"/>
                  <w:vAlign w:val="center"/>
                </w:tcPr>
                <w:p w14:paraId="6B40D4E8">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p>
              </w:tc>
              <w:tc>
                <w:tcPr>
                  <w:tcW w:w="1149" w:type="pct"/>
                  <w:vMerge w:val="continue"/>
                  <w:tcBorders>
                    <w:tl2br w:val="nil"/>
                    <w:tr2bl w:val="nil"/>
                  </w:tcBorders>
                  <w:shd w:val="clear" w:color="auto" w:fill="auto"/>
                  <w:vAlign w:val="top"/>
                </w:tcPr>
                <w:p w14:paraId="1EEC6ADE">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p>
              </w:tc>
              <w:tc>
                <w:tcPr>
                  <w:tcW w:w="393" w:type="pct"/>
                  <w:vMerge w:val="continue"/>
                  <w:tcBorders>
                    <w:tl2br w:val="nil"/>
                    <w:tr2bl w:val="nil"/>
                  </w:tcBorders>
                  <w:shd w:val="clear" w:color="auto" w:fill="auto"/>
                  <w:vAlign w:val="top"/>
                </w:tcPr>
                <w:p w14:paraId="34BC23C5">
                  <w:pPr>
                    <w:keepNext w:val="0"/>
                    <w:keepLines w:val="0"/>
                    <w:pageBreakBefore w:val="0"/>
                    <w:widowControl w:val="0"/>
                    <w:numPr>
                      <w:ilvl w:val="0"/>
                      <w:numId w:val="0"/>
                    </w:numPr>
                    <w:kinsoku/>
                    <w:wordWrap/>
                    <w:overflowPunct w:val="0"/>
                    <w:topLinePunct w:val="0"/>
                    <w:autoSpaceDE w:val="0"/>
                    <w:autoSpaceDN w:val="0"/>
                    <w:bidi w:val="0"/>
                    <w:adjustRightInd/>
                    <w:snapToGrid/>
                    <w:spacing w:line="240" w:lineRule="atLeast"/>
                    <w:ind w:left="0" w:leftChars="0" w:right="0" w:rightChars="0" w:firstLine="0" w:firstLineChars="0"/>
                    <w:jc w:val="both"/>
                    <w:textAlignment w:val="auto"/>
                    <w:outlineLvl w:val="9"/>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pPr>
                </w:p>
              </w:tc>
            </w:tr>
            <w:tr w14:paraId="1933897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632" w:hRule="atLeast"/>
              </w:trPr>
              <w:tc>
                <w:tcPr>
                  <w:tcW w:w="616" w:type="pct"/>
                  <w:tcBorders>
                    <w:tl2br w:val="nil"/>
                    <w:tr2bl w:val="nil"/>
                  </w:tcBorders>
                  <w:shd w:val="clear" w:color="auto" w:fill="auto"/>
                  <w:vAlign w:val="center"/>
                </w:tcPr>
                <w:p w14:paraId="636D9AAD">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废尾气净化装置</w:t>
                  </w:r>
                </w:p>
              </w:tc>
              <w:tc>
                <w:tcPr>
                  <w:tcW w:w="339" w:type="pct"/>
                  <w:tcBorders>
                    <w:tl2br w:val="nil"/>
                    <w:tr2bl w:val="nil"/>
                  </w:tcBorders>
                  <w:shd w:val="clear" w:color="auto" w:fill="auto"/>
                  <w:vAlign w:val="center"/>
                </w:tcPr>
                <w:p w14:paraId="06043AC6">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en-US"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HW50</w:t>
                  </w:r>
                </w:p>
              </w:tc>
              <w:tc>
                <w:tcPr>
                  <w:tcW w:w="722" w:type="pct"/>
                  <w:tcBorders>
                    <w:tl2br w:val="nil"/>
                    <w:tr2bl w:val="nil"/>
                  </w:tcBorders>
                  <w:shd w:val="clear" w:color="auto" w:fill="auto"/>
                  <w:vAlign w:val="center"/>
                </w:tcPr>
                <w:p w14:paraId="66993682">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eastAsia="宋体" w:cs="宋体"/>
                      <w:color w:val="000000" w:themeColor="text1"/>
                      <w:spacing w:val="-1"/>
                      <w:sz w:val="18"/>
                      <w:szCs w:val="18"/>
                      <w:u w:val="none" w:color="auto"/>
                      <w14:textFill>
                        <w14:solidFill>
                          <w14:schemeClr w14:val="tx1"/>
                        </w14:solidFill>
                      </w14:textFill>
                    </w:rPr>
                    <w:t>49-50</w:t>
                  </w:r>
                </w:p>
              </w:tc>
              <w:tc>
                <w:tcPr>
                  <w:tcW w:w="380" w:type="pct"/>
                  <w:vMerge w:val="restart"/>
                  <w:tcBorders>
                    <w:tl2br w:val="nil"/>
                    <w:tr2bl w:val="nil"/>
                  </w:tcBorders>
                  <w:shd w:val="clear" w:color="auto" w:fill="auto"/>
                  <w:vAlign w:val="center"/>
                </w:tcPr>
                <w:p w14:paraId="5E6AD339">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t>103.45</w:t>
                  </w:r>
                </w:p>
              </w:tc>
              <w:tc>
                <w:tcPr>
                  <w:tcW w:w="367" w:type="pct"/>
                  <w:tcBorders>
                    <w:tl2br w:val="nil"/>
                    <w:tr2bl w:val="nil"/>
                  </w:tcBorders>
                  <w:shd w:val="clear" w:color="auto" w:fill="auto"/>
                  <w:vAlign w:val="center"/>
                </w:tcPr>
                <w:p w14:paraId="161D8B8B">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固体</w:t>
                  </w:r>
                </w:p>
              </w:tc>
              <w:tc>
                <w:tcPr>
                  <w:tcW w:w="473" w:type="pct"/>
                  <w:vMerge w:val="restart"/>
                  <w:tcBorders>
                    <w:tl2br w:val="nil"/>
                    <w:tr2bl w:val="nil"/>
                  </w:tcBorders>
                  <w:shd w:val="clear" w:color="auto" w:fill="auto"/>
                  <w:vAlign w:val="center"/>
                </w:tcPr>
                <w:p w14:paraId="10AC039E">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10</w:t>
                  </w:r>
                </w:p>
              </w:tc>
              <w:tc>
                <w:tcPr>
                  <w:tcW w:w="557" w:type="pct"/>
                  <w:vMerge w:val="restart"/>
                  <w:tcBorders>
                    <w:tl2br w:val="nil"/>
                    <w:tr2bl w:val="nil"/>
                  </w:tcBorders>
                  <w:shd w:val="clear" w:color="auto" w:fill="auto"/>
                  <w:vAlign w:val="center"/>
                </w:tcPr>
                <w:p w14:paraId="360FDD90">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pPr>
                  <w:r>
                    <w:rPr>
                      <w:rFonts w:hint="eastAsia" w:ascii="宋体" w:hAnsi="宋体" w:eastAsia="宋体" w:cs="宋体"/>
                      <w:b w:val="0"/>
                      <w:bCs w:val="0"/>
                      <w:color w:val="000000" w:themeColor="text1"/>
                      <w:sz w:val="18"/>
                      <w:szCs w:val="18"/>
                      <w:vertAlign w:val="baseline"/>
                      <w:lang w:val="en-US" w:eastAsia="zh-CN"/>
                      <w14:textFill>
                        <w14:solidFill>
                          <w14:schemeClr w14:val="tx1"/>
                        </w14:solidFill>
                      </w14:textFill>
                    </w:rPr>
                    <w:t>20天</w:t>
                  </w:r>
                </w:p>
              </w:tc>
              <w:tc>
                <w:tcPr>
                  <w:tcW w:w="1149" w:type="pct"/>
                  <w:vMerge w:val="restart"/>
                  <w:tcBorders>
                    <w:tl2br w:val="nil"/>
                    <w:tr2bl w:val="nil"/>
                  </w:tcBorders>
                  <w:shd w:val="clear" w:color="auto" w:fill="auto"/>
                  <w:vAlign w:val="center"/>
                </w:tcPr>
                <w:p w14:paraId="45159E2A">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both"/>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危废间120</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cs="宋体"/>
                      <w:b w:val="0"/>
                      <w:bCs w:val="0"/>
                      <w:color w:val="000000" w:themeColor="text1"/>
                      <w:sz w:val="18"/>
                      <w:szCs w:val="18"/>
                      <w:highlight w:val="none"/>
                      <w:vertAlign w:val="baseline"/>
                      <w:lang w:val="en-US" w:eastAsia="zh-CN"/>
                      <w14:textFill>
                        <w14:solidFill>
                          <w14:schemeClr w14:val="tx1"/>
                        </w14:solidFill>
                      </w14:textFill>
                    </w:rPr>
                    <w:t>不同种类分区收集，</w:t>
                  </w: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按密度1.08</w:t>
                  </w:r>
                  <w:r>
                    <w:rPr>
                      <w:rStyle w:val="28"/>
                      <w:rFonts w:hint="eastAsia" w:ascii="宋体" w:hAnsi="宋体" w:eastAsia="宋体" w:cs="宋体"/>
                      <w:b w:val="0"/>
                      <w:bCs w:val="0"/>
                      <w:i w:val="0"/>
                      <w:iCs w:val="0"/>
                      <w:caps w:val="0"/>
                      <w:color w:val="000000" w:themeColor="text1"/>
                      <w:spacing w:val="0"/>
                      <w:sz w:val="18"/>
                      <w:szCs w:val="18"/>
                      <w:shd w:val="clear" w:fill="FFFFFF"/>
                      <w14:textFill>
                        <w14:solidFill>
                          <w14:schemeClr w14:val="tx1"/>
                        </w14:solidFill>
                      </w14:textFill>
                    </w:rPr>
                    <w:t>g/cm³</w:t>
                  </w:r>
                  <w:r>
                    <w:rPr>
                      <w:rFonts w:hint="eastAsia" w:ascii="宋体" w:hAnsi="宋体" w:eastAsia="宋体" w:cs="宋体"/>
                      <w:b w:val="0"/>
                      <w:bCs w:val="0"/>
                      <w:color w:val="000000" w:themeColor="text1"/>
                      <w:sz w:val="18"/>
                      <w:szCs w:val="18"/>
                      <w:highlight w:val="none"/>
                      <w:vertAlign w:val="baseline"/>
                      <w:lang w:eastAsia="zh-CN"/>
                      <w14:textFill>
                        <w14:solidFill>
                          <w14:schemeClr w14:val="tx1"/>
                        </w14:solidFill>
                      </w14:textFill>
                    </w:rPr>
                    <w:t>，</w:t>
                  </w:r>
                  <w:r>
                    <w:rPr>
                      <w:rFonts w:hint="eastAsia" w:ascii="宋体" w:hAnsi="宋体" w:cs="宋体"/>
                      <w:b w:val="0"/>
                      <w:bCs w:val="0"/>
                      <w:color w:val="000000" w:themeColor="text1"/>
                      <w:sz w:val="18"/>
                      <w:szCs w:val="18"/>
                      <w:highlight w:val="none"/>
                      <w:vertAlign w:val="baseline"/>
                      <w:lang w:val="en-US" w:eastAsia="zh-CN"/>
                      <w14:textFill>
                        <w14:solidFill>
                          <w14:schemeClr w14:val="tx1"/>
                        </w14:solidFill>
                      </w14:textFill>
                    </w:rPr>
                    <w:t>平均</w:t>
                  </w:r>
                  <w:r>
                    <w:rPr>
                      <w:rFonts w:hint="eastAsia" w:ascii="宋体" w:hAnsi="宋体" w:eastAsia="宋体" w:cs="宋体"/>
                      <w:b w:val="0"/>
                      <w:bCs w:val="0"/>
                      <w:color w:val="000000" w:themeColor="text1"/>
                      <w:sz w:val="18"/>
                      <w:szCs w:val="18"/>
                      <w:highlight w:val="none"/>
                      <w:vertAlign w:val="baseline"/>
                      <w:lang w:val="en-US" w:eastAsia="zh-CN"/>
                      <w14:textFill>
                        <w14:solidFill>
                          <w14:schemeClr w14:val="tx1"/>
                        </w14:solidFill>
                      </w14:textFill>
                    </w:rPr>
                    <w:t>高度为0.5m,储存</w:t>
                  </w:r>
                  <w:r>
                    <w:rPr>
                      <w:rFonts w:hint="eastAsia" w:ascii="宋体" w:hAnsi="宋体" w:eastAsia="宋体" w:cs="宋体"/>
                      <w:b w:val="0"/>
                      <w:bCs w:val="0"/>
                      <w:color w:val="000000" w:themeColor="text1"/>
                      <w:kern w:val="2"/>
                      <w:sz w:val="18"/>
                      <w:szCs w:val="18"/>
                      <w:vertAlign w:val="baseline"/>
                      <w:lang w:val="en-US" w:eastAsia="zh-CN" w:bidi="ar-SA"/>
                      <w14:textFill>
                        <w14:solidFill>
                          <w14:schemeClr w14:val="tx1"/>
                        </w14:solidFill>
                      </w14:textFill>
                    </w:rPr>
                    <w:t>面积20</w:t>
                  </w:r>
                  <w:r>
                    <w:rPr>
                      <w:rFonts w:hint="eastAsia" w:ascii="宋体" w:hAnsi="宋体" w:eastAsia="宋体" w:cs="宋体"/>
                      <w:b w:val="0"/>
                      <w:bCs w:val="0"/>
                      <w:color w:val="000000" w:themeColor="text1"/>
                      <w:sz w:val="18"/>
                      <w:szCs w:val="18"/>
                      <w:highlight w:val="none"/>
                      <w14:textFill>
                        <w14:solidFill>
                          <w14:schemeClr w14:val="tx1"/>
                        </w14:solidFill>
                      </w14:textFill>
                    </w:rPr>
                    <w:t>m</w:t>
                  </w:r>
                  <w:r>
                    <w:rPr>
                      <w:rFonts w:hint="eastAsia" w:ascii="宋体" w:hAnsi="宋体" w:eastAsia="宋体" w:cs="宋体"/>
                      <w:b w:val="0"/>
                      <w:bCs w:val="0"/>
                      <w:color w:val="000000" w:themeColor="text1"/>
                      <w:sz w:val="18"/>
                      <w:szCs w:val="18"/>
                      <w:highlight w:val="none"/>
                      <w:vertAlign w:val="superscript"/>
                      <w14:textFill>
                        <w14:solidFill>
                          <w14:schemeClr w14:val="tx1"/>
                        </w14:solidFill>
                      </w14:textFill>
                    </w:rPr>
                    <w:t>2</w:t>
                  </w:r>
                </w:p>
              </w:tc>
              <w:tc>
                <w:tcPr>
                  <w:tcW w:w="393" w:type="pct"/>
                  <w:vMerge w:val="restart"/>
                  <w:tcBorders>
                    <w:tl2br w:val="nil"/>
                    <w:tr2bl w:val="nil"/>
                  </w:tcBorders>
                  <w:shd w:val="clear" w:color="auto" w:fill="auto"/>
                  <w:vAlign w:val="center"/>
                </w:tcPr>
                <w:p w14:paraId="245B6AA3">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both"/>
                    <w:textAlignment w:val="cente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pPr>
                  <w:r>
                    <w:rPr>
                      <w:rStyle w:val="28"/>
                      <w:rFonts w:hint="eastAsia" w:ascii="宋体" w:hAnsi="宋体" w:eastAsia="宋体" w:cs="宋体"/>
                      <w:b w:val="0"/>
                      <w:bCs w:val="0"/>
                      <w:i w:val="0"/>
                      <w:iCs w:val="0"/>
                      <w:caps w:val="0"/>
                      <w:color w:val="000000" w:themeColor="text1"/>
                      <w:spacing w:val="0"/>
                      <w:sz w:val="18"/>
                      <w:szCs w:val="18"/>
                      <w:shd w:val="clear" w:fill="FFFFFF"/>
                      <w:lang w:val="en-US" w:eastAsia="zh-CN"/>
                      <w14:textFill>
                        <w14:solidFill>
                          <w14:schemeClr w14:val="tx1"/>
                        </w14:solidFill>
                      </w14:textFill>
                    </w:rPr>
                    <w:t>满足</w:t>
                  </w:r>
                </w:p>
              </w:tc>
            </w:tr>
            <w:tr w14:paraId="145D66D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616" w:type="pct"/>
                  <w:tcBorders>
                    <w:tl2br w:val="nil"/>
                    <w:tr2bl w:val="nil"/>
                  </w:tcBorders>
                  <w:shd w:val="clear" w:color="auto" w:fill="auto"/>
                  <w:vAlign w:val="center"/>
                </w:tcPr>
                <w:p w14:paraId="3858481C">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线路板</w:t>
                  </w:r>
                </w:p>
              </w:tc>
              <w:tc>
                <w:tcPr>
                  <w:tcW w:w="339" w:type="pct"/>
                  <w:tcBorders>
                    <w:tl2br w:val="nil"/>
                    <w:tr2bl w:val="nil"/>
                  </w:tcBorders>
                  <w:shd w:val="clear" w:color="auto" w:fill="auto"/>
                  <w:vAlign w:val="center"/>
                </w:tcPr>
                <w:p w14:paraId="2C3FA43B">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en-US"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HW49</w:t>
                  </w:r>
                </w:p>
              </w:tc>
              <w:tc>
                <w:tcPr>
                  <w:tcW w:w="722" w:type="pct"/>
                  <w:tcBorders>
                    <w:tl2br w:val="nil"/>
                    <w:tr2bl w:val="nil"/>
                  </w:tcBorders>
                  <w:shd w:val="clear" w:color="auto" w:fill="auto"/>
                  <w:vAlign w:val="center"/>
                </w:tcPr>
                <w:p w14:paraId="4C4CF73B">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eastAsia="宋体" w:cs="宋体"/>
                      <w:color w:val="000000" w:themeColor="text1"/>
                      <w:spacing w:val="-1"/>
                      <w:sz w:val="18"/>
                      <w:szCs w:val="18"/>
                      <w:u w:val="none" w:color="auto"/>
                      <w14:textFill>
                        <w14:solidFill>
                          <w14:schemeClr w14:val="tx1"/>
                        </w14:solidFill>
                      </w14:textFill>
                    </w:rPr>
                    <w:t>45-49</w:t>
                  </w:r>
                </w:p>
              </w:tc>
              <w:tc>
                <w:tcPr>
                  <w:tcW w:w="380" w:type="pct"/>
                  <w:vMerge w:val="continue"/>
                  <w:tcBorders>
                    <w:tl2br w:val="nil"/>
                    <w:tr2bl w:val="nil"/>
                  </w:tcBorders>
                  <w:shd w:val="clear" w:color="auto" w:fill="auto"/>
                  <w:vAlign w:val="center"/>
                </w:tcPr>
                <w:p w14:paraId="7853DA89">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p>
              </w:tc>
              <w:tc>
                <w:tcPr>
                  <w:tcW w:w="367" w:type="pct"/>
                  <w:tcBorders>
                    <w:tl2br w:val="nil"/>
                    <w:tr2bl w:val="nil"/>
                  </w:tcBorders>
                  <w:shd w:val="clear" w:color="auto" w:fill="auto"/>
                  <w:vAlign w:val="center"/>
                </w:tcPr>
                <w:p w14:paraId="4F6359C2">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固体</w:t>
                  </w:r>
                </w:p>
              </w:tc>
              <w:tc>
                <w:tcPr>
                  <w:tcW w:w="473" w:type="pct"/>
                  <w:vMerge w:val="continue"/>
                  <w:tcBorders>
                    <w:tl2br w:val="nil"/>
                    <w:tr2bl w:val="nil"/>
                  </w:tcBorders>
                  <w:shd w:val="clear" w:color="auto" w:fill="auto"/>
                  <w:vAlign w:val="center"/>
                </w:tcPr>
                <w:p w14:paraId="5CE1944D">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557" w:type="pct"/>
                  <w:vMerge w:val="continue"/>
                  <w:tcBorders>
                    <w:tl2br w:val="nil"/>
                    <w:tr2bl w:val="nil"/>
                  </w:tcBorders>
                  <w:shd w:val="clear" w:color="auto" w:fill="auto"/>
                  <w:vAlign w:val="center"/>
                </w:tcPr>
                <w:p w14:paraId="0CBF8FF5">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1149" w:type="pct"/>
                  <w:vMerge w:val="continue"/>
                  <w:tcBorders>
                    <w:tl2br w:val="nil"/>
                    <w:tr2bl w:val="nil"/>
                  </w:tcBorders>
                  <w:shd w:val="clear" w:color="auto" w:fill="auto"/>
                  <w:vAlign w:val="center"/>
                </w:tcPr>
                <w:p w14:paraId="3754B8AD">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393" w:type="pct"/>
                  <w:vMerge w:val="continue"/>
                  <w:tcBorders>
                    <w:tl2br w:val="nil"/>
                    <w:tr2bl w:val="nil"/>
                  </w:tcBorders>
                  <w:shd w:val="clear" w:color="auto" w:fill="auto"/>
                  <w:vAlign w:val="center"/>
                </w:tcPr>
                <w:p w14:paraId="35134C90">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728C39D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616" w:type="pct"/>
                  <w:tcBorders>
                    <w:tl2br w:val="nil"/>
                    <w:tr2bl w:val="nil"/>
                  </w:tcBorders>
                  <w:shd w:val="clear" w:color="auto" w:fill="auto"/>
                  <w:vAlign w:val="center"/>
                </w:tcPr>
                <w:p w14:paraId="55806A52">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废活性炭</w:t>
                  </w:r>
                </w:p>
              </w:tc>
              <w:tc>
                <w:tcPr>
                  <w:tcW w:w="339" w:type="pct"/>
                  <w:tcBorders>
                    <w:tl2br w:val="nil"/>
                    <w:tr2bl w:val="nil"/>
                  </w:tcBorders>
                  <w:shd w:val="clear" w:color="auto" w:fill="auto"/>
                  <w:vAlign w:val="center"/>
                </w:tcPr>
                <w:p w14:paraId="685788BF">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HW49</w:t>
                  </w:r>
                </w:p>
              </w:tc>
              <w:tc>
                <w:tcPr>
                  <w:tcW w:w="722" w:type="pct"/>
                  <w:tcBorders>
                    <w:tl2br w:val="nil"/>
                    <w:tr2bl w:val="nil"/>
                  </w:tcBorders>
                  <w:shd w:val="clear" w:color="auto" w:fill="auto"/>
                  <w:vAlign w:val="center"/>
                </w:tcPr>
                <w:p w14:paraId="307F0C62">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cs="宋体"/>
                      <w:color w:val="000000" w:themeColor="text1"/>
                      <w:spacing w:val="-1"/>
                      <w:sz w:val="18"/>
                      <w:szCs w:val="18"/>
                      <w:u w:val="none" w:color="auto"/>
                      <w:lang w:val="en-US" w:eastAsia="zh-CN"/>
                      <w14:textFill>
                        <w14:solidFill>
                          <w14:schemeClr w14:val="tx1"/>
                        </w14:solidFill>
                      </w14:textFill>
                    </w:rPr>
                    <w:t>39</w:t>
                  </w:r>
                  <w:r>
                    <w:rPr>
                      <w:rFonts w:hint="eastAsia" w:ascii="宋体" w:hAnsi="宋体" w:eastAsia="宋体" w:cs="宋体"/>
                      <w:color w:val="000000" w:themeColor="text1"/>
                      <w:spacing w:val="-1"/>
                      <w:sz w:val="18"/>
                      <w:szCs w:val="18"/>
                      <w:u w:val="none" w:color="auto"/>
                      <w14:textFill>
                        <w14:solidFill>
                          <w14:schemeClr w14:val="tx1"/>
                        </w14:solidFill>
                      </w14:textFill>
                    </w:rPr>
                    <w:t>-49</w:t>
                  </w:r>
                </w:p>
              </w:tc>
              <w:tc>
                <w:tcPr>
                  <w:tcW w:w="380" w:type="pct"/>
                  <w:vMerge w:val="continue"/>
                  <w:tcBorders>
                    <w:tl2br w:val="nil"/>
                    <w:tr2bl w:val="nil"/>
                  </w:tcBorders>
                  <w:shd w:val="clear" w:color="auto" w:fill="auto"/>
                  <w:vAlign w:val="center"/>
                </w:tcPr>
                <w:p w14:paraId="71D4D7D5">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367" w:type="pct"/>
                  <w:tcBorders>
                    <w:tl2br w:val="nil"/>
                    <w:tr2bl w:val="nil"/>
                  </w:tcBorders>
                  <w:shd w:val="clear" w:color="auto" w:fill="auto"/>
                  <w:vAlign w:val="center"/>
                </w:tcPr>
                <w:p w14:paraId="77549DAF">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固体</w:t>
                  </w:r>
                </w:p>
              </w:tc>
              <w:tc>
                <w:tcPr>
                  <w:tcW w:w="473" w:type="pct"/>
                  <w:vMerge w:val="continue"/>
                  <w:tcBorders>
                    <w:tl2br w:val="nil"/>
                    <w:tr2bl w:val="nil"/>
                  </w:tcBorders>
                  <w:shd w:val="clear" w:color="auto" w:fill="auto"/>
                  <w:vAlign w:val="center"/>
                </w:tcPr>
                <w:p w14:paraId="2D4A60C7">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557" w:type="pct"/>
                  <w:vMerge w:val="continue"/>
                  <w:tcBorders>
                    <w:tl2br w:val="nil"/>
                    <w:tr2bl w:val="nil"/>
                  </w:tcBorders>
                  <w:shd w:val="clear" w:color="auto" w:fill="auto"/>
                  <w:vAlign w:val="center"/>
                </w:tcPr>
                <w:p w14:paraId="31274DB1">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1149" w:type="pct"/>
                  <w:vMerge w:val="continue"/>
                  <w:tcBorders>
                    <w:tl2br w:val="nil"/>
                    <w:tr2bl w:val="nil"/>
                  </w:tcBorders>
                  <w:shd w:val="clear" w:color="auto" w:fill="auto"/>
                  <w:vAlign w:val="center"/>
                </w:tcPr>
                <w:p w14:paraId="1746B742">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393" w:type="pct"/>
                  <w:vMerge w:val="continue"/>
                  <w:tcBorders>
                    <w:tl2br w:val="nil"/>
                    <w:tr2bl w:val="nil"/>
                  </w:tcBorders>
                  <w:shd w:val="clear" w:color="auto" w:fill="auto"/>
                  <w:vAlign w:val="center"/>
                </w:tcPr>
                <w:p w14:paraId="62D74408">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4E3D37E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616" w:type="pct"/>
                  <w:tcBorders>
                    <w:tl2br w:val="nil"/>
                    <w:tr2bl w:val="nil"/>
                  </w:tcBorders>
                  <w:shd w:val="clear" w:color="auto" w:fill="auto"/>
                  <w:vAlign w:val="center"/>
                </w:tcPr>
                <w:p w14:paraId="44E625FC">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含汞废物</w:t>
                  </w:r>
                </w:p>
              </w:tc>
              <w:tc>
                <w:tcPr>
                  <w:tcW w:w="339" w:type="pct"/>
                  <w:tcBorders>
                    <w:tl2br w:val="nil"/>
                    <w:tr2bl w:val="nil"/>
                  </w:tcBorders>
                  <w:shd w:val="clear" w:color="auto" w:fill="auto"/>
                  <w:vAlign w:val="center"/>
                </w:tcPr>
                <w:p w14:paraId="3B7C4BD6">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HW29</w:t>
                  </w:r>
                </w:p>
              </w:tc>
              <w:tc>
                <w:tcPr>
                  <w:tcW w:w="722" w:type="pct"/>
                  <w:tcBorders>
                    <w:tl2br w:val="nil"/>
                    <w:tr2bl w:val="nil"/>
                  </w:tcBorders>
                  <w:shd w:val="clear" w:color="auto" w:fill="auto"/>
                  <w:vAlign w:val="center"/>
                </w:tcPr>
                <w:p w14:paraId="3496BC73">
                  <w:pPr>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eastAsia="宋体" w:cs="宋体"/>
                      <w:color w:val="000000" w:themeColor="text1"/>
                      <w:spacing w:val="-1"/>
                      <w:sz w:val="18"/>
                      <w:szCs w:val="18"/>
                      <w:u w:val="none" w:color="auto"/>
                      <w14:textFill>
                        <w14:solidFill>
                          <w14:schemeClr w14:val="tx1"/>
                        </w14:solidFill>
                      </w14:textFill>
                    </w:rPr>
                    <w:t>23-29</w:t>
                  </w:r>
                </w:p>
              </w:tc>
              <w:tc>
                <w:tcPr>
                  <w:tcW w:w="380" w:type="pct"/>
                  <w:vMerge w:val="continue"/>
                  <w:tcBorders>
                    <w:tl2br w:val="nil"/>
                    <w:tr2bl w:val="nil"/>
                  </w:tcBorders>
                  <w:shd w:val="clear" w:color="auto" w:fill="auto"/>
                  <w:vAlign w:val="center"/>
                </w:tcPr>
                <w:p w14:paraId="4F3D254E">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p>
              </w:tc>
              <w:tc>
                <w:tcPr>
                  <w:tcW w:w="367" w:type="pct"/>
                  <w:tcBorders>
                    <w:tl2br w:val="nil"/>
                    <w:tr2bl w:val="nil"/>
                  </w:tcBorders>
                  <w:shd w:val="clear" w:color="auto" w:fill="auto"/>
                  <w:vAlign w:val="center"/>
                </w:tcPr>
                <w:p w14:paraId="6E987897">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固体</w:t>
                  </w:r>
                </w:p>
              </w:tc>
              <w:tc>
                <w:tcPr>
                  <w:tcW w:w="473" w:type="pct"/>
                  <w:vMerge w:val="continue"/>
                  <w:tcBorders>
                    <w:tl2br w:val="nil"/>
                    <w:tr2bl w:val="nil"/>
                  </w:tcBorders>
                  <w:shd w:val="clear" w:color="auto" w:fill="auto"/>
                  <w:vAlign w:val="center"/>
                </w:tcPr>
                <w:p w14:paraId="07D02DD2">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557" w:type="pct"/>
                  <w:vMerge w:val="continue"/>
                  <w:tcBorders>
                    <w:tl2br w:val="nil"/>
                    <w:tr2bl w:val="nil"/>
                  </w:tcBorders>
                  <w:shd w:val="clear" w:color="auto" w:fill="auto"/>
                  <w:vAlign w:val="center"/>
                </w:tcPr>
                <w:p w14:paraId="076B6561">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1149" w:type="pct"/>
                  <w:vMerge w:val="continue"/>
                  <w:tcBorders>
                    <w:tl2br w:val="nil"/>
                    <w:tr2bl w:val="nil"/>
                  </w:tcBorders>
                  <w:shd w:val="clear" w:color="auto" w:fill="auto"/>
                  <w:vAlign w:val="center"/>
                </w:tcPr>
                <w:p w14:paraId="5A2487E7">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393" w:type="pct"/>
                  <w:vMerge w:val="continue"/>
                  <w:tcBorders>
                    <w:tl2br w:val="nil"/>
                    <w:tr2bl w:val="nil"/>
                  </w:tcBorders>
                  <w:shd w:val="clear" w:color="auto" w:fill="auto"/>
                  <w:vAlign w:val="center"/>
                </w:tcPr>
                <w:p w14:paraId="583A0F8E">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708FFB4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616" w:type="pct"/>
                  <w:tcBorders>
                    <w:tl2br w:val="nil"/>
                    <w:tr2bl w:val="nil"/>
                  </w:tcBorders>
                  <w:shd w:val="clear" w:color="auto" w:fill="auto"/>
                  <w:vAlign w:val="center"/>
                </w:tcPr>
                <w:p w14:paraId="373540B4">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spacing w:val="-2"/>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石棉废物</w:t>
                  </w:r>
                </w:p>
              </w:tc>
              <w:tc>
                <w:tcPr>
                  <w:tcW w:w="339" w:type="pct"/>
                  <w:tcBorders>
                    <w:tl2br w:val="nil"/>
                    <w:tr2bl w:val="nil"/>
                  </w:tcBorders>
                  <w:shd w:val="clear" w:color="auto" w:fill="auto"/>
                  <w:vAlign w:val="center"/>
                </w:tcPr>
                <w:p w14:paraId="19314966">
                  <w:pPr>
                    <w:pStyle w:val="119"/>
                    <w:keepNext w:val="0"/>
                    <w:keepLines w:val="0"/>
                    <w:pageBreakBefore w:val="0"/>
                    <w:kinsoku/>
                    <w:wordWrap/>
                    <w:overflowPunct w:val="0"/>
                    <w:topLinePunct w:val="0"/>
                    <w:autoSpaceDE w:val="0"/>
                    <w:autoSpaceDN w:val="0"/>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HW36</w:t>
                  </w:r>
                </w:p>
              </w:tc>
              <w:tc>
                <w:tcPr>
                  <w:tcW w:w="722" w:type="pct"/>
                  <w:tcBorders>
                    <w:tl2br w:val="nil"/>
                    <w:tr2bl w:val="nil"/>
                  </w:tcBorders>
                  <w:shd w:val="clear" w:color="auto" w:fill="auto"/>
                  <w:vAlign w:val="center"/>
                </w:tcPr>
                <w:p w14:paraId="5036D501">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900-030-36</w:t>
                  </w:r>
                </w:p>
              </w:tc>
              <w:tc>
                <w:tcPr>
                  <w:tcW w:w="380" w:type="pct"/>
                  <w:vMerge w:val="continue"/>
                  <w:tcBorders>
                    <w:tl2br w:val="nil"/>
                    <w:tr2bl w:val="nil"/>
                  </w:tcBorders>
                  <w:shd w:val="clear" w:color="auto" w:fill="auto"/>
                  <w:vAlign w:val="center"/>
                </w:tcPr>
                <w:p w14:paraId="2D0F8683">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p>
              </w:tc>
              <w:tc>
                <w:tcPr>
                  <w:tcW w:w="367" w:type="pct"/>
                  <w:tcBorders>
                    <w:tl2br w:val="nil"/>
                    <w:tr2bl w:val="nil"/>
                  </w:tcBorders>
                  <w:shd w:val="clear" w:color="auto" w:fill="auto"/>
                  <w:vAlign w:val="center"/>
                </w:tcPr>
                <w:p w14:paraId="3FBC5D07">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固体</w:t>
                  </w:r>
                </w:p>
              </w:tc>
              <w:tc>
                <w:tcPr>
                  <w:tcW w:w="473" w:type="pct"/>
                  <w:vMerge w:val="continue"/>
                  <w:tcBorders>
                    <w:tl2br w:val="nil"/>
                    <w:tr2bl w:val="nil"/>
                  </w:tcBorders>
                  <w:shd w:val="clear" w:color="auto" w:fill="auto"/>
                  <w:vAlign w:val="center"/>
                </w:tcPr>
                <w:p w14:paraId="0B14E080">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557" w:type="pct"/>
                  <w:vMerge w:val="continue"/>
                  <w:tcBorders>
                    <w:tl2br w:val="nil"/>
                    <w:tr2bl w:val="nil"/>
                  </w:tcBorders>
                  <w:shd w:val="clear" w:color="auto" w:fill="auto"/>
                  <w:vAlign w:val="center"/>
                </w:tcPr>
                <w:p w14:paraId="455D5123">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1149" w:type="pct"/>
                  <w:vMerge w:val="continue"/>
                  <w:tcBorders>
                    <w:tl2br w:val="nil"/>
                    <w:tr2bl w:val="nil"/>
                  </w:tcBorders>
                  <w:shd w:val="clear" w:color="auto" w:fill="auto"/>
                  <w:vAlign w:val="center"/>
                </w:tcPr>
                <w:p w14:paraId="29504BE1">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393" w:type="pct"/>
                  <w:vMerge w:val="continue"/>
                  <w:tcBorders>
                    <w:tl2br w:val="nil"/>
                    <w:tr2bl w:val="nil"/>
                  </w:tcBorders>
                  <w:shd w:val="clear" w:color="auto" w:fill="auto"/>
                  <w:vAlign w:val="center"/>
                </w:tcPr>
                <w:p w14:paraId="154FC5A0">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2B14A74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616" w:type="pct"/>
                  <w:tcBorders>
                    <w:tl2br w:val="nil"/>
                    <w:tr2bl w:val="nil"/>
                  </w:tcBorders>
                  <w:shd w:val="clear" w:color="auto" w:fill="auto"/>
                  <w:vAlign w:val="center"/>
                </w:tcPr>
                <w:p w14:paraId="7F6A5D06">
                  <w:pPr>
                    <w:keepNext w:val="0"/>
                    <w:keepLines w:val="0"/>
                    <w:pageBreakBefore w:val="0"/>
                    <w:widowControl/>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废含油手套抹布</w:t>
                  </w:r>
                </w:p>
              </w:tc>
              <w:tc>
                <w:tcPr>
                  <w:tcW w:w="339" w:type="pct"/>
                  <w:tcBorders>
                    <w:tl2br w:val="nil"/>
                    <w:tr2bl w:val="nil"/>
                  </w:tcBorders>
                  <w:shd w:val="clear" w:color="auto" w:fill="auto"/>
                  <w:vAlign w:val="center"/>
                </w:tcPr>
                <w:p w14:paraId="23A90FBF">
                  <w:pPr>
                    <w:widowControl/>
                    <w:jc w:val="center"/>
                    <w:textAlignment w:val="center"/>
                    <w:rPr>
                      <w:rFonts w:hint="eastAsia" w:ascii="宋体" w:hAnsi="宋体" w:eastAsia="宋体" w:cs="宋体"/>
                      <w:color w:val="000000" w:themeColor="text1"/>
                      <w:kern w:val="0"/>
                      <w:sz w:val="18"/>
                      <w:szCs w:val="18"/>
                      <w:lang w:val="en-US" w:eastAsia="zh-CN" w:bidi="ar"/>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HW</w:t>
                  </w:r>
                  <w:r>
                    <w:rPr>
                      <w:rFonts w:hint="eastAsia" w:ascii="宋体" w:hAnsi="宋体" w:cs="宋体"/>
                      <w:color w:val="000000" w:themeColor="text1"/>
                      <w:kern w:val="0"/>
                      <w:sz w:val="18"/>
                      <w:szCs w:val="18"/>
                      <w:lang w:val="en-US" w:eastAsia="zh-CN" w:bidi="ar"/>
                      <w14:textFill>
                        <w14:solidFill>
                          <w14:schemeClr w14:val="tx1"/>
                        </w14:solidFill>
                      </w14:textFill>
                    </w:rPr>
                    <w:t>49</w:t>
                  </w:r>
                </w:p>
              </w:tc>
              <w:tc>
                <w:tcPr>
                  <w:tcW w:w="722" w:type="pct"/>
                  <w:tcBorders>
                    <w:tl2br w:val="nil"/>
                    <w:tr2bl w:val="nil"/>
                  </w:tcBorders>
                  <w:shd w:val="clear" w:color="auto" w:fill="auto"/>
                  <w:vAlign w:val="center"/>
                </w:tcPr>
                <w:p w14:paraId="09711584">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2"/>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900-</w:t>
                  </w:r>
                  <w:r>
                    <w:rPr>
                      <w:rFonts w:hint="eastAsia" w:ascii="宋体" w:hAnsi="宋体" w:cs="宋体"/>
                      <w:color w:val="000000" w:themeColor="text1"/>
                      <w:kern w:val="0"/>
                      <w:sz w:val="18"/>
                      <w:szCs w:val="18"/>
                      <w:lang w:val="en-US" w:eastAsia="zh-CN" w:bidi="ar"/>
                      <w14:textFill>
                        <w14:solidFill>
                          <w14:schemeClr w14:val="tx1"/>
                        </w14:solidFill>
                      </w14:textFill>
                    </w:rPr>
                    <w:t>041</w:t>
                  </w:r>
                  <w:r>
                    <w:rPr>
                      <w:rFonts w:hint="eastAsia" w:ascii="宋体" w:hAnsi="宋体" w:eastAsia="宋体" w:cs="宋体"/>
                      <w:color w:val="000000" w:themeColor="text1"/>
                      <w:kern w:val="0"/>
                      <w:sz w:val="18"/>
                      <w:szCs w:val="18"/>
                      <w:lang w:bidi="ar"/>
                      <w14:textFill>
                        <w14:solidFill>
                          <w14:schemeClr w14:val="tx1"/>
                        </w14:solidFill>
                      </w14:textFill>
                    </w:rPr>
                    <w:t>-</w:t>
                  </w:r>
                  <w:r>
                    <w:rPr>
                      <w:rFonts w:hint="eastAsia" w:ascii="宋体" w:hAnsi="宋体" w:cs="宋体"/>
                      <w:color w:val="000000" w:themeColor="text1"/>
                      <w:kern w:val="0"/>
                      <w:sz w:val="18"/>
                      <w:szCs w:val="18"/>
                      <w:lang w:val="en-US" w:eastAsia="zh-CN" w:bidi="ar"/>
                      <w14:textFill>
                        <w14:solidFill>
                          <w14:schemeClr w14:val="tx1"/>
                        </w14:solidFill>
                      </w14:textFill>
                    </w:rPr>
                    <w:t>49</w:t>
                  </w:r>
                </w:p>
              </w:tc>
              <w:tc>
                <w:tcPr>
                  <w:tcW w:w="380" w:type="pct"/>
                  <w:vMerge w:val="continue"/>
                  <w:tcBorders>
                    <w:tl2br w:val="nil"/>
                    <w:tr2bl w:val="nil"/>
                  </w:tcBorders>
                  <w:shd w:val="clear" w:color="auto" w:fill="auto"/>
                  <w:vAlign w:val="center"/>
                </w:tcPr>
                <w:p w14:paraId="26904F97">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c>
                <w:tcPr>
                  <w:tcW w:w="367" w:type="pct"/>
                  <w:tcBorders>
                    <w:tl2br w:val="nil"/>
                    <w:tr2bl w:val="nil"/>
                  </w:tcBorders>
                  <w:shd w:val="clear" w:color="auto" w:fill="auto"/>
                  <w:vAlign w:val="center"/>
                </w:tcPr>
                <w:p w14:paraId="3E5CF29A">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固体</w:t>
                  </w:r>
                </w:p>
              </w:tc>
              <w:tc>
                <w:tcPr>
                  <w:tcW w:w="473" w:type="pct"/>
                  <w:vMerge w:val="continue"/>
                  <w:tcBorders>
                    <w:tl2br w:val="nil"/>
                    <w:tr2bl w:val="nil"/>
                  </w:tcBorders>
                  <w:shd w:val="clear" w:color="auto" w:fill="auto"/>
                  <w:vAlign w:val="center"/>
                </w:tcPr>
                <w:p w14:paraId="40CC4191">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spacing w:val="-1"/>
                      <w:sz w:val="18"/>
                      <w:szCs w:val="18"/>
                      <w:u w:val="none" w:color="auto"/>
                      <w14:textFill>
                        <w14:solidFill>
                          <w14:schemeClr w14:val="tx1"/>
                        </w14:solidFill>
                      </w14:textFill>
                    </w:rPr>
                  </w:pPr>
                </w:p>
              </w:tc>
              <w:tc>
                <w:tcPr>
                  <w:tcW w:w="557" w:type="pct"/>
                  <w:vMerge w:val="continue"/>
                  <w:tcBorders>
                    <w:tl2br w:val="nil"/>
                    <w:tr2bl w:val="nil"/>
                  </w:tcBorders>
                  <w:shd w:val="clear" w:color="auto" w:fill="auto"/>
                  <w:vAlign w:val="center"/>
                </w:tcPr>
                <w:p w14:paraId="3FC6B907">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spacing w:val="-1"/>
                      <w:sz w:val="18"/>
                      <w:szCs w:val="18"/>
                      <w:u w:val="none" w:color="auto"/>
                      <w14:textFill>
                        <w14:solidFill>
                          <w14:schemeClr w14:val="tx1"/>
                        </w14:solidFill>
                      </w14:textFill>
                    </w:rPr>
                  </w:pPr>
                </w:p>
              </w:tc>
              <w:tc>
                <w:tcPr>
                  <w:tcW w:w="1149" w:type="pct"/>
                  <w:vMerge w:val="continue"/>
                  <w:tcBorders>
                    <w:tl2br w:val="nil"/>
                    <w:tr2bl w:val="nil"/>
                  </w:tcBorders>
                  <w:shd w:val="clear" w:color="auto" w:fill="auto"/>
                  <w:vAlign w:val="center"/>
                </w:tcPr>
                <w:p w14:paraId="4EB3961D">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spacing w:val="-1"/>
                      <w:sz w:val="18"/>
                      <w:szCs w:val="18"/>
                      <w:u w:val="none" w:color="auto"/>
                      <w14:textFill>
                        <w14:solidFill>
                          <w14:schemeClr w14:val="tx1"/>
                        </w14:solidFill>
                      </w14:textFill>
                    </w:rPr>
                  </w:pPr>
                </w:p>
              </w:tc>
              <w:tc>
                <w:tcPr>
                  <w:tcW w:w="393" w:type="pct"/>
                  <w:vMerge w:val="continue"/>
                  <w:tcBorders>
                    <w:tl2br w:val="nil"/>
                    <w:tr2bl w:val="nil"/>
                  </w:tcBorders>
                  <w:shd w:val="clear" w:color="auto" w:fill="auto"/>
                  <w:vAlign w:val="center"/>
                </w:tcPr>
                <w:p w14:paraId="59C26C7D">
                  <w:pPr>
                    <w:keepNext w:val="0"/>
                    <w:keepLines w:val="0"/>
                    <w:pageBreakBefore w:val="0"/>
                    <w:widowControl/>
                    <w:suppressLineNumbers w:val="0"/>
                    <w:kinsoku/>
                    <w:wordWrap/>
                    <w:overflowPunct w:val="0"/>
                    <w:topLinePunct w:val="0"/>
                    <w:autoSpaceDE w:val="0"/>
                    <w:autoSpaceDN w:val="0"/>
                    <w:bidi w:val="0"/>
                    <w:adjustRightInd/>
                    <w:snapToGrid/>
                    <w:spacing w:line="240" w:lineRule="atLeast"/>
                    <w:jc w:val="center"/>
                    <w:textAlignment w:val="center"/>
                    <w:rPr>
                      <w:rFonts w:hint="eastAsia" w:ascii="宋体" w:hAnsi="宋体" w:eastAsia="宋体" w:cs="宋体"/>
                      <w:color w:val="000000" w:themeColor="text1"/>
                      <w:spacing w:val="-1"/>
                      <w:sz w:val="18"/>
                      <w:szCs w:val="18"/>
                      <w:u w:val="none" w:color="auto"/>
                      <w14:textFill>
                        <w14:solidFill>
                          <w14:schemeClr w14:val="tx1"/>
                        </w14:solidFill>
                      </w14:textFill>
                    </w:rPr>
                  </w:pPr>
                </w:p>
              </w:tc>
            </w:tr>
          </w:tbl>
          <w:p w14:paraId="5BA7A2F7">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rightChars="0"/>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注，</w:t>
            </w:r>
            <w:r>
              <w:rPr>
                <w:rFonts w:hint="eastAsia" w:cs="宋体"/>
                <w:b w:val="0"/>
                <w:bCs w:val="0"/>
                <w:color w:val="000000" w:themeColor="text1"/>
                <w:sz w:val="21"/>
                <w:szCs w:val="21"/>
                <w:highlight w:val="none"/>
                <w:lang w:val="en-US" w:eastAsia="zh-CN"/>
                <w14:textFill>
                  <w14:solidFill>
                    <w14:schemeClr w14:val="tx1"/>
                  </w14:solidFill>
                </w14:textFill>
              </w:rPr>
              <w:t>危废暂存设施共三个，</w:t>
            </w:r>
            <w:r>
              <w:rPr>
                <w:rFonts w:ascii="宋体" w:hAnsi="宋体" w:eastAsia="宋体" w:cs="宋体"/>
                <w:color w:val="000000" w:themeColor="text1"/>
                <w:spacing w:val="7"/>
                <w:sz w:val="20"/>
                <w:szCs w:val="20"/>
                <w14:textFill>
                  <w14:solidFill>
                    <w14:schemeClr w14:val="tx1"/>
                  </w14:solidFill>
                </w14:textFill>
              </w:rPr>
              <w:t>实时贮存量</w:t>
            </w:r>
            <w:r>
              <w:rPr>
                <w:rFonts w:hint="eastAsia" w:ascii="宋体" w:hAnsi="宋体" w:eastAsia="宋体" w:cs="宋体"/>
                <w:color w:val="000000" w:themeColor="text1"/>
                <w:spacing w:val="7"/>
                <w:sz w:val="20"/>
                <w:szCs w:val="20"/>
                <w:lang w:val="en-US" w:eastAsia="zh-CN"/>
                <w14:textFill>
                  <w14:solidFill>
                    <w14:schemeClr w14:val="tx1"/>
                  </w14:solidFill>
                </w14:textFill>
              </w:rPr>
              <w:t>均</w:t>
            </w:r>
            <w:r>
              <w:rPr>
                <w:rFonts w:ascii="宋体" w:hAnsi="宋体" w:eastAsia="宋体" w:cs="宋体"/>
                <w:color w:val="000000" w:themeColor="text1"/>
                <w:spacing w:val="7"/>
                <w:sz w:val="20"/>
                <w:szCs w:val="20"/>
                <w14:textFill>
                  <w14:solidFill>
                    <w14:schemeClr w14:val="tx1"/>
                  </w14:solidFill>
                </w14:textFill>
              </w:rPr>
              <w:t>超过</w:t>
            </w:r>
            <w:r>
              <w:rPr>
                <w:rFonts w:ascii="宋体" w:hAnsi="宋体" w:eastAsia="宋体" w:cs="宋体"/>
                <w:color w:val="000000" w:themeColor="text1"/>
                <w:spacing w:val="-21"/>
                <w:sz w:val="20"/>
                <w:szCs w:val="20"/>
                <w14:textFill>
                  <w14:solidFill>
                    <w14:schemeClr w14:val="tx1"/>
                  </w14:solidFill>
                </w14:textFill>
              </w:rPr>
              <w:t xml:space="preserve"> </w:t>
            </w:r>
            <w:r>
              <w:rPr>
                <w:rFonts w:ascii="Times New Roman" w:hAnsi="Times New Roman" w:eastAsia="Times New Roman" w:cs="Times New Roman"/>
                <w:color w:val="000000" w:themeColor="text1"/>
                <w:spacing w:val="7"/>
                <w:sz w:val="20"/>
                <w:szCs w:val="20"/>
                <w14:textFill>
                  <w14:solidFill>
                    <w14:schemeClr w14:val="tx1"/>
                  </w14:solidFill>
                </w14:textFill>
              </w:rPr>
              <w:t>3</w:t>
            </w:r>
            <w:r>
              <w:rPr>
                <w:rFonts w:ascii="Times New Roman" w:hAnsi="Times New Roman" w:eastAsia="Times New Roman" w:cs="Times New Roman"/>
                <w:color w:val="000000" w:themeColor="text1"/>
                <w:spacing w:val="22"/>
                <w:w w:val="101"/>
                <w:sz w:val="20"/>
                <w:szCs w:val="20"/>
                <w14:textFill>
                  <w14:solidFill>
                    <w14:schemeClr w14:val="tx1"/>
                  </w14:solidFill>
                </w14:textFill>
              </w:rPr>
              <w:t xml:space="preserve"> </w:t>
            </w:r>
            <w:r>
              <w:rPr>
                <w:rFonts w:ascii="宋体" w:hAnsi="宋体" w:eastAsia="宋体" w:cs="宋体"/>
                <w:color w:val="000000" w:themeColor="text1"/>
                <w:spacing w:val="7"/>
                <w:sz w:val="20"/>
                <w:szCs w:val="20"/>
                <w14:textFill>
                  <w14:solidFill>
                    <w14:schemeClr w14:val="tx1"/>
                  </w14:solidFill>
                </w14:textFill>
              </w:rPr>
              <w:t>吨</w:t>
            </w:r>
            <w:r>
              <w:rPr>
                <w:rFonts w:hint="eastAsia" w:ascii="宋体" w:hAnsi="宋体" w:eastAsia="宋体" w:cs="宋体"/>
                <w:color w:val="000000" w:themeColor="text1"/>
                <w:spacing w:val="7"/>
                <w:sz w:val="20"/>
                <w:szCs w:val="20"/>
                <w:lang w:eastAsia="zh-CN"/>
                <w14:textFill>
                  <w14:solidFill>
                    <w14:schemeClr w14:val="tx1"/>
                  </w14:solidFill>
                </w14:textFill>
              </w:rPr>
              <w:t>，</w:t>
            </w:r>
            <w:r>
              <w:rPr>
                <w:rFonts w:hint="eastAsia" w:ascii="宋体" w:hAnsi="宋体" w:eastAsia="宋体" w:cs="宋体"/>
                <w:color w:val="000000" w:themeColor="text1"/>
                <w:spacing w:val="7"/>
                <w:sz w:val="20"/>
                <w:szCs w:val="20"/>
                <w:lang w:val="en-US" w:eastAsia="zh-CN"/>
                <w14:textFill>
                  <w14:solidFill>
                    <w14:schemeClr w14:val="tx1"/>
                  </w14:solidFill>
                </w14:textFill>
              </w:rPr>
              <w:t>因此属于危废暂存库。</w:t>
            </w:r>
          </w:p>
          <w:p w14:paraId="46D041DA">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000000" w:themeColor="text1"/>
                <w:lang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lang w:eastAsia="zh-CN"/>
                <w14:textFill>
                  <w14:solidFill>
                    <w14:schemeClr w14:val="tx1"/>
                  </w14:solidFill>
                </w14:textFill>
              </w:rPr>
              <w:t>环境要素影响分析</w:t>
            </w:r>
          </w:p>
          <w:p w14:paraId="06837A0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a)环境空气影响分析</w:t>
            </w:r>
          </w:p>
          <w:p w14:paraId="2E1C8B8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宋体" w:hAnsi="宋体" w:eastAsia="宋体" w:cs="宋体"/>
                <w:color w:val="000000" w:themeColor="text1"/>
                <w:highlight w:val="yellow"/>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cs="宋体"/>
                <w:color w:val="000000" w:themeColor="text1"/>
                <w:lang w:val="en-US" w:eastAsia="zh-CN"/>
                <w14:textFill>
                  <w14:solidFill>
                    <w14:schemeClr w14:val="tx1"/>
                  </w14:solidFill>
                </w14:textFill>
              </w:rPr>
              <w:t>通过分析（详见大气环境影响评价专章），危废暂存设施非甲烷总烃排放满足</w:t>
            </w:r>
            <w:r>
              <w:rPr>
                <w:rFonts w:hint="eastAsia" w:ascii="宋体" w:hAnsi="宋体" w:eastAsia="宋体" w:cs="宋体"/>
                <w:color w:val="000000" w:themeColor="text1"/>
                <w:highlight w:val="none"/>
                <w:lang w:val="en-US" w:eastAsia="zh-CN"/>
                <w14:textFill>
                  <w14:solidFill>
                    <w14:schemeClr w14:val="tx1"/>
                  </w14:solidFill>
                </w14:textFill>
              </w:rPr>
              <w:t>《挥发性有机物无组织排放控制标准》（GB37822-2019）</w:t>
            </w:r>
            <w:r>
              <w:rPr>
                <w:rFonts w:hint="eastAsia" w:cs="宋体"/>
                <w:color w:val="000000" w:themeColor="text1"/>
                <w:highlight w:val="none"/>
                <w:lang w:val="en-US" w:eastAsia="zh-CN"/>
                <w14:textFill>
                  <w14:solidFill>
                    <w14:schemeClr w14:val="tx1"/>
                  </w14:solidFill>
                </w14:textFill>
              </w:rPr>
              <w:t>，酸雾及铅尘满足</w:t>
            </w:r>
            <w:r>
              <w:rPr>
                <w:rFonts w:hint="eastAsia" w:ascii="宋体" w:hAnsi="宋体" w:eastAsia="宋体" w:cs="宋体"/>
                <w:color w:val="000000" w:themeColor="text1"/>
                <w:highlight w:val="none"/>
                <w:lang w:val="en-US" w:eastAsia="zh-CN"/>
                <w14:textFill>
                  <w14:solidFill>
                    <w14:schemeClr w14:val="tx1"/>
                  </w14:solidFill>
                </w14:textFill>
              </w:rPr>
              <w:t>《大气污染物综合排放标准》</w:t>
            </w:r>
            <w:r>
              <w:rPr>
                <w:rFonts w:hint="eastAsia" w:cs="宋体"/>
                <w:color w:val="000000" w:themeColor="text1"/>
                <w:highlight w:val="none"/>
                <w:lang w:val="en-US" w:eastAsia="zh-CN"/>
                <w14:textFill>
                  <w14:solidFill>
                    <w14:schemeClr w14:val="tx1"/>
                  </w14:solidFill>
                </w14:textFill>
              </w:rPr>
              <w:t>（GB16297-1996）</w:t>
            </w:r>
            <w:r>
              <w:rPr>
                <w:rFonts w:hint="eastAsia" w:ascii="宋体" w:hAnsi="宋体" w:eastAsia="宋体" w:cs="宋体"/>
                <w:color w:val="000000" w:themeColor="text1"/>
                <w:highlight w:val="none"/>
                <w:lang w:val="en-US" w:eastAsia="zh-CN"/>
                <w14:textFill>
                  <w14:solidFill>
                    <w14:schemeClr w14:val="tx1"/>
                  </w14:solidFill>
                </w14:textFill>
              </w:rPr>
              <w:t>中无组织排放监控浓度限值。因此本项目危险废物暂存废气对外界环境影响较小。</w:t>
            </w:r>
          </w:p>
          <w:p w14:paraId="49F8621B">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b)地表水</w:t>
            </w:r>
          </w:p>
          <w:p w14:paraId="35C93B9C">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cs="宋体"/>
                <w:color w:val="000000" w:themeColor="text1"/>
                <w:lang w:val="en-US" w:eastAsia="zh-CN"/>
                <w14:textFill>
                  <w14:solidFill>
                    <w14:schemeClr w14:val="tx1"/>
                  </w14:solidFill>
                </w14:textFill>
              </w:rPr>
              <w:t>暂存库</w:t>
            </w:r>
            <w:r>
              <w:rPr>
                <w:rFonts w:hint="eastAsia" w:ascii="宋体" w:hAnsi="宋体" w:eastAsia="宋体" w:cs="宋体"/>
                <w:color w:val="000000" w:themeColor="text1"/>
                <w:lang w:val="en-US" w:eastAsia="zh-CN"/>
                <w14:textFill>
                  <w14:solidFill>
                    <w14:schemeClr w14:val="tx1"/>
                  </w14:solidFill>
                </w14:textFill>
              </w:rPr>
              <w:t>无废水排放，企业只要严格按照相关要求管理不会对地表水环境产生不良影响。</w:t>
            </w:r>
          </w:p>
          <w:p w14:paraId="461C3E67">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c)</w:t>
            </w:r>
            <w:r>
              <w:rPr>
                <w:rFonts w:hint="eastAsia" w:ascii="宋体" w:hAnsi="宋体" w:eastAsia="宋体" w:cs="宋体"/>
                <w:color w:val="000000" w:themeColor="text1"/>
                <w14:textFill>
                  <w14:solidFill>
                    <w14:schemeClr w14:val="tx1"/>
                  </w14:solidFill>
                </w14:textFill>
              </w:rPr>
              <w:t>地下水、土壤</w:t>
            </w:r>
          </w:p>
          <w:p w14:paraId="69BB7055">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本项目可能造成土壤和地下水污染的途径，为事故时通过地面漫流或者垂直入渗的方式进入土壤和地下水中，导致土壤和地下水污染。事故泄漏时主要污染因子为pH、石油类</w:t>
            </w:r>
            <w:r>
              <w:rPr>
                <w:rFonts w:hint="eastAsia" w:ascii="宋体" w:hAnsi="宋体" w:eastAsia="宋体" w:cs="宋体"/>
                <w:color w:val="000000" w:themeColor="text1"/>
                <w:lang w:eastAsia="zh-CN"/>
                <w14:textFill>
                  <w14:solidFill>
                    <w14:schemeClr w14:val="tx1"/>
                  </w14:solidFill>
                </w14:textFill>
              </w:rPr>
              <w:t>以及重金属等</w:t>
            </w:r>
            <w:r>
              <w:rPr>
                <w:rFonts w:hint="eastAsia" w:ascii="宋体" w:hAnsi="宋体" w:eastAsia="宋体" w:cs="宋体"/>
                <w:color w:val="000000" w:themeColor="text1"/>
                <w14:textFill>
                  <w14:solidFill>
                    <w14:schemeClr w14:val="tx1"/>
                  </w14:solidFill>
                </w14:textFill>
              </w:rPr>
              <w:t>。</w:t>
            </w:r>
          </w:p>
          <w:p w14:paraId="335D3F55">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污染源和污染途径识别与分析</w:t>
            </w:r>
          </w:p>
          <w:p w14:paraId="5441374E">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项目可能产生的地下水、土壤污染的污染源及污染途径分析详见</w:t>
            </w:r>
            <w:r>
              <w:rPr>
                <w:rFonts w:hint="eastAsia" w:ascii="宋体" w:hAnsi="宋体" w:eastAsia="宋体" w:cs="宋体"/>
                <w:color w:val="000000" w:themeColor="text1"/>
                <w:lang w:val="en-US" w:eastAsia="zh-CN"/>
                <w14:textFill>
                  <w14:solidFill>
                    <w14:schemeClr w14:val="tx1"/>
                  </w14:solidFill>
                </w14:textFill>
              </w:rPr>
              <w:t>下表</w:t>
            </w:r>
            <w:r>
              <w:rPr>
                <w:rFonts w:hint="eastAsia" w:ascii="宋体" w:hAnsi="宋体" w:eastAsia="宋体" w:cs="宋体"/>
                <w:color w:val="000000" w:themeColor="text1"/>
                <w14:textFill>
                  <w14:solidFill>
                    <w14:schemeClr w14:val="tx1"/>
                  </w14:solidFill>
                </w14:textFill>
              </w:rPr>
              <w:t>。</w:t>
            </w:r>
          </w:p>
          <w:p w14:paraId="4CE6F183">
            <w:pPr>
              <w:pStyle w:val="119"/>
              <w:spacing w:before="166" w:line="219" w:lineRule="auto"/>
              <w:ind w:left="591"/>
              <w:rPr>
                <w:rFonts w:hint="default" w:eastAsia="宋体"/>
                <w:color w:val="000000" w:themeColor="text1"/>
                <w:spacing w:val="-1"/>
                <w:lang w:val="en-US" w:eastAsia="zh-CN"/>
                <w14:textFill>
                  <w14:solidFill>
                    <w14:schemeClr w14:val="tx1"/>
                  </w14:solidFill>
                </w14:textFill>
              </w:rPr>
            </w:pPr>
            <w:r>
              <w:rPr>
                <w:rFonts w:hint="eastAsia"/>
                <w:color w:val="000000" w:themeColor="text1"/>
                <w:spacing w:val="-1"/>
                <w:lang w:val="en-US" w:eastAsia="zh-CN"/>
                <w14:textFill>
                  <w14:solidFill>
                    <w14:schemeClr w14:val="tx1"/>
                  </w14:solidFill>
                </w14:textFill>
              </w:rPr>
              <w:t xml:space="preserve">  </w:t>
            </w:r>
            <w:r>
              <w:rPr>
                <w:b/>
                <w:bCs/>
                <w:color w:val="000000" w:themeColor="text1"/>
                <w:spacing w:val="7"/>
                <w:sz w:val="20"/>
                <w:szCs w:val="20"/>
                <w14:textFill>
                  <w14:solidFill>
                    <w14:schemeClr w14:val="tx1"/>
                  </w14:solidFill>
                </w14:textFill>
              </w:rPr>
              <w:t>表</w:t>
            </w:r>
            <w:r>
              <w:rPr>
                <w:color w:val="000000" w:themeColor="text1"/>
                <w:spacing w:val="-40"/>
                <w:sz w:val="20"/>
                <w:szCs w:val="20"/>
                <w14:textFill>
                  <w14:solidFill>
                    <w14:schemeClr w14:val="tx1"/>
                  </w14:solidFill>
                </w14:textFill>
              </w:rPr>
              <w:t xml:space="preserve"> </w:t>
            </w:r>
            <w:r>
              <w:rPr>
                <w:rFonts w:ascii="Times New Roman" w:hAnsi="Times New Roman" w:eastAsia="Times New Roman" w:cs="Times New Roman"/>
                <w:b/>
                <w:bCs/>
                <w:color w:val="000000" w:themeColor="text1"/>
                <w:spacing w:val="7"/>
                <w:sz w:val="20"/>
                <w:szCs w:val="20"/>
                <w14:textFill>
                  <w14:solidFill>
                    <w14:schemeClr w14:val="tx1"/>
                  </w14:solidFill>
                </w14:textFill>
              </w:rPr>
              <w:t>4-</w:t>
            </w:r>
            <w:r>
              <w:rPr>
                <w:rFonts w:hint="eastAsia" w:ascii="Times New Roman" w:hAnsi="Times New Roman" w:eastAsia="宋体" w:cs="Times New Roman"/>
                <w:b/>
                <w:bCs/>
                <w:color w:val="000000" w:themeColor="text1"/>
                <w:spacing w:val="7"/>
                <w:sz w:val="20"/>
                <w:szCs w:val="20"/>
                <w:lang w:val="en-US" w:eastAsia="zh-CN"/>
                <w14:textFill>
                  <w14:solidFill>
                    <w14:schemeClr w14:val="tx1"/>
                  </w14:solidFill>
                </w14:textFill>
              </w:rPr>
              <w:t>5</w:t>
            </w:r>
            <w:r>
              <w:rPr>
                <w:rFonts w:ascii="Times New Roman" w:hAnsi="Times New Roman" w:eastAsia="Times New Roman" w:cs="Times New Roman"/>
                <w:b/>
                <w:bCs/>
                <w:color w:val="000000" w:themeColor="text1"/>
                <w:spacing w:val="7"/>
                <w:sz w:val="20"/>
                <w:szCs w:val="20"/>
                <w14:textFill>
                  <w14:solidFill>
                    <w14:schemeClr w14:val="tx1"/>
                  </w14:solidFill>
                </w14:textFill>
              </w:rPr>
              <w:t xml:space="preserve">    </w:t>
            </w:r>
            <w:r>
              <w:rPr>
                <w:b/>
                <w:bCs/>
                <w:color w:val="000000" w:themeColor="text1"/>
                <w:spacing w:val="7"/>
                <w:sz w:val="20"/>
                <w:szCs w:val="20"/>
                <w14:textFill>
                  <w14:solidFill>
                    <w14:schemeClr w14:val="tx1"/>
                  </w14:solidFill>
                </w14:textFill>
              </w:rPr>
              <w:t>项目对地下水、土壤可能存在的污染途径分析</w:t>
            </w:r>
            <w:r>
              <w:rPr>
                <w:b/>
                <w:bCs/>
                <w:color w:val="000000" w:themeColor="text1"/>
                <w:spacing w:val="6"/>
                <w:sz w:val="20"/>
                <w:szCs w:val="20"/>
                <w14:textFill>
                  <w14:solidFill>
                    <w14:schemeClr w14:val="tx1"/>
                  </w14:solidFill>
                </w14:textFill>
              </w:rPr>
              <w:t>一览表</w:t>
            </w:r>
          </w:p>
          <w:tbl>
            <w:tblPr>
              <w:tblStyle w:val="108"/>
              <w:tblW w:w="4997" w:type="pct"/>
              <w:tblInd w:w="-8"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2830"/>
              <w:gridCol w:w="1717"/>
              <w:gridCol w:w="3933"/>
            </w:tblGrid>
            <w:tr w14:paraId="38DDF23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54" w:type="pct"/>
                  <w:tcBorders>
                    <w:tl2br w:val="nil"/>
                    <w:tr2bl w:val="nil"/>
                  </w:tcBorders>
                  <w:vAlign w:val="top"/>
                </w:tcPr>
                <w:p w14:paraId="56B090EB">
                  <w:pPr>
                    <w:pStyle w:val="119"/>
                    <w:spacing w:before="98" w:line="228" w:lineRule="auto"/>
                    <w:ind w:left="1216"/>
                    <w:rPr>
                      <w:color w:val="000000" w:themeColor="text1"/>
                      <w:sz w:val="20"/>
                      <w:szCs w:val="20"/>
                      <w14:textFill>
                        <w14:solidFill>
                          <w14:schemeClr w14:val="tx1"/>
                        </w14:solidFill>
                      </w14:textFill>
                    </w:rPr>
                  </w:pPr>
                  <w:r>
                    <w:rPr>
                      <w:color w:val="000000" w:themeColor="text1"/>
                      <w:spacing w:val="-3"/>
                      <w:sz w:val="20"/>
                      <w:szCs w:val="20"/>
                      <w14:textFill>
                        <w14:solidFill>
                          <w14:schemeClr w14:val="tx1"/>
                        </w14:solidFill>
                      </w14:textFill>
                    </w:rPr>
                    <w:t>区域</w:t>
                  </w:r>
                </w:p>
              </w:tc>
              <w:tc>
                <w:tcPr>
                  <w:tcW w:w="943" w:type="pct"/>
                  <w:tcBorders>
                    <w:tl2br w:val="nil"/>
                    <w:tr2bl w:val="nil"/>
                  </w:tcBorders>
                  <w:vAlign w:val="top"/>
                </w:tcPr>
                <w:p w14:paraId="148F9D02">
                  <w:pPr>
                    <w:pStyle w:val="119"/>
                    <w:spacing w:before="98" w:line="228" w:lineRule="auto"/>
                    <w:ind w:left="547"/>
                    <w:rPr>
                      <w:color w:val="000000" w:themeColor="text1"/>
                      <w:sz w:val="20"/>
                      <w:szCs w:val="20"/>
                      <w14:textFill>
                        <w14:solidFill>
                          <w14:schemeClr w14:val="tx1"/>
                        </w14:solidFill>
                      </w14:textFill>
                    </w:rPr>
                  </w:pPr>
                  <w:r>
                    <w:rPr>
                      <w:color w:val="000000" w:themeColor="text1"/>
                      <w:spacing w:val="6"/>
                      <w:sz w:val="20"/>
                      <w:szCs w:val="20"/>
                      <w14:textFill>
                        <w14:solidFill>
                          <w14:schemeClr w14:val="tx1"/>
                        </w14:solidFill>
                      </w14:textFill>
                    </w:rPr>
                    <w:t>污染源</w:t>
                  </w:r>
                </w:p>
              </w:tc>
              <w:tc>
                <w:tcPr>
                  <w:tcW w:w="2160" w:type="pct"/>
                  <w:tcBorders>
                    <w:tl2br w:val="nil"/>
                    <w:tr2bl w:val="nil"/>
                  </w:tcBorders>
                  <w:vAlign w:val="top"/>
                </w:tcPr>
                <w:p w14:paraId="7C2DAC43">
                  <w:pPr>
                    <w:pStyle w:val="119"/>
                    <w:spacing w:before="97" w:line="228" w:lineRule="auto"/>
                    <w:ind w:left="1532"/>
                    <w:rPr>
                      <w:color w:val="000000" w:themeColor="text1"/>
                      <w:sz w:val="20"/>
                      <w:szCs w:val="20"/>
                      <w14:textFill>
                        <w14:solidFill>
                          <w14:schemeClr w14:val="tx1"/>
                        </w14:solidFill>
                      </w14:textFill>
                    </w:rPr>
                  </w:pPr>
                  <w:r>
                    <w:rPr>
                      <w:color w:val="000000" w:themeColor="text1"/>
                      <w:spacing w:val="6"/>
                      <w:sz w:val="20"/>
                      <w:szCs w:val="20"/>
                      <w14:textFill>
                        <w14:solidFill>
                          <w14:schemeClr w14:val="tx1"/>
                        </w14:solidFill>
                      </w14:textFill>
                    </w:rPr>
                    <w:t>污染途径</w:t>
                  </w:r>
                </w:p>
              </w:tc>
            </w:tr>
            <w:tr w14:paraId="32E2C92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554" w:type="pct"/>
                  <w:tcBorders>
                    <w:tl2br w:val="nil"/>
                    <w:tr2bl w:val="nil"/>
                  </w:tcBorders>
                  <w:vAlign w:val="top"/>
                </w:tcPr>
                <w:p w14:paraId="7D35ED98">
                  <w:pPr>
                    <w:pStyle w:val="119"/>
                    <w:spacing w:before="37" w:line="228" w:lineRule="auto"/>
                    <w:rPr>
                      <w:color w:val="000000" w:themeColor="text1"/>
                      <w:sz w:val="20"/>
                      <w:szCs w:val="20"/>
                      <w14:textFill>
                        <w14:solidFill>
                          <w14:schemeClr w14:val="tx1"/>
                        </w14:solidFill>
                      </w14:textFill>
                    </w:rPr>
                  </w:pPr>
                  <w:r>
                    <w:rPr>
                      <w:color w:val="000000" w:themeColor="text1"/>
                      <w:spacing w:val="8"/>
                      <w:sz w:val="20"/>
                      <w:szCs w:val="20"/>
                      <w14:textFill>
                        <w14:solidFill>
                          <w14:schemeClr w14:val="tx1"/>
                        </w14:solidFill>
                      </w14:textFill>
                    </w:rPr>
                    <w:t>危险废物暂存</w:t>
                  </w:r>
                  <w:r>
                    <w:rPr>
                      <w:rFonts w:hint="eastAsia"/>
                      <w:color w:val="000000" w:themeColor="text1"/>
                      <w:spacing w:val="8"/>
                      <w:sz w:val="20"/>
                      <w:szCs w:val="20"/>
                      <w:lang w:val="en-US" w:eastAsia="zh-CN"/>
                      <w14:textFill>
                        <w14:solidFill>
                          <w14:schemeClr w14:val="tx1"/>
                        </w14:solidFill>
                      </w14:textFill>
                    </w:rPr>
                    <w:t>库</w:t>
                  </w:r>
                  <w:r>
                    <w:rPr>
                      <w:color w:val="000000" w:themeColor="text1"/>
                      <w:spacing w:val="8"/>
                      <w:sz w:val="20"/>
                      <w:szCs w:val="20"/>
                      <w14:textFill>
                        <w14:solidFill>
                          <w14:schemeClr w14:val="tx1"/>
                        </w14:solidFill>
                      </w14:textFill>
                    </w:rPr>
                    <w:t>、收集池、事故应急池、预处理</w:t>
                  </w:r>
                  <w:r>
                    <w:rPr>
                      <w:color w:val="000000" w:themeColor="text1"/>
                      <w:spacing w:val="5"/>
                      <w:sz w:val="20"/>
                      <w:szCs w:val="20"/>
                      <w14:textFill>
                        <w14:solidFill>
                          <w14:schemeClr w14:val="tx1"/>
                        </w14:solidFill>
                      </w14:textFill>
                    </w:rPr>
                    <w:t>区</w:t>
                  </w:r>
                </w:p>
              </w:tc>
              <w:tc>
                <w:tcPr>
                  <w:tcW w:w="943" w:type="pct"/>
                  <w:tcBorders>
                    <w:tl2br w:val="nil"/>
                    <w:tr2bl w:val="nil"/>
                  </w:tcBorders>
                  <w:vAlign w:val="top"/>
                </w:tcPr>
                <w:p w14:paraId="686168CD">
                  <w:pPr>
                    <w:pStyle w:val="119"/>
                    <w:spacing w:before="65" w:line="252" w:lineRule="auto"/>
                    <w:ind w:right="120"/>
                    <w:rPr>
                      <w:color w:val="000000" w:themeColor="text1"/>
                      <w:sz w:val="20"/>
                      <w:szCs w:val="20"/>
                      <w14:textFill>
                        <w14:solidFill>
                          <w14:schemeClr w14:val="tx1"/>
                        </w14:solidFill>
                      </w14:textFill>
                    </w:rPr>
                  </w:pPr>
                  <w:r>
                    <w:rPr>
                      <w:color w:val="000000" w:themeColor="text1"/>
                      <w:spacing w:val="8"/>
                      <w:sz w:val="20"/>
                      <w:szCs w:val="20"/>
                      <w14:textFill>
                        <w14:solidFill>
                          <w14:schemeClr w14:val="tx1"/>
                        </w14:solidFill>
                      </w14:textFill>
                    </w:rPr>
                    <w:t>废有机溶剂、废</w:t>
                  </w:r>
                  <w:r>
                    <w:rPr>
                      <w:color w:val="000000" w:themeColor="text1"/>
                      <w:spacing w:val="7"/>
                      <w:sz w:val="20"/>
                      <w:szCs w:val="20"/>
                      <w14:textFill>
                        <w14:solidFill>
                          <w14:schemeClr w14:val="tx1"/>
                        </w14:solidFill>
                      </w14:textFill>
                    </w:rPr>
                    <w:t>矿物油</w:t>
                  </w:r>
                  <w:r>
                    <w:rPr>
                      <w:rFonts w:hint="eastAsia"/>
                      <w:color w:val="000000" w:themeColor="text1"/>
                      <w:spacing w:val="7"/>
                      <w:sz w:val="20"/>
                      <w:szCs w:val="20"/>
                      <w:lang w:eastAsia="zh-CN"/>
                      <w14:textFill>
                        <w14:solidFill>
                          <w14:schemeClr w14:val="tx1"/>
                        </w14:solidFill>
                      </w14:textFill>
                    </w:rPr>
                    <w:t>，</w:t>
                  </w:r>
                  <w:r>
                    <w:rPr>
                      <w:rFonts w:hint="eastAsia"/>
                      <w:color w:val="000000" w:themeColor="text1"/>
                      <w:spacing w:val="7"/>
                      <w:sz w:val="20"/>
                      <w:szCs w:val="20"/>
                      <w:lang w:val="en-US" w:eastAsia="zh-CN"/>
                      <w14:textFill>
                        <w14:solidFill>
                          <w14:schemeClr w14:val="tx1"/>
                        </w14:solidFill>
                      </w14:textFill>
                    </w:rPr>
                    <w:t>废电池</w:t>
                  </w:r>
                  <w:r>
                    <w:rPr>
                      <w:color w:val="000000" w:themeColor="text1"/>
                      <w:spacing w:val="7"/>
                      <w:sz w:val="20"/>
                      <w:szCs w:val="20"/>
                      <w14:textFill>
                        <w14:solidFill>
                          <w14:schemeClr w14:val="tx1"/>
                        </w14:solidFill>
                      </w14:textFill>
                    </w:rPr>
                    <w:t>等</w:t>
                  </w:r>
                </w:p>
              </w:tc>
              <w:tc>
                <w:tcPr>
                  <w:tcW w:w="2160" w:type="pct"/>
                  <w:tcBorders>
                    <w:tl2br w:val="nil"/>
                    <w:tr2bl w:val="nil"/>
                  </w:tcBorders>
                  <w:vAlign w:val="top"/>
                </w:tcPr>
                <w:p w14:paraId="52FE8D8F">
                  <w:pPr>
                    <w:pStyle w:val="119"/>
                    <w:spacing w:before="65" w:line="228" w:lineRule="auto"/>
                    <w:rPr>
                      <w:color w:val="000000" w:themeColor="text1"/>
                      <w:sz w:val="20"/>
                      <w:szCs w:val="20"/>
                      <w14:textFill>
                        <w14:solidFill>
                          <w14:schemeClr w14:val="tx1"/>
                        </w14:solidFill>
                      </w14:textFill>
                    </w:rPr>
                  </w:pPr>
                  <w:r>
                    <w:rPr>
                      <w:color w:val="000000" w:themeColor="text1"/>
                      <w:spacing w:val="2"/>
                      <w:sz w:val="20"/>
                      <w:szCs w:val="20"/>
                      <w14:textFill>
                        <w14:solidFill>
                          <w14:schemeClr w14:val="tx1"/>
                        </w14:solidFill>
                      </w14:textFill>
                    </w:rPr>
                    <w:t>因危险废物泄漏而发生，通过地面漫流影</w:t>
                  </w:r>
                  <w:r>
                    <w:rPr>
                      <w:color w:val="000000" w:themeColor="text1"/>
                      <w:spacing w:val="7"/>
                      <w:sz w:val="20"/>
                      <w:szCs w:val="20"/>
                      <w14:textFill>
                        <w14:solidFill>
                          <w14:schemeClr w14:val="tx1"/>
                        </w14:solidFill>
                      </w14:textFill>
                    </w:rPr>
                    <w:t>响土壤、地下水</w:t>
                  </w:r>
                </w:p>
              </w:tc>
            </w:tr>
            <w:tr w14:paraId="2CD179C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54" w:type="pct"/>
                  <w:tcBorders>
                    <w:tl2br w:val="nil"/>
                    <w:tr2bl w:val="nil"/>
                  </w:tcBorders>
                  <w:vAlign w:val="top"/>
                </w:tcPr>
                <w:p w14:paraId="6472D767">
                  <w:pPr>
                    <w:pStyle w:val="119"/>
                    <w:spacing w:before="172" w:line="228" w:lineRule="auto"/>
                    <w:rPr>
                      <w:color w:val="000000" w:themeColor="text1"/>
                      <w:sz w:val="20"/>
                      <w:szCs w:val="20"/>
                      <w14:textFill>
                        <w14:solidFill>
                          <w14:schemeClr w14:val="tx1"/>
                        </w14:solidFill>
                      </w14:textFill>
                    </w:rPr>
                  </w:pPr>
                  <w:r>
                    <w:rPr>
                      <w:color w:val="000000" w:themeColor="text1"/>
                      <w:spacing w:val="8"/>
                      <w:sz w:val="20"/>
                      <w:szCs w:val="20"/>
                      <w14:textFill>
                        <w14:solidFill>
                          <w14:schemeClr w14:val="tx1"/>
                        </w14:solidFill>
                      </w14:textFill>
                    </w:rPr>
                    <w:t>废水处理设施</w:t>
                  </w:r>
                </w:p>
              </w:tc>
              <w:tc>
                <w:tcPr>
                  <w:tcW w:w="943" w:type="pct"/>
                  <w:tcBorders>
                    <w:tl2br w:val="nil"/>
                    <w:tr2bl w:val="nil"/>
                  </w:tcBorders>
                  <w:vAlign w:val="top"/>
                </w:tcPr>
                <w:p w14:paraId="17644345">
                  <w:pPr>
                    <w:pStyle w:val="119"/>
                    <w:spacing w:before="172" w:line="228" w:lineRule="auto"/>
                    <w:ind w:left="335"/>
                    <w:rPr>
                      <w:color w:val="000000" w:themeColor="text1"/>
                      <w:sz w:val="20"/>
                      <w:szCs w:val="20"/>
                      <w14:textFill>
                        <w14:solidFill>
                          <w14:schemeClr w14:val="tx1"/>
                        </w14:solidFill>
                      </w14:textFill>
                    </w:rPr>
                  </w:pPr>
                  <w:r>
                    <w:rPr>
                      <w:color w:val="000000" w:themeColor="text1"/>
                      <w:spacing w:val="8"/>
                      <w:sz w:val="20"/>
                      <w:szCs w:val="20"/>
                      <w14:textFill>
                        <w14:solidFill>
                          <w14:schemeClr w14:val="tx1"/>
                        </w14:solidFill>
                      </w14:textFill>
                    </w:rPr>
                    <w:t>废矿物油等</w:t>
                  </w:r>
                </w:p>
              </w:tc>
              <w:tc>
                <w:tcPr>
                  <w:tcW w:w="2160" w:type="pct"/>
                  <w:tcBorders>
                    <w:tl2br w:val="nil"/>
                    <w:tr2bl w:val="nil"/>
                  </w:tcBorders>
                  <w:vAlign w:val="top"/>
                </w:tcPr>
                <w:p w14:paraId="4BCC8004">
                  <w:pPr>
                    <w:pStyle w:val="119"/>
                    <w:spacing w:before="37" w:line="231" w:lineRule="auto"/>
                    <w:ind w:right="181"/>
                    <w:rPr>
                      <w:color w:val="000000" w:themeColor="text1"/>
                      <w:sz w:val="20"/>
                      <w:szCs w:val="20"/>
                      <w14:textFill>
                        <w14:solidFill>
                          <w14:schemeClr w14:val="tx1"/>
                        </w14:solidFill>
                      </w14:textFill>
                    </w:rPr>
                  </w:pPr>
                  <w:r>
                    <w:rPr>
                      <w:color w:val="000000" w:themeColor="text1"/>
                      <w:spacing w:val="8"/>
                      <w:sz w:val="20"/>
                      <w:szCs w:val="20"/>
                      <w14:textFill>
                        <w14:solidFill>
                          <w14:schemeClr w14:val="tx1"/>
                        </w14:solidFill>
                      </w14:textFill>
                    </w:rPr>
                    <w:t>因废水处理设施池体破裂而发生垂直下</w:t>
                  </w:r>
                  <w:r>
                    <w:rPr>
                      <w:color w:val="000000" w:themeColor="text1"/>
                      <w:spacing w:val="9"/>
                      <w:sz w:val="20"/>
                      <w:szCs w:val="20"/>
                      <w14:textFill>
                        <w14:solidFill>
                          <w14:schemeClr w14:val="tx1"/>
                        </w14:solidFill>
                      </w14:textFill>
                    </w:rPr>
                    <w:t>渗或通过地面漫流影响土壤、地下水</w:t>
                  </w:r>
                </w:p>
              </w:tc>
            </w:tr>
          </w:tbl>
          <w:p w14:paraId="54B37E29">
            <w:pPr>
              <w:pStyle w:val="119"/>
              <w:spacing w:before="165" w:line="358" w:lineRule="auto"/>
              <w:ind w:right="102" w:firstLine="468" w:firstLineChars="200"/>
              <w:rPr>
                <w:color w:val="000000" w:themeColor="text1"/>
                <w:spacing w:val="-1"/>
                <w:sz w:val="24"/>
                <w:szCs w:val="24"/>
                <w14:textFill>
                  <w14:solidFill>
                    <w14:schemeClr w14:val="tx1"/>
                  </w14:solidFill>
                </w14:textFill>
              </w:rPr>
            </w:pPr>
            <w:r>
              <w:rPr>
                <w:color w:val="000000" w:themeColor="text1"/>
                <w:spacing w:val="-3"/>
                <w:sz w:val="24"/>
                <w:szCs w:val="24"/>
                <w14:textFill>
                  <w14:solidFill>
                    <w14:schemeClr w14:val="tx1"/>
                  </w14:solidFill>
                </w14:textFill>
              </w:rPr>
              <w:t>根据《环境影响评价技术导则 地下水环境》（</w:t>
            </w:r>
            <w:r>
              <w:rPr>
                <w:rFonts w:ascii="Times New Roman" w:hAnsi="Times New Roman" w:eastAsia="Times New Roman" w:cs="Times New Roman"/>
                <w:color w:val="000000" w:themeColor="text1"/>
                <w:spacing w:val="-3"/>
                <w:sz w:val="24"/>
                <w:szCs w:val="24"/>
                <w14:textFill>
                  <w14:solidFill>
                    <w14:schemeClr w14:val="tx1"/>
                  </w14:solidFill>
                </w14:textFill>
              </w:rPr>
              <w:t>HJ610-2016</w:t>
            </w:r>
            <w:r>
              <w:rPr>
                <w:color w:val="000000" w:themeColor="text1"/>
                <w:spacing w:val="-3"/>
                <w:sz w:val="24"/>
                <w:szCs w:val="24"/>
                <w14:textFill>
                  <w14:solidFill>
                    <w14:schemeClr w14:val="tx1"/>
                  </w14:solidFill>
                </w14:textFill>
              </w:rPr>
              <w:t>）“</w:t>
            </w:r>
            <w:r>
              <w:rPr>
                <w:color w:val="000000" w:themeColor="text1"/>
                <w:spacing w:val="-94"/>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3"/>
                <w:sz w:val="24"/>
                <w:szCs w:val="24"/>
                <w14:textFill>
                  <w14:solidFill>
                    <w14:schemeClr w14:val="tx1"/>
                  </w14:solidFill>
                </w14:textFill>
              </w:rPr>
              <w:t xml:space="preserve">11.2.2 </w:t>
            </w:r>
            <w:r>
              <w:rPr>
                <w:color w:val="000000" w:themeColor="text1"/>
                <w:spacing w:val="-3"/>
                <w:sz w:val="24"/>
                <w:szCs w:val="24"/>
                <w14:textFill>
                  <w14:solidFill>
                    <w14:schemeClr w14:val="tx1"/>
                  </w14:solidFill>
                </w14:textFill>
              </w:rPr>
              <w:t>分区防</w:t>
            </w:r>
            <w:r>
              <w:rPr>
                <w:color w:val="000000" w:themeColor="text1"/>
                <w:spacing w:val="-5"/>
                <w:sz w:val="24"/>
                <w:szCs w:val="24"/>
                <w14:textFill>
                  <w14:solidFill>
                    <w14:schemeClr w14:val="tx1"/>
                  </w14:solidFill>
                </w14:textFill>
              </w:rPr>
              <w:t>控措施</w:t>
            </w:r>
            <w:r>
              <w:rPr>
                <w:color w:val="000000" w:themeColor="text1"/>
                <w:spacing w:val="-88"/>
                <w:sz w:val="24"/>
                <w:szCs w:val="24"/>
                <w14:textFill>
                  <w14:solidFill>
                    <w14:schemeClr w14:val="tx1"/>
                  </w14:solidFill>
                </w14:textFill>
              </w:rPr>
              <w:t xml:space="preserve"> </w:t>
            </w:r>
            <w:r>
              <w:rPr>
                <w:color w:val="000000" w:themeColor="text1"/>
                <w:spacing w:val="-5"/>
                <w:sz w:val="24"/>
                <w:szCs w:val="24"/>
                <w14:textFill>
                  <w14:solidFill>
                    <w14:schemeClr w14:val="tx1"/>
                  </w14:solidFill>
                </w14:textFill>
              </w:rPr>
              <w:t>”及“表</w:t>
            </w:r>
            <w:r>
              <w:rPr>
                <w:color w:val="000000" w:themeColor="text1"/>
                <w:spacing w:val="-51"/>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5"/>
                <w:sz w:val="24"/>
                <w:szCs w:val="24"/>
                <w14:textFill>
                  <w14:solidFill>
                    <w14:schemeClr w14:val="tx1"/>
                  </w14:solidFill>
                </w14:textFill>
              </w:rPr>
              <w:t xml:space="preserve">7  </w:t>
            </w:r>
            <w:r>
              <w:rPr>
                <w:color w:val="000000" w:themeColor="text1"/>
                <w:spacing w:val="-5"/>
                <w:sz w:val="24"/>
                <w:szCs w:val="24"/>
                <w14:textFill>
                  <w14:solidFill>
                    <w14:schemeClr w14:val="tx1"/>
                  </w14:solidFill>
                </w14:textFill>
              </w:rPr>
              <w:t>地下水污染防渗分区参照表</w:t>
            </w:r>
            <w:r>
              <w:rPr>
                <w:color w:val="000000" w:themeColor="text1"/>
                <w:spacing w:val="-88"/>
                <w:sz w:val="24"/>
                <w:szCs w:val="24"/>
                <w14:textFill>
                  <w14:solidFill>
                    <w14:schemeClr w14:val="tx1"/>
                  </w14:solidFill>
                </w14:textFill>
              </w:rPr>
              <w:t xml:space="preserve"> </w:t>
            </w:r>
            <w:r>
              <w:rPr>
                <w:color w:val="000000" w:themeColor="text1"/>
                <w:spacing w:val="-5"/>
                <w:sz w:val="24"/>
                <w:szCs w:val="24"/>
                <w14:textFill>
                  <w14:solidFill>
                    <w14:schemeClr w14:val="tx1"/>
                  </w14:solidFill>
                </w14:textFill>
              </w:rPr>
              <w:t>”，项目划分为重点防渗区</w:t>
            </w:r>
            <w:r>
              <w:rPr>
                <w:color w:val="000000" w:themeColor="text1"/>
                <w:spacing w:val="-6"/>
                <w:sz w:val="24"/>
                <w:szCs w:val="24"/>
                <w14:textFill>
                  <w14:solidFill>
                    <w14:schemeClr w14:val="tx1"/>
                  </w14:solidFill>
                </w14:textFill>
              </w:rPr>
              <w:t>、一般</w:t>
            </w:r>
            <w:r>
              <w:rPr>
                <w:color w:val="000000" w:themeColor="text1"/>
                <w:spacing w:val="-1"/>
                <w:sz w:val="24"/>
                <w:szCs w:val="24"/>
                <w14:textFill>
                  <w14:solidFill>
                    <w14:schemeClr w14:val="tx1"/>
                  </w14:solidFill>
                </w14:textFill>
              </w:rPr>
              <w:t>防渗区和简单防渗区，项目防渗区域及防渗要求见</w:t>
            </w:r>
            <w:r>
              <w:rPr>
                <w:rFonts w:hint="eastAsia"/>
                <w:color w:val="000000" w:themeColor="text1"/>
                <w:spacing w:val="-1"/>
                <w:sz w:val="24"/>
                <w:szCs w:val="24"/>
                <w:lang w:val="en-US" w:eastAsia="zh-CN"/>
                <w14:textFill>
                  <w14:solidFill>
                    <w14:schemeClr w14:val="tx1"/>
                  </w14:solidFill>
                </w14:textFill>
              </w:rPr>
              <w:t>下表</w:t>
            </w:r>
            <w:r>
              <w:rPr>
                <w:color w:val="000000" w:themeColor="text1"/>
                <w:spacing w:val="-1"/>
                <w:sz w:val="24"/>
                <w:szCs w:val="24"/>
                <w14:textFill>
                  <w14:solidFill>
                    <w14:schemeClr w14:val="tx1"/>
                  </w14:solidFill>
                </w14:textFill>
              </w:rPr>
              <w:t>。</w:t>
            </w:r>
          </w:p>
          <w:p w14:paraId="5BE8EEBF">
            <w:pPr>
              <w:pStyle w:val="119"/>
              <w:keepNext w:val="0"/>
              <w:keepLines w:val="0"/>
              <w:pageBreakBefore w:val="0"/>
              <w:widowControl w:val="0"/>
              <w:kinsoku/>
              <w:wordWrap/>
              <w:overflowPunct/>
              <w:topLinePunct w:val="0"/>
              <w:autoSpaceDE/>
              <w:autoSpaceDN/>
              <w:bidi w:val="0"/>
              <w:adjustRightInd/>
              <w:snapToGrid/>
              <w:spacing w:line="240" w:lineRule="atLeast"/>
              <w:ind w:right="102" w:firstLine="1783" w:firstLineChars="800"/>
              <w:textAlignment w:val="auto"/>
              <w:rPr>
                <w:rFonts w:hint="eastAsia" w:ascii="宋体" w:hAnsi="宋体" w:eastAsia="宋体" w:cs="宋体"/>
                <w:color w:val="000000" w:themeColor="text1"/>
                <w:spacing w:val="-1"/>
                <w:sz w:val="21"/>
                <w:szCs w:val="21"/>
                <w14:textFill>
                  <w14:solidFill>
                    <w14:schemeClr w14:val="tx1"/>
                  </w14:solidFill>
                </w14:textFill>
              </w:rPr>
            </w:pPr>
            <w:r>
              <w:rPr>
                <w:rFonts w:hint="eastAsia" w:ascii="宋体" w:hAnsi="宋体" w:eastAsia="宋体" w:cs="宋体"/>
                <w:b/>
                <w:bCs/>
                <w:color w:val="000000" w:themeColor="text1"/>
                <w:spacing w:val="6"/>
                <w:sz w:val="21"/>
                <w:szCs w:val="21"/>
                <w14:textFill>
                  <w14:solidFill>
                    <w14:schemeClr w14:val="tx1"/>
                  </w14:solidFill>
                </w14:textFill>
              </w:rPr>
              <w:t>表</w:t>
            </w:r>
            <w:r>
              <w:rPr>
                <w:rFonts w:hint="eastAsia" w:ascii="宋体" w:hAnsi="宋体" w:eastAsia="宋体" w:cs="宋体"/>
                <w:color w:val="000000" w:themeColor="text1"/>
                <w:spacing w:val="-38"/>
                <w:sz w:val="21"/>
                <w:szCs w:val="21"/>
                <w14:textFill>
                  <w14:solidFill>
                    <w14:schemeClr w14:val="tx1"/>
                  </w14:solidFill>
                </w14:textFill>
              </w:rPr>
              <w:t xml:space="preserve"> </w:t>
            </w:r>
            <w:r>
              <w:rPr>
                <w:rFonts w:hint="eastAsia" w:ascii="宋体" w:hAnsi="宋体" w:eastAsia="宋体" w:cs="宋体"/>
                <w:b/>
                <w:bCs/>
                <w:color w:val="000000" w:themeColor="text1"/>
                <w:spacing w:val="6"/>
                <w:sz w:val="21"/>
                <w:szCs w:val="21"/>
                <w14:textFill>
                  <w14:solidFill>
                    <w14:schemeClr w14:val="tx1"/>
                  </w14:solidFill>
                </w14:textFill>
              </w:rPr>
              <w:t>4-</w:t>
            </w:r>
            <w:r>
              <w:rPr>
                <w:rFonts w:hint="eastAsia" w:ascii="宋体" w:hAnsi="宋体" w:eastAsia="宋体" w:cs="宋体"/>
                <w:b/>
                <w:bCs/>
                <w:color w:val="000000" w:themeColor="text1"/>
                <w:spacing w:val="6"/>
                <w:sz w:val="21"/>
                <w:szCs w:val="21"/>
                <w:lang w:val="en-US" w:eastAsia="zh-CN"/>
                <w14:textFill>
                  <w14:solidFill>
                    <w14:schemeClr w14:val="tx1"/>
                  </w14:solidFill>
                </w14:textFill>
              </w:rPr>
              <w:t>6</w:t>
            </w:r>
            <w:r>
              <w:rPr>
                <w:rFonts w:hint="eastAsia" w:ascii="宋体" w:hAnsi="宋体" w:eastAsia="宋体" w:cs="宋体"/>
                <w:b/>
                <w:bCs/>
                <w:color w:val="000000" w:themeColor="text1"/>
                <w:spacing w:val="6"/>
                <w:sz w:val="21"/>
                <w:szCs w:val="21"/>
                <w14:textFill>
                  <w14:solidFill>
                    <w14:schemeClr w14:val="tx1"/>
                  </w14:solidFill>
                </w14:textFill>
              </w:rPr>
              <w:t xml:space="preserve">    项目防渗区域及防渗要求一览表</w:t>
            </w:r>
          </w:p>
          <w:tbl>
            <w:tblPr>
              <w:tblStyle w:val="108"/>
              <w:tblW w:w="4997" w:type="pct"/>
              <w:tblInd w:w="-8"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3967"/>
              <w:gridCol w:w="3406"/>
            </w:tblGrid>
            <w:tr w14:paraId="495F8F7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52" w:type="pct"/>
                  <w:tcBorders>
                    <w:tl2br w:val="nil"/>
                    <w:tr2bl w:val="nil"/>
                  </w:tcBorders>
                  <w:vAlign w:val="top"/>
                </w:tcPr>
                <w:p w14:paraId="468B4888">
                  <w:pPr>
                    <w:pStyle w:val="119"/>
                    <w:spacing w:before="88" w:line="228" w:lineRule="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4"/>
                      <w:sz w:val="18"/>
                      <w:szCs w:val="18"/>
                      <w14:textFill>
                        <w14:solidFill>
                          <w14:schemeClr w14:val="tx1"/>
                        </w14:solidFill>
                      </w14:textFill>
                    </w:rPr>
                    <w:t>防渗分区</w:t>
                  </w:r>
                </w:p>
              </w:tc>
              <w:tc>
                <w:tcPr>
                  <w:tcW w:w="2339" w:type="pct"/>
                  <w:tcBorders>
                    <w:tl2br w:val="nil"/>
                    <w:tr2bl w:val="nil"/>
                  </w:tcBorders>
                  <w:vAlign w:val="top"/>
                </w:tcPr>
                <w:p w14:paraId="77AB790A">
                  <w:pPr>
                    <w:pStyle w:val="119"/>
                    <w:spacing w:before="88" w:line="228" w:lineRule="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项目区域</w:t>
                  </w:r>
                </w:p>
              </w:tc>
              <w:tc>
                <w:tcPr>
                  <w:tcW w:w="2008" w:type="pct"/>
                  <w:tcBorders>
                    <w:tl2br w:val="nil"/>
                    <w:tr2bl w:val="nil"/>
                  </w:tcBorders>
                  <w:vAlign w:val="top"/>
                </w:tcPr>
                <w:p w14:paraId="3B16FFD2">
                  <w:pPr>
                    <w:pStyle w:val="119"/>
                    <w:spacing w:before="87" w:line="228" w:lineRule="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防渗技术要求</w:t>
                  </w:r>
                </w:p>
              </w:tc>
            </w:tr>
            <w:tr w14:paraId="6709C6E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652" w:type="pct"/>
                  <w:tcBorders>
                    <w:tl2br w:val="nil"/>
                    <w:tr2bl w:val="nil"/>
                  </w:tcBorders>
                  <w:vAlign w:val="top"/>
                </w:tcPr>
                <w:p w14:paraId="6FDA19C8">
                  <w:pPr>
                    <w:pStyle w:val="119"/>
                    <w:spacing w:before="65" w:line="254" w:lineRule="auto"/>
                    <w:ind w:right="136"/>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重点防渗</w:t>
                  </w:r>
                  <w:r>
                    <w:rPr>
                      <w:rFonts w:hint="eastAsia" w:ascii="宋体" w:hAnsi="宋体" w:eastAsia="宋体" w:cs="宋体"/>
                      <w:color w:val="000000" w:themeColor="text1"/>
                      <w:sz w:val="18"/>
                      <w:szCs w:val="18"/>
                      <w14:textFill>
                        <w14:solidFill>
                          <w14:schemeClr w14:val="tx1"/>
                        </w14:solidFill>
                      </w14:textFill>
                    </w:rPr>
                    <w:t>区</w:t>
                  </w:r>
                </w:p>
              </w:tc>
              <w:tc>
                <w:tcPr>
                  <w:tcW w:w="2339" w:type="pct"/>
                  <w:tcBorders>
                    <w:tl2br w:val="nil"/>
                    <w:tr2bl w:val="nil"/>
                  </w:tcBorders>
                  <w:vAlign w:val="top"/>
                </w:tcPr>
                <w:p w14:paraId="63991741">
                  <w:pPr>
                    <w:pStyle w:val="119"/>
                    <w:spacing w:before="88" w:line="228" w:lineRule="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危险废物暂存</w:t>
                  </w:r>
                  <w:r>
                    <w:rPr>
                      <w:rFonts w:hint="eastAsia" w:ascii="宋体" w:hAnsi="宋体" w:eastAsia="宋体" w:cs="宋体"/>
                      <w:color w:val="000000" w:themeColor="text1"/>
                      <w:spacing w:val="8"/>
                      <w:sz w:val="18"/>
                      <w:szCs w:val="18"/>
                      <w:lang w:val="en-US" w:eastAsia="zh-CN"/>
                      <w14:textFill>
                        <w14:solidFill>
                          <w14:schemeClr w14:val="tx1"/>
                        </w14:solidFill>
                      </w14:textFill>
                    </w:rPr>
                    <w:t>库</w:t>
                  </w:r>
                </w:p>
              </w:tc>
              <w:tc>
                <w:tcPr>
                  <w:tcW w:w="2008" w:type="pct"/>
                  <w:tcBorders>
                    <w:tl2br w:val="nil"/>
                    <w:tr2bl w:val="nil"/>
                  </w:tcBorders>
                  <w:vAlign w:val="top"/>
                </w:tcPr>
                <w:p w14:paraId="63A8C762">
                  <w:pPr>
                    <w:pStyle w:val="119"/>
                    <w:spacing w:before="46" w:line="227" w:lineRule="auto"/>
                    <w:ind w:left="115"/>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8"/>
                      <w:sz w:val="18"/>
                      <w:szCs w:val="18"/>
                      <w14:textFill>
                        <w14:solidFill>
                          <w14:schemeClr w14:val="tx1"/>
                        </w14:solidFill>
                      </w14:textFill>
                    </w:rPr>
                    <w:t>拟基础防渗层铺设</w:t>
                  </w:r>
                  <w:r>
                    <w:rPr>
                      <w:rFonts w:hint="eastAsia" w:ascii="宋体" w:hAnsi="宋体" w:eastAsia="宋体" w:cs="宋体"/>
                      <w:color w:val="000000" w:themeColor="text1"/>
                      <w:spacing w:val="-39"/>
                      <w:sz w:val="18"/>
                      <w:szCs w:val="18"/>
                      <w14:textFill>
                        <w14:solidFill>
                          <w14:schemeClr w14:val="tx1"/>
                        </w14:solidFill>
                      </w14:textFill>
                    </w:rPr>
                    <w:t xml:space="preserve"> </w:t>
                  </w:r>
                  <w:r>
                    <w:rPr>
                      <w:rFonts w:hint="eastAsia" w:ascii="宋体" w:hAnsi="宋体" w:eastAsia="宋体" w:cs="宋体"/>
                      <w:color w:val="000000" w:themeColor="text1"/>
                      <w:spacing w:val="8"/>
                      <w:sz w:val="18"/>
                      <w:szCs w:val="18"/>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mm</w:t>
                  </w:r>
                  <w:r>
                    <w:rPr>
                      <w:rFonts w:hint="eastAsia" w:ascii="宋体" w:hAnsi="宋体" w:eastAsia="宋体" w:cs="宋体"/>
                      <w:color w:val="000000" w:themeColor="text1"/>
                      <w:spacing w:val="8"/>
                      <w:sz w:val="18"/>
                      <w:szCs w:val="18"/>
                      <w14:textFill>
                        <w14:solidFill>
                          <w14:schemeClr w14:val="tx1"/>
                        </w14:solidFill>
                      </w14:textFill>
                    </w:rPr>
                    <w:t>厚的高密</w:t>
                  </w:r>
                  <w:r>
                    <w:rPr>
                      <w:rFonts w:hint="eastAsia" w:ascii="宋体" w:hAnsi="宋体" w:eastAsia="宋体" w:cs="宋体"/>
                      <w:color w:val="000000" w:themeColor="text1"/>
                      <w:sz w:val="18"/>
                      <w:szCs w:val="18"/>
                      <w14:textFill>
                        <w14:solidFill>
                          <w14:schemeClr w14:val="tx1"/>
                        </w14:solidFill>
                      </w14:textFill>
                    </w:rPr>
                    <w:t>度聚乙烯膜（渗透系数不大于</w:t>
                  </w:r>
                  <w:r>
                    <w:rPr>
                      <w:rFonts w:hint="eastAsia" w:ascii="宋体" w:hAnsi="宋体" w:eastAsia="宋体" w:cs="宋体"/>
                      <w:color w:val="000000" w:themeColor="text1"/>
                      <w:spacing w:val="-23"/>
                      <w:sz w:val="18"/>
                      <w:szCs w:val="18"/>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10</w:t>
                  </w:r>
                  <w:r>
                    <w:rPr>
                      <w:rFonts w:hint="eastAsia" w:ascii="宋体" w:hAnsi="宋体" w:eastAsia="宋体" w:cs="宋体"/>
                      <w:color w:val="000000" w:themeColor="text1"/>
                      <w:sz w:val="18"/>
                      <w:szCs w:val="18"/>
                      <w:vertAlign w:val="superscript"/>
                      <w:lang w:val="en-US" w:eastAsia="zh-CN"/>
                      <w14:textFill>
                        <w14:solidFill>
                          <w14:schemeClr w14:val="tx1"/>
                        </w14:solidFill>
                      </w14:textFill>
                    </w:rPr>
                    <w:t>-10</w:t>
                  </w:r>
                  <w:r>
                    <w:rPr>
                      <w:rFonts w:hint="eastAsia" w:ascii="宋体" w:hAnsi="宋体" w:eastAsia="宋体" w:cs="宋体"/>
                      <w:color w:val="000000" w:themeColor="text1"/>
                      <w:sz w:val="18"/>
                      <w:szCs w:val="18"/>
                      <w14:textFill>
                        <w14:solidFill>
                          <w14:schemeClr w14:val="tx1"/>
                        </w14:solidFill>
                      </w14:textFill>
                    </w:rPr>
                    <w:t>cm</w:t>
                  </w:r>
                  <w:r>
                    <w:rPr>
                      <w:rFonts w:hint="eastAsia" w:ascii="宋体" w:hAnsi="宋体" w:eastAsia="宋体" w:cs="宋体"/>
                      <w:color w:val="000000" w:themeColor="text1"/>
                      <w:spacing w:val="8"/>
                      <w:sz w:val="18"/>
                      <w:szCs w:val="18"/>
                      <w14:textFill>
                        <w14:solidFill>
                          <w14:schemeClr w14:val="tx1"/>
                        </w14:solidFill>
                      </w14:textFill>
                    </w:rPr>
                    <w:t>/s</w:t>
                  </w:r>
                  <w:r>
                    <w:rPr>
                      <w:rFonts w:hint="eastAsia" w:ascii="宋体" w:hAnsi="宋体" w:eastAsia="宋体" w:cs="宋体"/>
                      <w:color w:val="000000" w:themeColor="text1"/>
                      <w:spacing w:val="-17"/>
                      <w:sz w:val="18"/>
                      <w:szCs w:val="18"/>
                      <w14:textFill>
                        <w14:solidFill>
                          <w14:schemeClr w14:val="tx1"/>
                        </w14:solidFill>
                      </w14:textFill>
                    </w:rPr>
                    <w:t>），</w:t>
                  </w:r>
                  <w:r>
                    <w:rPr>
                      <w:rFonts w:hint="eastAsia" w:ascii="宋体" w:hAnsi="宋体" w:eastAsia="宋体" w:cs="宋体"/>
                      <w:color w:val="000000" w:themeColor="text1"/>
                      <w:spacing w:val="8"/>
                      <w:sz w:val="18"/>
                      <w:szCs w:val="18"/>
                      <w14:textFill>
                        <w14:solidFill>
                          <w14:schemeClr w14:val="tx1"/>
                        </w14:solidFill>
                      </w14:textFill>
                    </w:rPr>
                    <w:t>配套建设耐腐蚀的硬化地</w:t>
                  </w:r>
                  <w:r>
                    <w:rPr>
                      <w:rFonts w:hint="eastAsia" w:ascii="宋体" w:hAnsi="宋体" w:eastAsia="宋体" w:cs="宋体"/>
                      <w:color w:val="000000" w:themeColor="text1"/>
                      <w:spacing w:val="7"/>
                      <w:sz w:val="18"/>
                      <w:szCs w:val="18"/>
                      <w14:textFill>
                        <w14:solidFill>
                          <w14:schemeClr w14:val="tx1"/>
                        </w14:solidFill>
                      </w14:textFill>
                    </w:rPr>
                    <w:t>面且表面无裂隙。</w:t>
                  </w:r>
                  <w:r>
                    <w:rPr>
                      <w:rFonts w:hint="eastAsia" w:ascii="宋体" w:hAnsi="宋体" w:eastAsia="宋体" w:cs="宋体"/>
                      <w:color w:val="000000" w:themeColor="text1"/>
                      <w:spacing w:val="7"/>
                      <w:sz w:val="18"/>
                      <w:szCs w:val="18"/>
                      <w:lang w:val="en-US" w:eastAsia="zh-CN"/>
                      <w14:textFill>
                        <w14:solidFill>
                          <w14:schemeClr w14:val="tx1"/>
                        </w14:solidFill>
                      </w14:textFill>
                    </w:rPr>
                    <w:t>等效黏土防渗层 Mb≥6.0m，K≤1.0×10</w:t>
                  </w:r>
                  <w:r>
                    <w:rPr>
                      <w:rFonts w:hint="eastAsia" w:ascii="宋体" w:hAnsi="宋体" w:eastAsia="宋体" w:cs="宋体"/>
                      <w:color w:val="000000" w:themeColor="text1"/>
                      <w:spacing w:val="7"/>
                      <w:sz w:val="18"/>
                      <w:szCs w:val="18"/>
                      <w:vertAlign w:val="superscript"/>
                      <w:lang w:val="en-US" w:eastAsia="zh-CN"/>
                      <w14:textFill>
                        <w14:solidFill>
                          <w14:schemeClr w14:val="tx1"/>
                        </w14:solidFill>
                      </w14:textFill>
                    </w:rPr>
                    <w:t>-7</w:t>
                  </w:r>
                  <w:r>
                    <w:rPr>
                      <w:rFonts w:hint="eastAsia" w:ascii="宋体" w:hAnsi="宋体" w:eastAsia="宋体" w:cs="宋体"/>
                      <w:color w:val="000000" w:themeColor="text1"/>
                      <w:spacing w:val="7"/>
                      <w:sz w:val="18"/>
                      <w:szCs w:val="18"/>
                      <w:lang w:val="en-US" w:eastAsia="zh-CN"/>
                      <w14:textFill>
                        <w14:solidFill>
                          <w14:schemeClr w14:val="tx1"/>
                        </w14:solidFill>
                      </w14:textFill>
                    </w:rPr>
                    <w:t>cm/s；</w:t>
                  </w:r>
                </w:p>
              </w:tc>
            </w:tr>
            <w:tr w14:paraId="0CFF814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652" w:type="pct"/>
                  <w:vMerge w:val="restart"/>
                  <w:tcBorders>
                    <w:tl2br w:val="nil"/>
                    <w:tr2bl w:val="nil"/>
                  </w:tcBorders>
                  <w:vAlign w:val="top"/>
                </w:tcPr>
                <w:p w14:paraId="40185757">
                  <w:pPr>
                    <w:spacing w:line="357" w:lineRule="auto"/>
                    <w:rPr>
                      <w:rFonts w:hint="eastAsia" w:ascii="宋体" w:hAnsi="宋体" w:eastAsia="宋体" w:cs="宋体"/>
                      <w:color w:val="000000" w:themeColor="text1"/>
                      <w:sz w:val="18"/>
                      <w:szCs w:val="18"/>
                      <w14:textFill>
                        <w14:solidFill>
                          <w14:schemeClr w14:val="tx1"/>
                        </w14:solidFill>
                      </w14:textFill>
                    </w:rPr>
                  </w:pPr>
                </w:p>
                <w:p w14:paraId="7B0D62E1">
                  <w:pPr>
                    <w:pStyle w:val="119"/>
                    <w:spacing w:before="65" w:line="256" w:lineRule="auto"/>
                    <w:ind w:right="136"/>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一般防渗</w:t>
                  </w:r>
                  <w:r>
                    <w:rPr>
                      <w:rFonts w:hint="eastAsia" w:ascii="宋体" w:hAnsi="宋体" w:eastAsia="宋体" w:cs="宋体"/>
                      <w:color w:val="000000" w:themeColor="text1"/>
                      <w:sz w:val="18"/>
                      <w:szCs w:val="18"/>
                      <w14:textFill>
                        <w14:solidFill>
                          <w14:schemeClr w14:val="tx1"/>
                        </w14:solidFill>
                      </w14:textFill>
                    </w:rPr>
                    <w:t>区</w:t>
                  </w:r>
                </w:p>
              </w:tc>
              <w:tc>
                <w:tcPr>
                  <w:tcW w:w="2339" w:type="pct"/>
                  <w:tcBorders>
                    <w:tl2br w:val="nil"/>
                    <w:tr2bl w:val="nil"/>
                  </w:tcBorders>
                  <w:vAlign w:val="top"/>
                </w:tcPr>
                <w:p w14:paraId="1A0872A3">
                  <w:pPr>
                    <w:pStyle w:val="119"/>
                    <w:spacing w:before="43" w:line="228" w:lineRule="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包括事故应急池</w:t>
                  </w:r>
                  <w:r>
                    <w:rPr>
                      <w:rFonts w:hint="eastAsia" w:ascii="宋体" w:hAnsi="宋体" w:eastAsia="宋体" w:cs="宋体"/>
                      <w:color w:val="000000" w:themeColor="text1"/>
                      <w:spacing w:val="7"/>
                      <w:sz w:val="18"/>
                      <w:szCs w:val="18"/>
                      <w:lang w:eastAsia="zh-CN"/>
                      <w14:textFill>
                        <w14:solidFill>
                          <w14:schemeClr w14:val="tx1"/>
                        </w14:solidFill>
                      </w14:textFill>
                    </w:rPr>
                    <w:t>、</w:t>
                  </w:r>
                  <w:r>
                    <w:rPr>
                      <w:rFonts w:hint="eastAsia" w:ascii="宋体" w:hAnsi="宋体" w:eastAsia="宋体" w:cs="宋体"/>
                      <w:color w:val="000000" w:themeColor="text1"/>
                      <w:spacing w:val="8"/>
                      <w:sz w:val="18"/>
                      <w:szCs w:val="18"/>
                      <w14:textFill>
                        <w14:solidFill>
                          <w14:schemeClr w14:val="tx1"/>
                        </w14:solidFill>
                      </w14:textFill>
                    </w:rPr>
                    <w:t>废水处理设施</w:t>
                  </w:r>
                  <w:r>
                    <w:rPr>
                      <w:rFonts w:hint="eastAsia" w:cs="宋体"/>
                      <w:color w:val="000000" w:themeColor="text1"/>
                      <w:spacing w:val="8"/>
                      <w:sz w:val="18"/>
                      <w:szCs w:val="18"/>
                      <w:lang w:eastAsia="zh-CN"/>
                      <w14:textFill>
                        <w14:solidFill>
                          <w14:schemeClr w14:val="tx1"/>
                        </w14:solidFill>
                      </w14:textFill>
                    </w:rPr>
                    <w:t>、</w:t>
                  </w:r>
                  <w:r>
                    <w:rPr>
                      <w:rFonts w:hint="eastAsia" w:ascii="宋体" w:hAnsi="宋体" w:eastAsia="宋体" w:cs="宋体"/>
                      <w:color w:val="000000" w:themeColor="text1"/>
                      <w:spacing w:val="7"/>
                      <w:sz w:val="18"/>
                      <w:szCs w:val="18"/>
                      <w14:textFill>
                        <w14:solidFill>
                          <w14:schemeClr w14:val="tx1"/>
                        </w14:solidFill>
                      </w14:textFill>
                    </w:rPr>
                    <w:t>动力电池</w:t>
                  </w:r>
                  <w:r>
                    <w:rPr>
                      <w:rFonts w:hint="eastAsia" w:ascii="宋体" w:hAnsi="宋体" w:eastAsia="宋体" w:cs="宋体"/>
                      <w:color w:val="000000" w:themeColor="text1"/>
                      <w:spacing w:val="7"/>
                      <w:sz w:val="18"/>
                      <w:szCs w:val="18"/>
                      <w:lang w:eastAsia="zh-CN"/>
                      <w14:textFill>
                        <w14:solidFill>
                          <w14:schemeClr w14:val="tx1"/>
                        </w14:solidFill>
                      </w14:textFill>
                    </w:rPr>
                    <w:t>、</w:t>
                  </w:r>
                  <w:r>
                    <w:rPr>
                      <w:rFonts w:hint="eastAsia" w:ascii="宋体" w:hAnsi="宋体" w:eastAsia="宋体" w:cs="宋体"/>
                      <w:color w:val="000000" w:themeColor="text1"/>
                      <w:spacing w:val="7"/>
                      <w:sz w:val="18"/>
                      <w:szCs w:val="18"/>
                      <w14:textFill>
                        <w14:solidFill>
                          <w14:schemeClr w14:val="tx1"/>
                        </w14:solidFill>
                      </w14:textFill>
                    </w:rPr>
                    <w:t>贮存区、车壳及待破碎物暂放区、破碎产</w:t>
                  </w:r>
                  <w:r>
                    <w:rPr>
                      <w:rFonts w:hint="eastAsia" w:ascii="宋体" w:hAnsi="宋体" w:eastAsia="宋体" w:cs="宋体"/>
                      <w:color w:val="000000" w:themeColor="text1"/>
                      <w:spacing w:val="8"/>
                      <w:sz w:val="18"/>
                      <w:szCs w:val="18"/>
                      <w14:textFill>
                        <w14:solidFill>
                          <w14:schemeClr w14:val="tx1"/>
                        </w14:solidFill>
                      </w14:textFill>
                    </w:rPr>
                    <w:t>物存放区、化粪池</w:t>
                  </w:r>
                </w:p>
              </w:tc>
              <w:tc>
                <w:tcPr>
                  <w:tcW w:w="2008" w:type="pct"/>
                  <w:vMerge w:val="restart"/>
                  <w:tcBorders>
                    <w:tl2br w:val="nil"/>
                    <w:tr2bl w:val="nil"/>
                  </w:tcBorders>
                  <w:vAlign w:val="top"/>
                </w:tcPr>
                <w:p w14:paraId="3A364140">
                  <w:pPr>
                    <w:spacing w:line="250" w:lineRule="auto"/>
                    <w:rPr>
                      <w:rFonts w:hint="eastAsia" w:ascii="宋体" w:hAnsi="宋体" w:eastAsia="宋体" w:cs="宋体"/>
                      <w:color w:val="000000" w:themeColor="text1"/>
                      <w:sz w:val="18"/>
                      <w:szCs w:val="18"/>
                      <w14:textFill>
                        <w14:solidFill>
                          <w14:schemeClr w14:val="tx1"/>
                        </w14:solidFill>
                      </w14:textFill>
                    </w:rPr>
                  </w:pPr>
                </w:p>
                <w:p w14:paraId="544B5552">
                  <w:pPr>
                    <w:pStyle w:val="119"/>
                    <w:spacing w:before="65" w:line="227" w:lineRule="auto"/>
                    <w:ind w:left="806"/>
                    <w:rPr>
                      <w:rFonts w:hint="eastAsia" w:ascii="宋体" w:hAnsi="宋体" w:eastAsia="宋体" w:cs="宋体"/>
                      <w:color w:val="000000" w:themeColor="text1"/>
                      <w:sz w:val="18"/>
                      <w:szCs w:val="18"/>
                      <w14:textFill>
                        <w14:solidFill>
                          <w14:schemeClr w14:val="tx1"/>
                        </w14:solidFill>
                      </w14:textFill>
                    </w:rPr>
                  </w:pPr>
                </w:p>
                <w:p w14:paraId="28EE6F5F">
                  <w:pPr>
                    <w:pStyle w:val="119"/>
                    <w:spacing w:before="100" w:line="228" w:lineRule="auto"/>
                    <w:rPr>
                      <w:rFonts w:hint="eastAsia" w:ascii="宋体" w:hAnsi="宋体" w:eastAsia="宋体" w:cs="宋体"/>
                      <w:color w:val="000000" w:themeColor="text1"/>
                      <w:spacing w:val="6"/>
                      <w:sz w:val="18"/>
                      <w:szCs w:val="18"/>
                      <w:lang w:eastAsia="zh-CN"/>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防渗混凝土硬化</w:t>
                  </w:r>
                  <w:r>
                    <w:rPr>
                      <w:rFonts w:hint="eastAsia" w:ascii="宋体" w:hAnsi="宋体" w:eastAsia="宋体" w:cs="宋体"/>
                      <w:color w:val="000000" w:themeColor="text1"/>
                      <w:spacing w:val="6"/>
                      <w:sz w:val="18"/>
                      <w:szCs w:val="18"/>
                      <w:lang w:eastAsia="zh-CN"/>
                      <w14:textFill>
                        <w14:solidFill>
                          <w14:schemeClr w14:val="tx1"/>
                        </w14:solidFill>
                      </w14:textFill>
                    </w:rPr>
                    <w:t>，</w:t>
                  </w:r>
                  <w:r>
                    <w:rPr>
                      <w:rFonts w:hint="eastAsia" w:ascii="宋体" w:hAnsi="宋体" w:eastAsia="宋体" w:cs="宋体"/>
                      <w:color w:val="000000" w:themeColor="text1"/>
                      <w:spacing w:val="6"/>
                      <w:sz w:val="18"/>
                      <w:szCs w:val="18"/>
                      <w:lang w:val="en-US" w:eastAsia="zh-CN"/>
                      <w14:textFill>
                        <w14:solidFill>
                          <w14:schemeClr w14:val="tx1"/>
                        </w14:solidFill>
                      </w14:textFill>
                    </w:rPr>
                    <w:t>等效黏土防渗层 Mb≥1.5m，K≤1.0×10</w:t>
                  </w:r>
                  <w:r>
                    <w:rPr>
                      <w:rFonts w:hint="eastAsia" w:ascii="宋体" w:hAnsi="宋体" w:eastAsia="宋体" w:cs="宋体"/>
                      <w:color w:val="000000" w:themeColor="text1"/>
                      <w:spacing w:val="6"/>
                      <w:sz w:val="18"/>
                      <w:szCs w:val="18"/>
                      <w:vertAlign w:val="superscript"/>
                      <w:lang w:val="en-US" w:eastAsia="zh-CN"/>
                      <w14:textFill>
                        <w14:solidFill>
                          <w14:schemeClr w14:val="tx1"/>
                        </w14:solidFill>
                      </w14:textFill>
                    </w:rPr>
                    <w:t>-7</w:t>
                  </w:r>
                  <w:r>
                    <w:rPr>
                      <w:rFonts w:hint="eastAsia" w:ascii="宋体" w:hAnsi="宋体" w:eastAsia="宋体" w:cs="宋体"/>
                      <w:color w:val="000000" w:themeColor="text1"/>
                      <w:spacing w:val="6"/>
                      <w:sz w:val="18"/>
                      <w:szCs w:val="18"/>
                      <w:lang w:val="en-US" w:eastAsia="zh-CN"/>
                      <w14:textFill>
                        <w14:solidFill>
                          <w14:schemeClr w14:val="tx1"/>
                        </w14:solidFill>
                      </w14:textFill>
                    </w:rPr>
                    <w:t>cm/s；</w:t>
                  </w:r>
                </w:p>
                <w:p w14:paraId="31466716">
                  <w:pPr>
                    <w:pStyle w:val="119"/>
                    <w:spacing w:before="100" w:line="228" w:lineRule="auto"/>
                    <w:ind w:left="923"/>
                    <w:rPr>
                      <w:rFonts w:hint="eastAsia" w:ascii="宋体" w:hAnsi="宋体" w:eastAsia="宋体" w:cs="宋体"/>
                      <w:color w:val="000000" w:themeColor="text1"/>
                      <w:spacing w:val="6"/>
                      <w:sz w:val="18"/>
                      <w:szCs w:val="18"/>
                      <w:lang w:eastAsia="zh-CN"/>
                      <w14:textFill>
                        <w14:solidFill>
                          <w14:schemeClr w14:val="tx1"/>
                        </w14:solidFill>
                      </w14:textFill>
                    </w:rPr>
                  </w:pPr>
                </w:p>
                <w:p w14:paraId="49540DC7">
                  <w:pPr>
                    <w:pStyle w:val="119"/>
                    <w:spacing w:before="65" w:line="227" w:lineRule="auto"/>
                    <w:rPr>
                      <w:rFonts w:hint="eastAsia" w:ascii="宋体" w:hAnsi="宋体" w:eastAsia="宋体" w:cs="宋体"/>
                      <w:color w:val="000000" w:themeColor="text1"/>
                      <w:sz w:val="18"/>
                      <w:szCs w:val="18"/>
                      <w14:textFill>
                        <w14:solidFill>
                          <w14:schemeClr w14:val="tx1"/>
                        </w14:solidFill>
                      </w14:textFill>
                    </w:rPr>
                  </w:pPr>
                </w:p>
              </w:tc>
            </w:tr>
            <w:tr w14:paraId="1911038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52" w:type="pct"/>
                  <w:vMerge w:val="continue"/>
                  <w:tcBorders>
                    <w:tl2br w:val="nil"/>
                    <w:tr2bl w:val="nil"/>
                  </w:tcBorders>
                  <w:vAlign w:val="top"/>
                </w:tcPr>
                <w:p w14:paraId="757E15E2">
                  <w:pPr>
                    <w:rPr>
                      <w:rFonts w:hint="eastAsia" w:ascii="宋体" w:hAnsi="宋体" w:eastAsia="宋体" w:cs="宋体"/>
                      <w:color w:val="000000" w:themeColor="text1"/>
                      <w:sz w:val="18"/>
                      <w:szCs w:val="18"/>
                      <w14:textFill>
                        <w14:solidFill>
                          <w14:schemeClr w14:val="tx1"/>
                        </w14:solidFill>
                      </w14:textFill>
                    </w:rPr>
                  </w:pPr>
                </w:p>
              </w:tc>
              <w:tc>
                <w:tcPr>
                  <w:tcW w:w="2339" w:type="pct"/>
                  <w:tcBorders>
                    <w:tl2br w:val="nil"/>
                    <w:tr2bl w:val="nil"/>
                  </w:tcBorders>
                  <w:vAlign w:val="top"/>
                </w:tcPr>
                <w:p w14:paraId="06EB3FFD">
                  <w:pPr>
                    <w:pStyle w:val="119"/>
                    <w:spacing w:before="99" w:line="227" w:lineRule="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9"/>
                      <w:sz w:val="18"/>
                      <w:szCs w:val="18"/>
                      <w14:textFill>
                        <w14:solidFill>
                          <w14:schemeClr w14:val="tx1"/>
                        </w14:solidFill>
                      </w14:textFill>
                    </w:rPr>
                    <w:t>报废机动车存放区、破拆区</w:t>
                  </w:r>
                </w:p>
              </w:tc>
              <w:tc>
                <w:tcPr>
                  <w:tcW w:w="2008" w:type="pct"/>
                  <w:vMerge w:val="continue"/>
                  <w:tcBorders>
                    <w:tl2br w:val="nil"/>
                    <w:tr2bl w:val="nil"/>
                  </w:tcBorders>
                  <w:vAlign w:val="top"/>
                </w:tcPr>
                <w:p w14:paraId="12CA2979">
                  <w:pPr>
                    <w:pStyle w:val="119"/>
                    <w:spacing w:before="65" w:line="227" w:lineRule="auto"/>
                    <w:ind w:left="309"/>
                    <w:rPr>
                      <w:rFonts w:hint="eastAsia" w:ascii="宋体" w:hAnsi="宋体" w:eastAsia="宋体" w:cs="宋体"/>
                      <w:color w:val="000000" w:themeColor="text1"/>
                      <w:sz w:val="18"/>
                      <w:szCs w:val="18"/>
                      <w14:textFill>
                        <w14:solidFill>
                          <w14:schemeClr w14:val="tx1"/>
                        </w14:solidFill>
                      </w14:textFill>
                    </w:rPr>
                  </w:pPr>
                </w:p>
              </w:tc>
            </w:tr>
            <w:tr w14:paraId="352A95D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52" w:type="pct"/>
                  <w:vMerge w:val="continue"/>
                  <w:tcBorders>
                    <w:tl2br w:val="nil"/>
                    <w:tr2bl w:val="nil"/>
                  </w:tcBorders>
                  <w:vAlign w:val="top"/>
                </w:tcPr>
                <w:p w14:paraId="19FB0A1F">
                  <w:pPr>
                    <w:rPr>
                      <w:rFonts w:hint="eastAsia" w:ascii="宋体" w:hAnsi="宋体" w:eastAsia="宋体" w:cs="宋体"/>
                      <w:color w:val="000000" w:themeColor="text1"/>
                      <w:sz w:val="18"/>
                      <w:szCs w:val="18"/>
                      <w14:textFill>
                        <w14:solidFill>
                          <w14:schemeClr w14:val="tx1"/>
                        </w14:solidFill>
                      </w14:textFill>
                    </w:rPr>
                  </w:pPr>
                </w:p>
              </w:tc>
              <w:tc>
                <w:tcPr>
                  <w:tcW w:w="2339" w:type="pct"/>
                  <w:tcBorders>
                    <w:tl2br w:val="nil"/>
                    <w:tr2bl w:val="nil"/>
                  </w:tcBorders>
                  <w:vAlign w:val="top"/>
                </w:tcPr>
                <w:p w14:paraId="39676300">
                  <w:pPr>
                    <w:pStyle w:val="119"/>
                    <w:spacing w:before="47" w:line="228" w:lineRule="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一般工业固体废物暂存区（包括拆解产物暂存和周转区、轮胎、有色金属和可利用</w:t>
                  </w:r>
                  <w:r>
                    <w:rPr>
                      <w:rFonts w:hint="eastAsia" w:ascii="宋体" w:hAnsi="宋体" w:eastAsia="宋体" w:cs="宋体"/>
                      <w:color w:val="000000" w:themeColor="text1"/>
                      <w:spacing w:val="6"/>
                      <w:sz w:val="18"/>
                      <w:szCs w:val="18"/>
                      <w14:textFill>
                        <w14:solidFill>
                          <w14:schemeClr w14:val="tx1"/>
                        </w14:solidFill>
                      </w14:textFill>
                    </w:rPr>
                    <w:t>零部件存放区）</w:t>
                  </w:r>
                </w:p>
              </w:tc>
              <w:tc>
                <w:tcPr>
                  <w:tcW w:w="2008" w:type="pct"/>
                  <w:vMerge w:val="continue"/>
                  <w:tcBorders>
                    <w:tl2br w:val="nil"/>
                    <w:tr2bl w:val="nil"/>
                  </w:tcBorders>
                  <w:vAlign w:val="top"/>
                </w:tcPr>
                <w:p w14:paraId="5E3F5466">
                  <w:pPr>
                    <w:pStyle w:val="119"/>
                    <w:spacing w:before="65" w:line="227" w:lineRule="auto"/>
                    <w:ind w:left="309"/>
                    <w:rPr>
                      <w:rFonts w:hint="eastAsia" w:ascii="宋体" w:hAnsi="宋体" w:eastAsia="宋体" w:cs="宋体"/>
                      <w:color w:val="000000" w:themeColor="text1"/>
                      <w:sz w:val="18"/>
                      <w:szCs w:val="18"/>
                      <w14:textFill>
                        <w14:solidFill>
                          <w14:schemeClr w14:val="tx1"/>
                        </w14:solidFill>
                      </w14:textFill>
                    </w:rPr>
                  </w:pPr>
                </w:p>
              </w:tc>
            </w:tr>
            <w:tr w14:paraId="53F93C9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52" w:type="pct"/>
                  <w:tcBorders>
                    <w:tl2br w:val="nil"/>
                    <w:tr2bl w:val="nil"/>
                  </w:tcBorders>
                  <w:vAlign w:val="top"/>
                </w:tcPr>
                <w:p w14:paraId="42A52394">
                  <w:pPr>
                    <w:pStyle w:val="119"/>
                    <w:spacing w:before="93" w:line="227" w:lineRule="auto"/>
                    <w:ind w:left="136"/>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6"/>
                      <w:sz w:val="18"/>
                      <w:szCs w:val="18"/>
                      <w14:textFill>
                        <w14:solidFill>
                          <w14:schemeClr w14:val="tx1"/>
                        </w14:solidFill>
                      </w14:textFill>
                    </w:rPr>
                    <w:t>简单防渗</w:t>
                  </w:r>
                </w:p>
              </w:tc>
              <w:tc>
                <w:tcPr>
                  <w:tcW w:w="2339" w:type="pct"/>
                  <w:tcBorders>
                    <w:tl2br w:val="nil"/>
                    <w:tr2bl w:val="nil"/>
                  </w:tcBorders>
                  <w:vAlign w:val="top"/>
                </w:tcPr>
                <w:p w14:paraId="710B571E">
                  <w:pPr>
                    <w:pStyle w:val="119"/>
                    <w:spacing w:before="93" w:line="228" w:lineRule="auto"/>
                    <w:ind w:left="1355"/>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办公区、道路</w:t>
                  </w:r>
                </w:p>
              </w:tc>
              <w:tc>
                <w:tcPr>
                  <w:tcW w:w="2008" w:type="pct"/>
                  <w:tcBorders>
                    <w:tl2br w:val="nil"/>
                    <w:tr2bl w:val="nil"/>
                  </w:tcBorders>
                  <w:vAlign w:val="top"/>
                </w:tcPr>
                <w:p w14:paraId="2F6116A1">
                  <w:pPr>
                    <w:pStyle w:val="119"/>
                    <w:spacing w:before="93" w:line="228" w:lineRule="auto"/>
                    <w:ind w:left="1018"/>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7"/>
                      <w:sz w:val="18"/>
                      <w:szCs w:val="18"/>
                      <w14:textFill>
                        <w14:solidFill>
                          <w14:schemeClr w14:val="tx1"/>
                        </w14:solidFill>
                      </w14:textFill>
                    </w:rPr>
                    <w:t>水泥硬化防渗</w:t>
                  </w:r>
                </w:p>
              </w:tc>
            </w:tr>
          </w:tbl>
          <w:p w14:paraId="38FF59C9">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themeColor="text1"/>
                <w14:textFill>
                  <w14:solidFill>
                    <w14:schemeClr w14:val="tx1"/>
                  </w14:solidFill>
                </w14:textFill>
              </w:rPr>
            </w:pPr>
          </w:p>
          <w:p w14:paraId="79A785D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20"/>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运输过程的环境影响分析</w:t>
            </w:r>
          </w:p>
          <w:p w14:paraId="6955665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20"/>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危险废物从厂区内产生工艺环节运输到贮存场所或处置设施</w:t>
            </w:r>
            <w:r>
              <w:rPr>
                <w:rFonts w:hint="eastAsia" w:cs="宋体"/>
                <w:color w:val="000000" w:themeColor="text1"/>
                <w:lang w:eastAsia="zh-CN"/>
                <w14:textFill>
                  <w14:solidFill>
                    <w14:schemeClr w14:val="tx1"/>
                  </w14:solidFill>
                </w14:textFill>
              </w:rPr>
              <w:t>加强管理，避免</w:t>
            </w:r>
            <w:r>
              <w:rPr>
                <w:rFonts w:hint="eastAsia" w:ascii="宋体" w:hAnsi="宋体" w:eastAsia="宋体" w:cs="宋体"/>
                <w:color w:val="000000" w:themeColor="text1"/>
                <w14:textFill>
                  <w14:solidFill>
                    <w14:schemeClr w14:val="tx1"/>
                  </w14:solidFill>
                </w14:textFill>
              </w:rPr>
              <w:t>可能产生散落、泄漏所引起的环境影响。</w:t>
            </w:r>
          </w:p>
          <w:p w14:paraId="48A8C20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20"/>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委托利用的环境影响分析</w:t>
            </w:r>
          </w:p>
          <w:p w14:paraId="537ECF4A">
            <w:pPr>
              <w:keepNext w:val="0"/>
              <w:keepLines w:val="0"/>
              <w:pageBreakBefore w:val="0"/>
              <w:kinsoku/>
              <w:wordWrap/>
              <w:overflowPunct/>
              <w:topLinePunct w:val="0"/>
              <w:autoSpaceDE/>
              <w:autoSpaceDN/>
              <w:bidi w:val="0"/>
              <w:adjustRightInd/>
              <w:snapToGrid/>
              <w:spacing w:line="360" w:lineRule="auto"/>
              <w:ind w:left="0" w:leftChars="0" w:right="0" w:rightChars="0" w:firstLine="482"/>
              <w:textAlignment w:val="auto"/>
              <w:outlineLvl w:val="9"/>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现企业危险废物委托</w:t>
            </w:r>
            <w:r>
              <w:rPr>
                <w:rFonts w:hint="eastAsia" w:ascii="宋体" w:hAnsi="宋体" w:cs="宋体"/>
                <w:color w:val="000000" w:themeColor="text1"/>
                <w:lang w:val="en-US" w:eastAsia="zh-CN"/>
                <w14:textFill>
                  <w14:solidFill>
                    <w14:schemeClr w14:val="tx1"/>
                  </w14:solidFill>
                </w14:textFill>
              </w:rPr>
              <w:t>相应的危废处理部门</w:t>
            </w:r>
            <w:r>
              <w:rPr>
                <w:rFonts w:hint="eastAsia" w:ascii="宋体" w:hAnsi="宋体" w:eastAsia="宋体" w:cs="宋体"/>
                <w:color w:val="000000" w:themeColor="text1"/>
                <w:lang w:eastAsia="zh-CN"/>
                <w14:textFill>
                  <w14:solidFill>
                    <w14:schemeClr w14:val="tx1"/>
                  </w14:solidFill>
                </w14:textFill>
              </w:rPr>
              <w:t>对相关危险废物进行委托处理，符合相关危险废物处理类别，不会对环境产生不良影响</w:t>
            </w:r>
            <w:r>
              <w:rPr>
                <w:rFonts w:hint="eastAsia" w:ascii="宋体" w:hAnsi="宋体" w:eastAsia="宋体" w:cs="宋体"/>
                <w:color w:val="000000" w:themeColor="text1"/>
                <w14:textFill>
                  <w14:solidFill>
                    <w14:schemeClr w14:val="tx1"/>
                  </w14:solidFill>
                </w14:textFill>
              </w:rPr>
              <w:t>。</w:t>
            </w:r>
          </w:p>
          <w:p w14:paraId="61032C60">
            <w:pPr>
              <w:keepNext w:val="0"/>
              <w:keepLines w:val="0"/>
              <w:pageBreakBefore w:val="0"/>
              <w:numPr>
                <w:ilvl w:val="0"/>
                <w:numId w:val="0"/>
              </w:numPr>
              <w:kinsoku/>
              <w:wordWrap/>
              <w:topLinePunct w:val="0"/>
              <w:autoSpaceDE/>
              <w:autoSpaceDN/>
              <w:bidi w:val="0"/>
              <w:adjustRightInd/>
              <w:snapToGrid/>
              <w:spacing w:line="360" w:lineRule="auto"/>
              <w:ind w:right="0" w:rightChars="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(4)保护措施</w:t>
            </w:r>
          </w:p>
          <w:p w14:paraId="647EC9E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360" w:lineRule="auto"/>
              <w:ind w:left="0" w:leftChars="0" w:right="0" w:rightChars="0" w:firstLine="42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贮存场所（设施）污染防治措施</w:t>
            </w:r>
          </w:p>
          <w:p w14:paraId="5AAEA1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危险废物在收集时，按《关于加强危险废物交换和转移管理工作的通知》要求，根据危险废物的性质和形态，采用相应材质、容器进行安全包装，并在包装的明显位置附上危险废物标签。通过严格检查，严防在装载、搬迁或运输中出现渗漏、溢出、抛洒或挥发等不利情况。 </w:t>
            </w:r>
          </w:p>
          <w:p w14:paraId="6AFDAF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项目危险废物暂存库严格按《危险废物贮存污染控制标准》（GBl8597-20</w:t>
            </w:r>
            <w:r>
              <w:rPr>
                <w:rFonts w:hint="eastAsia" w:ascii="宋体" w:hAnsi="宋体" w:cs="宋体"/>
                <w:color w:val="000000" w:themeColor="text1"/>
                <w:lang w:val="en-US" w:eastAsia="zh-CN"/>
                <w14:textFill>
                  <w14:solidFill>
                    <w14:schemeClr w14:val="tx1"/>
                  </w14:solidFill>
                </w14:textFill>
              </w:rPr>
              <w:t>23</w:t>
            </w:r>
            <w:r>
              <w:rPr>
                <w:rFonts w:hint="eastAsia" w:ascii="宋体" w:hAnsi="宋体" w:eastAsia="宋体" w:cs="宋体"/>
                <w:color w:val="000000" w:themeColor="text1"/>
                <w14:textFill>
                  <w14:solidFill>
                    <w14:schemeClr w14:val="tx1"/>
                  </w14:solidFill>
                </w14:textFill>
              </w:rPr>
              <w:t>）及危险废物的其他相关规定进行设计建设，对地面防腐防渗，设有围堰、事故</w:t>
            </w:r>
            <w:r>
              <w:rPr>
                <w:rFonts w:hint="eastAsia" w:ascii="宋体" w:hAnsi="宋体" w:eastAsia="宋体" w:cs="宋体"/>
                <w:color w:val="000000" w:themeColor="text1"/>
                <w:lang w:eastAsia="zh-CN"/>
                <w14:textFill>
                  <w14:solidFill>
                    <w14:schemeClr w14:val="tx1"/>
                  </w14:solidFill>
                </w14:textFill>
              </w:rPr>
              <w:t>收</w:t>
            </w:r>
            <w:r>
              <w:rPr>
                <w:rFonts w:hint="eastAsia" w:ascii="宋体" w:hAnsi="宋体" w:eastAsia="宋体" w:cs="宋体"/>
                <w:color w:val="000000" w:themeColor="text1"/>
                <w:sz w:val="24"/>
                <w:szCs w:val="24"/>
                <w:lang w:eastAsia="zh-CN"/>
                <w14:textFill>
                  <w14:solidFill>
                    <w14:schemeClr w14:val="tx1"/>
                  </w14:solidFill>
                </w14:textFill>
              </w:rPr>
              <w:t>集槽</w:t>
            </w:r>
            <w:r>
              <w:rPr>
                <w:rFonts w:hint="eastAsia" w:ascii="宋体" w:hAnsi="宋体" w:eastAsia="宋体" w:cs="宋体"/>
                <w:color w:val="000000" w:themeColor="text1"/>
                <w:sz w:val="24"/>
                <w:szCs w:val="24"/>
                <w14:textFill>
                  <w14:solidFill>
                    <w14:schemeClr w14:val="tx1"/>
                  </w14:solidFill>
                </w14:textFill>
              </w:rPr>
              <w:t>等可收集泄露的液态危险废物，危险废物分类收集，使用专用桶装，项目运营期产生的危险废物对周边大气环境、水环境影响不大。</w:t>
            </w:r>
          </w:p>
          <w:p w14:paraId="171733F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napToGrid/>
              <w:spacing w:before="0" w:beforeAutospacing="0" w:after="0" w:afterAutospacing="0" w:line="360" w:lineRule="auto"/>
              <w:ind w:left="0" w:leftChars="0" w:right="0" w:rightChars="0" w:firstLine="42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运输过程的污染防治措施</w:t>
            </w:r>
          </w:p>
          <w:p w14:paraId="6D3F4A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场内转移均在</w:t>
            </w:r>
            <w:r>
              <w:rPr>
                <w:rFonts w:hint="eastAsia" w:ascii="宋体" w:hAnsi="宋体" w:cs="宋体"/>
                <w:color w:val="000000" w:themeColor="text1"/>
                <w:lang w:eastAsia="zh-CN"/>
                <w14:textFill>
                  <w14:solidFill>
                    <w14:schemeClr w14:val="tx1"/>
                  </w14:solidFill>
                </w14:textFill>
              </w:rPr>
              <w:t>暂存库</w:t>
            </w:r>
            <w:r>
              <w:rPr>
                <w:rFonts w:hint="eastAsia" w:ascii="宋体" w:hAnsi="宋体" w:eastAsia="宋体" w:cs="宋体"/>
                <w:color w:val="000000" w:themeColor="text1"/>
                <w14:textFill>
                  <w14:solidFill>
                    <w14:schemeClr w14:val="tx1"/>
                  </w14:solidFill>
                </w14:textFill>
              </w:rPr>
              <w:t>内部进行，且</w:t>
            </w:r>
            <w:r>
              <w:rPr>
                <w:rFonts w:hint="eastAsia" w:ascii="宋体" w:hAnsi="宋体" w:cs="宋体"/>
                <w:color w:val="000000" w:themeColor="text1"/>
                <w:lang w:eastAsia="zh-CN"/>
                <w14:textFill>
                  <w14:solidFill>
                    <w14:schemeClr w14:val="tx1"/>
                  </w14:solidFill>
                </w14:textFill>
              </w:rPr>
              <w:t>暂存库</w:t>
            </w:r>
            <w:r>
              <w:rPr>
                <w:rFonts w:hint="eastAsia" w:ascii="宋体" w:hAnsi="宋体" w:eastAsia="宋体" w:cs="宋体"/>
                <w:color w:val="000000" w:themeColor="text1"/>
                <w14:textFill>
                  <w14:solidFill>
                    <w14:schemeClr w14:val="tx1"/>
                  </w14:solidFill>
                </w14:textFill>
              </w:rPr>
              <w:t>地面防腐防渗，设有围堰、事故</w:t>
            </w:r>
            <w:r>
              <w:rPr>
                <w:rFonts w:hint="eastAsia" w:ascii="宋体" w:hAnsi="宋体" w:eastAsia="宋体" w:cs="宋体"/>
                <w:color w:val="000000" w:themeColor="text1"/>
                <w:lang w:eastAsia="zh-CN"/>
                <w14:textFill>
                  <w14:solidFill>
                    <w14:schemeClr w14:val="tx1"/>
                  </w14:solidFill>
                </w14:textFill>
              </w:rPr>
              <w:t>收集槽</w:t>
            </w:r>
            <w:r>
              <w:rPr>
                <w:rFonts w:hint="eastAsia" w:ascii="宋体" w:hAnsi="宋体" w:eastAsia="宋体" w:cs="宋体"/>
                <w:color w:val="000000" w:themeColor="text1"/>
                <w14:textFill>
                  <w14:solidFill>
                    <w14:schemeClr w14:val="tx1"/>
                  </w14:solidFill>
                </w14:textFill>
              </w:rPr>
              <w:t>等可收集泄露的液态危险废物，场内转移运输过程对环境影响不大，危险废物运输过程，由有资质危废处置单位</w:t>
            </w:r>
            <w:r>
              <w:rPr>
                <w:rFonts w:hint="eastAsia" w:ascii="宋体" w:hAnsi="宋体" w:eastAsia="宋体" w:cs="宋体"/>
                <w:color w:val="000000" w:themeColor="text1"/>
                <w:lang w:eastAsia="zh-CN"/>
                <w14:textFill>
                  <w14:solidFill>
                    <w14:schemeClr w14:val="tx1"/>
                  </w14:solidFill>
                </w14:textFill>
              </w:rPr>
              <w:t>负责</w:t>
            </w:r>
            <w:r>
              <w:rPr>
                <w:rFonts w:hint="eastAsia" w:ascii="宋体" w:hAnsi="宋体" w:eastAsia="宋体" w:cs="宋体"/>
                <w:color w:val="000000" w:themeColor="text1"/>
                <w14:textFill>
                  <w14:solidFill>
                    <w14:schemeClr w14:val="tx1"/>
                  </w14:solidFill>
                </w14:textFill>
              </w:rPr>
              <w:t>， 危废处置单位使用专用车辆，至</w:t>
            </w:r>
            <w:r>
              <w:rPr>
                <w:rFonts w:hint="eastAsia" w:ascii="宋体" w:hAnsi="宋体" w:eastAsia="宋体" w:cs="宋体"/>
                <w:color w:val="000000" w:themeColor="text1"/>
                <w:lang w:val="en-US" w:eastAsia="zh-CN"/>
                <w14:textFill>
                  <w14:solidFill>
                    <w14:schemeClr w14:val="tx1"/>
                  </w14:solidFill>
                </w14:textFill>
              </w:rPr>
              <w:t>厂</w:t>
            </w:r>
            <w:r>
              <w:rPr>
                <w:rFonts w:hint="eastAsia" w:ascii="宋体" w:hAnsi="宋体" w:eastAsia="宋体" w:cs="宋体"/>
                <w:color w:val="000000" w:themeColor="text1"/>
                <w14:textFill>
                  <w14:solidFill>
                    <w14:schemeClr w14:val="tx1"/>
                  </w14:solidFill>
                </w14:textFill>
              </w:rPr>
              <w:t>内收集、转移</w:t>
            </w:r>
            <w:r>
              <w:rPr>
                <w:rFonts w:hint="eastAsia" w:ascii="宋体" w:hAnsi="宋体" w:eastAsia="宋体" w:cs="宋体"/>
                <w:color w:val="000000" w:themeColor="text1"/>
                <w:lang w:val="en-US" w:eastAsia="zh-CN"/>
                <w14:textFill>
                  <w14:solidFill>
                    <w14:schemeClr w14:val="tx1"/>
                  </w14:solidFill>
                </w14:textFill>
              </w:rPr>
              <w:t>危废间储存</w:t>
            </w:r>
            <w:r>
              <w:rPr>
                <w:rFonts w:hint="eastAsia" w:ascii="宋体" w:hAnsi="宋体" w:eastAsia="宋体" w:cs="宋体"/>
                <w:color w:val="000000" w:themeColor="text1"/>
                <w14:textFill>
                  <w14:solidFill>
                    <w14:schemeClr w14:val="tx1"/>
                  </w14:solidFill>
                </w14:textFill>
              </w:rPr>
              <w:t>的危险废物， 运输过程对环境影响不大。危险废物转移严格按照《危险废物转移联单管理办法》（国家环境保护总局令第 5 号）执行。建立危险废物转移联单制度，在转移危险废物前， 须按照国家有关规定报批危险废物转移计划，经批准后，向移出地环境保护行政主管 部门申请领取联单，在危险废物转移前三日内报告移出地环境保护行政主管部门，并同时将预期到达时间报告接受地环境保护行政主管部门，每转移一车（次）危险废物，填写一份转移联单，使用专业运输车辆，按规定线路运输，建设单位应保留危险废物 转移联单5年，以备环保部门检查。</w:t>
            </w:r>
          </w:p>
          <w:p w14:paraId="1F1842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 xml:space="preserve">委托处置 </w:t>
            </w:r>
          </w:p>
          <w:p w14:paraId="723343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运营期产生的危险废物由有资质危废处置单位处置，危废处置单位使用专用车辆，至场内收集、转移本项目运营期产生的危险废物，本项目建设单位不自行外运、转移，危险废物委托处理后对环境影响不大。</w:t>
            </w:r>
          </w:p>
          <w:p w14:paraId="618E6D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4</w:t>
            </w:r>
            <w:r>
              <w:rPr>
                <w:rFonts w:hint="eastAsia" w:ascii="宋体" w:hAnsi="宋体" w:eastAsia="宋体" w:cs="宋体"/>
                <w:color w:val="000000" w:themeColor="text1"/>
                <w:lang w:eastAsia="zh-CN"/>
                <w14:textFill>
                  <w14:solidFill>
                    <w14:schemeClr w14:val="tx1"/>
                  </w14:solidFill>
                </w14:textFill>
              </w:rPr>
              <w:t>）管理措施</w:t>
            </w:r>
          </w:p>
          <w:p w14:paraId="4F983004">
            <w:pPr>
              <w:keepNext w:val="0"/>
              <w:keepLines w:val="0"/>
              <w:pageBreakBefore w:val="0"/>
              <w:widowControl w:val="0"/>
              <w:numPr>
                <w:ilvl w:val="0"/>
                <w:numId w:val="0"/>
              </w:numPr>
              <w:tabs>
                <w:tab w:val="left" w:pos="5760"/>
              </w:tabs>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设立企业固废管理台账，规范危险废物情况的记录，记录上须注明危险废物的名称、来源、数量、特性和包装容器的类别、入库日期、存放库位、废物出库日期及接 收单位名称，确保厂内所有危险废物流向清楚规范。制定和落实危险废物管理计划，执行危险废物申报登记制度。及时向当地环保部门申报危险废物种类、产生量、流向、处置等资料，办理临时申报登记手续。严格执行危险废物交换转移审批制度。所有危险废物交换转移向环保部门提出申请，经环保部门预审后报上级环保部门批准。危险废物交换转移前到当地环保部门网上申请联单。绝不擅自交换、向无危险废物经营许可证单位转移。必须定期对所暂存的危险废物包装容器及暂存设施进行检查，发现破损，应及时采取措施清理更换。综上，项目运营期产生的危险废物均按照《危险废物贮存污染控制标准》（GB18597-20</w:t>
            </w:r>
            <w:r>
              <w:rPr>
                <w:rFonts w:hint="eastAsia" w:ascii="宋体" w:hAnsi="宋体" w:cs="宋体"/>
                <w:color w:val="000000" w:themeColor="text1"/>
                <w:lang w:val="en-US" w:eastAsia="zh-CN"/>
                <w14:textFill>
                  <w14:solidFill>
                    <w14:schemeClr w14:val="tx1"/>
                  </w14:solidFill>
                </w14:textFill>
              </w:rPr>
              <w:t>23</w:t>
            </w:r>
            <w:r>
              <w:rPr>
                <w:rFonts w:hint="eastAsia" w:ascii="宋体" w:hAnsi="宋体" w:eastAsia="宋体" w:cs="宋体"/>
                <w:color w:val="000000" w:themeColor="text1"/>
                <w14:textFill>
                  <w14:solidFill>
                    <w14:schemeClr w14:val="tx1"/>
                  </w14:solidFill>
                </w14:textFill>
              </w:rPr>
              <w:t>），暂存在收贮中心内部设置符合标准要求的危险废物暂存场所，并委托有危废处置资质的单位处理，不得混入生活垃圾或随意丢弃，妥善处理后对周边环境影响较小。</w:t>
            </w:r>
          </w:p>
          <w:p w14:paraId="2C06F53C">
            <w:pPr>
              <w:keepNext w:val="0"/>
              <w:keepLines w:val="0"/>
              <w:pageBreakBefore w:val="0"/>
              <w:widowControl w:val="0"/>
              <w:kinsoku/>
              <w:wordWrap/>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该暂存场所选址不在溶洞区、洪水、滑坡、潮汐等不稳定地区，区域地质构造稳定。危废间单独密闭设置，并设置防雨、防火、防雷、防尘、防渗装置，不同危废设置分类、分区暂存，并设置明显的危废标识。建设单位须做好危险废物的记录，记录上注明危险废物名称、来源、数量、特性和容器类别、入库日期、存放库位、出库日期及接收单位。危险废物拟委托有资质的单位外运处置，危险废物的运输应采取危险废物转移“五联单”制度，保证运输安全，防止非法转移和非法处置，保证危险废物的安全监控，防止危险废物污染事故发生。</w:t>
            </w:r>
          </w:p>
          <w:p w14:paraId="5182CE46">
            <w:pPr>
              <w:pStyle w:val="11"/>
              <w:ind w:left="0" w:leftChars="0" w:firstLine="0" w:firstLineChars="0"/>
              <w:rPr>
                <w:rFonts w:hint="eastAsia" w:ascii="宋体" w:hAnsi="宋体" w:eastAsia="宋体" w:cs="宋体"/>
                <w:color w:val="000000" w:themeColor="text1"/>
                <w14:textFill>
                  <w14:solidFill>
                    <w14:schemeClr w14:val="tx1"/>
                  </w14:solidFill>
                </w14:textFill>
              </w:rPr>
            </w:pPr>
          </w:p>
        </w:tc>
      </w:tr>
    </w:tbl>
    <w:p w14:paraId="4DD24DE1">
      <w:pPr>
        <w:pStyle w:val="2"/>
        <w:spacing w:before="120" w:after="120"/>
        <w:jc w:val="both"/>
        <w:rPr>
          <w:rFonts w:hint="eastAsia" w:ascii="宋体" w:hAnsi="宋体" w:eastAsia="宋体" w:cs="宋体"/>
          <w:color w:val="000000" w:themeColor="text1"/>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3479"/>
      </w:tblGrid>
      <w:tr w14:paraId="35C6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vAlign w:val="center"/>
          </w:tcPr>
          <w:p w14:paraId="647D74E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运营</w:t>
            </w:r>
          </w:p>
          <w:p w14:paraId="4DA59292">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期环</w:t>
            </w:r>
          </w:p>
          <w:p w14:paraId="0A37CDE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境影</w:t>
            </w:r>
          </w:p>
          <w:p w14:paraId="12E7369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响和</w:t>
            </w:r>
          </w:p>
          <w:p w14:paraId="54C780D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保护</w:t>
            </w:r>
          </w:p>
          <w:p w14:paraId="2BE85507">
            <w:pPr>
              <w:jc w:val="center"/>
              <w:rPr>
                <w:rFonts w:hint="eastAsia" w:ascii="宋体" w:hAnsi="宋体" w:eastAsia="宋体" w:cs="宋体"/>
                <w:snapToGrid w:val="0"/>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措施</w:t>
            </w:r>
          </w:p>
        </w:tc>
        <w:tc>
          <w:tcPr>
            <w:tcW w:w="13479" w:type="dxa"/>
            <w:vAlign w:val="top"/>
          </w:tcPr>
          <w:p w14:paraId="4E8CDE88">
            <w:pPr>
              <w:pStyle w:val="37"/>
              <w:keepNext w:val="0"/>
              <w:keepLines w:val="0"/>
              <w:pageBreakBefore w:val="0"/>
              <w:widowControl w:val="0"/>
              <w:kinsoku/>
              <w:wordWrap/>
              <w:overflowPunct/>
              <w:topLinePunct w:val="0"/>
              <w:autoSpaceDE/>
              <w:autoSpaceDN/>
              <w:bidi w:val="0"/>
              <w:adjustRightInd/>
              <w:snapToGrid/>
              <w:spacing w:line="240" w:lineRule="atLeast"/>
              <w:ind w:left="-4080" w:leftChars="-1700" w:right="-31" w:rightChars="-13"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表4-</w:t>
            </w: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cs="宋体"/>
                <w:color w:val="000000" w:themeColor="text1"/>
                <w:sz w:val="21"/>
                <w:szCs w:val="21"/>
                <w:highlight w:val="none"/>
                <w:lang w:val="en-US" w:eastAsia="zh-CN"/>
                <w14:textFill>
                  <w14:solidFill>
                    <w14:schemeClr w14:val="tx1"/>
                  </w14:solidFill>
                </w14:textFill>
              </w:rPr>
              <w:t>危废废物产生与排放情况</w:t>
            </w:r>
            <w:r>
              <w:rPr>
                <w:rFonts w:hint="eastAsia" w:ascii="宋体" w:hAnsi="宋体" w:eastAsia="宋体" w:cs="宋体"/>
                <w:color w:val="000000" w:themeColor="text1"/>
                <w:sz w:val="21"/>
                <w:szCs w:val="21"/>
                <w14:textFill>
                  <w14:solidFill>
                    <w14:schemeClr w14:val="tx1"/>
                  </w14:solidFill>
                </w14:textFill>
              </w:rPr>
              <w:t>一览</w:t>
            </w:r>
          </w:p>
          <w:tbl>
            <w:tblPr>
              <w:tblStyle w:val="25"/>
              <w:tblW w:w="4995"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911"/>
              <w:gridCol w:w="3099"/>
              <w:gridCol w:w="975"/>
              <w:gridCol w:w="1203"/>
              <w:gridCol w:w="1235"/>
              <w:gridCol w:w="675"/>
              <w:gridCol w:w="602"/>
              <w:gridCol w:w="732"/>
              <w:gridCol w:w="2540"/>
              <w:gridCol w:w="599"/>
              <w:gridCol w:w="661"/>
            </w:tblGrid>
            <w:tr w14:paraId="47727B8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trPr>
              <w:tc>
                <w:tcPr>
                  <w:tcW w:w="344" w:type="pct"/>
                  <w:tcBorders>
                    <w:tl2br w:val="nil"/>
                    <w:tr2bl w:val="nil"/>
                  </w:tcBorders>
                  <w:shd w:val="clear" w:color="auto" w:fill="auto"/>
                  <w:vAlign w:val="center"/>
                </w:tcPr>
                <w:p w14:paraId="2B81866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6"/>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6"/>
                      <w:sz w:val="18"/>
                      <w:szCs w:val="18"/>
                      <w:u w:val="none" w:color="auto"/>
                      <w:lang w:val="en-US" w:eastAsia="zh-CN"/>
                      <w14:textFill>
                        <w14:solidFill>
                          <w14:schemeClr w14:val="tx1"/>
                        </w14:solidFill>
                      </w14:textFill>
                    </w:rPr>
                    <w:t>名称</w:t>
                  </w:r>
                </w:p>
              </w:tc>
              <w:tc>
                <w:tcPr>
                  <w:tcW w:w="1171" w:type="pct"/>
                  <w:tcBorders>
                    <w:tl2br w:val="nil"/>
                    <w:tr2bl w:val="nil"/>
                  </w:tcBorders>
                  <w:shd w:val="clear" w:color="auto" w:fill="auto"/>
                  <w:vAlign w:val="center"/>
                </w:tcPr>
                <w:p w14:paraId="4AD075E2">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来源</w:t>
                  </w:r>
                </w:p>
              </w:tc>
              <w:tc>
                <w:tcPr>
                  <w:tcW w:w="368" w:type="pct"/>
                  <w:tcBorders>
                    <w:tl2br w:val="nil"/>
                    <w:tr2bl w:val="nil"/>
                  </w:tcBorders>
                  <w:shd w:val="clear" w:color="auto" w:fill="auto"/>
                  <w:vAlign w:val="center"/>
                </w:tcPr>
                <w:p w14:paraId="471AA5F4">
                  <w:pPr>
                    <w:keepNext w:val="0"/>
                    <w:keepLines w:val="0"/>
                    <w:pageBreakBefore w:val="0"/>
                    <w:kinsoku/>
                    <w:wordWrap/>
                    <w:overflowPunct w:val="0"/>
                    <w:topLinePunct w:val="0"/>
                    <w:autoSpaceDE/>
                    <w:autoSpaceDN/>
                    <w:bidi w:val="0"/>
                    <w:adjustRightInd/>
                    <w:snapToGrid/>
                    <w:spacing w:line="240" w:lineRule="atLeast"/>
                    <w:jc w:val="center"/>
                    <w:rPr>
                      <w:rFonts w:hint="default"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cs="宋体"/>
                      <w:color w:val="000000" w:themeColor="text1"/>
                      <w:spacing w:val="-2"/>
                      <w:sz w:val="18"/>
                      <w:szCs w:val="18"/>
                      <w:u w:val="none" w:color="auto"/>
                      <w:lang w:val="en-US" w:eastAsia="zh-CN"/>
                      <w14:textFill>
                        <w14:solidFill>
                          <w14:schemeClr w14:val="tx1"/>
                        </w14:solidFill>
                      </w14:textFill>
                    </w:rPr>
                    <w:t>废物类别</w:t>
                  </w:r>
                </w:p>
              </w:tc>
              <w:tc>
                <w:tcPr>
                  <w:tcW w:w="454" w:type="pct"/>
                  <w:tcBorders>
                    <w:tl2br w:val="nil"/>
                    <w:tr2bl w:val="nil"/>
                  </w:tcBorders>
                  <w:shd w:val="clear" w:color="auto" w:fill="auto"/>
                  <w:vAlign w:val="center"/>
                </w:tcPr>
                <w:p w14:paraId="42C79F38">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t>代码</w:t>
                  </w:r>
                </w:p>
              </w:tc>
              <w:tc>
                <w:tcPr>
                  <w:tcW w:w="466" w:type="pct"/>
                  <w:tcBorders>
                    <w:tl2br w:val="nil"/>
                    <w:tr2bl w:val="nil"/>
                  </w:tcBorders>
                  <w:shd w:val="clear" w:color="auto" w:fill="auto"/>
                  <w:vAlign w:val="center"/>
                </w:tcPr>
                <w:p w14:paraId="711B384C">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t>有害成分</w:t>
                  </w:r>
                </w:p>
              </w:tc>
              <w:tc>
                <w:tcPr>
                  <w:tcW w:w="255" w:type="pct"/>
                  <w:tcBorders>
                    <w:tl2br w:val="nil"/>
                    <w:tr2bl w:val="nil"/>
                  </w:tcBorders>
                  <w:shd w:val="clear" w:color="auto" w:fill="auto"/>
                  <w:vAlign w:val="center"/>
                </w:tcPr>
                <w:p w14:paraId="0FEBD6FE">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cs="宋体"/>
                      <w:color w:val="000000" w:themeColor="text1"/>
                      <w:spacing w:val="3"/>
                      <w:sz w:val="18"/>
                      <w:szCs w:val="18"/>
                      <w:u w:val="none" w:color="auto"/>
                      <w:lang w:val="en-US" w:eastAsia="zh-CN"/>
                      <w14:textFill>
                        <w14:solidFill>
                          <w14:schemeClr w14:val="tx1"/>
                        </w14:solidFill>
                      </w14:textFill>
                    </w:rPr>
                    <w:t>性状</w:t>
                  </w:r>
                </w:p>
              </w:tc>
              <w:tc>
                <w:tcPr>
                  <w:tcW w:w="227" w:type="pct"/>
                  <w:tcBorders>
                    <w:tl2br w:val="nil"/>
                    <w:tr2bl w:val="nil"/>
                  </w:tcBorders>
                  <w:shd w:val="clear" w:color="auto" w:fill="auto"/>
                  <w:vAlign w:val="center"/>
                </w:tcPr>
                <w:p w14:paraId="1859D98D">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产生量</w:t>
                  </w:r>
                </w:p>
              </w:tc>
              <w:tc>
                <w:tcPr>
                  <w:tcW w:w="276" w:type="pct"/>
                  <w:tcBorders>
                    <w:tl2br w:val="nil"/>
                    <w:tr2bl w:val="nil"/>
                  </w:tcBorders>
                  <w:shd w:val="clear" w:color="auto" w:fill="auto"/>
                  <w:vAlign w:val="center"/>
                </w:tcPr>
                <w:p w14:paraId="1CC68089">
                  <w:pPr>
                    <w:keepNext w:val="0"/>
                    <w:keepLines w:val="0"/>
                    <w:pageBreakBefore w:val="0"/>
                    <w:widowControl/>
                    <w:suppressLineNumbers w:val="0"/>
                    <w:kinsoku/>
                    <w:wordWrap/>
                    <w:overflowPunct w:val="0"/>
                    <w:topLinePunct w:val="0"/>
                    <w:autoSpaceDE/>
                    <w:autoSpaceDN/>
                    <w:bidi w:val="0"/>
                    <w:adjustRightInd/>
                    <w:snapToGrid/>
                    <w:spacing w:line="240" w:lineRule="atLeast"/>
                    <w:ind w:right="-151" w:rightChars="-63"/>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9"/>
                      <w:sz w:val="18"/>
                      <w:szCs w:val="18"/>
                      <w:u w:val="none" w:color="auto"/>
                      <w14:textFill>
                        <w14:solidFill>
                          <w14:schemeClr w14:val="tx1"/>
                        </w14:solidFill>
                      </w14:textFill>
                    </w:rPr>
                    <w:t>危险特性</w:t>
                  </w:r>
                </w:p>
              </w:tc>
              <w:tc>
                <w:tcPr>
                  <w:tcW w:w="959" w:type="pct"/>
                  <w:tcBorders>
                    <w:tl2br w:val="nil"/>
                    <w:tr2bl w:val="nil"/>
                  </w:tcBorders>
                  <w:shd w:val="clear" w:color="auto" w:fill="auto"/>
                  <w:vAlign w:val="center"/>
                </w:tcPr>
                <w:p w14:paraId="74FE1D44">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color w:val="000000" w:themeColor="text1"/>
                      <w:spacing w:val="39"/>
                      <w:sz w:val="18"/>
                      <w:szCs w:val="18"/>
                      <w:u w:val="none" w:color="auto"/>
                      <w:lang w:val="en-US" w:eastAsia="zh-CN"/>
                      <w14:textFill>
                        <w14:solidFill>
                          <w14:schemeClr w14:val="tx1"/>
                        </w14:solidFill>
                      </w14:textFill>
                    </w:rPr>
                  </w:pPr>
                  <w:r>
                    <w:rPr>
                      <w:rFonts w:hint="eastAsia" w:ascii="宋体" w:hAnsi="宋体" w:cs="宋体"/>
                      <w:color w:val="000000" w:themeColor="text1"/>
                      <w:spacing w:val="-2"/>
                      <w:sz w:val="18"/>
                      <w:szCs w:val="18"/>
                      <w:u w:val="none" w:color="auto"/>
                      <w:lang w:val="en-US" w:eastAsia="zh-CN"/>
                      <w14:textFill>
                        <w14:solidFill>
                          <w14:schemeClr w14:val="tx1"/>
                        </w14:solidFill>
                      </w14:textFill>
                    </w:rPr>
                    <w:t>处置方式</w:t>
                  </w:r>
                </w:p>
              </w:tc>
              <w:tc>
                <w:tcPr>
                  <w:tcW w:w="226" w:type="pct"/>
                  <w:tcBorders>
                    <w:tl2br w:val="nil"/>
                    <w:tr2bl w:val="nil"/>
                  </w:tcBorders>
                  <w:shd w:val="clear" w:color="auto" w:fill="auto"/>
                  <w:vAlign w:val="center"/>
                </w:tcPr>
                <w:p w14:paraId="20CCD9E2">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排放量</w:t>
                  </w:r>
                </w:p>
              </w:tc>
              <w:tc>
                <w:tcPr>
                  <w:tcW w:w="249" w:type="pct"/>
                  <w:tcBorders>
                    <w:tl2br w:val="nil"/>
                    <w:tr2bl w:val="nil"/>
                  </w:tcBorders>
                  <w:shd w:val="clear" w:color="auto" w:fill="auto"/>
                  <w:vAlign w:val="center"/>
                </w:tcPr>
                <w:p w14:paraId="05CC51C2">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处理效果</w:t>
                  </w:r>
                </w:p>
              </w:tc>
            </w:tr>
            <w:tr w14:paraId="5184412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798" w:hRule="atLeast"/>
              </w:trPr>
              <w:tc>
                <w:tcPr>
                  <w:tcW w:w="344" w:type="pct"/>
                  <w:tcBorders>
                    <w:tl2br w:val="nil"/>
                    <w:tr2bl w:val="nil"/>
                  </w:tcBorders>
                  <w:shd w:val="clear" w:color="auto" w:fill="auto"/>
                  <w:vAlign w:val="center"/>
                </w:tcPr>
                <w:p w14:paraId="20C152E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铅蓄电池</w:t>
                  </w:r>
                </w:p>
              </w:tc>
              <w:tc>
                <w:tcPr>
                  <w:tcW w:w="1171" w:type="pct"/>
                  <w:tcBorders>
                    <w:tl2br w:val="nil"/>
                    <w:tr2bl w:val="nil"/>
                  </w:tcBorders>
                  <w:shd w:val="clear" w:color="auto" w:fill="auto"/>
                  <w:vAlign w:val="center"/>
                </w:tcPr>
                <w:p w14:paraId="53189037">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拆解过程产生的废铅蓄电池</w:t>
                  </w:r>
                </w:p>
              </w:tc>
              <w:tc>
                <w:tcPr>
                  <w:tcW w:w="368" w:type="pct"/>
                  <w:tcBorders>
                    <w:tl2br w:val="nil"/>
                    <w:tr2bl w:val="nil"/>
                  </w:tcBorders>
                  <w:shd w:val="clear" w:color="auto" w:fill="auto"/>
                  <w:vAlign w:val="center"/>
                </w:tcPr>
                <w:p w14:paraId="3C66331B">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HW3</w:t>
                  </w:r>
                  <w:r>
                    <w:rPr>
                      <w:rFonts w:hint="eastAsia" w:ascii="宋体" w:hAnsi="宋体" w:eastAsia="宋体" w:cs="宋体"/>
                      <w:color w:val="000000" w:themeColor="text1"/>
                      <w:spacing w:val="-11"/>
                      <w:sz w:val="18"/>
                      <w:szCs w:val="18"/>
                      <w:u w:val="none" w:color="auto"/>
                      <w14:textFill>
                        <w14:solidFill>
                          <w14:schemeClr w14:val="tx1"/>
                        </w14:solidFill>
                      </w14:textFill>
                    </w:rPr>
                    <w:t>1</w:t>
                  </w:r>
                </w:p>
                <w:p w14:paraId="4AC481C9">
                  <w:pPr>
                    <w:pStyle w:val="33"/>
                    <w:rPr>
                      <w:rFonts w:hint="eastAsia" w:eastAsia="宋体"/>
                      <w:color w:val="000000" w:themeColor="text1"/>
                      <w:lang w:val="en-US" w:eastAsia="zh-CN"/>
                      <w14:textFill>
                        <w14:solidFill>
                          <w14:schemeClr w14:val="tx1"/>
                        </w14:solidFill>
                      </w14:textFill>
                    </w:rPr>
                  </w:pPr>
                  <w:r>
                    <w:rPr>
                      <w:rFonts w:hint="eastAsia" w:ascii="宋体" w:hAnsi="宋体" w:cs="宋体"/>
                      <w:color w:val="000000" w:themeColor="text1"/>
                      <w:spacing w:val="-11"/>
                      <w:sz w:val="18"/>
                      <w:szCs w:val="18"/>
                      <w:u w:val="none" w:color="auto"/>
                      <w:lang w:val="en-US" w:eastAsia="zh-CN"/>
                      <w14:textFill>
                        <w14:solidFill>
                          <w14:schemeClr w14:val="tx1"/>
                        </w14:solidFill>
                      </w14:textFill>
                    </w:rPr>
                    <w:t>含铅废物</w:t>
                  </w:r>
                </w:p>
              </w:tc>
              <w:tc>
                <w:tcPr>
                  <w:tcW w:w="454" w:type="pct"/>
                  <w:tcBorders>
                    <w:tl2br w:val="nil"/>
                    <w:tr2bl w:val="nil"/>
                  </w:tcBorders>
                  <w:shd w:val="clear" w:color="auto" w:fill="auto"/>
                  <w:vAlign w:val="center"/>
                </w:tcPr>
                <w:p w14:paraId="6CE5985A">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900-052-31</w:t>
                  </w:r>
                </w:p>
              </w:tc>
              <w:tc>
                <w:tcPr>
                  <w:tcW w:w="466" w:type="pct"/>
                  <w:tcBorders>
                    <w:tl2br w:val="nil"/>
                    <w:tr2bl w:val="nil"/>
                  </w:tcBorders>
                  <w:shd w:val="clear" w:color="auto" w:fill="auto"/>
                  <w:vAlign w:val="center"/>
                </w:tcPr>
                <w:p w14:paraId="78B984ED">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含铅、硫</w:t>
                  </w:r>
                  <w:r>
                    <w:rPr>
                      <w:rFonts w:hint="eastAsia" w:ascii="宋体" w:hAnsi="宋体" w:eastAsia="宋体" w:cs="宋体"/>
                      <w:color w:val="000000" w:themeColor="text1"/>
                      <w:sz w:val="18"/>
                      <w:szCs w:val="18"/>
                      <w:u w:val="none" w:color="auto"/>
                      <w14:textFill>
                        <w14:solidFill>
                          <w14:schemeClr w14:val="tx1"/>
                        </w14:solidFill>
                      </w14:textFill>
                    </w:rPr>
                    <w:t>酸</w:t>
                  </w:r>
                </w:p>
              </w:tc>
              <w:tc>
                <w:tcPr>
                  <w:tcW w:w="255" w:type="pct"/>
                  <w:tcBorders>
                    <w:tl2br w:val="nil"/>
                    <w:tr2bl w:val="nil"/>
                  </w:tcBorders>
                  <w:shd w:val="clear" w:color="auto" w:fill="auto"/>
                  <w:vAlign w:val="center"/>
                </w:tcPr>
                <w:p w14:paraId="01B7EBC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4DF39026">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240</w:t>
                  </w:r>
                </w:p>
              </w:tc>
              <w:tc>
                <w:tcPr>
                  <w:tcW w:w="276" w:type="pct"/>
                  <w:tcBorders>
                    <w:tl2br w:val="nil"/>
                    <w:tr2bl w:val="nil"/>
                  </w:tcBorders>
                  <w:shd w:val="clear" w:color="auto" w:fill="auto"/>
                  <w:vAlign w:val="center"/>
                </w:tcPr>
                <w:p w14:paraId="2045BF44">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T，</w:t>
                  </w:r>
                  <w:r>
                    <w:rPr>
                      <w:rFonts w:hint="eastAsia" w:ascii="宋体" w:hAnsi="宋体" w:eastAsia="宋体" w:cs="宋体"/>
                      <w:color w:val="000000" w:themeColor="text1"/>
                      <w:sz w:val="18"/>
                      <w:szCs w:val="18"/>
                      <w:u w:val="none" w:color="auto"/>
                      <w14:textFill>
                        <w14:solidFill>
                          <w14:schemeClr w14:val="tx1"/>
                        </w14:solidFill>
                      </w14:textFill>
                    </w:rPr>
                    <w:t>C</w:t>
                  </w:r>
                </w:p>
              </w:tc>
              <w:tc>
                <w:tcPr>
                  <w:tcW w:w="959" w:type="pct"/>
                  <w:tcBorders>
                    <w:tl2br w:val="nil"/>
                    <w:tr2bl w:val="nil"/>
                  </w:tcBorders>
                  <w:shd w:val="clear" w:color="auto" w:fill="auto"/>
                  <w:vAlign w:val="center"/>
                </w:tcPr>
                <w:p w14:paraId="20D92C88">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废蓄电池</w:t>
                  </w:r>
                  <w:r>
                    <w:rPr>
                      <w:rFonts w:hint="eastAsia" w:cs="宋体"/>
                      <w:color w:val="000000" w:themeColor="text1"/>
                      <w:spacing w:val="-2"/>
                      <w:sz w:val="18"/>
                      <w:szCs w:val="18"/>
                      <w:u w:val="none" w:color="auto"/>
                      <w:lang w:eastAsia="zh-CN"/>
                      <w14:textFill>
                        <w14:solidFill>
                          <w14:schemeClr w14:val="tx1"/>
                        </w14:solidFill>
                      </w14:textFill>
                    </w:rPr>
                    <w:t>暂存库</w:t>
                  </w:r>
                  <w:r>
                    <w:rPr>
                      <w:rFonts w:hint="eastAsia" w:ascii="宋体" w:hAnsi="宋体" w:eastAsia="宋体" w:cs="宋体"/>
                      <w:color w:val="000000" w:themeColor="text1"/>
                      <w:spacing w:val="-2"/>
                      <w:sz w:val="18"/>
                      <w:szCs w:val="18"/>
                      <w:u w:val="none" w:color="auto"/>
                      <w14:textFill>
                        <w14:solidFill>
                          <w14:schemeClr w14:val="tx1"/>
                        </w14:solidFill>
                      </w14:textFill>
                    </w:rPr>
                    <w:t>内专区贮存、设置</w:t>
                  </w:r>
                  <w:r>
                    <w:rPr>
                      <w:rFonts w:hint="eastAsia" w:ascii="宋体" w:hAnsi="宋体" w:eastAsia="宋体" w:cs="宋体"/>
                      <w:color w:val="000000" w:themeColor="text1"/>
                      <w:spacing w:val="-5"/>
                      <w:sz w:val="18"/>
                      <w:szCs w:val="18"/>
                      <w:u w:val="none" w:color="auto"/>
                      <w14:textFill>
                        <w14:solidFill>
                          <w14:schemeClr w14:val="tx1"/>
                        </w14:solidFill>
                      </w14:textFill>
                    </w:rPr>
                    <w:t>围堰、采用</w:t>
                  </w:r>
                  <w:r>
                    <w:rPr>
                      <w:rFonts w:hint="eastAsia" w:ascii="宋体" w:hAnsi="宋体" w:eastAsia="宋体" w:cs="宋体"/>
                      <w:color w:val="000000" w:themeColor="text1"/>
                      <w:spacing w:val="-2"/>
                      <w:sz w:val="18"/>
                      <w:szCs w:val="18"/>
                      <w:u w:val="none" w:color="auto"/>
                      <w14:textFill>
                        <w14:solidFill>
                          <w14:schemeClr w14:val="tx1"/>
                        </w14:solidFill>
                      </w14:textFill>
                    </w:rPr>
                    <w:t>耐酸容器贮存，地面做</w:t>
                  </w:r>
                  <w:r>
                    <w:rPr>
                      <w:rFonts w:hint="eastAsia" w:ascii="宋体" w:hAnsi="宋体" w:eastAsia="宋体" w:cs="宋体"/>
                      <w:color w:val="000000" w:themeColor="text1"/>
                      <w:spacing w:val="-4"/>
                      <w:sz w:val="18"/>
                      <w:szCs w:val="18"/>
                      <w:u w:val="none" w:color="auto"/>
                      <w14:textFill>
                        <w14:solidFill>
                          <w14:schemeClr w14:val="tx1"/>
                        </w14:solidFill>
                      </w14:textFill>
                    </w:rPr>
                    <w:t>防腐耐酸处</w:t>
                  </w:r>
                  <w:r>
                    <w:rPr>
                      <w:rFonts w:hint="eastAsia" w:ascii="宋体" w:hAnsi="宋体" w:eastAsia="宋体" w:cs="宋体"/>
                      <w:color w:val="000000" w:themeColor="text1"/>
                      <w:spacing w:val="-2"/>
                      <w:sz w:val="18"/>
                      <w:szCs w:val="18"/>
                      <w:u w:val="none" w:color="auto"/>
                      <w14:textFill>
                        <w14:solidFill>
                          <w14:schemeClr w14:val="tx1"/>
                        </w14:solidFill>
                      </w14:textFill>
                    </w:rPr>
                    <w:t>理，定期交有危险废物</w:t>
                  </w:r>
                  <w:r>
                    <w:rPr>
                      <w:rFonts w:hint="eastAsia" w:ascii="宋体" w:hAnsi="宋体" w:eastAsia="宋体" w:cs="宋体"/>
                      <w:color w:val="000000" w:themeColor="text1"/>
                      <w:spacing w:val="-3"/>
                      <w:sz w:val="18"/>
                      <w:szCs w:val="18"/>
                      <w:u w:val="none" w:color="auto"/>
                      <w14:textFill>
                        <w14:solidFill>
                          <w14:schemeClr w14:val="tx1"/>
                        </w14:solidFill>
                      </w14:textFill>
                    </w:rPr>
                    <w:t>处理资质的单位处置</w:t>
                  </w:r>
                </w:p>
              </w:tc>
              <w:tc>
                <w:tcPr>
                  <w:tcW w:w="226" w:type="pct"/>
                  <w:tcBorders>
                    <w:tl2br w:val="nil"/>
                    <w:tr2bl w:val="nil"/>
                  </w:tcBorders>
                  <w:shd w:val="clear" w:color="auto" w:fill="auto"/>
                  <w:vAlign w:val="center"/>
                </w:tcPr>
                <w:p w14:paraId="31B7046C">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0</w:t>
                  </w:r>
                </w:p>
              </w:tc>
              <w:tc>
                <w:tcPr>
                  <w:tcW w:w="249" w:type="pct"/>
                  <w:vMerge w:val="restart"/>
                  <w:tcBorders>
                    <w:tl2br w:val="nil"/>
                    <w:tr2bl w:val="nil"/>
                  </w:tcBorders>
                  <w:shd w:val="clear" w:color="auto" w:fill="auto"/>
                  <w:vAlign w:val="center"/>
                </w:tcPr>
                <w:p w14:paraId="4096E215">
                  <w:pPr>
                    <w:pStyle w:val="119"/>
                    <w:keepNext w:val="0"/>
                    <w:keepLines w:val="0"/>
                    <w:pageBreakBefore w:val="0"/>
                    <w:kinsoku/>
                    <w:wordWrap/>
                    <w:overflowPunct w:val="0"/>
                    <w:topLinePunct w:val="0"/>
                    <w:autoSpaceDE/>
                    <w:autoSpaceDN/>
                    <w:bidi w:val="0"/>
                    <w:adjustRightInd/>
                    <w:snapToGrid/>
                    <w:spacing w:line="240" w:lineRule="atLeast"/>
                    <w:jc w:val="center"/>
                    <w:rPr>
                      <w:rFonts w:hint="default" w:ascii="宋体" w:hAnsi="宋体" w:eastAsia="宋体" w:cs="宋体"/>
                      <w:color w:val="000000" w:themeColor="text1"/>
                      <w:spacing w:val="-2"/>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不会造成二次污染</w:t>
                  </w:r>
                </w:p>
              </w:tc>
            </w:tr>
            <w:tr w14:paraId="3EDBD46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55" w:hRule="atLeast"/>
              </w:trPr>
              <w:tc>
                <w:tcPr>
                  <w:tcW w:w="344" w:type="pct"/>
                  <w:tcBorders>
                    <w:tl2br w:val="nil"/>
                    <w:tr2bl w:val="nil"/>
                  </w:tcBorders>
                  <w:shd w:val="clear" w:color="auto" w:fill="auto"/>
                  <w:vAlign w:val="center"/>
                </w:tcPr>
                <w:p w14:paraId="23AFB056">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废尾气净化装置</w:t>
                  </w:r>
                </w:p>
              </w:tc>
              <w:tc>
                <w:tcPr>
                  <w:tcW w:w="1171" w:type="pct"/>
                  <w:tcBorders>
                    <w:tl2br w:val="nil"/>
                    <w:tr2bl w:val="nil"/>
                  </w:tcBorders>
                  <w:shd w:val="clear" w:color="auto" w:fill="auto"/>
                  <w:vAlign w:val="center"/>
                </w:tcPr>
                <w:p w14:paraId="75E50E62">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拆解过程产生的废催化剂</w:t>
                  </w:r>
                </w:p>
              </w:tc>
              <w:tc>
                <w:tcPr>
                  <w:tcW w:w="368" w:type="pct"/>
                  <w:tcBorders>
                    <w:tl2br w:val="nil"/>
                    <w:tr2bl w:val="nil"/>
                  </w:tcBorders>
                  <w:shd w:val="clear" w:color="auto" w:fill="auto"/>
                  <w:vAlign w:val="center"/>
                </w:tcPr>
                <w:p w14:paraId="65F39496">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HW50</w:t>
                  </w:r>
                </w:p>
                <w:p w14:paraId="2C6D75EC">
                  <w:pPr>
                    <w:pStyle w:val="119"/>
                    <w:keepNext w:val="0"/>
                    <w:keepLines w:val="0"/>
                    <w:pageBreakBefore w:val="0"/>
                    <w:kinsoku/>
                    <w:wordWrap/>
                    <w:overflowPunct w:val="0"/>
                    <w:topLinePunct w:val="0"/>
                    <w:autoSpaceDE/>
                    <w:autoSpaceDN/>
                    <w:bidi w:val="0"/>
                    <w:adjustRightInd/>
                    <w:snapToGrid/>
                    <w:spacing w:line="240" w:lineRule="atLeast"/>
                    <w:jc w:val="center"/>
                    <w:rPr>
                      <w:rFonts w:hint="default"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cs="宋体"/>
                      <w:color w:val="000000" w:themeColor="text1"/>
                      <w:spacing w:val="-1"/>
                      <w:sz w:val="18"/>
                      <w:szCs w:val="18"/>
                      <w:u w:val="none" w:color="auto"/>
                      <w:lang w:val="en-US" w:eastAsia="zh-CN"/>
                      <w14:textFill>
                        <w14:solidFill>
                          <w14:schemeClr w14:val="tx1"/>
                        </w14:solidFill>
                      </w14:textFill>
                    </w:rPr>
                    <w:t>废催化剂</w:t>
                  </w:r>
                </w:p>
              </w:tc>
              <w:tc>
                <w:tcPr>
                  <w:tcW w:w="454" w:type="pct"/>
                  <w:tcBorders>
                    <w:tl2br w:val="nil"/>
                    <w:tr2bl w:val="nil"/>
                  </w:tcBorders>
                  <w:shd w:val="clear" w:color="auto" w:fill="auto"/>
                  <w:vAlign w:val="center"/>
                </w:tcPr>
                <w:p w14:paraId="47D7979C">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eastAsia="宋体" w:cs="宋体"/>
                      <w:color w:val="000000" w:themeColor="text1"/>
                      <w:spacing w:val="-1"/>
                      <w:sz w:val="18"/>
                      <w:szCs w:val="18"/>
                      <w:u w:val="none" w:color="auto"/>
                      <w14:textFill>
                        <w14:solidFill>
                          <w14:schemeClr w14:val="tx1"/>
                        </w14:solidFill>
                      </w14:textFill>
                    </w:rPr>
                    <w:t>49-50</w:t>
                  </w:r>
                </w:p>
              </w:tc>
              <w:tc>
                <w:tcPr>
                  <w:tcW w:w="466" w:type="pct"/>
                  <w:tcBorders>
                    <w:tl2br w:val="nil"/>
                    <w:tr2bl w:val="nil"/>
                  </w:tcBorders>
                  <w:shd w:val="clear" w:color="auto" w:fill="auto"/>
                  <w:vAlign w:val="center"/>
                </w:tcPr>
                <w:p w14:paraId="0B9B0F9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催化剂</w:t>
                  </w:r>
                </w:p>
              </w:tc>
              <w:tc>
                <w:tcPr>
                  <w:tcW w:w="255" w:type="pct"/>
                  <w:tcBorders>
                    <w:tl2br w:val="nil"/>
                    <w:tr2bl w:val="nil"/>
                  </w:tcBorders>
                  <w:shd w:val="clear" w:color="auto" w:fill="auto"/>
                  <w:vAlign w:val="center"/>
                </w:tcPr>
                <w:p w14:paraId="6A980F5D">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3E40BA7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16</w:t>
                  </w:r>
                </w:p>
              </w:tc>
              <w:tc>
                <w:tcPr>
                  <w:tcW w:w="276" w:type="pct"/>
                  <w:tcBorders>
                    <w:tl2br w:val="nil"/>
                    <w:tr2bl w:val="nil"/>
                  </w:tcBorders>
                  <w:shd w:val="clear" w:color="auto" w:fill="auto"/>
                  <w:vAlign w:val="center"/>
                </w:tcPr>
                <w:p w14:paraId="4D7BEC32">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6"/>
                      <w:sz w:val="18"/>
                      <w:szCs w:val="18"/>
                      <w:u w:val="none" w:color="auto"/>
                      <w14:textFill>
                        <w14:solidFill>
                          <w14:schemeClr w14:val="tx1"/>
                        </w14:solidFill>
                      </w14:textFill>
                    </w:rPr>
                    <w:t>T，</w:t>
                  </w:r>
                  <w:r>
                    <w:rPr>
                      <w:rFonts w:hint="eastAsia" w:ascii="宋体" w:hAnsi="宋体" w:eastAsia="宋体" w:cs="宋体"/>
                      <w:color w:val="000000" w:themeColor="text1"/>
                      <w:sz w:val="18"/>
                      <w:szCs w:val="18"/>
                      <w:u w:val="none" w:color="auto"/>
                      <w14:textFill>
                        <w14:solidFill>
                          <w14:schemeClr w14:val="tx1"/>
                        </w14:solidFill>
                      </w14:textFill>
                    </w:rPr>
                    <w:t xml:space="preserve"> I</w:t>
                  </w:r>
                </w:p>
              </w:tc>
              <w:tc>
                <w:tcPr>
                  <w:tcW w:w="959" w:type="pct"/>
                  <w:tcBorders>
                    <w:tl2br w:val="nil"/>
                    <w:tr2bl w:val="nil"/>
                  </w:tcBorders>
                  <w:shd w:val="clear" w:color="auto" w:fill="auto"/>
                  <w:vAlign w:val="center"/>
                </w:tcPr>
                <w:p w14:paraId="41F3E24B">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5BB0F59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0</w:t>
                  </w:r>
                </w:p>
              </w:tc>
              <w:tc>
                <w:tcPr>
                  <w:tcW w:w="249" w:type="pct"/>
                  <w:vMerge w:val="continue"/>
                  <w:tcBorders>
                    <w:tl2br w:val="nil"/>
                    <w:tr2bl w:val="nil"/>
                  </w:tcBorders>
                  <w:shd w:val="clear" w:color="auto" w:fill="auto"/>
                  <w:vAlign w:val="center"/>
                </w:tcPr>
                <w:p w14:paraId="0495022E">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1"/>
                      <w:sz w:val="18"/>
                      <w:szCs w:val="18"/>
                      <w:u w:val="none" w:color="auto"/>
                      <w14:textFill>
                        <w14:solidFill>
                          <w14:schemeClr w14:val="tx1"/>
                        </w14:solidFill>
                      </w14:textFill>
                    </w:rPr>
                  </w:pPr>
                </w:p>
              </w:tc>
            </w:tr>
            <w:tr w14:paraId="3167777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1123" w:hRule="atLeast"/>
              </w:trPr>
              <w:tc>
                <w:tcPr>
                  <w:tcW w:w="344" w:type="pct"/>
                  <w:tcBorders>
                    <w:tl2br w:val="nil"/>
                    <w:tr2bl w:val="nil"/>
                  </w:tcBorders>
                  <w:shd w:val="clear" w:color="auto" w:fill="auto"/>
                  <w:vAlign w:val="center"/>
                </w:tcPr>
                <w:p w14:paraId="7884691A">
                  <w:pPr>
                    <w:keepNext w:val="0"/>
                    <w:keepLines w:val="0"/>
                    <w:pageBreakBefore w:val="0"/>
                    <w:kinsoku/>
                    <w:wordWrap/>
                    <w:overflowPunct w:val="0"/>
                    <w:topLinePunct w:val="0"/>
                    <w:autoSpaceDE/>
                    <w:autoSpaceDN/>
                    <w:bidi w:val="0"/>
                    <w:adjustRightInd/>
                    <w:snapToGrid/>
                    <w:spacing w:line="240" w:lineRule="atLeast"/>
                    <w:ind w:right="-61" w:rightChars="0"/>
                    <w:jc w:val="center"/>
                    <w:rPr>
                      <w:rFonts w:hint="eastAsia" w:ascii="宋体" w:hAnsi="宋体" w:eastAsia="宋体" w:cs="宋体"/>
                      <w:color w:val="000000" w:themeColor="text1"/>
                      <w:kern w:val="2"/>
                      <w:sz w:val="18"/>
                      <w:szCs w:val="18"/>
                      <w:highlight w:val="darkGray"/>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u w:val="none" w:color="auto"/>
                      <w14:textFill>
                        <w14:solidFill>
                          <w14:schemeClr w14:val="tx1"/>
                        </w14:solidFill>
                      </w14:textFill>
                    </w:rPr>
                    <w:t>废矿物油与含矿物油</w:t>
                  </w:r>
                  <w:r>
                    <w:rPr>
                      <w:rFonts w:hint="eastAsia" w:ascii="宋体" w:hAnsi="宋体" w:eastAsia="宋体" w:cs="宋体"/>
                      <w:color w:val="000000" w:themeColor="text1"/>
                      <w:spacing w:val="-2"/>
                      <w:sz w:val="18"/>
                      <w:szCs w:val="18"/>
                      <w:highlight w:val="none"/>
                      <w:u w:val="none" w:color="auto"/>
                      <w14:textFill>
                        <w14:solidFill>
                          <w14:schemeClr w14:val="tx1"/>
                        </w14:solidFill>
                      </w14:textFill>
                    </w:rPr>
                    <w:t>废物</w:t>
                  </w:r>
                </w:p>
              </w:tc>
              <w:tc>
                <w:tcPr>
                  <w:tcW w:w="1171" w:type="pct"/>
                  <w:tcBorders>
                    <w:tl2br w:val="nil"/>
                    <w:tr2bl w:val="nil"/>
                  </w:tcBorders>
                  <w:shd w:val="clear" w:color="auto" w:fill="auto"/>
                  <w:vAlign w:val="center"/>
                </w:tcPr>
                <w:p w14:paraId="6E457AFD">
                  <w:pPr>
                    <w:keepNext w:val="0"/>
                    <w:keepLines w:val="0"/>
                    <w:pageBreakBefore w:val="0"/>
                    <w:kinsoku/>
                    <w:wordWrap/>
                    <w:overflowPunct w:val="0"/>
                    <w:topLinePunct w:val="0"/>
                    <w:autoSpaceDE/>
                    <w:autoSpaceDN/>
                    <w:bidi w:val="0"/>
                    <w:adjustRightInd/>
                    <w:snapToGrid/>
                    <w:spacing w:line="240" w:lineRule="atLeast"/>
                    <w:ind w:right="143" w:rightChars="0"/>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拆解过程产生的机油、刹车油、液压油、润滑油、过滤介质（汽油、机油过滤器</w:t>
                  </w:r>
                  <w:r>
                    <w:rPr>
                      <w:rFonts w:hint="eastAsia" w:ascii="宋体" w:hAnsi="宋体" w:eastAsia="宋体" w:cs="宋体"/>
                      <w:color w:val="000000" w:themeColor="text1"/>
                      <w:spacing w:val="5"/>
                      <w:sz w:val="18"/>
                      <w:szCs w:val="18"/>
                      <w:u w:val="none" w:color="auto"/>
                      <w14:textFill>
                        <w14:solidFill>
                          <w14:schemeClr w14:val="tx1"/>
                        </w14:solidFill>
                      </w14:textFill>
                    </w:rPr>
                    <w:t>）；</w:t>
                  </w:r>
                  <w:r>
                    <w:rPr>
                      <w:rFonts w:hint="eastAsia" w:ascii="宋体" w:hAnsi="宋体" w:eastAsia="宋体" w:cs="宋体"/>
                      <w:color w:val="000000" w:themeColor="text1"/>
                      <w:spacing w:val="-1"/>
                      <w:sz w:val="18"/>
                      <w:szCs w:val="18"/>
                      <w:u w:val="none" w:color="auto"/>
                      <w14:textFill>
                        <w14:solidFill>
                          <w14:schemeClr w14:val="tx1"/>
                        </w14:solidFill>
                      </w14:textFill>
                    </w:rPr>
                    <w:t>零部件清洗过程产生的废汽油、柴油、煤油等；拆解过程中产生的废油泥</w:t>
                  </w:r>
                </w:p>
              </w:tc>
              <w:tc>
                <w:tcPr>
                  <w:tcW w:w="368" w:type="pct"/>
                  <w:tcBorders>
                    <w:tl2br w:val="nil"/>
                    <w:tr2bl w:val="nil"/>
                  </w:tcBorders>
                  <w:shd w:val="clear" w:color="auto" w:fill="auto"/>
                  <w:vAlign w:val="center"/>
                </w:tcPr>
                <w:p w14:paraId="68F33B65">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
                      <w:sz w:val="18"/>
                      <w:szCs w:val="18"/>
                      <w:u w:val="none" w:color="auto"/>
                      <w:lang w:val="en-US" w:eastAsia="en-US"/>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HW08</w:t>
                  </w: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废矿物油与含矿物油废物</w:t>
                  </w:r>
                </w:p>
              </w:tc>
              <w:tc>
                <w:tcPr>
                  <w:tcW w:w="454" w:type="pct"/>
                  <w:tcBorders>
                    <w:tl2br w:val="nil"/>
                    <w:tr2bl w:val="nil"/>
                  </w:tcBorders>
                  <w:shd w:val="clear" w:color="auto" w:fill="auto"/>
                  <w:vAlign w:val="center"/>
                </w:tcPr>
                <w:p w14:paraId="6A7A176F">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cs="宋体"/>
                      <w:color w:val="000000" w:themeColor="text1"/>
                      <w:spacing w:val="-4"/>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900-2</w:t>
                  </w:r>
                  <w:r>
                    <w:rPr>
                      <w:rFonts w:hint="eastAsia" w:ascii="宋体" w:hAnsi="宋体" w:eastAsia="宋体" w:cs="宋体"/>
                      <w:color w:val="000000" w:themeColor="text1"/>
                      <w:spacing w:val="-4"/>
                      <w:sz w:val="18"/>
                      <w:szCs w:val="18"/>
                      <w:u w:val="none" w:color="auto"/>
                      <w14:textFill>
                        <w14:solidFill>
                          <w14:schemeClr w14:val="tx1"/>
                        </w14:solidFill>
                      </w14:textFill>
                    </w:rPr>
                    <w:t>14-0</w:t>
                  </w:r>
                  <w:r>
                    <w:rPr>
                      <w:rFonts w:hint="eastAsia" w:ascii="宋体" w:hAnsi="宋体" w:cs="宋体"/>
                      <w:color w:val="000000" w:themeColor="text1"/>
                      <w:spacing w:val="-4"/>
                      <w:sz w:val="18"/>
                      <w:szCs w:val="18"/>
                      <w:u w:val="none" w:color="auto"/>
                      <w:lang w:val="en-US" w:eastAsia="zh-CN"/>
                      <w14:textFill>
                        <w14:solidFill>
                          <w14:schemeClr w14:val="tx1"/>
                        </w14:solidFill>
                      </w14:textFill>
                    </w:rPr>
                    <w:t>8</w:t>
                  </w:r>
                </w:p>
                <w:p w14:paraId="726AF2E7">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cs="宋体"/>
                      <w:color w:val="000000" w:themeColor="text1"/>
                      <w:spacing w:val="-4"/>
                      <w:sz w:val="18"/>
                      <w:szCs w:val="18"/>
                      <w:u w:val="none" w:color="auto"/>
                      <w:lang w:val="en-US" w:eastAsia="zh-CN"/>
                      <w14:textFill>
                        <w14:solidFill>
                          <w14:schemeClr w14:val="tx1"/>
                        </w14:solidFill>
                      </w14:textFill>
                    </w:rPr>
                  </w:pPr>
                  <w:r>
                    <w:rPr>
                      <w:rFonts w:hint="eastAsia" w:ascii="宋体" w:hAnsi="宋体" w:cs="宋体"/>
                      <w:color w:val="000000" w:themeColor="text1"/>
                      <w:spacing w:val="-4"/>
                      <w:sz w:val="18"/>
                      <w:szCs w:val="18"/>
                      <w:u w:val="none" w:color="auto"/>
                      <w:lang w:val="en-US" w:eastAsia="zh-CN"/>
                      <w14:textFill>
                        <w14:solidFill>
                          <w14:schemeClr w14:val="tx1"/>
                        </w14:solidFill>
                      </w14:textFill>
                    </w:rPr>
                    <w:t>900-199-08</w:t>
                  </w:r>
                </w:p>
                <w:p w14:paraId="4A993D62">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cs="宋体"/>
                      <w:color w:val="000000" w:themeColor="text1"/>
                      <w:spacing w:val="-4"/>
                      <w:sz w:val="18"/>
                      <w:szCs w:val="18"/>
                      <w:u w:val="none" w:color="auto"/>
                      <w:lang w:val="en-US" w:eastAsia="zh-CN"/>
                      <w14:textFill>
                        <w14:solidFill>
                          <w14:schemeClr w14:val="tx1"/>
                        </w14:solidFill>
                      </w14:textFill>
                    </w:rPr>
                  </w:pPr>
                </w:p>
              </w:tc>
              <w:tc>
                <w:tcPr>
                  <w:tcW w:w="466" w:type="pct"/>
                  <w:tcBorders>
                    <w:tl2br w:val="nil"/>
                    <w:tr2bl w:val="nil"/>
                  </w:tcBorders>
                  <w:shd w:val="clear" w:color="auto" w:fill="auto"/>
                  <w:vAlign w:val="center"/>
                </w:tcPr>
                <w:p w14:paraId="01543152">
                  <w:pPr>
                    <w:pStyle w:val="119"/>
                    <w:keepNext w:val="0"/>
                    <w:keepLines w:val="0"/>
                    <w:pageBreakBefore w:val="0"/>
                    <w:kinsoku/>
                    <w:wordWrap/>
                    <w:overflowPunct w:val="0"/>
                    <w:topLinePunct w:val="0"/>
                    <w:autoSpaceDE/>
                    <w:autoSpaceDN/>
                    <w:bidi w:val="0"/>
                    <w:adjustRightInd/>
                    <w:snapToGrid/>
                    <w:spacing w:line="240" w:lineRule="atLeast"/>
                    <w:ind w:right="92"/>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含矿</w:t>
                  </w:r>
                  <w:r>
                    <w:rPr>
                      <w:rFonts w:hint="eastAsia" w:ascii="宋体" w:hAnsi="宋体" w:eastAsia="宋体" w:cs="宋体"/>
                      <w:color w:val="000000" w:themeColor="text1"/>
                      <w:spacing w:val="-13"/>
                      <w:sz w:val="18"/>
                      <w:szCs w:val="18"/>
                      <w:u w:val="none" w:color="auto"/>
                      <w14:textFill>
                        <w14:solidFill>
                          <w14:schemeClr w14:val="tx1"/>
                        </w14:solidFill>
                      </w14:textFill>
                    </w:rPr>
                    <w:t>物油、烷烃、</w:t>
                  </w:r>
                  <w:r>
                    <w:rPr>
                      <w:rFonts w:hint="eastAsia" w:ascii="宋体" w:hAnsi="宋体" w:eastAsia="宋体" w:cs="宋体"/>
                      <w:color w:val="000000" w:themeColor="text1"/>
                      <w:spacing w:val="29"/>
                      <w:sz w:val="18"/>
                      <w:szCs w:val="18"/>
                      <w:u w:val="none" w:color="auto"/>
                      <w14:textFill>
                        <w14:solidFill>
                          <w14:schemeClr w14:val="tx1"/>
                        </w14:solidFill>
                      </w14:textFill>
                    </w:rPr>
                    <w:t>环烷</w:t>
                  </w:r>
                  <w:r>
                    <w:rPr>
                      <w:rFonts w:hint="eastAsia" w:ascii="宋体" w:hAnsi="宋体" w:eastAsia="宋体" w:cs="宋体"/>
                      <w:color w:val="000000" w:themeColor="text1"/>
                      <w:spacing w:val="-17"/>
                      <w:sz w:val="18"/>
                      <w:szCs w:val="18"/>
                      <w:u w:val="none" w:color="auto"/>
                      <w14:textFill>
                        <w14:solidFill>
                          <w14:schemeClr w14:val="tx1"/>
                        </w14:solidFill>
                      </w14:textFill>
                    </w:rPr>
                    <w:t>烃、芳</w:t>
                  </w:r>
                  <w:r>
                    <w:rPr>
                      <w:rFonts w:hint="eastAsia" w:ascii="宋体" w:hAnsi="宋体" w:eastAsia="宋体" w:cs="宋体"/>
                      <w:color w:val="000000" w:themeColor="text1"/>
                      <w:spacing w:val="29"/>
                      <w:sz w:val="18"/>
                      <w:szCs w:val="18"/>
                      <w:u w:val="none" w:color="auto"/>
                      <w14:textFill>
                        <w14:solidFill>
                          <w14:schemeClr w14:val="tx1"/>
                        </w14:solidFill>
                      </w14:textFill>
                    </w:rPr>
                    <w:t>香烃</w:t>
                  </w:r>
                </w:p>
              </w:tc>
              <w:tc>
                <w:tcPr>
                  <w:tcW w:w="255" w:type="pct"/>
                  <w:tcBorders>
                    <w:tl2br w:val="nil"/>
                    <w:tr2bl w:val="nil"/>
                  </w:tcBorders>
                  <w:shd w:val="clear" w:color="auto" w:fill="auto"/>
                  <w:vAlign w:val="center"/>
                </w:tcPr>
                <w:p w14:paraId="7D31A58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lang w:val="en-US"/>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77118317">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20.5</w:t>
                  </w:r>
                </w:p>
              </w:tc>
              <w:tc>
                <w:tcPr>
                  <w:tcW w:w="276" w:type="pct"/>
                  <w:tcBorders>
                    <w:tl2br w:val="nil"/>
                    <w:tr2bl w:val="nil"/>
                  </w:tcBorders>
                  <w:shd w:val="clear" w:color="auto" w:fill="auto"/>
                  <w:vAlign w:val="center"/>
                </w:tcPr>
                <w:p w14:paraId="0C8E1094">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6"/>
                      <w:sz w:val="18"/>
                      <w:szCs w:val="18"/>
                      <w:u w:val="none" w:color="auto"/>
                      <w14:textFill>
                        <w14:solidFill>
                          <w14:schemeClr w14:val="tx1"/>
                        </w14:solidFill>
                      </w14:textFill>
                    </w:rPr>
                    <w:t>T，</w:t>
                  </w:r>
                  <w:r>
                    <w:rPr>
                      <w:rFonts w:hint="eastAsia" w:ascii="宋体" w:hAnsi="宋体" w:eastAsia="宋体" w:cs="宋体"/>
                      <w:color w:val="000000" w:themeColor="text1"/>
                      <w:sz w:val="18"/>
                      <w:szCs w:val="18"/>
                      <w:u w:val="none" w:color="auto"/>
                      <w14:textFill>
                        <w14:solidFill>
                          <w14:schemeClr w14:val="tx1"/>
                        </w14:solidFill>
                      </w14:textFill>
                    </w:rPr>
                    <w:t xml:space="preserve"> I</w:t>
                  </w:r>
                </w:p>
              </w:tc>
              <w:tc>
                <w:tcPr>
                  <w:tcW w:w="959" w:type="pct"/>
                  <w:tcBorders>
                    <w:tl2br w:val="nil"/>
                    <w:tr2bl w:val="nil"/>
                  </w:tcBorders>
                  <w:shd w:val="clear" w:color="auto" w:fill="auto"/>
                  <w:vAlign w:val="center"/>
                </w:tcPr>
                <w:p w14:paraId="6681C01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55FF190C">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w:t>
                  </w:r>
                </w:p>
              </w:tc>
              <w:tc>
                <w:tcPr>
                  <w:tcW w:w="249" w:type="pct"/>
                  <w:vMerge w:val="continue"/>
                  <w:tcBorders>
                    <w:tl2br w:val="nil"/>
                    <w:tr2bl w:val="nil"/>
                  </w:tcBorders>
                  <w:shd w:val="clear" w:color="auto" w:fill="auto"/>
                  <w:vAlign w:val="center"/>
                </w:tcPr>
                <w:p w14:paraId="5670DB88">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5837219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832" w:hRule="atLeast"/>
              </w:trPr>
              <w:tc>
                <w:tcPr>
                  <w:tcW w:w="344" w:type="pct"/>
                  <w:tcBorders>
                    <w:tl2br w:val="nil"/>
                    <w:tr2bl w:val="nil"/>
                  </w:tcBorders>
                  <w:shd w:val="clear" w:color="auto" w:fill="auto"/>
                  <w:vAlign w:val="center"/>
                </w:tcPr>
                <w:p w14:paraId="38841691">
                  <w:pPr>
                    <w:keepNext w:val="0"/>
                    <w:keepLines w:val="0"/>
                    <w:pageBreakBefore w:val="0"/>
                    <w:kinsoku/>
                    <w:wordWrap/>
                    <w:overflowPunct w:val="0"/>
                    <w:topLinePunct w:val="0"/>
                    <w:autoSpaceDE/>
                    <w:autoSpaceDN/>
                    <w:bidi w:val="0"/>
                    <w:adjustRightInd/>
                    <w:snapToGrid/>
                    <w:spacing w:line="240" w:lineRule="atLeast"/>
                    <w:ind w:right="-61" w:rightChars="0"/>
                    <w:jc w:val="center"/>
                    <w:rPr>
                      <w:rFonts w:hint="eastAsia" w:ascii="宋体" w:hAnsi="宋体" w:eastAsia="宋体" w:cs="宋体"/>
                      <w:color w:val="000000" w:themeColor="text1"/>
                      <w:kern w:val="2"/>
                      <w:sz w:val="18"/>
                      <w:szCs w:val="18"/>
                      <w:highlight w:val="darkGray"/>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highlight w:val="none"/>
                      <w:u w:val="none" w:color="auto"/>
                      <w14:textFill>
                        <w14:solidFill>
                          <w14:schemeClr w14:val="tx1"/>
                        </w14:solidFill>
                      </w14:textFill>
                    </w:rPr>
                    <w:t>废有机溶剂与含有机</w:t>
                  </w:r>
                  <w:r>
                    <w:rPr>
                      <w:rFonts w:hint="eastAsia" w:ascii="宋体" w:hAnsi="宋体" w:eastAsia="宋体" w:cs="宋体"/>
                      <w:color w:val="000000" w:themeColor="text1"/>
                      <w:spacing w:val="-2"/>
                      <w:sz w:val="18"/>
                      <w:szCs w:val="18"/>
                      <w:highlight w:val="none"/>
                      <w:u w:val="none" w:color="auto"/>
                      <w14:textFill>
                        <w14:solidFill>
                          <w14:schemeClr w14:val="tx1"/>
                        </w14:solidFill>
                      </w14:textFill>
                    </w:rPr>
                    <w:t>溶剂废物</w:t>
                  </w:r>
                </w:p>
              </w:tc>
              <w:tc>
                <w:tcPr>
                  <w:tcW w:w="1171" w:type="pct"/>
                  <w:tcBorders>
                    <w:tl2br w:val="nil"/>
                    <w:tr2bl w:val="nil"/>
                  </w:tcBorders>
                  <w:shd w:val="clear" w:color="auto" w:fill="auto"/>
                  <w:vAlign w:val="center"/>
                </w:tcPr>
                <w:p w14:paraId="1BBA1876">
                  <w:pPr>
                    <w:keepNext w:val="0"/>
                    <w:keepLines w:val="0"/>
                    <w:pageBreakBefore w:val="0"/>
                    <w:kinsoku/>
                    <w:wordWrap/>
                    <w:overflowPunct w:val="0"/>
                    <w:topLinePunct w:val="0"/>
                    <w:autoSpaceDE/>
                    <w:autoSpaceDN/>
                    <w:bidi w:val="0"/>
                    <w:adjustRightInd/>
                    <w:snapToGrid/>
                    <w:spacing w:line="240" w:lineRule="atLeast"/>
                    <w:ind w:right="143" w:rightChars="0"/>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拆解或零部件清洗过程产生的废有机溶剂、专用清洗剂、防冻液和动力电池冷却液等</w:t>
                  </w:r>
                </w:p>
              </w:tc>
              <w:tc>
                <w:tcPr>
                  <w:tcW w:w="368" w:type="pct"/>
                  <w:tcBorders>
                    <w:tl2br w:val="nil"/>
                    <w:tr2bl w:val="nil"/>
                  </w:tcBorders>
                  <w:shd w:val="clear" w:color="auto" w:fill="auto"/>
                  <w:vAlign w:val="center"/>
                </w:tcPr>
                <w:p w14:paraId="5047FB75">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HW06</w:t>
                  </w:r>
                </w:p>
                <w:p w14:paraId="306520E1">
                  <w:pPr>
                    <w:pStyle w:val="119"/>
                    <w:keepNext w:val="0"/>
                    <w:keepLines w:val="0"/>
                    <w:pageBreakBefore w:val="0"/>
                    <w:kinsoku/>
                    <w:wordWrap/>
                    <w:overflowPunct w:val="0"/>
                    <w:topLinePunct w:val="0"/>
                    <w:autoSpaceDE/>
                    <w:autoSpaceDN/>
                    <w:bidi w:val="0"/>
                    <w:adjustRightInd/>
                    <w:snapToGrid/>
                    <w:spacing w:line="240" w:lineRule="atLeast"/>
                    <w:jc w:val="center"/>
                    <w:rPr>
                      <w:rFonts w:hint="default"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cs="宋体"/>
                      <w:color w:val="000000" w:themeColor="text1"/>
                      <w:spacing w:val="-1"/>
                      <w:sz w:val="18"/>
                      <w:szCs w:val="18"/>
                      <w:u w:val="none" w:color="auto"/>
                      <w:lang w:val="en-US" w:eastAsia="zh-CN"/>
                      <w14:textFill>
                        <w14:solidFill>
                          <w14:schemeClr w14:val="tx1"/>
                        </w14:solidFill>
                      </w14:textFill>
                    </w:rPr>
                    <w:t>废有机溶剂与含有机溶剂废物</w:t>
                  </w:r>
                </w:p>
              </w:tc>
              <w:tc>
                <w:tcPr>
                  <w:tcW w:w="454" w:type="pct"/>
                  <w:tcBorders>
                    <w:tl2br w:val="nil"/>
                    <w:tr2bl w:val="nil"/>
                  </w:tcBorders>
                  <w:shd w:val="clear" w:color="auto" w:fill="auto"/>
                  <w:vAlign w:val="center"/>
                </w:tcPr>
                <w:p w14:paraId="28357326">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900-40</w:t>
                  </w:r>
                  <w:r>
                    <w:rPr>
                      <w:rFonts w:hint="eastAsia" w:ascii="宋体" w:hAnsi="宋体" w:cs="宋体"/>
                      <w:color w:val="000000" w:themeColor="text1"/>
                      <w:spacing w:val="-2"/>
                      <w:sz w:val="18"/>
                      <w:szCs w:val="18"/>
                      <w:u w:val="none" w:color="auto"/>
                      <w:lang w:val="en-US" w:eastAsia="zh-CN"/>
                      <w14:textFill>
                        <w14:solidFill>
                          <w14:schemeClr w14:val="tx1"/>
                        </w14:solidFill>
                      </w14:textFill>
                    </w:rPr>
                    <w:t>2</w:t>
                  </w:r>
                  <w:r>
                    <w:rPr>
                      <w:rFonts w:hint="eastAsia" w:ascii="宋体" w:hAnsi="宋体" w:eastAsia="宋体" w:cs="宋体"/>
                      <w:color w:val="000000" w:themeColor="text1"/>
                      <w:spacing w:val="-2"/>
                      <w:sz w:val="18"/>
                      <w:szCs w:val="18"/>
                      <w:u w:val="none" w:color="auto"/>
                      <w14:textFill>
                        <w14:solidFill>
                          <w14:schemeClr w14:val="tx1"/>
                        </w14:solidFill>
                      </w14:textFill>
                    </w:rPr>
                    <w:t>-06</w:t>
                  </w:r>
                </w:p>
              </w:tc>
              <w:tc>
                <w:tcPr>
                  <w:tcW w:w="466" w:type="pct"/>
                  <w:tcBorders>
                    <w:tl2br w:val="nil"/>
                    <w:tr2bl w:val="nil"/>
                  </w:tcBorders>
                  <w:shd w:val="clear" w:color="auto" w:fill="auto"/>
                  <w:vAlign w:val="center"/>
                </w:tcPr>
                <w:p w14:paraId="4FE1D84F">
                  <w:pPr>
                    <w:pStyle w:val="119"/>
                    <w:keepNext w:val="0"/>
                    <w:keepLines w:val="0"/>
                    <w:pageBreakBefore w:val="0"/>
                    <w:kinsoku/>
                    <w:wordWrap/>
                    <w:overflowPunct w:val="0"/>
                    <w:topLinePunct w:val="0"/>
                    <w:autoSpaceDE/>
                    <w:autoSpaceDN/>
                    <w:bidi w:val="0"/>
                    <w:adjustRightInd/>
                    <w:snapToGrid/>
                    <w:spacing w:line="240" w:lineRule="atLeast"/>
                    <w:ind w:right="92"/>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含矿</w:t>
                  </w:r>
                  <w:r>
                    <w:rPr>
                      <w:rFonts w:hint="eastAsia" w:ascii="宋体" w:hAnsi="宋体" w:eastAsia="宋体" w:cs="宋体"/>
                      <w:color w:val="000000" w:themeColor="text1"/>
                      <w:spacing w:val="-13"/>
                      <w:sz w:val="18"/>
                      <w:szCs w:val="18"/>
                      <w:u w:val="none" w:color="auto"/>
                      <w14:textFill>
                        <w14:solidFill>
                          <w14:schemeClr w14:val="tx1"/>
                        </w14:solidFill>
                      </w14:textFill>
                    </w:rPr>
                    <w:t>物油、烷烃、</w:t>
                  </w:r>
                  <w:r>
                    <w:rPr>
                      <w:rFonts w:hint="eastAsia" w:ascii="宋体" w:hAnsi="宋体" w:eastAsia="宋体" w:cs="宋体"/>
                      <w:color w:val="000000" w:themeColor="text1"/>
                      <w:spacing w:val="29"/>
                      <w:sz w:val="18"/>
                      <w:szCs w:val="18"/>
                      <w:u w:val="none" w:color="auto"/>
                      <w14:textFill>
                        <w14:solidFill>
                          <w14:schemeClr w14:val="tx1"/>
                        </w14:solidFill>
                      </w14:textFill>
                    </w:rPr>
                    <w:t>环烷</w:t>
                  </w:r>
                  <w:r>
                    <w:rPr>
                      <w:rFonts w:hint="eastAsia" w:ascii="宋体" w:hAnsi="宋体" w:eastAsia="宋体" w:cs="宋体"/>
                      <w:color w:val="000000" w:themeColor="text1"/>
                      <w:spacing w:val="-17"/>
                      <w:sz w:val="18"/>
                      <w:szCs w:val="18"/>
                      <w:u w:val="none" w:color="auto"/>
                      <w14:textFill>
                        <w14:solidFill>
                          <w14:schemeClr w14:val="tx1"/>
                        </w14:solidFill>
                      </w14:textFill>
                    </w:rPr>
                    <w:t>烃、芳</w:t>
                  </w:r>
                  <w:r>
                    <w:rPr>
                      <w:rFonts w:hint="eastAsia" w:ascii="宋体" w:hAnsi="宋体" w:eastAsia="宋体" w:cs="宋体"/>
                      <w:color w:val="000000" w:themeColor="text1"/>
                      <w:spacing w:val="29"/>
                      <w:sz w:val="18"/>
                      <w:szCs w:val="18"/>
                      <w:u w:val="none" w:color="auto"/>
                      <w14:textFill>
                        <w14:solidFill>
                          <w14:schemeClr w14:val="tx1"/>
                        </w14:solidFill>
                      </w14:textFill>
                    </w:rPr>
                    <w:t>香烃</w:t>
                  </w:r>
                </w:p>
              </w:tc>
              <w:tc>
                <w:tcPr>
                  <w:tcW w:w="255" w:type="pct"/>
                  <w:tcBorders>
                    <w:tl2br w:val="nil"/>
                    <w:tr2bl w:val="nil"/>
                  </w:tcBorders>
                  <w:shd w:val="clear" w:color="auto" w:fill="auto"/>
                  <w:vAlign w:val="center"/>
                </w:tcPr>
                <w:p w14:paraId="240D90A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4D583004">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87.2</w:t>
                  </w:r>
                </w:p>
              </w:tc>
              <w:tc>
                <w:tcPr>
                  <w:tcW w:w="276" w:type="pct"/>
                  <w:tcBorders>
                    <w:tl2br w:val="nil"/>
                    <w:tr2bl w:val="nil"/>
                  </w:tcBorders>
                  <w:shd w:val="clear" w:color="auto" w:fill="auto"/>
                  <w:vAlign w:val="center"/>
                </w:tcPr>
                <w:p w14:paraId="42E5989A">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6"/>
                      <w:sz w:val="18"/>
                      <w:szCs w:val="18"/>
                      <w:u w:val="none" w:color="auto"/>
                      <w14:textFill>
                        <w14:solidFill>
                          <w14:schemeClr w14:val="tx1"/>
                        </w14:solidFill>
                      </w14:textFill>
                    </w:rPr>
                    <w:t>T，</w:t>
                  </w:r>
                  <w:r>
                    <w:rPr>
                      <w:rFonts w:hint="eastAsia" w:ascii="宋体" w:hAnsi="宋体" w:eastAsia="宋体" w:cs="宋体"/>
                      <w:color w:val="000000" w:themeColor="text1"/>
                      <w:sz w:val="18"/>
                      <w:szCs w:val="18"/>
                      <w:u w:val="none" w:color="auto"/>
                      <w14:textFill>
                        <w14:solidFill>
                          <w14:schemeClr w14:val="tx1"/>
                        </w14:solidFill>
                      </w14:textFill>
                    </w:rPr>
                    <w:t xml:space="preserve"> I</w:t>
                  </w:r>
                </w:p>
              </w:tc>
              <w:tc>
                <w:tcPr>
                  <w:tcW w:w="959" w:type="pct"/>
                  <w:tcBorders>
                    <w:tl2br w:val="nil"/>
                    <w:tr2bl w:val="nil"/>
                  </w:tcBorders>
                  <w:shd w:val="clear" w:color="auto" w:fill="auto"/>
                  <w:vAlign w:val="center"/>
                </w:tcPr>
                <w:p w14:paraId="2889AE0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75749062">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w:t>
                  </w:r>
                </w:p>
              </w:tc>
              <w:tc>
                <w:tcPr>
                  <w:tcW w:w="249" w:type="pct"/>
                  <w:vMerge w:val="continue"/>
                  <w:tcBorders>
                    <w:tl2br w:val="nil"/>
                    <w:tr2bl w:val="nil"/>
                  </w:tcBorders>
                  <w:shd w:val="clear" w:color="auto" w:fill="auto"/>
                  <w:vAlign w:val="center"/>
                </w:tcPr>
                <w:p w14:paraId="026AA451">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2CB98BC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44" w:type="pct"/>
                  <w:tcBorders>
                    <w:tl2br w:val="nil"/>
                    <w:tr2bl w:val="nil"/>
                  </w:tcBorders>
                  <w:shd w:val="clear" w:color="auto" w:fill="auto"/>
                  <w:vAlign w:val="center"/>
                </w:tcPr>
                <w:p w14:paraId="1517ECD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线路板</w:t>
                  </w:r>
                </w:p>
              </w:tc>
              <w:tc>
                <w:tcPr>
                  <w:tcW w:w="1171" w:type="pct"/>
                  <w:tcBorders>
                    <w:tl2br w:val="nil"/>
                    <w:tr2bl w:val="nil"/>
                  </w:tcBorders>
                  <w:shd w:val="clear" w:color="auto" w:fill="auto"/>
                  <w:vAlign w:val="center"/>
                </w:tcPr>
                <w:p w14:paraId="655E1178">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拆解过程产生的废电路板及其元器件</w:t>
                  </w:r>
                </w:p>
              </w:tc>
              <w:tc>
                <w:tcPr>
                  <w:tcW w:w="368" w:type="pct"/>
                  <w:tcBorders>
                    <w:tl2br w:val="nil"/>
                    <w:tr2bl w:val="nil"/>
                  </w:tcBorders>
                  <w:shd w:val="clear" w:color="auto" w:fill="auto"/>
                  <w:vAlign w:val="center"/>
                </w:tcPr>
                <w:p w14:paraId="0E1EB01C">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HW49</w:t>
                  </w:r>
                </w:p>
                <w:p w14:paraId="1F58E283">
                  <w:pPr>
                    <w:pStyle w:val="119"/>
                    <w:keepNext w:val="0"/>
                    <w:keepLines w:val="0"/>
                    <w:pageBreakBefore w:val="0"/>
                    <w:kinsoku/>
                    <w:wordWrap/>
                    <w:overflowPunct w:val="0"/>
                    <w:topLinePunct w:val="0"/>
                    <w:autoSpaceDE/>
                    <w:autoSpaceDN/>
                    <w:bidi w:val="0"/>
                    <w:adjustRightInd/>
                    <w:snapToGrid/>
                    <w:spacing w:line="240" w:lineRule="atLeast"/>
                    <w:jc w:val="center"/>
                    <w:rPr>
                      <w:rFonts w:hint="default"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cs="宋体"/>
                      <w:color w:val="000000" w:themeColor="text1"/>
                      <w:spacing w:val="-1"/>
                      <w:sz w:val="18"/>
                      <w:szCs w:val="18"/>
                      <w:u w:val="none" w:color="auto"/>
                      <w:lang w:val="en-US" w:eastAsia="zh-CN"/>
                      <w14:textFill>
                        <w14:solidFill>
                          <w14:schemeClr w14:val="tx1"/>
                        </w14:solidFill>
                      </w14:textFill>
                    </w:rPr>
                    <w:t>其他废物</w:t>
                  </w:r>
                </w:p>
              </w:tc>
              <w:tc>
                <w:tcPr>
                  <w:tcW w:w="454" w:type="pct"/>
                  <w:tcBorders>
                    <w:tl2br w:val="nil"/>
                    <w:tr2bl w:val="nil"/>
                  </w:tcBorders>
                  <w:shd w:val="clear" w:color="auto" w:fill="auto"/>
                  <w:vAlign w:val="center"/>
                </w:tcPr>
                <w:p w14:paraId="413607CF">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eastAsia="宋体" w:cs="宋体"/>
                      <w:color w:val="000000" w:themeColor="text1"/>
                      <w:spacing w:val="-1"/>
                      <w:sz w:val="18"/>
                      <w:szCs w:val="18"/>
                      <w:u w:val="none" w:color="auto"/>
                      <w14:textFill>
                        <w14:solidFill>
                          <w14:schemeClr w14:val="tx1"/>
                        </w14:solidFill>
                      </w14:textFill>
                    </w:rPr>
                    <w:t>45-49</w:t>
                  </w:r>
                </w:p>
              </w:tc>
              <w:tc>
                <w:tcPr>
                  <w:tcW w:w="466" w:type="pct"/>
                  <w:tcBorders>
                    <w:tl2br w:val="nil"/>
                    <w:tr2bl w:val="nil"/>
                  </w:tcBorders>
                  <w:shd w:val="clear" w:color="auto" w:fill="auto"/>
                  <w:vAlign w:val="center"/>
                </w:tcPr>
                <w:p w14:paraId="01202434">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含有</w:t>
                  </w:r>
                  <w:r>
                    <w:rPr>
                      <w:rFonts w:hint="eastAsia" w:ascii="宋体" w:hAnsi="宋体" w:eastAsia="宋体" w:cs="宋体"/>
                      <w:color w:val="000000" w:themeColor="text1"/>
                      <w:spacing w:val="-9"/>
                      <w:sz w:val="18"/>
                      <w:szCs w:val="18"/>
                      <w:u w:val="none" w:color="auto"/>
                      <w14:textFill>
                        <w14:solidFill>
                          <w14:schemeClr w14:val="tx1"/>
                        </w14:solidFill>
                      </w14:textFill>
                    </w:rPr>
                    <w:t>金</w:t>
                  </w:r>
                  <w:r>
                    <w:rPr>
                      <w:rFonts w:hint="eastAsia" w:ascii="宋体" w:hAnsi="宋体" w:eastAsia="宋体" w:cs="宋体"/>
                      <w:color w:val="000000" w:themeColor="text1"/>
                      <w:spacing w:val="-20"/>
                      <w:sz w:val="18"/>
                      <w:szCs w:val="18"/>
                      <w:u w:val="none" w:color="auto"/>
                      <w14:textFill>
                        <w14:solidFill>
                          <w14:schemeClr w14:val="tx1"/>
                        </w14:solidFill>
                      </w14:textFill>
                    </w:rPr>
                    <w:t>属、</w:t>
                  </w:r>
                  <w:r>
                    <w:rPr>
                      <w:rFonts w:hint="eastAsia" w:ascii="宋体" w:hAnsi="宋体" w:eastAsia="宋体" w:cs="宋体"/>
                      <w:color w:val="000000" w:themeColor="text1"/>
                      <w:spacing w:val="28"/>
                      <w:w w:val="130"/>
                      <w:sz w:val="18"/>
                      <w:szCs w:val="18"/>
                      <w:u w:val="none" w:color="auto"/>
                      <w14:textFill>
                        <w14:solidFill>
                          <w14:schemeClr w14:val="tx1"/>
                        </w14:solidFill>
                      </w14:textFill>
                    </w:rPr>
                    <w:t>树</w:t>
                  </w:r>
                  <w:r>
                    <w:rPr>
                      <w:rFonts w:hint="eastAsia" w:ascii="宋体" w:hAnsi="宋体" w:eastAsia="宋体" w:cs="宋体"/>
                      <w:color w:val="000000" w:themeColor="text1"/>
                      <w:spacing w:val="-20"/>
                      <w:sz w:val="18"/>
                      <w:szCs w:val="18"/>
                      <w:u w:val="none" w:color="auto"/>
                      <w14:textFill>
                        <w14:solidFill>
                          <w14:schemeClr w14:val="tx1"/>
                        </w14:solidFill>
                      </w14:textFill>
                    </w:rPr>
                    <w:t>脂、</w:t>
                  </w:r>
                  <w:r>
                    <w:rPr>
                      <w:rFonts w:hint="eastAsia" w:ascii="宋体" w:hAnsi="宋体" w:eastAsia="宋体" w:cs="宋体"/>
                      <w:color w:val="000000" w:themeColor="text1"/>
                      <w:spacing w:val="-11"/>
                      <w:sz w:val="18"/>
                      <w:szCs w:val="18"/>
                      <w:u w:val="none" w:color="auto"/>
                      <w14:textFill>
                        <w14:solidFill>
                          <w14:schemeClr w14:val="tx1"/>
                        </w14:solidFill>
                      </w14:textFill>
                    </w:rPr>
                    <w:t>印刷</w:t>
                  </w:r>
                  <w:r>
                    <w:rPr>
                      <w:rFonts w:hint="eastAsia" w:ascii="宋体" w:hAnsi="宋体" w:eastAsia="宋体" w:cs="宋体"/>
                      <w:color w:val="000000" w:themeColor="text1"/>
                      <w:spacing w:val="-6"/>
                      <w:sz w:val="18"/>
                      <w:szCs w:val="18"/>
                      <w:u w:val="none" w:color="auto"/>
                      <w14:textFill>
                        <w14:solidFill>
                          <w14:schemeClr w14:val="tx1"/>
                        </w14:solidFill>
                      </w14:textFill>
                    </w:rPr>
                    <w:t>原件</w:t>
                  </w:r>
                  <w:r>
                    <w:rPr>
                      <w:rFonts w:hint="eastAsia" w:ascii="宋体" w:hAnsi="宋体" w:eastAsia="宋体" w:cs="宋体"/>
                      <w:color w:val="000000" w:themeColor="text1"/>
                      <w:spacing w:val="-5"/>
                      <w:sz w:val="18"/>
                      <w:szCs w:val="18"/>
                      <w:u w:val="none" w:color="auto"/>
                      <w14:textFill>
                        <w14:solidFill>
                          <w14:schemeClr w14:val="tx1"/>
                        </w14:solidFill>
                      </w14:textFill>
                    </w:rPr>
                    <w:t>等，</w:t>
                  </w:r>
                </w:p>
              </w:tc>
              <w:tc>
                <w:tcPr>
                  <w:tcW w:w="255" w:type="pct"/>
                  <w:tcBorders>
                    <w:tl2br w:val="nil"/>
                    <w:tr2bl w:val="nil"/>
                  </w:tcBorders>
                  <w:shd w:val="clear" w:color="auto" w:fill="auto"/>
                  <w:vAlign w:val="center"/>
                </w:tcPr>
                <w:p w14:paraId="350B0E4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32E41764">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51.8</w:t>
                  </w:r>
                </w:p>
              </w:tc>
              <w:tc>
                <w:tcPr>
                  <w:tcW w:w="276" w:type="pct"/>
                  <w:tcBorders>
                    <w:tl2br w:val="nil"/>
                    <w:tr2bl w:val="nil"/>
                  </w:tcBorders>
                  <w:shd w:val="clear" w:color="auto" w:fill="auto"/>
                  <w:vAlign w:val="center"/>
                </w:tcPr>
                <w:p w14:paraId="091982AA">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T</w:t>
                  </w:r>
                </w:p>
              </w:tc>
              <w:tc>
                <w:tcPr>
                  <w:tcW w:w="959" w:type="pct"/>
                  <w:tcBorders>
                    <w:tl2br w:val="nil"/>
                    <w:tr2bl w:val="nil"/>
                  </w:tcBorders>
                  <w:shd w:val="clear" w:color="auto" w:fill="auto"/>
                  <w:vAlign w:val="center"/>
                </w:tcPr>
                <w:p w14:paraId="28DEE99F">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7D779BFC">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w:t>
                  </w:r>
                </w:p>
              </w:tc>
              <w:tc>
                <w:tcPr>
                  <w:tcW w:w="249" w:type="pct"/>
                  <w:vMerge w:val="continue"/>
                  <w:tcBorders>
                    <w:tl2br w:val="nil"/>
                    <w:tr2bl w:val="nil"/>
                  </w:tcBorders>
                  <w:shd w:val="clear" w:color="auto" w:fill="auto"/>
                  <w:vAlign w:val="center"/>
                </w:tcPr>
                <w:p w14:paraId="0AC8EE9D">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2714F91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44" w:type="pct"/>
                  <w:tcBorders>
                    <w:tl2br w:val="nil"/>
                    <w:tr2bl w:val="nil"/>
                  </w:tcBorders>
                  <w:shd w:val="clear" w:color="auto" w:fill="auto"/>
                  <w:vAlign w:val="center"/>
                </w:tcPr>
                <w:p w14:paraId="6748FE8A">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废活性炭</w:t>
                  </w:r>
                </w:p>
              </w:tc>
              <w:tc>
                <w:tcPr>
                  <w:tcW w:w="1171" w:type="pct"/>
                  <w:tcBorders>
                    <w:tl2br w:val="nil"/>
                    <w:tr2bl w:val="nil"/>
                  </w:tcBorders>
                  <w:shd w:val="clear" w:color="auto" w:fill="auto"/>
                  <w:vAlign w:val="center"/>
                </w:tcPr>
                <w:p w14:paraId="6F74E157">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VOCs 治理过程产生的废活性炭</w:t>
                  </w:r>
                </w:p>
              </w:tc>
              <w:tc>
                <w:tcPr>
                  <w:tcW w:w="368" w:type="pct"/>
                  <w:tcBorders>
                    <w:tl2br w:val="nil"/>
                    <w:tr2bl w:val="nil"/>
                  </w:tcBorders>
                  <w:shd w:val="clear" w:color="auto" w:fill="auto"/>
                  <w:vAlign w:val="center"/>
                </w:tcPr>
                <w:p w14:paraId="362FA827">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HW49</w:t>
                  </w:r>
                  <w:r>
                    <w:rPr>
                      <w:rFonts w:hint="eastAsia" w:cs="宋体"/>
                      <w:color w:val="000000" w:themeColor="text1"/>
                      <w:spacing w:val="-1"/>
                      <w:sz w:val="18"/>
                      <w:szCs w:val="18"/>
                      <w:u w:val="none" w:color="auto"/>
                      <w:lang w:val="en-US" w:eastAsia="zh-CN"/>
                      <w14:textFill>
                        <w14:solidFill>
                          <w14:schemeClr w14:val="tx1"/>
                        </w14:solidFill>
                      </w14:textFill>
                    </w:rPr>
                    <w:t>其他废物</w:t>
                  </w:r>
                </w:p>
              </w:tc>
              <w:tc>
                <w:tcPr>
                  <w:tcW w:w="454" w:type="pct"/>
                  <w:tcBorders>
                    <w:tl2br w:val="nil"/>
                    <w:tr2bl w:val="nil"/>
                  </w:tcBorders>
                  <w:shd w:val="clear" w:color="auto" w:fill="auto"/>
                  <w:vAlign w:val="center"/>
                </w:tcPr>
                <w:p w14:paraId="6B61B40E">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cs="宋体"/>
                      <w:color w:val="000000" w:themeColor="text1"/>
                      <w:spacing w:val="-2"/>
                      <w:sz w:val="18"/>
                      <w:szCs w:val="18"/>
                      <w:u w:val="none" w:color="auto"/>
                      <w:lang w:val="en-US" w:eastAsia="zh-CN"/>
                      <w14:textFill>
                        <w14:solidFill>
                          <w14:schemeClr w14:val="tx1"/>
                        </w14:solidFill>
                      </w14:textFill>
                    </w:rPr>
                    <w:t>39</w:t>
                  </w:r>
                  <w:r>
                    <w:rPr>
                      <w:rFonts w:hint="eastAsia" w:ascii="宋体" w:hAnsi="宋体" w:eastAsia="宋体" w:cs="宋体"/>
                      <w:color w:val="000000" w:themeColor="text1"/>
                      <w:spacing w:val="-1"/>
                      <w:sz w:val="18"/>
                      <w:szCs w:val="18"/>
                      <w:u w:val="none" w:color="auto"/>
                      <w14:textFill>
                        <w14:solidFill>
                          <w14:schemeClr w14:val="tx1"/>
                        </w14:solidFill>
                      </w14:textFill>
                    </w:rPr>
                    <w:t>-49</w:t>
                  </w:r>
                </w:p>
              </w:tc>
              <w:tc>
                <w:tcPr>
                  <w:tcW w:w="466" w:type="pct"/>
                  <w:tcBorders>
                    <w:tl2br w:val="nil"/>
                    <w:tr2bl w:val="nil"/>
                  </w:tcBorders>
                  <w:shd w:val="clear" w:color="auto" w:fill="auto"/>
                  <w:vAlign w:val="center"/>
                </w:tcPr>
                <w:p w14:paraId="4AA1597F">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含非</w:t>
                  </w:r>
                  <w:r>
                    <w:rPr>
                      <w:rFonts w:hint="eastAsia" w:ascii="宋体" w:hAnsi="宋体" w:eastAsia="宋体" w:cs="宋体"/>
                      <w:color w:val="000000" w:themeColor="text1"/>
                      <w:spacing w:val="-16"/>
                      <w:sz w:val="18"/>
                      <w:szCs w:val="18"/>
                      <w:u w:val="none" w:color="auto"/>
                      <w14:textFill>
                        <w14:solidFill>
                          <w14:schemeClr w14:val="tx1"/>
                        </w14:solidFill>
                      </w14:textFill>
                    </w:rPr>
                    <w:t>甲烷</w:t>
                  </w:r>
                  <w:r>
                    <w:rPr>
                      <w:rFonts w:hint="eastAsia" w:ascii="宋体" w:hAnsi="宋体" w:eastAsia="宋体" w:cs="宋体"/>
                      <w:color w:val="000000" w:themeColor="text1"/>
                      <w:spacing w:val="-6"/>
                      <w:sz w:val="18"/>
                      <w:szCs w:val="18"/>
                      <w:u w:val="none" w:color="auto"/>
                      <w14:textFill>
                        <w14:solidFill>
                          <w14:schemeClr w14:val="tx1"/>
                        </w14:solidFill>
                      </w14:textFill>
                    </w:rPr>
                    <w:t>总烃</w:t>
                  </w:r>
                  <w:r>
                    <w:rPr>
                      <w:rFonts w:hint="eastAsia" w:ascii="宋体" w:hAnsi="宋体" w:eastAsia="宋体" w:cs="宋体"/>
                      <w:color w:val="000000" w:themeColor="text1"/>
                      <w:spacing w:val="-11"/>
                      <w:sz w:val="18"/>
                      <w:szCs w:val="18"/>
                      <w:u w:val="none" w:color="auto"/>
                      <w14:textFill>
                        <w14:solidFill>
                          <w14:schemeClr w14:val="tx1"/>
                        </w14:solidFill>
                      </w14:textFill>
                    </w:rPr>
                    <w:t>的活</w:t>
                  </w:r>
                  <w:r>
                    <w:rPr>
                      <w:rFonts w:hint="eastAsia" w:ascii="宋体" w:hAnsi="宋体" w:eastAsia="宋体" w:cs="宋体"/>
                      <w:color w:val="000000" w:themeColor="text1"/>
                      <w:spacing w:val="-5"/>
                      <w:sz w:val="18"/>
                      <w:szCs w:val="18"/>
                      <w:u w:val="none" w:color="auto"/>
                      <w14:textFill>
                        <w14:solidFill>
                          <w14:schemeClr w14:val="tx1"/>
                        </w14:solidFill>
                      </w14:textFill>
                    </w:rPr>
                    <w:t>性炭</w:t>
                  </w:r>
                </w:p>
              </w:tc>
              <w:tc>
                <w:tcPr>
                  <w:tcW w:w="255" w:type="pct"/>
                  <w:tcBorders>
                    <w:tl2br w:val="nil"/>
                    <w:tr2bl w:val="nil"/>
                  </w:tcBorders>
                  <w:shd w:val="clear" w:color="auto" w:fill="auto"/>
                  <w:vAlign w:val="center"/>
                </w:tcPr>
                <w:p w14:paraId="2AA3051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79ACA75B">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3.553</w:t>
                  </w:r>
                </w:p>
              </w:tc>
              <w:tc>
                <w:tcPr>
                  <w:tcW w:w="276" w:type="pct"/>
                  <w:tcBorders>
                    <w:tl2br w:val="nil"/>
                    <w:tr2bl w:val="nil"/>
                  </w:tcBorders>
                  <w:shd w:val="clear" w:color="auto" w:fill="auto"/>
                  <w:vAlign w:val="center"/>
                </w:tcPr>
                <w:p w14:paraId="2099030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T</w:t>
                  </w:r>
                </w:p>
              </w:tc>
              <w:tc>
                <w:tcPr>
                  <w:tcW w:w="959" w:type="pct"/>
                  <w:tcBorders>
                    <w:tl2br w:val="nil"/>
                    <w:tr2bl w:val="nil"/>
                  </w:tcBorders>
                  <w:shd w:val="clear" w:color="auto" w:fill="auto"/>
                  <w:vAlign w:val="center"/>
                </w:tcPr>
                <w:p w14:paraId="470E8398">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10688204">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w:t>
                  </w:r>
                </w:p>
              </w:tc>
              <w:tc>
                <w:tcPr>
                  <w:tcW w:w="249" w:type="pct"/>
                  <w:vMerge w:val="continue"/>
                  <w:tcBorders>
                    <w:tl2br w:val="nil"/>
                    <w:tr2bl w:val="nil"/>
                  </w:tcBorders>
                  <w:shd w:val="clear" w:color="auto" w:fill="auto"/>
                  <w:vAlign w:val="center"/>
                </w:tcPr>
                <w:p w14:paraId="60A3B7D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0E836B9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95" w:hRule="atLeast"/>
              </w:trPr>
              <w:tc>
                <w:tcPr>
                  <w:tcW w:w="344" w:type="pct"/>
                  <w:tcBorders>
                    <w:tl2br w:val="nil"/>
                    <w:tr2bl w:val="nil"/>
                  </w:tcBorders>
                  <w:shd w:val="clear" w:color="auto" w:fill="auto"/>
                  <w:vAlign w:val="center"/>
                </w:tcPr>
                <w:p w14:paraId="7D2A56ED">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含汞废物</w:t>
                  </w:r>
                </w:p>
              </w:tc>
              <w:tc>
                <w:tcPr>
                  <w:tcW w:w="1171" w:type="pct"/>
                  <w:tcBorders>
                    <w:tl2br w:val="nil"/>
                    <w:tr2bl w:val="nil"/>
                  </w:tcBorders>
                  <w:shd w:val="clear" w:color="auto" w:fill="auto"/>
                  <w:vAlign w:val="center"/>
                </w:tcPr>
                <w:p w14:paraId="6C695060">
                  <w:pPr>
                    <w:keepNext w:val="0"/>
                    <w:keepLines w:val="0"/>
                    <w:pageBreakBefore w:val="0"/>
                    <w:kinsoku/>
                    <w:wordWrap/>
                    <w:overflowPunct w:val="0"/>
                    <w:topLinePunct w:val="0"/>
                    <w:autoSpaceDE/>
                    <w:autoSpaceDN/>
                    <w:bidi w:val="0"/>
                    <w:adjustRightInd/>
                    <w:snapToGrid/>
                    <w:spacing w:line="240" w:lineRule="atLeast"/>
                    <w:ind w:right="143" w:rightChars="0"/>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拆解过程产生的废水银开关、含汞荧光灯管及其他废</w:t>
                  </w:r>
                  <w:r>
                    <w:rPr>
                      <w:rFonts w:hint="eastAsia" w:ascii="宋体" w:hAnsi="宋体" w:eastAsia="宋体" w:cs="宋体"/>
                      <w:color w:val="000000" w:themeColor="text1"/>
                      <w:spacing w:val="-2"/>
                      <w:sz w:val="18"/>
                      <w:szCs w:val="18"/>
                      <w:u w:val="none" w:color="auto"/>
                      <w14:textFill>
                        <w14:solidFill>
                          <w14:schemeClr w14:val="tx1"/>
                        </w14:solidFill>
                      </w14:textFill>
                    </w:rPr>
                    <w:t>含汞电光源</w:t>
                  </w:r>
                </w:p>
              </w:tc>
              <w:tc>
                <w:tcPr>
                  <w:tcW w:w="368" w:type="pct"/>
                  <w:tcBorders>
                    <w:tl2br w:val="nil"/>
                    <w:tr2bl w:val="nil"/>
                  </w:tcBorders>
                  <w:shd w:val="clear" w:color="auto" w:fill="auto"/>
                  <w:vAlign w:val="center"/>
                </w:tcPr>
                <w:p w14:paraId="49F8AF74">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HW29</w:t>
                  </w:r>
                </w:p>
                <w:p w14:paraId="39D50F12">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cs="宋体"/>
                      <w:color w:val="000000" w:themeColor="text1"/>
                      <w:spacing w:val="-1"/>
                      <w:sz w:val="18"/>
                      <w:szCs w:val="18"/>
                      <w:u w:val="none" w:color="auto"/>
                      <w:lang w:val="en-US" w:eastAsia="zh-CN"/>
                      <w14:textFill>
                        <w14:solidFill>
                          <w14:schemeClr w14:val="tx1"/>
                        </w14:solidFill>
                      </w14:textFill>
                    </w:rPr>
                    <w:t>含汞废物</w:t>
                  </w:r>
                </w:p>
              </w:tc>
              <w:tc>
                <w:tcPr>
                  <w:tcW w:w="454" w:type="pct"/>
                  <w:tcBorders>
                    <w:tl2br w:val="nil"/>
                    <w:tr2bl w:val="nil"/>
                  </w:tcBorders>
                  <w:shd w:val="clear" w:color="auto" w:fill="auto"/>
                  <w:vAlign w:val="center"/>
                </w:tcPr>
                <w:p w14:paraId="45806F1D">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w:t>
                  </w:r>
                  <w:r>
                    <w:rPr>
                      <w:rFonts w:hint="eastAsia" w:ascii="宋体" w:hAnsi="宋体" w:eastAsia="宋体" w:cs="宋体"/>
                      <w:color w:val="000000" w:themeColor="text1"/>
                      <w:spacing w:val="-1"/>
                      <w:sz w:val="18"/>
                      <w:szCs w:val="18"/>
                      <w:u w:val="none" w:color="auto"/>
                      <w14:textFill>
                        <w14:solidFill>
                          <w14:schemeClr w14:val="tx1"/>
                        </w14:solidFill>
                      </w14:textFill>
                    </w:rPr>
                    <w:t>23-29</w:t>
                  </w:r>
                </w:p>
              </w:tc>
              <w:tc>
                <w:tcPr>
                  <w:tcW w:w="466" w:type="pct"/>
                  <w:tcBorders>
                    <w:tl2br w:val="nil"/>
                    <w:tr2bl w:val="nil"/>
                  </w:tcBorders>
                  <w:shd w:val="clear" w:color="auto" w:fill="auto"/>
                  <w:vAlign w:val="center"/>
                </w:tcPr>
                <w:p w14:paraId="7CCACF16">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含汞</w:t>
                  </w:r>
                  <w:r>
                    <w:rPr>
                      <w:rFonts w:hint="eastAsia" w:ascii="宋体" w:hAnsi="宋体" w:eastAsia="宋体" w:cs="宋体"/>
                      <w:color w:val="000000" w:themeColor="text1"/>
                      <w:spacing w:val="-5"/>
                      <w:sz w:val="18"/>
                      <w:szCs w:val="18"/>
                      <w:u w:val="none" w:color="auto"/>
                      <w14:textFill>
                        <w14:solidFill>
                          <w14:schemeClr w14:val="tx1"/>
                        </w14:solidFill>
                      </w14:textFill>
                    </w:rPr>
                    <w:t>部件</w:t>
                  </w:r>
                </w:p>
              </w:tc>
              <w:tc>
                <w:tcPr>
                  <w:tcW w:w="255" w:type="pct"/>
                  <w:tcBorders>
                    <w:tl2br w:val="nil"/>
                    <w:tr2bl w:val="nil"/>
                  </w:tcBorders>
                  <w:shd w:val="clear" w:color="auto" w:fill="auto"/>
                  <w:vAlign w:val="center"/>
                </w:tcPr>
                <w:p w14:paraId="30233E4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7FCD26B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16</w:t>
                  </w:r>
                </w:p>
              </w:tc>
              <w:tc>
                <w:tcPr>
                  <w:tcW w:w="276" w:type="pct"/>
                  <w:tcBorders>
                    <w:tl2br w:val="nil"/>
                    <w:tr2bl w:val="nil"/>
                  </w:tcBorders>
                  <w:shd w:val="clear" w:color="auto" w:fill="auto"/>
                  <w:vAlign w:val="center"/>
                </w:tcPr>
                <w:p w14:paraId="3555EED6">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T</w:t>
                  </w:r>
                </w:p>
              </w:tc>
              <w:tc>
                <w:tcPr>
                  <w:tcW w:w="959" w:type="pct"/>
                  <w:tcBorders>
                    <w:tl2br w:val="nil"/>
                    <w:tr2bl w:val="nil"/>
                  </w:tcBorders>
                  <w:shd w:val="clear" w:color="auto" w:fill="auto"/>
                  <w:vAlign w:val="center"/>
                </w:tcPr>
                <w:p w14:paraId="50CB7FBB">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16E3429A">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w:t>
                  </w:r>
                </w:p>
              </w:tc>
              <w:tc>
                <w:tcPr>
                  <w:tcW w:w="249" w:type="pct"/>
                  <w:vMerge w:val="continue"/>
                  <w:tcBorders>
                    <w:tl2br w:val="nil"/>
                    <w:tr2bl w:val="nil"/>
                  </w:tcBorders>
                  <w:shd w:val="clear" w:color="auto" w:fill="auto"/>
                  <w:vAlign w:val="center"/>
                </w:tcPr>
                <w:p w14:paraId="5E921C6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13326E6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44" w:type="pct"/>
                  <w:tcBorders>
                    <w:tl2br w:val="nil"/>
                    <w:tr2bl w:val="nil"/>
                  </w:tcBorders>
                  <w:shd w:val="clear" w:color="auto" w:fill="auto"/>
                  <w:vAlign w:val="center"/>
                </w:tcPr>
                <w:p w14:paraId="650B3F02">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2"/>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石棉废物</w:t>
                  </w:r>
                </w:p>
              </w:tc>
              <w:tc>
                <w:tcPr>
                  <w:tcW w:w="1171" w:type="pct"/>
                  <w:tcBorders>
                    <w:tl2br w:val="nil"/>
                    <w:tr2bl w:val="nil"/>
                  </w:tcBorders>
                  <w:shd w:val="clear" w:color="auto" w:fill="auto"/>
                  <w:vAlign w:val="center"/>
                </w:tcPr>
                <w:p w14:paraId="7B9EFF39">
                  <w:pPr>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拆解报废机动车制动器衬片产生的石棉废物</w:t>
                  </w:r>
                </w:p>
              </w:tc>
              <w:tc>
                <w:tcPr>
                  <w:tcW w:w="368" w:type="pct"/>
                  <w:tcBorders>
                    <w:tl2br w:val="nil"/>
                    <w:tr2bl w:val="nil"/>
                  </w:tcBorders>
                  <w:shd w:val="clear" w:color="auto" w:fill="auto"/>
                  <w:vAlign w:val="center"/>
                </w:tcPr>
                <w:p w14:paraId="16BA6B62">
                  <w:pPr>
                    <w:pStyle w:val="119"/>
                    <w:keepNext w:val="0"/>
                    <w:keepLines w:val="0"/>
                    <w:pageBreakBefore w:val="0"/>
                    <w:kinsoku/>
                    <w:wordWrap/>
                    <w:overflowPunct w:val="0"/>
                    <w:topLinePunct w:val="0"/>
                    <w:autoSpaceDE/>
                    <w:autoSpaceDN/>
                    <w:bidi w:val="0"/>
                    <w:adjustRightInd/>
                    <w:snapToGrid/>
                    <w:spacing w:line="240" w:lineRule="atLeast"/>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HW36</w:t>
                  </w:r>
                </w:p>
                <w:p w14:paraId="4F991808">
                  <w:pPr>
                    <w:pStyle w:val="119"/>
                    <w:keepNext w:val="0"/>
                    <w:keepLines w:val="0"/>
                    <w:pageBreakBefore w:val="0"/>
                    <w:kinsoku/>
                    <w:wordWrap/>
                    <w:overflowPunct w:val="0"/>
                    <w:topLinePunct w:val="0"/>
                    <w:autoSpaceDE/>
                    <w:autoSpaceDN/>
                    <w:bidi w:val="0"/>
                    <w:adjustRightInd/>
                    <w:snapToGrid/>
                    <w:spacing w:line="240" w:lineRule="atLeast"/>
                    <w:jc w:val="center"/>
                    <w:rPr>
                      <w:rFonts w:hint="default"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cs="宋体"/>
                      <w:color w:val="000000" w:themeColor="text1"/>
                      <w:spacing w:val="-1"/>
                      <w:sz w:val="18"/>
                      <w:szCs w:val="18"/>
                      <w:u w:val="none" w:color="auto"/>
                      <w:lang w:val="en-US" w:eastAsia="zh-CN"/>
                      <w14:textFill>
                        <w14:solidFill>
                          <w14:schemeClr w14:val="tx1"/>
                        </w14:solidFill>
                      </w14:textFill>
                    </w:rPr>
                    <w:t>石棉废物</w:t>
                  </w:r>
                </w:p>
              </w:tc>
              <w:tc>
                <w:tcPr>
                  <w:tcW w:w="454" w:type="pct"/>
                  <w:tcBorders>
                    <w:tl2br w:val="nil"/>
                    <w:tr2bl w:val="nil"/>
                  </w:tcBorders>
                  <w:shd w:val="clear" w:color="auto" w:fill="auto"/>
                  <w:vAlign w:val="center"/>
                </w:tcPr>
                <w:p w14:paraId="7C4A0738">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900-030-36</w:t>
                  </w:r>
                </w:p>
              </w:tc>
              <w:tc>
                <w:tcPr>
                  <w:tcW w:w="466" w:type="pct"/>
                  <w:tcBorders>
                    <w:tl2br w:val="nil"/>
                    <w:tr2bl w:val="nil"/>
                  </w:tcBorders>
                  <w:shd w:val="clear" w:color="auto" w:fill="auto"/>
                  <w:vAlign w:val="center"/>
                </w:tcPr>
                <w:p w14:paraId="7037E1E0">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t>石棉</w:t>
                  </w:r>
                </w:p>
              </w:tc>
              <w:tc>
                <w:tcPr>
                  <w:tcW w:w="255" w:type="pct"/>
                  <w:tcBorders>
                    <w:tl2br w:val="nil"/>
                    <w:tr2bl w:val="nil"/>
                  </w:tcBorders>
                  <w:shd w:val="clear" w:color="auto" w:fill="auto"/>
                  <w:vAlign w:val="center"/>
                </w:tcPr>
                <w:p w14:paraId="4E3AF34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5F72AAA0">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16</w:t>
                  </w:r>
                </w:p>
              </w:tc>
              <w:tc>
                <w:tcPr>
                  <w:tcW w:w="276" w:type="pct"/>
                  <w:tcBorders>
                    <w:tl2br w:val="nil"/>
                    <w:tr2bl w:val="nil"/>
                  </w:tcBorders>
                  <w:shd w:val="clear" w:color="auto" w:fill="auto"/>
                  <w:vAlign w:val="center"/>
                </w:tcPr>
                <w:p w14:paraId="6AFD89C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T</w:t>
                  </w:r>
                </w:p>
              </w:tc>
              <w:tc>
                <w:tcPr>
                  <w:tcW w:w="959" w:type="pct"/>
                  <w:tcBorders>
                    <w:tl2br w:val="nil"/>
                    <w:tr2bl w:val="nil"/>
                  </w:tcBorders>
                  <w:shd w:val="clear" w:color="auto" w:fill="auto"/>
                  <w:vAlign w:val="center"/>
                </w:tcPr>
                <w:p w14:paraId="13C7206B">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39FCE14E">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w:t>
                  </w:r>
                </w:p>
              </w:tc>
              <w:tc>
                <w:tcPr>
                  <w:tcW w:w="249" w:type="pct"/>
                  <w:vMerge w:val="continue"/>
                  <w:tcBorders>
                    <w:tl2br w:val="nil"/>
                    <w:tr2bl w:val="nil"/>
                  </w:tcBorders>
                  <w:shd w:val="clear" w:color="auto" w:fill="auto"/>
                  <w:vAlign w:val="center"/>
                </w:tcPr>
                <w:p w14:paraId="0DA11DE8">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r w14:paraId="743896B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95" w:hRule="atLeast"/>
              </w:trPr>
              <w:tc>
                <w:tcPr>
                  <w:tcW w:w="344" w:type="pct"/>
                  <w:tcBorders>
                    <w:tl2br w:val="nil"/>
                    <w:tr2bl w:val="nil"/>
                  </w:tcBorders>
                  <w:shd w:val="clear" w:color="auto" w:fill="auto"/>
                  <w:vAlign w:val="center"/>
                </w:tcPr>
                <w:p w14:paraId="1049DA79">
                  <w:pPr>
                    <w:widowControl/>
                    <w:autoSpaceDE w:val="0"/>
                    <w:jc w:val="center"/>
                    <w:textAlignment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废含油手套抹布</w:t>
                  </w:r>
                </w:p>
              </w:tc>
              <w:tc>
                <w:tcPr>
                  <w:tcW w:w="1171" w:type="pct"/>
                  <w:tcBorders>
                    <w:tl2br w:val="nil"/>
                    <w:tr2bl w:val="nil"/>
                  </w:tcBorders>
                  <w:shd w:val="clear" w:color="auto" w:fill="auto"/>
                  <w:vAlign w:val="center"/>
                </w:tcPr>
                <w:p w14:paraId="7AE3070C">
                  <w:pPr>
                    <w:widowControl/>
                    <w:jc w:val="center"/>
                    <w:textAlignment w:val="center"/>
                    <w:rPr>
                      <w:rFonts w:hint="eastAsia" w:ascii="宋体" w:hAnsi="宋体" w:eastAsia="宋体" w:cs="宋体"/>
                      <w:color w:val="000000" w:themeColor="text1"/>
                      <w:kern w:val="0"/>
                      <w:sz w:val="18"/>
                      <w:szCs w:val="18"/>
                      <w:lang w:val="en-US" w:eastAsia="zh-CN" w:bidi="ar"/>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拆解过程产生的</w:t>
                  </w:r>
                  <w:r>
                    <w:rPr>
                      <w:rFonts w:hint="eastAsia" w:ascii="宋体" w:hAnsi="宋体" w:eastAsia="宋体" w:cs="宋体"/>
                      <w:color w:val="000000" w:themeColor="text1"/>
                      <w:kern w:val="0"/>
                      <w:sz w:val="18"/>
                      <w:szCs w:val="18"/>
                      <w:lang w:bidi="ar"/>
                      <w14:textFill>
                        <w14:solidFill>
                          <w14:schemeClr w14:val="tx1"/>
                        </w14:solidFill>
                      </w14:textFill>
                    </w:rPr>
                    <w:t>含油手套抹</w:t>
                  </w:r>
                  <w:r>
                    <w:rPr>
                      <w:rFonts w:hint="eastAsia" w:ascii="宋体" w:hAnsi="宋体" w:eastAsia="宋体" w:cs="宋体"/>
                      <w:color w:val="000000" w:themeColor="text1"/>
                      <w:kern w:val="0"/>
                      <w:sz w:val="18"/>
                      <w:szCs w:val="18"/>
                      <w:lang w:val="en-US" w:eastAsia="zh-CN" w:bidi="ar"/>
                      <w14:textFill>
                        <w14:solidFill>
                          <w14:schemeClr w14:val="tx1"/>
                        </w14:solidFill>
                      </w14:textFill>
                    </w:rPr>
                    <w:t>布</w:t>
                  </w:r>
                </w:p>
              </w:tc>
              <w:tc>
                <w:tcPr>
                  <w:tcW w:w="368" w:type="pct"/>
                  <w:tcBorders>
                    <w:tl2br w:val="nil"/>
                    <w:tr2bl w:val="nil"/>
                  </w:tcBorders>
                  <w:shd w:val="clear" w:color="auto" w:fill="auto"/>
                  <w:vAlign w:val="center"/>
                </w:tcPr>
                <w:p w14:paraId="3C91D59B">
                  <w:pPr>
                    <w:widowControl/>
                    <w:jc w:val="center"/>
                    <w:textAlignment w:val="center"/>
                    <w:rPr>
                      <w:rFonts w:hint="default" w:ascii="宋体" w:hAnsi="宋体" w:eastAsia="宋体" w:cs="宋体"/>
                      <w:color w:val="000000" w:themeColor="text1"/>
                      <w:kern w:val="0"/>
                      <w:sz w:val="18"/>
                      <w:szCs w:val="18"/>
                      <w:lang w:val="en-US" w:eastAsia="zh-CN" w:bidi="ar"/>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HW</w:t>
                  </w:r>
                  <w:r>
                    <w:rPr>
                      <w:rFonts w:hint="eastAsia" w:ascii="宋体" w:hAnsi="宋体" w:cs="宋体"/>
                      <w:color w:val="000000" w:themeColor="text1"/>
                      <w:kern w:val="0"/>
                      <w:sz w:val="18"/>
                      <w:szCs w:val="18"/>
                      <w:lang w:val="en-US" w:eastAsia="zh-CN" w:bidi="ar"/>
                      <w14:textFill>
                        <w14:solidFill>
                          <w14:schemeClr w14:val="tx1"/>
                        </w14:solidFill>
                      </w14:textFill>
                    </w:rPr>
                    <w:t>49</w:t>
                  </w:r>
                </w:p>
              </w:tc>
              <w:tc>
                <w:tcPr>
                  <w:tcW w:w="454" w:type="pct"/>
                  <w:tcBorders>
                    <w:tl2br w:val="nil"/>
                    <w:tr2bl w:val="nil"/>
                  </w:tcBorders>
                  <w:shd w:val="clear" w:color="auto" w:fill="auto"/>
                  <w:vAlign w:val="center"/>
                </w:tcPr>
                <w:p w14:paraId="538034E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color w:val="000000" w:themeColor="text1"/>
                      <w:spacing w:val="-2"/>
                      <w:sz w:val="18"/>
                      <w:szCs w:val="18"/>
                      <w:u w:val="none" w:color="auto"/>
                      <w:lang w:val="en-US"/>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900-</w:t>
                  </w:r>
                  <w:r>
                    <w:rPr>
                      <w:rFonts w:hint="eastAsia" w:ascii="宋体" w:hAnsi="宋体" w:cs="宋体"/>
                      <w:color w:val="000000" w:themeColor="text1"/>
                      <w:kern w:val="0"/>
                      <w:sz w:val="18"/>
                      <w:szCs w:val="18"/>
                      <w:lang w:val="en-US" w:eastAsia="zh-CN" w:bidi="ar"/>
                      <w14:textFill>
                        <w14:solidFill>
                          <w14:schemeClr w14:val="tx1"/>
                        </w14:solidFill>
                      </w14:textFill>
                    </w:rPr>
                    <w:t>041</w:t>
                  </w:r>
                  <w:r>
                    <w:rPr>
                      <w:rFonts w:hint="eastAsia" w:ascii="宋体" w:hAnsi="宋体" w:eastAsia="宋体" w:cs="宋体"/>
                      <w:color w:val="000000" w:themeColor="text1"/>
                      <w:kern w:val="0"/>
                      <w:sz w:val="18"/>
                      <w:szCs w:val="18"/>
                      <w:lang w:bidi="ar"/>
                      <w14:textFill>
                        <w14:solidFill>
                          <w14:schemeClr w14:val="tx1"/>
                        </w14:solidFill>
                      </w14:textFill>
                    </w:rPr>
                    <w:t>-</w:t>
                  </w:r>
                  <w:r>
                    <w:rPr>
                      <w:rFonts w:hint="eastAsia" w:ascii="宋体" w:hAnsi="宋体" w:cs="宋体"/>
                      <w:color w:val="000000" w:themeColor="text1"/>
                      <w:kern w:val="0"/>
                      <w:sz w:val="18"/>
                      <w:szCs w:val="18"/>
                      <w:lang w:val="en-US" w:eastAsia="zh-CN" w:bidi="ar"/>
                      <w14:textFill>
                        <w14:solidFill>
                          <w14:schemeClr w14:val="tx1"/>
                        </w14:solidFill>
                      </w14:textFill>
                    </w:rPr>
                    <w:t>49</w:t>
                  </w:r>
                </w:p>
              </w:tc>
              <w:tc>
                <w:tcPr>
                  <w:tcW w:w="466" w:type="pct"/>
                  <w:tcBorders>
                    <w:tl2br w:val="nil"/>
                    <w:tr2bl w:val="nil"/>
                  </w:tcBorders>
                  <w:shd w:val="clear" w:color="auto" w:fill="auto"/>
                  <w:vAlign w:val="center"/>
                </w:tcPr>
                <w:p w14:paraId="209D239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color="auto"/>
                      <w:lang w:val="en-US" w:eastAsia="zh-CN" w:bidi="ar-SA"/>
                      <w14:textFill>
                        <w14:solidFill>
                          <w14:schemeClr w14:val="tx1"/>
                        </w14:solidFill>
                      </w14:textFill>
                    </w:rPr>
                    <w:t>机油</w:t>
                  </w:r>
                </w:p>
              </w:tc>
              <w:tc>
                <w:tcPr>
                  <w:tcW w:w="255" w:type="pct"/>
                  <w:tcBorders>
                    <w:tl2br w:val="nil"/>
                    <w:tr2bl w:val="nil"/>
                  </w:tcBorders>
                  <w:shd w:val="clear" w:color="auto" w:fill="auto"/>
                  <w:vAlign w:val="center"/>
                </w:tcPr>
                <w:p w14:paraId="5BF70941">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color="auto"/>
                      <w:lang w:val="en-US" w:eastAsia="zh-CN"/>
                      <w14:textFill>
                        <w14:solidFill>
                          <w14:schemeClr w14:val="tx1"/>
                        </w14:solidFill>
                      </w14:textFill>
                    </w:rPr>
                    <w:t>固态</w:t>
                  </w:r>
                </w:p>
              </w:tc>
              <w:tc>
                <w:tcPr>
                  <w:tcW w:w="227" w:type="pct"/>
                  <w:tcBorders>
                    <w:tl2br w:val="nil"/>
                    <w:tr2bl w:val="nil"/>
                  </w:tcBorders>
                  <w:shd w:val="clear" w:color="auto" w:fill="auto"/>
                  <w:vAlign w:val="center"/>
                </w:tcPr>
                <w:p w14:paraId="26CD82B5">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default"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0.1</w:t>
                  </w:r>
                </w:p>
              </w:tc>
              <w:tc>
                <w:tcPr>
                  <w:tcW w:w="276" w:type="pct"/>
                  <w:tcBorders>
                    <w:tl2br w:val="nil"/>
                    <w:tr2bl w:val="nil"/>
                  </w:tcBorders>
                  <w:shd w:val="clear" w:color="auto" w:fill="auto"/>
                  <w:vAlign w:val="center"/>
                </w:tcPr>
                <w:p w14:paraId="268F9723">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T</w:t>
                  </w:r>
                </w:p>
              </w:tc>
              <w:tc>
                <w:tcPr>
                  <w:tcW w:w="959" w:type="pct"/>
                  <w:tcBorders>
                    <w:tl2br w:val="nil"/>
                    <w:tr2bl w:val="nil"/>
                  </w:tcBorders>
                  <w:shd w:val="clear" w:color="auto" w:fill="auto"/>
                  <w:vAlign w:val="center"/>
                </w:tcPr>
                <w:p w14:paraId="6850D5D2">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交由持有相应类别危险废物经营许可证的单</w:t>
                  </w:r>
                  <w:r>
                    <w:rPr>
                      <w:rFonts w:hint="eastAsia" w:ascii="宋体" w:hAnsi="宋体" w:eastAsia="宋体" w:cs="宋体"/>
                      <w:color w:val="000000" w:themeColor="text1"/>
                      <w:spacing w:val="-2"/>
                      <w:sz w:val="18"/>
                      <w:szCs w:val="18"/>
                      <w:u w:val="none" w:color="auto"/>
                      <w14:textFill>
                        <w14:solidFill>
                          <w14:schemeClr w14:val="tx1"/>
                        </w14:solidFill>
                      </w14:textFill>
                    </w:rPr>
                    <w:t>位处理</w:t>
                  </w:r>
                </w:p>
              </w:tc>
              <w:tc>
                <w:tcPr>
                  <w:tcW w:w="226" w:type="pct"/>
                  <w:tcBorders>
                    <w:tl2br w:val="nil"/>
                    <w:tr2bl w:val="nil"/>
                  </w:tcBorders>
                  <w:shd w:val="clear" w:color="auto" w:fill="auto"/>
                  <w:vAlign w:val="center"/>
                </w:tcPr>
                <w:p w14:paraId="1877AF79">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t>0</w:t>
                  </w:r>
                </w:p>
              </w:tc>
              <w:tc>
                <w:tcPr>
                  <w:tcW w:w="249" w:type="pct"/>
                  <w:vMerge w:val="continue"/>
                  <w:tcBorders>
                    <w:tl2br w:val="nil"/>
                    <w:tr2bl w:val="nil"/>
                  </w:tcBorders>
                  <w:shd w:val="clear" w:color="auto" w:fill="auto"/>
                  <w:vAlign w:val="center"/>
                </w:tcPr>
                <w:p w14:paraId="02929D9E">
                  <w:pPr>
                    <w:keepNext w:val="0"/>
                    <w:keepLines w:val="0"/>
                    <w:pageBreakBefore w:val="0"/>
                    <w:widowControl/>
                    <w:suppressLineNumbers w:val="0"/>
                    <w:kinsoku/>
                    <w:wordWrap/>
                    <w:overflowPunct w:val="0"/>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themeColor="text1"/>
                      <w:kern w:val="0"/>
                      <w:sz w:val="18"/>
                      <w:szCs w:val="18"/>
                      <w:u w:val="none" w:color="auto"/>
                      <w:lang w:val="en-US" w:eastAsia="zh-CN" w:bidi="ar"/>
                      <w14:textFill>
                        <w14:solidFill>
                          <w14:schemeClr w14:val="tx1"/>
                        </w14:solidFill>
                      </w14:textFill>
                    </w:rPr>
                  </w:pPr>
                </w:p>
              </w:tc>
            </w:tr>
          </w:tbl>
          <w:p w14:paraId="32D2F6F2">
            <w:pPr>
              <w:rPr>
                <w:rFonts w:hint="eastAsia" w:ascii="宋体" w:hAnsi="宋体" w:eastAsia="宋体" w:cs="宋体"/>
                <w:color w:val="000000" w:themeColor="text1"/>
                <w14:textFill>
                  <w14:solidFill>
                    <w14:schemeClr w14:val="tx1"/>
                  </w14:solidFill>
                </w14:textFill>
              </w:rPr>
            </w:pPr>
          </w:p>
        </w:tc>
      </w:tr>
    </w:tbl>
    <w:p w14:paraId="5BF23706">
      <w:pPr>
        <w:rPr>
          <w:rFonts w:hint="eastAsia" w:ascii="宋体" w:hAnsi="宋体" w:eastAsia="宋体" w:cs="宋体"/>
          <w:color w:val="000000" w:themeColor="text1"/>
          <w14:textFill>
            <w14:solidFill>
              <w14:schemeClr w14:val="tx1"/>
            </w14:solidFill>
          </w14:textFill>
        </w:rPr>
        <w:sectPr>
          <w:pgSz w:w="16838" w:h="11905" w:orient="landscape"/>
          <w:pgMar w:top="1800" w:right="1440" w:bottom="1800" w:left="1440" w:header="851" w:footer="850" w:gutter="0"/>
          <w:pgBorders>
            <w:top w:val="none" w:sz="0" w:space="0"/>
            <w:left w:val="none" w:sz="0" w:space="0"/>
            <w:bottom w:val="none" w:sz="0" w:space="0"/>
            <w:right w:val="none" w:sz="0" w:space="0"/>
          </w:pgBorders>
          <w:pgNumType w:fmt="decimal"/>
          <w:cols w:space="720" w:num="1"/>
          <w:docGrid w:linePitch="312" w:charSpace="0"/>
        </w:sectPr>
      </w:pPr>
    </w:p>
    <w:p w14:paraId="1B9E40C0">
      <w:pPr>
        <w:rPr>
          <w:rFonts w:hint="eastAsia" w:ascii="宋体" w:hAnsi="宋体" w:eastAsia="宋体" w:cs="宋体"/>
          <w:color w:val="000000" w:themeColor="text1"/>
          <w14:textFill>
            <w14:solidFill>
              <w14:schemeClr w14:val="tx1"/>
            </w14:solidFill>
          </w14:textFill>
        </w:rPr>
      </w:pPr>
    </w:p>
    <w:tbl>
      <w:tblPr>
        <w:tblStyle w:val="2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7"/>
        <w:gridCol w:w="8579"/>
      </w:tblGrid>
      <w:tr w14:paraId="197A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24" w:hRule="atLeast"/>
          <w:jc w:val="center"/>
        </w:trPr>
        <w:tc>
          <w:tcPr>
            <w:tcW w:w="475" w:type="dxa"/>
            <w:tcBorders>
              <w:tl2br w:val="nil"/>
              <w:tr2bl w:val="nil"/>
            </w:tcBorders>
            <w:tcMar>
              <w:left w:w="28" w:type="dxa"/>
              <w:right w:w="28" w:type="dxa"/>
            </w:tcMar>
            <w:vAlign w:val="center"/>
          </w:tcPr>
          <w:p w14:paraId="0FF0C1D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运营</w:t>
            </w:r>
          </w:p>
          <w:p w14:paraId="07A9C31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期环</w:t>
            </w:r>
          </w:p>
          <w:p w14:paraId="149A924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境影</w:t>
            </w:r>
          </w:p>
          <w:p w14:paraId="382DFAC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响和</w:t>
            </w:r>
          </w:p>
          <w:p w14:paraId="516777A6">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保护</w:t>
            </w:r>
          </w:p>
          <w:p w14:paraId="64B0A9C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措施</w:t>
            </w:r>
          </w:p>
        </w:tc>
        <w:tc>
          <w:tcPr>
            <w:tcW w:w="8561" w:type="dxa"/>
            <w:tcBorders>
              <w:tl2br w:val="nil"/>
              <w:tr2bl w:val="nil"/>
            </w:tcBorders>
            <w:vAlign w:val="center"/>
          </w:tcPr>
          <w:p w14:paraId="79B1C9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b/>
                <w:bCs/>
                <w:color w:val="000000" w:themeColor="text1"/>
                <w:lang w:val="en-US" w:eastAsia="zh-CN"/>
                <w14:textFill>
                  <w14:solidFill>
                    <w14:schemeClr w14:val="tx1"/>
                  </w14:solidFill>
                </w14:textFill>
              </w:rPr>
              <w:t>、</w:t>
            </w:r>
            <w:r>
              <w:rPr>
                <w:rFonts w:hint="eastAsia" w:ascii="宋体" w:hAnsi="宋体" w:eastAsia="宋体" w:cs="宋体"/>
                <w:b/>
                <w:bCs/>
                <w:color w:val="000000" w:themeColor="text1"/>
                <w14:textFill>
                  <w14:solidFill>
                    <w14:schemeClr w14:val="tx1"/>
                  </w14:solidFill>
                </w14:textFill>
              </w:rPr>
              <w:t>生活垃圾</w:t>
            </w:r>
          </w:p>
          <w:p w14:paraId="44B175E8">
            <w:pPr>
              <w:keepNext w:val="0"/>
              <w:keepLines w:val="0"/>
              <w:pageBreakBefore w:val="0"/>
              <w:widowControl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项目员工</w:t>
            </w:r>
            <w:r>
              <w:rPr>
                <w:rFonts w:hint="eastAsia" w:ascii="宋体" w:hAnsi="宋体" w:eastAsia="宋体" w:cs="宋体"/>
                <w:color w:val="000000" w:themeColor="text1"/>
                <w:lang w:val="en-US" w:eastAsia="zh-CN"/>
                <w14:textFill>
                  <w14:solidFill>
                    <w14:schemeClr w14:val="tx1"/>
                  </w14:solidFill>
                </w14:textFill>
              </w:rPr>
              <w:t>13</w:t>
            </w:r>
            <w:r>
              <w:rPr>
                <w:rFonts w:hint="eastAsia" w:ascii="宋体" w:hAnsi="宋体" w:eastAsia="宋体" w:cs="宋体"/>
                <w:color w:val="000000" w:themeColor="text1"/>
                <w14:textFill>
                  <w14:solidFill>
                    <w14:schemeClr w14:val="tx1"/>
                  </w14:solidFill>
                </w14:textFill>
              </w:rPr>
              <w:t>人，全部住厂，按每人每天的生活垃圾产量按</w:t>
            </w:r>
            <w:r>
              <w:rPr>
                <w:rFonts w:hint="eastAsia" w:ascii="宋体" w:hAnsi="宋体" w:eastAsia="宋体" w:cs="宋体"/>
                <w:color w:val="000000" w:themeColor="text1"/>
                <w:lang w:val="en-US" w:eastAsia="zh-CN"/>
                <w14:textFill>
                  <w14:solidFill>
                    <w14:schemeClr w14:val="tx1"/>
                  </w14:solidFill>
                </w14:textFill>
              </w:rPr>
              <w:t>0.8</w:t>
            </w:r>
            <w:r>
              <w:rPr>
                <w:rFonts w:hint="eastAsia" w:ascii="宋体" w:hAnsi="宋体" w:eastAsia="宋体" w:cs="宋体"/>
                <w:color w:val="000000" w:themeColor="text1"/>
                <w14:textFill>
                  <w14:solidFill>
                    <w14:schemeClr w14:val="tx1"/>
                  </w14:solidFill>
                </w14:textFill>
              </w:rPr>
              <w:t>kg计，则项目全年产生生活垃圾</w:t>
            </w:r>
            <w:r>
              <w:rPr>
                <w:rFonts w:hint="eastAsia" w:ascii="宋体" w:hAnsi="宋体" w:eastAsia="宋体" w:cs="宋体"/>
                <w:color w:val="000000" w:themeColor="text1"/>
                <w:lang w:val="en-US" w:eastAsia="zh-CN"/>
                <w14:textFill>
                  <w14:solidFill>
                    <w14:schemeClr w14:val="tx1"/>
                  </w14:solidFill>
                </w14:textFill>
              </w:rPr>
              <w:t>3.12</w:t>
            </w:r>
            <w:r>
              <w:rPr>
                <w:rFonts w:hint="eastAsia" w:ascii="宋体" w:hAnsi="宋体" w:eastAsia="宋体" w:cs="宋体"/>
                <w:color w:val="000000" w:themeColor="text1"/>
                <w14:textFill>
                  <w14:solidFill>
                    <w14:schemeClr w14:val="tx1"/>
                  </w14:solidFill>
                </w14:textFill>
              </w:rPr>
              <w:t>t/a（0.0</w:t>
            </w:r>
            <w:r>
              <w:rPr>
                <w:rFonts w:hint="eastAsia" w:ascii="宋体" w:hAnsi="宋体" w:eastAsia="宋体" w:cs="宋体"/>
                <w:color w:val="000000" w:themeColor="text1"/>
                <w:lang w:val="en-US" w:eastAsia="zh-CN"/>
                <w14:textFill>
                  <w14:solidFill>
                    <w14:schemeClr w14:val="tx1"/>
                  </w14:solidFill>
                </w14:textFill>
              </w:rPr>
              <w:t>104</w:t>
            </w:r>
            <w:r>
              <w:rPr>
                <w:rFonts w:hint="eastAsia" w:ascii="宋体" w:hAnsi="宋体" w:eastAsia="宋体" w:cs="宋体"/>
                <w:color w:val="000000" w:themeColor="text1"/>
                <w14:textFill>
                  <w14:solidFill>
                    <w14:schemeClr w14:val="tx1"/>
                  </w14:solidFill>
                </w14:textFill>
              </w:rPr>
              <w:t>t/d），收集后由环卫部门外运处理</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综上所述，项目固废均可得到有效及时的处理处置，不会引起二次污染，固废处置措施可行。</w:t>
            </w:r>
          </w:p>
          <w:p w14:paraId="7850DB20">
            <w:pPr>
              <w:pStyle w:val="4"/>
              <w:spacing w:before="120" w:after="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运营期风险</w:t>
            </w:r>
          </w:p>
          <w:p w14:paraId="45BC0514">
            <w:pPr>
              <w:pStyle w:val="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项目风险Q值及风险源分布情况</w:t>
            </w:r>
          </w:p>
          <w:p w14:paraId="276A21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根据建设项目生产、使用、储存过程中涉及的有毒有害、易燃易爆物质，对照《建设项目环境风险评价技术导则》（HJ 169-2018）附录B确定危险物质的临界量。定量分析危险物质数量与临界量的比值（Q）。</w:t>
            </w:r>
          </w:p>
          <w:p w14:paraId="321490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按照以下公式计算物质总量与其临界量比值（Q）</w:t>
            </w:r>
          </w:p>
          <w:p w14:paraId="7A7E63B2">
            <w:pPr>
              <w:pStyle w:val="33"/>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4464050" cy="1128395"/>
                  <wp:effectExtent l="0" t="0" r="12700" b="14605"/>
                  <wp:docPr id="9" name="图片 11" descr="163376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1633762329(1)"/>
                          <pic:cNvPicPr>
                            <a:picLocks noChangeAspect="1"/>
                          </pic:cNvPicPr>
                        </pic:nvPicPr>
                        <pic:blipFill>
                          <a:blip r:embed="rId30"/>
                          <a:stretch>
                            <a:fillRect/>
                          </a:stretch>
                        </pic:blipFill>
                        <pic:spPr>
                          <a:xfrm>
                            <a:off x="0" y="0"/>
                            <a:ext cx="4464050" cy="1128395"/>
                          </a:xfrm>
                          <a:prstGeom prst="rect">
                            <a:avLst/>
                          </a:prstGeom>
                          <a:noFill/>
                          <a:ln w="9525">
                            <a:noFill/>
                          </a:ln>
                        </pic:spPr>
                      </pic:pic>
                    </a:graphicData>
                  </a:graphic>
                </wp:inline>
              </w:drawing>
            </w:r>
          </w:p>
          <w:p w14:paraId="455597D4">
            <w:pPr>
              <w:pStyle w:val="37"/>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表4-</w:t>
            </w:r>
            <w:r>
              <w:rPr>
                <w:rFonts w:hint="eastAsia" w:ascii="宋体" w:hAnsi="宋体" w:cs="宋体"/>
                <w:color w:val="000000" w:themeColor="text1"/>
                <w:sz w:val="21"/>
                <w:szCs w:val="21"/>
                <w:lang w:val="en-US" w:eastAsia="zh-CN"/>
                <w14:textFill>
                  <w14:solidFill>
                    <w14:schemeClr w14:val="tx1"/>
                  </w14:solidFill>
                </w14:textFill>
              </w:rPr>
              <w:t>11</w:t>
            </w: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全厂风险Q值计算</w:t>
            </w:r>
          </w:p>
          <w:tbl>
            <w:tblPr>
              <w:tblStyle w:val="25"/>
              <w:tblW w:w="85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1960"/>
              <w:gridCol w:w="1442"/>
              <w:gridCol w:w="2095"/>
              <w:gridCol w:w="919"/>
            </w:tblGrid>
            <w:tr w14:paraId="75D0E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087" w:type="dxa"/>
                  <w:tcBorders>
                    <w:tl2br w:val="nil"/>
                    <w:tr2bl w:val="nil"/>
                  </w:tcBorders>
                  <w:vAlign w:val="center"/>
                </w:tcPr>
                <w:p w14:paraId="3EF99FFB">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风险物质</w:t>
                  </w:r>
                </w:p>
              </w:tc>
              <w:tc>
                <w:tcPr>
                  <w:tcW w:w="1960" w:type="dxa"/>
                  <w:tcBorders>
                    <w:tl2br w:val="nil"/>
                    <w:tr2bl w:val="nil"/>
                  </w:tcBorders>
                  <w:vAlign w:val="center"/>
                </w:tcPr>
                <w:p w14:paraId="77C9E4EC">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场所</w:t>
                  </w:r>
                </w:p>
              </w:tc>
              <w:tc>
                <w:tcPr>
                  <w:tcW w:w="1442" w:type="dxa"/>
                  <w:tcBorders>
                    <w:tl2br w:val="nil"/>
                    <w:tr2bl w:val="nil"/>
                  </w:tcBorders>
                  <w:vAlign w:val="center"/>
                </w:tcPr>
                <w:p w14:paraId="5FA7BB38">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年最大存贮量t</w:t>
                  </w:r>
                </w:p>
              </w:tc>
              <w:tc>
                <w:tcPr>
                  <w:tcW w:w="2095" w:type="dxa"/>
                  <w:tcBorders>
                    <w:tl2br w:val="nil"/>
                    <w:tr2bl w:val="nil"/>
                  </w:tcBorders>
                  <w:vAlign w:val="center"/>
                </w:tcPr>
                <w:p w14:paraId="5A80DFEC">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临界量t</w:t>
                  </w:r>
                </w:p>
              </w:tc>
              <w:tc>
                <w:tcPr>
                  <w:tcW w:w="919" w:type="dxa"/>
                  <w:tcBorders>
                    <w:tl2br w:val="nil"/>
                    <w:tr2bl w:val="nil"/>
                  </w:tcBorders>
                  <w:vAlign w:val="center"/>
                </w:tcPr>
                <w:p w14:paraId="6A074CCE">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Q值</w:t>
                  </w:r>
                </w:p>
              </w:tc>
            </w:tr>
            <w:tr w14:paraId="30B5A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7" w:type="dxa"/>
                  <w:tcBorders>
                    <w:tl2br w:val="nil"/>
                    <w:tr2bl w:val="nil"/>
                  </w:tcBorders>
                  <w:vAlign w:val="center"/>
                </w:tcPr>
                <w:p w14:paraId="3F39DD2B">
                  <w:pPr>
                    <w:pStyle w:val="41"/>
                    <w:rPr>
                      <w:rFonts w:hint="eastAsia"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废油</w:t>
                  </w:r>
                </w:p>
              </w:tc>
              <w:tc>
                <w:tcPr>
                  <w:tcW w:w="1960" w:type="dxa"/>
                  <w:tcBorders>
                    <w:tl2br w:val="nil"/>
                    <w:tr2bl w:val="nil"/>
                  </w:tcBorders>
                  <w:vAlign w:val="center"/>
                </w:tcPr>
                <w:p w14:paraId="3C295FA9">
                  <w:pPr>
                    <w:pStyle w:val="41"/>
                    <w:rPr>
                      <w:rFonts w:hint="eastAsia" w:ascii="宋体" w:hAnsi="宋体" w:eastAsia="宋体" w:cs="宋体"/>
                      <w:color w:val="000000" w:themeColor="text1"/>
                      <w:sz w:val="21"/>
                      <w:szCs w:val="21"/>
                      <w:u w:val="none" w:color="auto"/>
                      <w:lang w:val="en-US" w:eastAsia="zh-CN"/>
                      <w14:textFill>
                        <w14:solidFill>
                          <w14:schemeClr w14:val="tx1"/>
                        </w14:solidFill>
                      </w14:textFill>
                    </w:rPr>
                  </w:pPr>
                  <w:r>
                    <w:rPr>
                      <w:color w:val="000000" w:themeColor="text1"/>
                      <w:spacing w:val="6"/>
                      <w:sz w:val="21"/>
                      <w:szCs w:val="21"/>
                      <w:u w:val="none" w:color="auto"/>
                      <w14:textFill>
                        <w14:solidFill>
                          <w14:schemeClr w14:val="tx1"/>
                        </w14:solidFill>
                      </w14:textFill>
                    </w:rPr>
                    <w:t>液态危废</w:t>
                  </w:r>
                  <w:r>
                    <w:rPr>
                      <w:rFonts w:hint="eastAsia"/>
                      <w:color w:val="000000" w:themeColor="text1"/>
                      <w:spacing w:val="4"/>
                      <w:sz w:val="21"/>
                      <w:szCs w:val="21"/>
                      <w:u w:val="none" w:color="auto"/>
                      <w:lang w:eastAsia="zh-CN"/>
                      <w14:textFill>
                        <w14:solidFill>
                          <w14:schemeClr w14:val="tx1"/>
                        </w14:solidFill>
                      </w14:textFill>
                    </w:rPr>
                    <w:t>暂存库</w:t>
                  </w:r>
                </w:p>
              </w:tc>
              <w:tc>
                <w:tcPr>
                  <w:tcW w:w="1442" w:type="dxa"/>
                  <w:tcBorders>
                    <w:tl2br w:val="nil"/>
                    <w:tr2bl w:val="nil"/>
                  </w:tcBorders>
                  <w:vAlign w:val="center"/>
                </w:tcPr>
                <w:p w14:paraId="729C2373">
                  <w:pPr>
                    <w:pStyle w:val="41"/>
                    <w:rPr>
                      <w:rFonts w:hint="default" w:ascii="宋体" w:hAnsi="宋体" w:eastAsia="宋体" w:cs="宋体"/>
                      <w:color w:val="000000" w:themeColor="text1"/>
                      <w:sz w:val="21"/>
                      <w:szCs w:val="21"/>
                      <w:highlight w:val="none"/>
                      <w:u w:val="none" w:color="auto"/>
                      <w:lang w:val="en-US" w:eastAsia="zh-CN"/>
                      <w14:textFill>
                        <w14:solidFill>
                          <w14:schemeClr w14:val="tx1"/>
                        </w14:solidFill>
                      </w14:textFill>
                    </w:rPr>
                  </w:pPr>
                  <w:r>
                    <w:rPr>
                      <w:rFonts w:hint="eastAsia" w:ascii="宋体" w:hAnsi="宋体" w:cs="宋体"/>
                      <w:color w:val="000000" w:themeColor="text1"/>
                      <w:sz w:val="21"/>
                      <w:szCs w:val="21"/>
                      <w:highlight w:val="none"/>
                      <w:u w:val="none" w:color="auto"/>
                      <w:lang w:val="en-US" w:eastAsia="zh-CN"/>
                      <w14:textFill>
                        <w14:solidFill>
                          <w14:schemeClr w14:val="tx1"/>
                        </w14:solidFill>
                      </w14:textFill>
                    </w:rPr>
                    <w:t>7.23</w:t>
                  </w:r>
                </w:p>
              </w:tc>
              <w:tc>
                <w:tcPr>
                  <w:tcW w:w="2095" w:type="dxa"/>
                  <w:tcBorders>
                    <w:tl2br w:val="nil"/>
                    <w:tr2bl w:val="nil"/>
                  </w:tcBorders>
                  <w:vAlign w:val="center"/>
                </w:tcPr>
                <w:p w14:paraId="091540ED">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2500</w:t>
                  </w:r>
                </w:p>
              </w:tc>
              <w:tc>
                <w:tcPr>
                  <w:tcW w:w="919" w:type="dxa"/>
                  <w:tcBorders>
                    <w:tl2br w:val="nil"/>
                    <w:tr2bl w:val="nil"/>
                  </w:tcBorders>
                  <w:vAlign w:val="center"/>
                </w:tcPr>
                <w:p w14:paraId="3571A696">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0.0</w:t>
                  </w:r>
                  <w:r>
                    <w:rPr>
                      <w:rFonts w:hint="eastAsia" w:ascii="宋体" w:hAnsi="宋体" w:cs="宋体"/>
                      <w:color w:val="000000" w:themeColor="text1"/>
                      <w:sz w:val="21"/>
                      <w:szCs w:val="21"/>
                      <w:u w:val="none" w:color="auto"/>
                      <w:lang w:val="en-US" w:eastAsia="zh-CN"/>
                      <w14:textFill>
                        <w14:solidFill>
                          <w14:schemeClr w14:val="tx1"/>
                        </w14:solidFill>
                      </w14:textFill>
                    </w:rPr>
                    <w:t>03</w:t>
                  </w:r>
                </w:p>
              </w:tc>
            </w:tr>
            <w:tr w14:paraId="57410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7" w:type="dxa"/>
                  <w:tcBorders>
                    <w:tl2br w:val="nil"/>
                    <w:tr2bl w:val="nil"/>
                  </w:tcBorders>
                  <w:vAlign w:val="center"/>
                </w:tcPr>
                <w:p w14:paraId="4B67451C">
                  <w:pPr>
                    <w:pStyle w:val="41"/>
                    <w:rPr>
                      <w:rFonts w:hint="default" w:ascii="宋体" w:hAnsi="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废有机溶剂</w:t>
                  </w:r>
                </w:p>
              </w:tc>
              <w:tc>
                <w:tcPr>
                  <w:tcW w:w="1960" w:type="dxa"/>
                  <w:tcBorders>
                    <w:tl2br w:val="nil"/>
                    <w:tr2bl w:val="nil"/>
                  </w:tcBorders>
                  <w:vAlign w:val="center"/>
                </w:tcPr>
                <w:p w14:paraId="77265047">
                  <w:pPr>
                    <w:pStyle w:val="41"/>
                    <w:rPr>
                      <w:rFonts w:hint="eastAsia" w:eastAsia="宋体"/>
                      <w:color w:val="000000" w:themeColor="text1"/>
                      <w:spacing w:val="6"/>
                      <w:sz w:val="21"/>
                      <w:szCs w:val="21"/>
                      <w:u w:val="none" w:color="auto"/>
                      <w:lang w:eastAsia="zh-CN"/>
                      <w14:textFill>
                        <w14:solidFill>
                          <w14:schemeClr w14:val="tx1"/>
                        </w14:solidFill>
                      </w14:textFill>
                    </w:rPr>
                  </w:pPr>
                  <w:r>
                    <w:rPr>
                      <w:color w:val="000000" w:themeColor="text1"/>
                      <w:spacing w:val="6"/>
                      <w:sz w:val="21"/>
                      <w:szCs w:val="21"/>
                      <w:u w:val="none" w:color="auto"/>
                      <w14:textFill>
                        <w14:solidFill>
                          <w14:schemeClr w14:val="tx1"/>
                        </w14:solidFill>
                      </w14:textFill>
                    </w:rPr>
                    <w:t>液态危废</w:t>
                  </w:r>
                  <w:r>
                    <w:rPr>
                      <w:rFonts w:hint="eastAsia"/>
                      <w:color w:val="000000" w:themeColor="text1"/>
                      <w:spacing w:val="4"/>
                      <w:sz w:val="21"/>
                      <w:szCs w:val="21"/>
                      <w:u w:val="none" w:color="auto"/>
                      <w:lang w:eastAsia="zh-CN"/>
                      <w14:textFill>
                        <w14:solidFill>
                          <w14:schemeClr w14:val="tx1"/>
                        </w14:solidFill>
                      </w14:textFill>
                    </w:rPr>
                    <w:t>暂存库</w:t>
                  </w:r>
                </w:p>
              </w:tc>
              <w:tc>
                <w:tcPr>
                  <w:tcW w:w="1442" w:type="dxa"/>
                  <w:tcBorders>
                    <w:tl2br w:val="nil"/>
                    <w:tr2bl w:val="nil"/>
                  </w:tcBorders>
                  <w:vAlign w:val="center"/>
                </w:tcPr>
                <w:p w14:paraId="17964B07">
                  <w:pPr>
                    <w:pStyle w:val="41"/>
                    <w:rPr>
                      <w:rFonts w:hint="default" w:ascii="宋体" w:hAnsi="宋体" w:cs="宋体"/>
                      <w:color w:val="000000" w:themeColor="text1"/>
                      <w:sz w:val="21"/>
                      <w:szCs w:val="21"/>
                      <w:highlight w:val="none"/>
                      <w:u w:val="none" w:color="auto"/>
                      <w:lang w:val="en-US" w:eastAsia="zh-CN"/>
                      <w14:textFill>
                        <w14:solidFill>
                          <w14:schemeClr w14:val="tx1"/>
                        </w14:solidFill>
                      </w14:textFill>
                    </w:rPr>
                  </w:pPr>
                  <w:r>
                    <w:rPr>
                      <w:rFonts w:hint="eastAsia" w:ascii="宋体" w:hAnsi="宋体" w:cs="宋体"/>
                      <w:color w:val="000000" w:themeColor="text1"/>
                      <w:sz w:val="21"/>
                      <w:szCs w:val="21"/>
                      <w:highlight w:val="none"/>
                      <w:u w:val="none" w:color="auto"/>
                      <w:lang w:val="en-US" w:eastAsia="zh-CN"/>
                      <w14:textFill>
                        <w14:solidFill>
                          <w14:schemeClr w14:val="tx1"/>
                        </w14:solidFill>
                      </w14:textFill>
                    </w:rPr>
                    <w:t>2</w:t>
                  </w:r>
                </w:p>
              </w:tc>
              <w:tc>
                <w:tcPr>
                  <w:tcW w:w="2095" w:type="dxa"/>
                  <w:tcBorders>
                    <w:tl2br w:val="nil"/>
                    <w:tr2bl w:val="nil"/>
                  </w:tcBorders>
                  <w:vAlign w:val="center"/>
                </w:tcPr>
                <w:p w14:paraId="05EC760D">
                  <w:pPr>
                    <w:pStyle w:val="41"/>
                    <w:rPr>
                      <w:rFonts w:hint="default" w:ascii="宋体" w:hAnsi="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10</w:t>
                  </w:r>
                </w:p>
              </w:tc>
              <w:tc>
                <w:tcPr>
                  <w:tcW w:w="919" w:type="dxa"/>
                  <w:tcBorders>
                    <w:tl2br w:val="nil"/>
                    <w:tr2bl w:val="nil"/>
                  </w:tcBorders>
                  <w:vAlign w:val="center"/>
                </w:tcPr>
                <w:p w14:paraId="3987DA9E">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0.2</w:t>
                  </w:r>
                </w:p>
              </w:tc>
            </w:tr>
            <w:tr w14:paraId="4A1FE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7" w:type="dxa"/>
                  <w:tcBorders>
                    <w:tl2br w:val="nil"/>
                    <w:tr2bl w:val="nil"/>
                  </w:tcBorders>
                  <w:shd w:val="clear" w:color="auto" w:fill="auto"/>
                  <w:vAlign w:val="top"/>
                </w:tcPr>
                <w:p w14:paraId="07C01EF3">
                  <w:pPr>
                    <w:pStyle w:val="119"/>
                    <w:spacing w:before="67" w:line="234" w:lineRule="auto"/>
                    <w:ind w:left="128" w:leftChars="0" w:right="107" w:rightChars="0" w:hanging="20" w:firstLineChars="0"/>
                    <w:rPr>
                      <w:rFonts w:hint="eastAsia" w:ascii="宋体" w:hAnsi="宋体" w:eastAsia="宋体" w:cs="宋体"/>
                      <w:color w:val="000000" w:themeColor="text1"/>
                      <w:kern w:val="2"/>
                      <w:sz w:val="21"/>
                      <w:szCs w:val="21"/>
                      <w:u w:val="none" w:color="auto"/>
                      <w:lang w:val="en-US" w:eastAsia="en-US" w:bidi="ar-SA"/>
                      <w14:textFill>
                        <w14:solidFill>
                          <w14:schemeClr w14:val="tx1"/>
                        </w14:solidFill>
                      </w14:textFill>
                    </w:rPr>
                  </w:pPr>
                  <w:r>
                    <w:rPr>
                      <w:color w:val="000000" w:themeColor="text1"/>
                      <w:spacing w:val="4"/>
                      <w:sz w:val="21"/>
                      <w:szCs w:val="21"/>
                      <w:u w:val="none" w:color="auto"/>
                      <w14:textFill>
                        <w14:solidFill>
                          <w14:schemeClr w14:val="tx1"/>
                        </w14:solidFill>
                      </w14:textFill>
                    </w:rPr>
                    <w:t>硫酸（废蓄电池</w:t>
                  </w:r>
                  <w:r>
                    <w:rPr>
                      <w:color w:val="000000" w:themeColor="text1"/>
                      <w:spacing w:val="1"/>
                      <w:sz w:val="21"/>
                      <w:szCs w:val="21"/>
                      <w:u w:val="none" w:color="auto"/>
                      <w14:textFill>
                        <w14:solidFill>
                          <w14:schemeClr w14:val="tx1"/>
                        </w14:solidFill>
                      </w14:textFill>
                    </w:rPr>
                    <w:t>中含有的硫酸）</w:t>
                  </w:r>
                </w:p>
              </w:tc>
              <w:tc>
                <w:tcPr>
                  <w:tcW w:w="1960" w:type="dxa"/>
                  <w:tcBorders>
                    <w:tl2br w:val="nil"/>
                    <w:tr2bl w:val="nil"/>
                  </w:tcBorders>
                  <w:shd w:val="clear" w:color="auto" w:fill="auto"/>
                  <w:vAlign w:val="top"/>
                </w:tcPr>
                <w:p w14:paraId="42D0B188">
                  <w:pPr>
                    <w:pStyle w:val="119"/>
                    <w:spacing w:before="65" w:line="228" w:lineRule="auto"/>
                    <w:rPr>
                      <w:rFonts w:hint="eastAsia" w:ascii="宋体" w:hAnsi="宋体" w:eastAsia="宋体" w:cs="宋体"/>
                      <w:color w:val="000000" w:themeColor="text1"/>
                      <w:kern w:val="2"/>
                      <w:sz w:val="21"/>
                      <w:szCs w:val="21"/>
                      <w:u w:val="none" w:color="auto"/>
                      <w:lang w:val="en-US" w:eastAsia="zh-CN" w:bidi="ar-SA"/>
                      <w14:textFill>
                        <w14:solidFill>
                          <w14:schemeClr w14:val="tx1"/>
                        </w14:solidFill>
                      </w14:textFill>
                    </w:rPr>
                  </w:pPr>
                  <w:r>
                    <w:rPr>
                      <w:color w:val="000000" w:themeColor="text1"/>
                      <w:spacing w:val="7"/>
                      <w:sz w:val="21"/>
                      <w:szCs w:val="21"/>
                      <w:u w:val="none" w:color="auto"/>
                      <w14:textFill>
                        <w14:solidFill>
                          <w14:schemeClr w14:val="tx1"/>
                        </w14:solidFill>
                      </w14:textFill>
                    </w:rPr>
                    <w:t>废铅蓄电池</w:t>
                  </w:r>
                  <w:r>
                    <w:rPr>
                      <w:rFonts w:hint="eastAsia"/>
                      <w:color w:val="000000" w:themeColor="text1"/>
                      <w:spacing w:val="7"/>
                      <w:sz w:val="21"/>
                      <w:szCs w:val="21"/>
                      <w:u w:val="none" w:color="auto"/>
                      <w:lang w:eastAsia="zh-CN"/>
                      <w14:textFill>
                        <w14:solidFill>
                          <w14:schemeClr w14:val="tx1"/>
                        </w14:solidFill>
                      </w14:textFill>
                    </w:rPr>
                    <w:t>暂存库</w:t>
                  </w:r>
                </w:p>
              </w:tc>
              <w:tc>
                <w:tcPr>
                  <w:tcW w:w="1442" w:type="dxa"/>
                  <w:tcBorders>
                    <w:tl2br w:val="nil"/>
                    <w:tr2bl w:val="nil"/>
                  </w:tcBorders>
                  <w:vAlign w:val="center"/>
                </w:tcPr>
                <w:p w14:paraId="20321F80">
                  <w:pPr>
                    <w:pStyle w:val="41"/>
                    <w:rPr>
                      <w:rFonts w:hint="default" w:ascii="宋体" w:hAnsi="宋体" w:eastAsia="宋体" w:cs="宋体"/>
                      <w:color w:val="000000" w:themeColor="text1"/>
                      <w:sz w:val="21"/>
                      <w:szCs w:val="21"/>
                      <w:highlight w:val="none"/>
                      <w:u w:val="none" w:color="auto"/>
                      <w:lang w:val="en-US" w:eastAsia="zh-CN"/>
                      <w14:textFill>
                        <w14:solidFill>
                          <w14:schemeClr w14:val="tx1"/>
                        </w14:solidFill>
                      </w14:textFill>
                    </w:rPr>
                  </w:pPr>
                  <w:r>
                    <w:rPr>
                      <w:rFonts w:hint="eastAsia" w:ascii="宋体" w:hAnsi="宋体" w:cs="宋体"/>
                      <w:color w:val="000000" w:themeColor="text1"/>
                      <w:sz w:val="21"/>
                      <w:szCs w:val="21"/>
                      <w:highlight w:val="none"/>
                      <w:u w:val="none" w:color="auto"/>
                      <w:lang w:val="en-US" w:eastAsia="zh-CN"/>
                      <w14:textFill>
                        <w14:solidFill>
                          <w14:schemeClr w14:val="tx1"/>
                        </w14:solidFill>
                      </w14:textFill>
                    </w:rPr>
                    <w:t>1.2</w:t>
                  </w:r>
                </w:p>
              </w:tc>
              <w:tc>
                <w:tcPr>
                  <w:tcW w:w="2095" w:type="dxa"/>
                  <w:tcBorders>
                    <w:tl2br w:val="nil"/>
                    <w:tr2bl w:val="nil"/>
                  </w:tcBorders>
                  <w:vAlign w:val="center"/>
                </w:tcPr>
                <w:p w14:paraId="3468BBAC">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10</w:t>
                  </w:r>
                </w:p>
              </w:tc>
              <w:tc>
                <w:tcPr>
                  <w:tcW w:w="919" w:type="dxa"/>
                  <w:tcBorders>
                    <w:tl2br w:val="nil"/>
                    <w:tr2bl w:val="nil"/>
                  </w:tcBorders>
                  <w:vAlign w:val="center"/>
                </w:tcPr>
                <w:p w14:paraId="14BDD4C7">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0.</w:t>
                  </w:r>
                  <w:r>
                    <w:rPr>
                      <w:rFonts w:hint="eastAsia" w:ascii="宋体" w:hAnsi="宋体" w:cs="宋体"/>
                      <w:color w:val="000000" w:themeColor="text1"/>
                      <w:sz w:val="21"/>
                      <w:szCs w:val="21"/>
                      <w:u w:val="none" w:color="auto"/>
                      <w:lang w:val="en-US" w:eastAsia="zh-CN"/>
                      <w14:textFill>
                        <w14:solidFill>
                          <w14:schemeClr w14:val="tx1"/>
                        </w14:solidFill>
                      </w14:textFill>
                    </w:rPr>
                    <w:t>12</w:t>
                  </w:r>
                </w:p>
              </w:tc>
            </w:tr>
            <w:tr w14:paraId="5927F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7" w:type="dxa"/>
                  <w:tcBorders>
                    <w:tl2br w:val="nil"/>
                    <w:tr2bl w:val="nil"/>
                  </w:tcBorders>
                  <w:vAlign w:val="center"/>
                </w:tcPr>
                <w:p w14:paraId="641E2DCB">
                  <w:pPr>
                    <w:pStyle w:val="41"/>
                    <w:rPr>
                      <w:rFonts w:hint="eastAsia" w:ascii="宋体" w:hAnsi="宋体" w:eastAsia="宋体" w:cs="宋体"/>
                      <w:color w:val="000000" w:themeColor="text1"/>
                      <w:sz w:val="21"/>
                      <w:szCs w:val="21"/>
                      <w:u w:val="none" w:color="auto"/>
                      <w:lang w:eastAsia="zh-CN"/>
                      <w14:textFill>
                        <w14:solidFill>
                          <w14:schemeClr w14:val="tx1"/>
                        </w14:solidFill>
                      </w14:textFill>
                    </w:rPr>
                  </w:pPr>
                  <w:r>
                    <w:rPr>
                      <w:rFonts w:hint="eastAsia" w:ascii="宋体" w:hAnsi="宋体" w:cs="宋体"/>
                      <w:color w:val="000000" w:themeColor="text1"/>
                      <w:sz w:val="21"/>
                      <w:szCs w:val="21"/>
                      <w:u w:val="none" w:color="auto"/>
                      <w:lang w:eastAsia="zh-CN"/>
                      <w14:textFill>
                        <w14:solidFill>
                          <w14:schemeClr w14:val="tx1"/>
                        </w14:solidFill>
                      </w14:textFill>
                    </w:rPr>
                    <w:t>丙烷</w:t>
                  </w:r>
                </w:p>
              </w:tc>
              <w:tc>
                <w:tcPr>
                  <w:tcW w:w="1960" w:type="dxa"/>
                  <w:tcBorders>
                    <w:tl2br w:val="nil"/>
                    <w:tr2bl w:val="nil"/>
                  </w:tcBorders>
                  <w:vAlign w:val="center"/>
                </w:tcPr>
                <w:p w14:paraId="2BB70162">
                  <w:pPr>
                    <w:pStyle w:val="41"/>
                    <w:jc w:val="both"/>
                    <w:rPr>
                      <w:rFonts w:hint="default" w:ascii="宋体" w:hAnsi="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车间</w:t>
                  </w:r>
                </w:p>
              </w:tc>
              <w:tc>
                <w:tcPr>
                  <w:tcW w:w="1442" w:type="dxa"/>
                  <w:tcBorders>
                    <w:tl2br w:val="nil"/>
                    <w:tr2bl w:val="nil"/>
                  </w:tcBorders>
                  <w:vAlign w:val="center"/>
                </w:tcPr>
                <w:p w14:paraId="07FFBCE6">
                  <w:pPr>
                    <w:pStyle w:val="41"/>
                    <w:rPr>
                      <w:rFonts w:hint="eastAsia" w:ascii="宋体" w:hAnsi="宋体" w:eastAsia="宋体" w:cs="宋体"/>
                      <w:color w:val="000000" w:themeColor="text1"/>
                      <w:sz w:val="21"/>
                      <w:szCs w:val="21"/>
                      <w:highlight w:val="none"/>
                      <w:u w:val="none" w:color="auto"/>
                      <w:lang w:val="en-US" w:eastAsia="zh-CN"/>
                      <w14:textFill>
                        <w14:solidFill>
                          <w14:schemeClr w14:val="tx1"/>
                        </w14:solidFill>
                      </w14:textFill>
                    </w:rPr>
                  </w:pPr>
                  <w:r>
                    <w:rPr>
                      <w:rFonts w:hint="eastAsia" w:ascii="宋体" w:hAnsi="宋体" w:cs="宋体"/>
                      <w:color w:val="000000" w:themeColor="text1"/>
                      <w:sz w:val="21"/>
                      <w:szCs w:val="21"/>
                      <w:highlight w:val="none"/>
                      <w:u w:val="none" w:color="auto"/>
                      <w:lang w:val="en-US" w:eastAsia="zh-CN"/>
                      <w14:textFill>
                        <w14:solidFill>
                          <w14:schemeClr w14:val="tx1"/>
                        </w14:solidFill>
                      </w14:textFill>
                    </w:rPr>
                    <w:t>1.35（</w:t>
                  </w:r>
                  <w:r>
                    <w:rPr>
                      <w:rFonts w:hint="eastAsia" w:ascii="宋体" w:hAnsi="宋体" w:eastAsia="宋体" w:cs="宋体"/>
                      <w:color w:val="000000" w:themeColor="text1"/>
                      <w:sz w:val="21"/>
                      <w:szCs w:val="21"/>
                      <w:u w:val="none" w:color="auto"/>
                      <w14:textFill>
                        <w14:solidFill>
                          <w14:schemeClr w14:val="tx1"/>
                        </w14:solidFill>
                      </w14:textFill>
                    </w:rPr>
                    <w:t>0.</w:t>
                  </w:r>
                  <w:r>
                    <w:rPr>
                      <w:rFonts w:hint="eastAsia" w:ascii="宋体" w:hAnsi="宋体" w:cs="宋体"/>
                      <w:color w:val="000000" w:themeColor="text1"/>
                      <w:sz w:val="21"/>
                      <w:szCs w:val="21"/>
                      <w:u w:val="none" w:color="auto"/>
                      <w:lang w:val="en-US" w:eastAsia="zh-CN"/>
                      <w14:textFill>
                        <w14:solidFill>
                          <w14:schemeClr w14:val="tx1"/>
                        </w14:solidFill>
                      </w14:textFill>
                    </w:rPr>
                    <w:t>27</w:t>
                  </w:r>
                  <w:r>
                    <w:rPr>
                      <w:rFonts w:hint="eastAsia" w:ascii="宋体" w:hAnsi="宋体" w:eastAsia="宋体" w:cs="宋体"/>
                      <w:color w:val="000000" w:themeColor="text1"/>
                      <w:sz w:val="21"/>
                      <w:szCs w:val="21"/>
                      <w:u w:val="none" w:color="auto"/>
                      <w14:textFill>
                        <w14:solidFill>
                          <w14:schemeClr w14:val="tx1"/>
                        </w14:solidFill>
                      </w14:textFill>
                    </w:rPr>
                    <w:t>万L</w:t>
                  </w:r>
                  <w:r>
                    <w:rPr>
                      <w:rFonts w:hint="eastAsia" w:ascii="宋体" w:hAnsi="宋体" w:eastAsia="宋体" w:cs="宋体"/>
                      <w:color w:val="000000" w:themeColor="text1"/>
                      <w:sz w:val="21"/>
                      <w:szCs w:val="21"/>
                      <w:u w:val="none" w:color="auto"/>
                      <w:lang w:eastAsia="zh-CN"/>
                      <w14:textFill>
                        <w14:solidFill>
                          <w14:schemeClr w14:val="tx1"/>
                        </w14:solidFill>
                      </w14:textFill>
                    </w:rPr>
                    <w:t>）</w:t>
                  </w:r>
                </w:p>
              </w:tc>
              <w:tc>
                <w:tcPr>
                  <w:tcW w:w="2095" w:type="dxa"/>
                  <w:tcBorders>
                    <w:tl2br w:val="nil"/>
                    <w:tr2bl w:val="nil"/>
                  </w:tcBorders>
                  <w:vAlign w:val="center"/>
                </w:tcPr>
                <w:p w14:paraId="57526E9B">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1</w:t>
                  </w:r>
                  <w:r>
                    <w:rPr>
                      <w:rFonts w:hint="eastAsia" w:ascii="宋体" w:hAnsi="宋体" w:cs="宋体"/>
                      <w:color w:val="000000" w:themeColor="text1"/>
                      <w:sz w:val="21"/>
                      <w:szCs w:val="21"/>
                      <w:u w:val="none" w:color="auto"/>
                      <w:lang w:val="en-US" w:eastAsia="zh-CN"/>
                      <w14:textFill>
                        <w14:solidFill>
                          <w14:schemeClr w14:val="tx1"/>
                        </w14:solidFill>
                      </w14:textFill>
                    </w:rPr>
                    <w:t>0</w:t>
                  </w:r>
                </w:p>
              </w:tc>
              <w:tc>
                <w:tcPr>
                  <w:tcW w:w="919" w:type="dxa"/>
                  <w:tcBorders>
                    <w:tl2br w:val="nil"/>
                    <w:tr2bl w:val="nil"/>
                  </w:tcBorders>
                  <w:vAlign w:val="center"/>
                </w:tcPr>
                <w:p w14:paraId="71AA61E6">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0.</w:t>
                  </w:r>
                  <w:r>
                    <w:rPr>
                      <w:rFonts w:hint="eastAsia" w:ascii="宋体" w:hAnsi="宋体" w:cs="宋体"/>
                      <w:color w:val="000000" w:themeColor="text1"/>
                      <w:sz w:val="21"/>
                      <w:szCs w:val="21"/>
                      <w:u w:val="none" w:color="auto"/>
                      <w:lang w:val="en-US" w:eastAsia="zh-CN"/>
                      <w14:textFill>
                        <w14:solidFill>
                          <w14:schemeClr w14:val="tx1"/>
                        </w14:solidFill>
                      </w14:textFill>
                    </w:rPr>
                    <w:t>135</w:t>
                  </w:r>
                </w:p>
              </w:tc>
            </w:tr>
            <w:tr w14:paraId="167D3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7" w:type="dxa"/>
                  <w:tcBorders>
                    <w:tl2br w:val="nil"/>
                    <w:tr2bl w:val="nil"/>
                  </w:tcBorders>
                  <w:vAlign w:val="center"/>
                </w:tcPr>
                <w:p w14:paraId="1C70B7EB">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合计</w:t>
                  </w:r>
                </w:p>
              </w:tc>
              <w:tc>
                <w:tcPr>
                  <w:tcW w:w="1960" w:type="dxa"/>
                  <w:tcBorders>
                    <w:tl2br w:val="nil"/>
                    <w:tr2bl w:val="nil"/>
                  </w:tcBorders>
                  <w:vAlign w:val="center"/>
                </w:tcPr>
                <w:p w14:paraId="21227FD9">
                  <w:pPr>
                    <w:pStyle w:val="41"/>
                    <w:rPr>
                      <w:rFonts w:hint="eastAsia" w:ascii="宋体" w:hAnsi="宋体" w:eastAsia="宋体" w:cs="宋体"/>
                      <w:color w:val="000000" w:themeColor="text1"/>
                      <w:sz w:val="21"/>
                      <w:szCs w:val="21"/>
                      <w:u w:val="none" w:color="auto"/>
                      <w14:textFill>
                        <w14:solidFill>
                          <w14:schemeClr w14:val="tx1"/>
                        </w14:solidFill>
                      </w14:textFill>
                    </w:rPr>
                  </w:pPr>
                </w:p>
              </w:tc>
              <w:tc>
                <w:tcPr>
                  <w:tcW w:w="1442" w:type="dxa"/>
                  <w:tcBorders>
                    <w:tl2br w:val="nil"/>
                    <w:tr2bl w:val="nil"/>
                  </w:tcBorders>
                  <w:vAlign w:val="center"/>
                </w:tcPr>
                <w:p w14:paraId="6C29566D">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w:t>
                  </w:r>
                </w:p>
              </w:tc>
              <w:tc>
                <w:tcPr>
                  <w:tcW w:w="2095" w:type="dxa"/>
                  <w:tcBorders>
                    <w:tl2br w:val="nil"/>
                    <w:tr2bl w:val="nil"/>
                  </w:tcBorders>
                  <w:vAlign w:val="center"/>
                </w:tcPr>
                <w:p w14:paraId="2387A7A6">
                  <w:pPr>
                    <w:pStyle w:val="41"/>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w:t>
                  </w:r>
                </w:p>
              </w:tc>
              <w:tc>
                <w:tcPr>
                  <w:tcW w:w="919" w:type="dxa"/>
                  <w:tcBorders>
                    <w:tl2br w:val="nil"/>
                    <w:tr2bl w:val="nil"/>
                  </w:tcBorders>
                  <w:vAlign w:val="center"/>
                </w:tcPr>
                <w:p w14:paraId="21CD1DFA">
                  <w:pPr>
                    <w:pStyle w:val="41"/>
                    <w:rPr>
                      <w:rFonts w:hint="default"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0.458</w:t>
                  </w:r>
                </w:p>
              </w:tc>
            </w:tr>
            <w:tr w14:paraId="21D4A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3" w:type="dxa"/>
                  <w:gridSpan w:val="5"/>
                  <w:tcBorders>
                    <w:tl2br w:val="nil"/>
                    <w:tr2bl w:val="nil"/>
                  </w:tcBorders>
                  <w:vAlign w:val="center"/>
                </w:tcPr>
                <w:p w14:paraId="5B4B164D">
                  <w:pPr>
                    <w:pStyle w:val="41"/>
                    <w:jc w:val="both"/>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注：</w:t>
                  </w:r>
                  <w:r>
                    <w:rPr>
                      <w:rFonts w:hint="eastAsia" w:ascii="宋体" w:hAnsi="宋体" w:cs="宋体"/>
                      <w:color w:val="000000" w:themeColor="text1"/>
                      <w:sz w:val="21"/>
                      <w:szCs w:val="21"/>
                      <w:u w:val="none" w:color="auto"/>
                      <w:lang w:val="en-US" w:eastAsia="zh-CN"/>
                      <w14:textFill>
                        <w14:solidFill>
                          <w14:schemeClr w14:val="tx1"/>
                        </w14:solidFill>
                      </w14:textFill>
                    </w:rPr>
                    <w:t>1、</w:t>
                  </w:r>
                  <w:r>
                    <w:rPr>
                      <w:rFonts w:hint="eastAsia" w:ascii="宋体" w:hAnsi="宋体" w:cs="宋体"/>
                      <w:color w:val="000000" w:themeColor="text1"/>
                      <w:sz w:val="21"/>
                      <w:szCs w:val="21"/>
                      <w:u w:val="none" w:color="auto"/>
                      <w:lang w:eastAsia="zh-CN"/>
                      <w14:textFill>
                        <w14:solidFill>
                          <w14:schemeClr w14:val="tx1"/>
                        </w14:solidFill>
                      </w14:textFill>
                    </w:rPr>
                    <w:t>丙烷密度按</w:t>
                  </w:r>
                  <w:r>
                    <w:rPr>
                      <w:rFonts w:hint="eastAsia" w:ascii="宋体" w:hAnsi="宋体" w:cs="宋体"/>
                      <w:color w:val="000000" w:themeColor="text1"/>
                      <w:sz w:val="21"/>
                      <w:szCs w:val="21"/>
                      <w:u w:val="none" w:color="auto"/>
                      <w:lang w:val="en-US" w:eastAsia="zh-CN"/>
                      <w14:textFill>
                        <w14:solidFill>
                          <w14:schemeClr w14:val="tx1"/>
                        </w14:solidFill>
                      </w14:textFill>
                    </w:rPr>
                    <w:t>液体500kg/m</w:t>
                  </w:r>
                  <w:r>
                    <w:rPr>
                      <w:rFonts w:hint="eastAsia" w:ascii="宋体" w:hAnsi="宋体" w:cs="宋体"/>
                      <w:color w:val="000000" w:themeColor="text1"/>
                      <w:sz w:val="21"/>
                      <w:szCs w:val="21"/>
                      <w:u w:val="none" w:color="auto"/>
                      <w:vertAlign w:val="superscript"/>
                      <w:lang w:val="en-US" w:eastAsia="zh-CN"/>
                      <w14:textFill>
                        <w14:solidFill>
                          <w14:schemeClr w14:val="tx1"/>
                        </w14:solidFill>
                      </w14:textFill>
                    </w:rPr>
                    <w:t>3</w:t>
                  </w:r>
                  <w:r>
                    <w:rPr>
                      <w:rFonts w:hint="eastAsia" w:ascii="宋体" w:hAnsi="宋体" w:eastAsia="宋体" w:cs="宋体"/>
                      <w:color w:val="000000" w:themeColor="text1"/>
                      <w:sz w:val="21"/>
                      <w:szCs w:val="21"/>
                      <w:u w:val="none" w:color="auto"/>
                      <w14:textFill>
                        <w14:solidFill>
                          <w14:schemeClr w14:val="tx1"/>
                        </w14:solidFill>
                      </w14:textFill>
                    </w:rPr>
                    <w:t>计算</w:t>
                  </w:r>
                </w:p>
                <w:p w14:paraId="2FE008A9">
                  <w:pPr>
                    <w:pStyle w:val="41"/>
                    <w:ind w:firstLine="420" w:firstLineChars="200"/>
                    <w:jc w:val="both"/>
                    <w:rPr>
                      <w:rFonts w:hint="default" w:ascii="宋体" w:hAnsi="宋体" w:cs="宋体"/>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2、废铅酸蓄电池最大储存量为8，硫酸按15%计算</w:t>
                  </w:r>
                </w:p>
              </w:tc>
            </w:tr>
          </w:tbl>
          <w:p w14:paraId="72C99BE3">
            <w:pPr>
              <w:pStyle w:val="119"/>
              <w:spacing w:before="1" w:line="351" w:lineRule="auto"/>
              <w:ind w:left="125" w:right="102" w:firstLine="480"/>
              <w:rPr>
                <w:rFonts w:hint="eastAsia" w:ascii="宋体" w:hAnsi="宋体" w:eastAsia="宋体" w:cs="宋体"/>
                <w:color w:val="000000" w:themeColor="text1"/>
                <w14:textFill>
                  <w14:solidFill>
                    <w14:schemeClr w14:val="tx1"/>
                  </w14:solidFill>
                </w14:textFill>
              </w:rPr>
            </w:pPr>
            <w:r>
              <w:rPr>
                <w:color w:val="000000" w:themeColor="text1"/>
                <w:spacing w:val="-3"/>
                <w14:textFill>
                  <w14:solidFill>
                    <w14:schemeClr w14:val="tx1"/>
                  </w14:solidFill>
                </w14:textFill>
              </w:rPr>
              <w:t>因此，本项目</w:t>
            </w:r>
            <w:r>
              <w:rPr>
                <w:rFonts w:ascii="Times New Roman" w:hAnsi="Times New Roman" w:eastAsia="Times New Roman" w:cs="Times New Roman"/>
                <w:color w:val="000000" w:themeColor="text1"/>
                <w:spacing w:val="-3"/>
                <w14:textFill>
                  <w14:solidFill>
                    <w14:schemeClr w14:val="tx1"/>
                  </w14:solidFill>
                </w14:textFill>
              </w:rPr>
              <w:t>Q</w:t>
            </w:r>
            <w:r>
              <w:rPr>
                <w:color w:val="000000" w:themeColor="text1"/>
                <w:spacing w:val="-3"/>
                <w14:textFill>
                  <w14:solidFill>
                    <w14:schemeClr w14:val="tx1"/>
                  </w14:solidFill>
                </w14:textFill>
              </w:rPr>
              <w:t>＜</w:t>
            </w:r>
            <w:r>
              <w:rPr>
                <w:rFonts w:ascii="Times New Roman" w:hAnsi="Times New Roman" w:eastAsia="Times New Roman" w:cs="Times New Roman"/>
                <w:color w:val="000000" w:themeColor="text1"/>
                <w:spacing w:val="-3"/>
                <w14:textFill>
                  <w14:solidFill>
                    <w14:schemeClr w14:val="tx1"/>
                  </w14:solidFill>
                </w14:textFill>
              </w:rPr>
              <w:t>1</w:t>
            </w:r>
            <w:r>
              <w:rPr>
                <w:color w:val="000000" w:themeColor="text1"/>
                <w:spacing w:val="-3"/>
                <w14:textFill>
                  <w14:solidFill>
                    <w14:schemeClr w14:val="tx1"/>
                  </w14:solidFill>
                </w14:textFill>
              </w:rPr>
              <w:t>，环境风险潜势为</w:t>
            </w:r>
            <w:r>
              <w:rPr>
                <w:rFonts w:ascii="Times New Roman" w:hAnsi="Times New Roman" w:eastAsia="Times New Roman" w:cs="Times New Roman"/>
                <w:color w:val="000000" w:themeColor="text1"/>
                <w:spacing w:val="-3"/>
                <w14:textFill>
                  <w14:solidFill>
                    <w14:schemeClr w14:val="tx1"/>
                  </w14:solidFill>
                </w14:textFill>
              </w:rPr>
              <w:t>Ⅰ</w:t>
            </w:r>
            <w:r>
              <w:rPr>
                <w:rFonts w:ascii="Times New Roman" w:hAnsi="Times New Roman" w:eastAsia="Times New Roman" w:cs="Times New Roman"/>
                <w:color w:val="000000" w:themeColor="text1"/>
                <w:spacing w:val="-29"/>
                <w14:textFill>
                  <w14:solidFill>
                    <w14:schemeClr w14:val="tx1"/>
                  </w14:solidFill>
                </w14:textFill>
              </w:rPr>
              <w:t xml:space="preserve"> </w:t>
            </w:r>
            <w:r>
              <w:rPr>
                <w:color w:val="000000" w:themeColor="text1"/>
                <w:spacing w:val="-3"/>
                <w14:textFill>
                  <w14:solidFill>
                    <w14:schemeClr w14:val="tx1"/>
                  </w14:solidFill>
                </w14:textFill>
              </w:rPr>
              <w:t>,</w:t>
            </w:r>
            <w:r>
              <w:rPr>
                <w:color w:val="000000" w:themeColor="text1"/>
                <w:spacing w:val="39"/>
                <w14:textFill>
                  <w14:solidFill>
                    <w14:schemeClr w14:val="tx1"/>
                  </w14:solidFill>
                </w14:textFill>
              </w:rPr>
              <w:t xml:space="preserve"> </w:t>
            </w:r>
            <w:r>
              <w:rPr>
                <w:color w:val="000000" w:themeColor="text1"/>
                <w:spacing w:val="-3"/>
                <w14:textFill>
                  <w14:solidFill>
                    <w14:schemeClr w14:val="tx1"/>
                  </w14:solidFill>
                </w14:textFill>
              </w:rPr>
              <w:t>环境风险评价开展简单分析</w:t>
            </w:r>
            <w:r>
              <w:rPr>
                <w:color w:val="000000" w:themeColor="text1"/>
                <w:spacing w:val="-10"/>
                <w14:textFill>
                  <w14:solidFill>
                    <w14:schemeClr w14:val="tx1"/>
                  </w14:solidFill>
                </w14:textFill>
              </w:rPr>
              <w:t>即可。</w:t>
            </w:r>
          </w:p>
          <w:p w14:paraId="28BCC128">
            <w:pPr>
              <w:pStyle w:val="5"/>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项目风险防范措施</w:t>
            </w:r>
          </w:p>
          <w:p w14:paraId="11B001CB">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（1）油类泄漏风险防范措施</w:t>
            </w:r>
          </w:p>
          <w:p w14:paraId="3252DDC0">
            <w:pPr>
              <w:pStyle w:val="83"/>
              <w:ind w:firstLine="482"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生产、仓储方面，在总平面图布置上，各建筑单体之间要按有关设计规范要求，留有足够的防火间距。虽然本项目生产中使用和储存的危险物不构成重大危险源，其储存地仍</w:t>
            </w:r>
            <w:r>
              <w:rPr>
                <w:rFonts w:hint="eastAsia" w:ascii="宋体" w:hAnsi="宋体" w:eastAsia="宋体" w:cs="宋体"/>
                <w:color w:val="000000" w:themeColor="text1"/>
                <w:lang w:eastAsia="zh-CN"/>
                <w14:textFill>
                  <w14:solidFill>
                    <w14:schemeClr w14:val="tx1"/>
                  </w14:solidFill>
                </w14:textFill>
              </w:rPr>
              <w:t>做好防渗及管理要求</w:t>
            </w:r>
            <w:r>
              <w:rPr>
                <w:rFonts w:hint="eastAsia" w:ascii="宋体" w:hAnsi="宋体" w:eastAsia="宋体" w:cs="宋体"/>
                <w:color w:val="000000" w:themeColor="text1"/>
                <w14:textFill>
                  <w14:solidFill>
                    <w14:schemeClr w14:val="tx1"/>
                  </w14:solidFill>
                </w14:textFill>
              </w:rPr>
              <w:t>。</w:t>
            </w:r>
          </w:p>
          <w:p w14:paraId="047A94E3">
            <w:pPr>
              <w:adjustRightInd w:val="0"/>
              <w:snapToGrid w:val="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表</w:t>
            </w:r>
            <w:r>
              <w:rPr>
                <w:rFonts w:hint="eastAsia" w:ascii="宋体" w:hAnsi="宋体" w:eastAsia="宋体" w:cs="宋体"/>
                <w:b/>
                <w:color w:val="000000" w:themeColor="text1"/>
                <w:sz w:val="24"/>
                <w:szCs w:val="24"/>
                <w:lang w:val="en-US" w:eastAsia="zh-CN"/>
                <w14:textFill>
                  <w14:solidFill>
                    <w14:schemeClr w14:val="tx1"/>
                  </w14:solidFill>
                </w14:textFill>
              </w:rPr>
              <w:t>4-</w:t>
            </w:r>
            <w:r>
              <w:rPr>
                <w:rFonts w:hint="eastAsia" w:ascii="宋体" w:hAnsi="宋体" w:cs="宋体"/>
                <w:b/>
                <w:color w:val="000000" w:themeColor="text1"/>
                <w:sz w:val="24"/>
                <w:szCs w:val="24"/>
                <w:lang w:val="en-US" w:eastAsia="zh-CN"/>
                <w14:textFill>
                  <w14:solidFill>
                    <w14:schemeClr w14:val="tx1"/>
                  </w14:solidFill>
                </w14:textFill>
              </w:rPr>
              <w:t>13</w:t>
            </w:r>
            <w:r>
              <w:rPr>
                <w:rFonts w:hint="eastAsia" w:ascii="宋体" w:hAnsi="宋体" w:eastAsia="宋体" w:cs="宋体"/>
                <w:b/>
                <w:color w:val="000000" w:themeColor="text1"/>
                <w:sz w:val="24"/>
                <w:szCs w:val="24"/>
                <w14:textFill>
                  <w14:solidFill>
                    <w14:schemeClr w14:val="tx1"/>
                  </w14:solidFill>
                </w14:textFill>
              </w:rPr>
              <w:t xml:space="preserve">  </w:t>
            </w:r>
            <w:r>
              <w:rPr>
                <w:rFonts w:hint="eastAsia" w:ascii="宋体" w:hAnsi="宋体" w:cs="宋体"/>
                <w:b/>
                <w:color w:val="000000" w:themeColor="text1"/>
                <w:sz w:val="24"/>
                <w:szCs w:val="24"/>
                <w:lang w:val="en-US" w:eastAsia="zh-CN"/>
                <w14:textFill>
                  <w14:solidFill>
                    <w14:schemeClr w14:val="tx1"/>
                  </w14:solidFill>
                </w14:textFill>
              </w:rPr>
              <w:t>废油</w:t>
            </w:r>
            <w:r>
              <w:rPr>
                <w:rFonts w:hint="eastAsia" w:ascii="宋体" w:hAnsi="宋体" w:eastAsia="宋体" w:cs="宋体"/>
                <w:b/>
                <w:color w:val="000000" w:themeColor="text1"/>
                <w:sz w:val="24"/>
                <w:szCs w:val="24"/>
                <w14:textFill>
                  <w14:solidFill>
                    <w14:schemeClr w14:val="tx1"/>
                  </w14:solidFill>
                </w14:textFill>
              </w:rPr>
              <w:t>泄漏事故现场应急救援措施说明</w:t>
            </w:r>
          </w:p>
          <w:tbl>
            <w:tblPr>
              <w:tblStyle w:val="25"/>
              <w:tblW w:w="8474" w:type="dxa"/>
              <w:tblInd w:w="-12"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2190"/>
              <w:gridCol w:w="2326"/>
              <w:gridCol w:w="2051"/>
              <w:gridCol w:w="1907"/>
            </w:tblGrid>
            <w:tr w14:paraId="7D2FD27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blHeader/>
              </w:trPr>
              <w:tc>
                <w:tcPr>
                  <w:tcW w:w="2190" w:type="dxa"/>
                  <w:tcBorders>
                    <w:tl2br w:val="nil"/>
                    <w:tr2bl w:val="nil"/>
                  </w:tcBorders>
                  <w:vAlign w:val="center"/>
                </w:tcPr>
                <w:p w14:paraId="1ACFFCB4">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污染物名称</w:t>
                  </w:r>
                </w:p>
              </w:tc>
              <w:tc>
                <w:tcPr>
                  <w:tcW w:w="2326" w:type="dxa"/>
                  <w:tcBorders>
                    <w:tl2br w:val="nil"/>
                    <w:tr2bl w:val="nil"/>
                  </w:tcBorders>
                  <w:vAlign w:val="center"/>
                </w:tcPr>
                <w:p w14:paraId="7DFC5B08">
                  <w:pPr>
                    <w:adjustRightInd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废油</w:t>
                  </w:r>
                </w:p>
              </w:tc>
              <w:tc>
                <w:tcPr>
                  <w:tcW w:w="2051" w:type="dxa"/>
                  <w:tcBorders>
                    <w:tl2br w:val="nil"/>
                    <w:tr2bl w:val="nil"/>
                  </w:tcBorders>
                  <w:vAlign w:val="center"/>
                </w:tcPr>
                <w:p w14:paraId="28A886C6">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性质</w:t>
                  </w:r>
                </w:p>
              </w:tc>
              <w:tc>
                <w:tcPr>
                  <w:tcW w:w="1907" w:type="dxa"/>
                  <w:tcBorders>
                    <w:tl2br w:val="nil"/>
                    <w:tr2bl w:val="nil"/>
                  </w:tcBorders>
                  <w:vAlign w:val="center"/>
                </w:tcPr>
                <w:p w14:paraId="2EE5B6B3">
                  <w:pPr>
                    <w:adjustRightInd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液体</w:t>
                  </w:r>
                </w:p>
              </w:tc>
            </w:tr>
            <w:tr w14:paraId="6E6CBF2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2190" w:type="dxa"/>
                  <w:tcBorders>
                    <w:tl2br w:val="nil"/>
                    <w:tr2bl w:val="nil"/>
                  </w:tcBorders>
                  <w:vAlign w:val="center"/>
                </w:tcPr>
                <w:p w14:paraId="446AFBE5">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事故类型</w:t>
                  </w:r>
                </w:p>
              </w:tc>
              <w:tc>
                <w:tcPr>
                  <w:tcW w:w="6284" w:type="dxa"/>
                  <w:gridSpan w:val="3"/>
                  <w:tcBorders>
                    <w:tl2br w:val="nil"/>
                    <w:tr2bl w:val="nil"/>
                  </w:tcBorders>
                  <w:vAlign w:val="center"/>
                </w:tcPr>
                <w:p w14:paraId="6BDCB8A2">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泄漏</w:t>
                  </w:r>
                </w:p>
              </w:tc>
            </w:tr>
            <w:tr w14:paraId="10B7DD9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2190" w:type="dxa"/>
                  <w:tcBorders>
                    <w:tl2br w:val="nil"/>
                    <w:tr2bl w:val="nil"/>
                  </w:tcBorders>
                  <w:vAlign w:val="center"/>
                </w:tcPr>
                <w:p w14:paraId="5A854459">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事故可控性</w:t>
                  </w:r>
                </w:p>
              </w:tc>
              <w:tc>
                <w:tcPr>
                  <w:tcW w:w="2326" w:type="dxa"/>
                  <w:tcBorders>
                    <w:tl2br w:val="nil"/>
                    <w:tr2bl w:val="nil"/>
                  </w:tcBorders>
                  <w:vAlign w:val="center"/>
                </w:tcPr>
                <w:p w14:paraId="0C2D13E2">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可控制在</w:t>
                  </w:r>
                  <w:r>
                    <w:rPr>
                      <w:rFonts w:hint="eastAsia" w:ascii="宋体" w:hAnsi="宋体" w:eastAsia="宋体" w:cs="宋体"/>
                      <w:color w:val="000000" w:themeColor="text1"/>
                      <w:sz w:val="21"/>
                      <w:szCs w:val="21"/>
                      <w:lang w:val="en-US" w:eastAsia="zh-CN"/>
                      <w14:textFill>
                        <w14:solidFill>
                          <w14:schemeClr w14:val="tx1"/>
                        </w14:solidFill>
                      </w14:textFill>
                    </w:rPr>
                    <w:t>厂区</w:t>
                  </w:r>
                  <w:r>
                    <w:rPr>
                      <w:rFonts w:hint="eastAsia" w:ascii="宋体" w:hAnsi="宋体" w:eastAsia="宋体" w:cs="宋体"/>
                      <w:color w:val="000000" w:themeColor="text1"/>
                      <w:sz w:val="21"/>
                      <w:szCs w:val="21"/>
                      <w14:textFill>
                        <w14:solidFill>
                          <w14:schemeClr w14:val="tx1"/>
                        </w14:solidFill>
                      </w14:textFill>
                    </w:rPr>
                    <w:t>范围内</w:t>
                  </w:r>
                </w:p>
              </w:tc>
              <w:tc>
                <w:tcPr>
                  <w:tcW w:w="2051" w:type="dxa"/>
                  <w:tcBorders>
                    <w:tl2br w:val="nil"/>
                    <w:tr2bl w:val="nil"/>
                  </w:tcBorders>
                  <w:vAlign w:val="center"/>
                </w:tcPr>
                <w:p w14:paraId="13709CA6">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严重程度</w:t>
                  </w:r>
                </w:p>
              </w:tc>
              <w:tc>
                <w:tcPr>
                  <w:tcW w:w="1907" w:type="dxa"/>
                  <w:tcBorders>
                    <w:tl2br w:val="nil"/>
                    <w:tr2bl w:val="nil"/>
                  </w:tcBorders>
                  <w:vAlign w:val="center"/>
                </w:tcPr>
                <w:p w14:paraId="31A2371A">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一般突发环境事件</w:t>
                  </w:r>
                </w:p>
              </w:tc>
            </w:tr>
            <w:tr w14:paraId="35C380D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2190" w:type="dxa"/>
                  <w:tcBorders>
                    <w:tl2br w:val="nil"/>
                    <w:tr2bl w:val="nil"/>
                  </w:tcBorders>
                  <w:vAlign w:val="center"/>
                </w:tcPr>
                <w:p w14:paraId="0EC9790E">
                  <w:pPr>
                    <w:adjustRightInd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影响范围</w:t>
                  </w:r>
                </w:p>
              </w:tc>
              <w:tc>
                <w:tcPr>
                  <w:tcW w:w="6284" w:type="dxa"/>
                  <w:gridSpan w:val="3"/>
                  <w:tcBorders>
                    <w:tl2br w:val="nil"/>
                    <w:tr2bl w:val="nil"/>
                  </w:tcBorders>
                  <w:vAlign w:val="center"/>
                </w:tcPr>
                <w:p w14:paraId="77376A8B">
                  <w:pPr>
                    <w:adjustRightInd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泄漏物污染范围</w:t>
                  </w:r>
                </w:p>
              </w:tc>
            </w:tr>
            <w:tr w14:paraId="2F7DE72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24" w:hRule="atLeast"/>
              </w:trPr>
              <w:tc>
                <w:tcPr>
                  <w:tcW w:w="2190" w:type="dxa"/>
                  <w:tcBorders>
                    <w:tl2br w:val="nil"/>
                    <w:tr2bl w:val="nil"/>
                  </w:tcBorders>
                  <w:vAlign w:val="center"/>
                </w:tcPr>
                <w:p w14:paraId="651745CF">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1、切断污染源的基本方案</w:t>
                  </w:r>
                </w:p>
              </w:tc>
              <w:tc>
                <w:tcPr>
                  <w:tcW w:w="6284" w:type="dxa"/>
                  <w:gridSpan w:val="3"/>
                  <w:tcBorders>
                    <w:tl2br w:val="nil"/>
                    <w:tr2bl w:val="nil"/>
                  </w:tcBorders>
                  <w:vAlign w:val="center"/>
                </w:tcPr>
                <w:p w14:paraId="7839975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泄漏物</w:t>
                  </w:r>
                  <w:r>
                    <w:rPr>
                      <w:rFonts w:hint="eastAsia" w:ascii="宋体" w:hAnsi="宋体" w:eastAsia="宋体" w:cs="宋体"/>
                      <w:color w:val="000000" w:themeColor="text1"/>
                      <w:sz w:val="21"/>
                      <w:szCs w:val="21"/>
                      <w14:textFill>
                        <w14:solidFill>
                          <w14:schemeClr w14:val="tx1"/>
                        </w14:solidFill>
                      </w14:textFill>
                    </w:rPr>
                    <w:t>用泵转移至槽车或专用收集器内。抢险救护组可对泄漏出进行堵漏，避免持续泄漏。</w:t>
                  </w:r>
                </w:p>
              </w:tc>
            </w:tr>
            <w:tr w14:paraId="61D4A1B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60" w:hRule="atLeast"/>
              </w:trPr>
              <w:tc>
                <w:tcPr>
                  <w:tcW w:w="2190" w:type="dxa"/>
                  <w:tcBorders>
                    <w:tl2br w:val="nil"/>
                    <w:tr2bl w:val="nil"/>
                  </w:tcBorders>
                  <w:vAlign w:val="center"/>
                </w:tcPr>
                <w:p w14:paraId="7F420E09">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2、防止污染物向外扩散的设施与措施及启动程序</w:t>
                  </w:r>
                </w:p>
              </w:tc>
              <w:tc>
                <w:tcPr>
                  <w:tcW w:w="6284" w:type="dxa"/>
                  <w:gridSpan w:val="3"/>
                  <w:tcBorders>
                    <w:tl2br w:val="nil"/>
                    <w:tr2bl w:val="nil"/>
                  </w:tcBorders>
                  <w:vAlign w:val="center"/>
                </w:tcPr>
                <w:p w14:paraId="7DD97469">
                  <w:pPr>
                    <w:adjustRightInd w:val="0"/>
                    <w:snapToGrid w:val="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设置托盘、围堰等截留措施，危废间地面做防渗处理。</w:t>
                  </w:r>
                </w:p>
              </w:tc>
            </w:tr>
            <w:tr w14:paraId="2065BDC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012" w:hRule="atLeast"/>
              </w:trPr>
              <w:tc>
                <w:tcPr>
                  <w:tcW w:w="2190" w:type="dxa"/>
                  <w:tcBorders>
                    <w:tl2br w:val="nil"/>
                    <w:tr2bl w:val="nil"/>
                  </w:tcBorders>
                  <w:vAlign w:val="center"/>
                </w:tcPr>
                <w:p w14:paraId="5061A7F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3、防止事故废水进入外环境而设立的事故应急池的启用程序</w:t>
                  </w:r>
                </w:p>
              </w:tc>
              <w:tc>
                <w:tcPr>
                  <w:tcW w:w="6284" w:type="dxa"/>
                  <w:gridSpan w:val="3"/>
                  <w:tcBorders>
                    <w:tl2br w:val="nil"/>
                    <w:tr2bl w:val="nil"/>
                  </w:tcBorders>
                  <w:vAlign w:val="center"/>
                </w:tcPr>
                <w:p w14:paraId="565CD91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厂区雨水排口设置截留池，及止逆阀，防止污染物随雨水排外。</w:t>
                  </w:r>
                </w:p>
              </w:tc>
            </w:tr>
            <w:tr w14:paraId="3E5C155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58" w:hRule="atLeast"/>
              </w:trPr>
              <w:tc>
                <w:tcPr>
                  <w:tcW w:w="2190" w:type="dxa"/>
                  <w:tcBorders>
                    <w:tl2br w:val="nil"/>
                    <w:tr2bl w:val="nil"/>
                  </w:tcBorders>
                  <w:vAlign w:val="center"/>
                </w:tcPr>
                <w:p w14:paraId="5133319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4、事故处理过程中产生的伴生/次生污染的消除方案</w:t>
                  </w:r>
                </w:p>
              </w:tc>
              <w:tc>
                <w:tcPr>
                  <w:tcW w:w="6284" w:type="dxa"/>
                  <w:gridSpan w:val="3"/>
                  <w:tcBorders>
                    <w:tl2br w:val="nil"/>
                    <w:tr2bl w:val="nil"/>
                  </w:tcBorders>
                  <w:vAlign w:val="center"/>
                </w:tcPr>
                <w:p w14:paraId="5C48D331">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用沙土或活性炭吸附地面上的</w:t>
                  </w:r>
                  <w:r>
                    <w:rPr>
                      <w:rFonts w:hint="eastAsia" w:ascii="宋体" w:hAnsi="宋体" w:eastAsia="宋体" w:cs="宋体"/>
                      <w:color w:val="000000" w:themeColor="text1"/>
                      <w:sz w:val="21"/>
                      <w:szCs w:val="21"/>
                      <w:lang w:val="en-US" w:eastAsia="zh-CN"/>
                      <w14:textFill>
                        <w14:solidFill>
                          <w14:schemeClr w14:val="tx1"/>
                        </w14:solidFill>
                      </w14:textFill>
                    </w:rPr>
                    <w:t>油品</w:t>
                  </w:r>
                  <w:r>
                    <w:rPr>
                      <w:rFonts w:hint="eastAsia" w:ascii="宋体" w:hAnsi="宋体" w:eastAsia="宋体" w:cs="宋体"/>
                      <w:color w:val="000000" w:themeColor="text1"/>
                      <w:sz w:val="21"/>
                      <w:szCs w:val="21"/>
                      <w14:textFill>
                        <w14:solidFill>
                          <w14:schemeClr w14:val="tx1"/>
                        </w14:solidFill>
                      </w14:textFill>
                    </w:rPr>
                    <w:t>，防止污染土壤及地下水。</w:t>
                  </w:r>
                </w:p>
              </w:tc>
            </w:tr>
            <w:tr w14:paraId="2E00E68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82" w:hRule="atLeast"/>
              </w:trPr>
              <w:tc>
                <w:tcPr>
                  <w:tcW w:w="2190" w:type="dxa"/>
                  <w:tcBorders>
                    <w:tl2br w:val="nil"/>
                    <w:tr2bl w:val="nil"/>
                  </w:tcBorders>
                  <w:vAlign w:val="center"/>
                </w:tcPr>
                <w:p w14:paraId="545B648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5、应急过程中使用的药剂及工具（可获得性说明）</w:t>
                  </w:r>
                </w:p>
              </w:tc>
              <w:tc>
                <w:tcPr>
                  <w:tcW w:w="6284" w:type="dxa"/>
                  <w:gridSpan w:val="3"/>
                  <w:tcBorders>
                    <w:tl2br w:val="nil"/>
                    <w:tr2bl w:val="nil"/>
                  </w:tcBorders>
                  <w:vAlign w:val="center"/>
                </w:tcPr>
                <w:p w14:paraId="31B4093B">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药剂：沙土等；</w:t>
                  </w:r>
                </w:p>
                <w:p w14:paraId="279FDB12">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工具：</w:t>
                  </w:r>
                  <w:r>
                    <w:rPr>
                      <w:rFonts w:hint="eastAsia" w:ascii="宋体" w:hAnsi="宋体" w:eastAsia="宋体" w:cs="宋体"/>
                      <w:color w:val="000000" w:themeColor="text1"/>
                      <w:sz w:val="21"/>
                      <w:szCs w:val="21"/>
                      <w:lang w:eastAsia="zh-CN"/>
                      <w14:textFill>
                        <w14:solidFill>
                          <w14:schemeClr w14:val="tx1"/>
                        </w14:solidFill>
                      </w14:textFill>
                    </w:rPr>
                    <w:t>铁锨</w:t>
                  </w:r>
                  <w:r>
                    <w:rPr>
                      <w:rFonts w:hint="eastAsia" w:ascii="宋体" w:hAnsi="宋体" w:eastAsia="宋体" w:cs="宋体"/>
                      <w:color w:val="000000" w:themeColor="text1"/>
                      <w:sz w:val="21"/>
                      <w:szCs w:val="21"/>
                      <w14:textFill>
                        <w14:solidFill>
                          <w14:schemeClr w14:val="tx1"/>
                        </w14:solidFill>
                      </w14:textFill>
                    </w:rPr>
                    <w:t>、吸油毡</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铁桶</w:t>
                  </w:r>
                  <w:r>
                    <w:rPr>
                      <w:rFonts w:hint="eastAsia" w:ascii="宋体" w:hAnsi="宋体" w:eastAsia="宋体" w:cs="宋体"/>
                      <w:color w:val="000000" w:themeColor="text1"/>
                      <w:sz w:val="21"/>
                      <w:szCs w:val="21"/>
                      <w14:textFill>
                        <w14:solidFill>
                          <w14:schemeClr w14:val="tx1"/>
                        </w14:solidFill>
                      </w14:textFill>
                    </w:rPr>
                    <w:t>等。</w:t>
                  </w:r>
                </w:p>
              </w:tc>
            </w:tr>
            <w:tr w14:paraId="56EE41F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13" w:hRule="atLeast"/>
              </w:trPr>
              <w:tc>
                <w:tcPr>
                  <w:tcW w:w="2190" w:type="dxa"/>
                  <w:tcBorders>
                    <w:tl2br w:val="nil"/>
                    <w:tr2bl w:val="nil"/>
                  </w:tcBorders>
                  <w:vAlign w:val="center"/>
                </w:tcPr>
                <w:p w14:paraId="6F30E361">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6、危险区的设定</w:t>
                  </w:r>
                </w:p>
              </w:tc>
              <w:tc>
                <w:tcPr>
                  <w:tcW w:w="6284" w:type="dxa"/>
                  <w:gridSpan w:val="3"/>
                  <w:tcBorders>
                    <w:tl2br w:val="nil"/>
                    <w:tr2bl w:val="nil"/>
                  </w:tcBorders>
                  <w:vAlign w:val="center"/>
                </w:tcPr>
                <w:p w14:paraId="5B9CD711">
                  <w:pPr>
                    <w:adjustRightInd w:val="0"/>
                    <w:snapToGrid w:val="0"/>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不涉及人员伤亡风险</w:t>
                  </w:r>
                </w:p>
              </w:tc>
            </w:tr>
            <w:tr w14:paraId="03A5F7D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67" w:hRule="atLeast"/>
              </w:trPr>
              <w:tc>
                <w:tcPr>
                  <w:tcW w:w="2190" w:type="dxa"/>
                  <w:tcBorders>
                    <w:tl2br w:val="nil"/>
                    <w:tr2bl w:val="nil"/>
                  </w:tcBorders>
                  <w:vAlign w:val="center"/>
                </w:tcPr>
                <w:p w14:paraId="281C539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7、事故现场人员清点，撤离的方式、方法及安置地点</w:t>
                  </w:r>
                </w:p>
              </w:tc>
              <w:tc>
                <w:tcPr>
                  <w:tcW w:w="6284" w:type="dxa"/>
                  <w:gridSpan w:val="3"/>
                  <w:tcBorders>
                    <w:tl2br w:val="nil"/>
                    <w:tr2bl w:val="nil"/>
                  </w:tcBorders>
                  <w:vAlign w:val="center"/>
                </w:tcPr>
                <w:p w14:paraId="213D2D00">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事故状态下负责人进行人员清点（应到人数、实到人数、撤离人数）。</w:t>
                  </w:r>
                </w:p>
              </w:tc>
            </w:tr>
            <w:tr w14:paraId="54614ED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76" w:hRule="atLeast"/>
              </w:trPr>
              <w:tc>
                <w:tcPr>
                  <w:tcW w:w="2190" w:type="dxa"/>
                  <w:tcBorders>
                    <w:tl2br w:val="nil"/>
                    <w:tr2bl w:val="nil"/>
                  </w:tcBorders>
                  <w:vAlign w:val="center"/>
                </w:tcPr>
                <w:p w14:paraId="6DE773E5">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8、人员的救援方式、方法及安全保护措施</w:t>
                  </w:r>
                </w:p>
              </w:tc>
              <w:tc>
                <w:tcPr>
                  <w:tcW w:w="6284" w:type="dxa"/>
                  <w:gridSpan w:val="3"/>
                  <w:tcBorders>
                    <w:tl2br w:val="nil"/>
                    <w:tr2bl w:val="nil"/>
                  </w:tcBorders>
                  <w:vAlign w:val="center"/>
                </w:tcPr>
                <w:p w14:paraId="389B8C9A">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皮肤接触：脱去被污染的衣着，用肥皂水和清水彻底冲洗皮肤。</w:t>
                  </w:r>
                </w:p>
                <w:p w14:paraId="6AA59439">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眼睛接触：提起眼睑，用流动清水或生理盐水彻底冲洗就医。</w:t>
                  </w:r>
                </w:p>
                <w:p w14:paraId="553ADFC4">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吸入：迅速脱离现场至空气新鲜处。保持呼吸道通畅。如呼吸困难，给输氧。如呼吸停止，立即进行人工呼吸。就医。</w:t>
                  </w:r>
                </w:p>
              </w:tc>
            </w:tr>
            <w:tr w14:paraId="050AC3F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063" w:hRule="atLeast"/>
              </w:trPr>
              <w:tc>
                <w:tcPr>
                  <w:tcW w:w="2190" w:type="dxa"/>
                  <w:tcBorders>
                    <w:tl2br w:val="nil"/>
                    <w:tr2bl w:val="nil"/>
                  </w:tcBorders>
                  <w:vAlign w:val="center"/>
                </w:tcPr>
                <w:p w14:paraId="4CFB32C5">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9、应急救援队伍的调度及物质保障供应程序</w:t>
                  </w:r>
                </w:p>
              </w:tc>
              <w:tc>
                <w:tcPr>
                  <w:tcW w:w="6284" w:type="dxa"/>
                  <w:gridSpan w:val="3"/>
                  <w:tcBorders>
                    <w:tl2br w:val="nil"/>
                    <w:tr2bl w:val="nil"/>
                  </w:tcBorders>
                  <w:vAlign w:val="center"/>
                </w:tcPr>
                <w:p w14:paraId="521F903C">
                  <w:pPr>
                    <w:adjustRightInd w:val="0"/>
                    <w:snapToGrid w:val="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呼吸系统防护：可能接触其烟雾时，佩戴自吸过滤式防毒面具（全面罩）或空气呼吸器；紧急事态抢救或撤离时，建议佩戴氧气呼吸器；</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眼睛防护：呼吸系统防护中已作防护。</w:t>
                  </w:r>
                </w:p>
              </w:tc>
            </w:tr>
          </w:tbl>
          <w:p w14:paraId="0E17F986">
            <w:pPr>
              <w:pStyle w:val="83"/>
              <w:ind w:firstLine="482" w:firstLineChars="0"/>
              <w:rPr>
                <w:rFonts w:hint="eastAsia" w:ascii="宋体" w:hAnsi="宋体" w:eastAsia="宋体" w:cs="宋体"/>
                <w:color w:val="000000" w:themeColor="text1"/>
                <w14:textFill>
                  <w14:solidFill>
                    <w14:schemeClr w14:val="tx1"/>
                  </w14:solidFill>
                </w14:textFill>
              </w:rPr>
            </w:pPr>
          </w:p>
          <w:p w14:paraId="7A076DF4">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气瓶储存</w:t>
            </w:r>
            <w:r>
              <w:rPr>
                <w:rFonts w:hint="eastAsia" w:ascii="宋体" w:hAnsi="宋体" w:eastAsia="宋体" w:cs="宋体"/>
                <w:color w:val="000000" w:themeColor="text1"/>
                <w14:textFill>
                  <w14:solidFill>
                    <w14:schemeClr w14:val="tx1"/>
                  </w14:solidFill>
                </w14:textFill>
              </w:rPr>
              <w:t>风险防范措施</w:t>
            </w:r>
          </w:p>
          <w:p w14:paraId="1D208D9A">
            <w:pPr>
              <w:pStyle w:val="83"/>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①项目设置单独的切割用钢瓶存储区，</w:t>
            </w:r>
            <w:r>
              <w:rPr>
                <w:rFonts w:hint="eastAsia" w:ascii="宋体" w:hAnsi="宋体" w:cs="宋体"/>
                <w:color w:val="000000" w:themeColor="text1"/>
                <w:lang w:eastAsia="zh-CN"/>
                <w14:textFill>
                  <w14:solidFill>
                    <w14:schemeClr w14:val="tx1"/>
                  </w14:solidFill>
                </w14:textFill>
              </w:rPr>
              <w:t>丙烷</w:t>
            </w:r>
            <w:r>
              <w:rPr>
                <w:rFonts w:hint="eastAsia" w:ascii="宋体" w:hAnsi="宋体" w:eastAsia="宋体" w:cs="宋体"/>
                <w:color w:val="000000" w:themeColor="text1"/>
                <w14:textFill>
                  <w14:solidFill>
                    <w14:schemeClr w14:val="tx1"/>
                  </w14:solidFill>
                </w14:textFill>
              </w:rPr>
              <w:t>瓶与氧气瓶分间储存，不能混合在一个储存仓库。设置严禁烟火标示，同时远离拆解车间；贮存间应有良好的通风、</w:t>
            </w:r>
            <w:r>
              <w:rPr>
                <w:rFonts w:hint="eastAsia" w:ascii="宋体" w:hAnsi="宋体" w:eastAsia="宋体" w:cs="宋体"/>
                <w:color w:val="000000" w:themeColor="text1"/>
                <w:sz w:val="24"/>
                <w:szCs w:val="24"/>
                <w14:textFill>
                  <w14:solidFill>
                    <w14:schemeClr w14:val="tx1"/>
                  </w14:solidFill>
                </w14:textFill>
              </w:rPr>
              <w:t>降温等设施，要避免阳光直射，要保证运输道路通畅，在其附近应设有消火栓和干粉二氧化碳灭火器（严禁使用四乙炔氯化碳灭火器）。</w:t>
            </w:r>
          </w:p>
          <w:p w14:paraId="6BA265C9">
            <w:pPr>
              <w:pStyle w:val="83"/>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w:t>
            </w:r>
            <w:r>
              <w:rPr>
                <w:rFonts w:hint="eastAsia" w:ascii="宋体" w:hAnsi="宋体" w:eastAsia="宋体" w:cs="宋体"/>
                <w:color w:val="000000" w:themeColor="text1"/>
                <w:sz w:val="24"/>
                <w:szCs w:val="24"/>
                <w:lang w:eastAsia="zh-CN"/>
                <w14:textFill>
                  <w14:solidFill>
                    <w14:schemeClr w14:val="tx1"/>
                  </w14:solidFill>
                </w14:textFill>
              </w:rPr>
              <w:t>丙烷</w:t>
            </w:r>
            <w:r>
              <w:rPr>
                <w:rFonts w:hint="eastAsia" w:ascii="宋体" w:hAnsi="宋体" w:eastAsia="宋体" w:cs="宋体"/>
                <w:color w:val="000000" w:themeColor="text1"/>
                <w:sz w:val="24"/>
                <w:szCs w:val="24"/>
                <w14:textFill>
                  <w14:solidFill>
                    <w14:schemeClr w14:val="tx1"/>
                  </w14:solidFill>
                </w14:textFill>
              </w:rPr>
              <w:t>钢瓶购买应遵循“少量多次”原则，减少储存量；应配备足够的消防器材和制定有效的风险应急预案，以将风险事故控制在发生初期。</w:t>
            </w:r>
          </w:p>
          <w:p w14:paraId="00F65C7D">
            <w:pPr>
              <w:pStyle w:val="83"/>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w:t>
            </w:r>
            <w:r>
              <w:rPr>
                <w:rFonts w:hint="eastAsia" w:ascii="宋体" w:hAnsi="宋体" w:eastAsia="宋体" w:cs="宋体"/>
                <w:color w:val="000000" w:themeColor="text1"/>
                <w:sz w:val="24"/>
                <w:szCs w:val="24"/>
                <w:lang w:eastAsia="zh-CN"/>
                <w14:textFill>
                  <w14:solidFill>
                    <w14:schemeClr w14:val="tx1"/>
                  </w14:solidFill>
                </w14:textFill>
              </w:rPr>
              <w:t>丙烷</w:t>
            </w:r>
            <w:r>
              <w:rPr>
                <w:rFonts w:hint="eastAsia" w:ascii="宋体" w:hAnsi="宋体" w:eastAsia="宋体" w:cs="宋体"/>
                <w:color w:val="000000" w:themeColor="text1"/>
                <w:sz w:val="24"/>
                <w:szCs w:val="24"/>
                <w14:textFill>
                  <w14:solidFill>
                    <w14:schemeClr w14:val="tx1"/>
                  </w14:solidFill>
                </w14:textFill>
              </w:rPr>
              <w:t>瓶贮存时，一般要保持直立位置，并应有防止倾倒的措施。严禁与氧气瓶及易燃物品同间贮存。</w:t>
            </w:r>
          </w:p>
          <w:p w14:paraId="557874E5">
            <w:pPr>
              <w:pStyle w:val="83"/>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④加强生产管理。</w:t>
            </w:r>
            <w:r>
              <w:rPr>
                <w:rFonts w:hint="eastAsia" w:ascii="宋体" w:hAnsi="宋体" w:eastAsia="宋体" w:cs="宋体"/>
                <w:color w:val="000000" w:themeColor="text1"/>
                <w:sz w:val="24"/>
                <w:szCs w:val="24"/>
                <w:lang w:eastAsia="zh-CN"/>
                <w14:textFill>
                  <w14:solidFill>
                    <w14:schemeClr w14:val="tx1"/>
                  </w14:solidFill>
                </w14:textFill>
              </w:rPr>
              <w:t>丙烷</w:t>
            </w:r>
            <w:r>
              <w:rPr>
                <w:rFonts w:hint="eastAsia" w:ascii="宋体" w:hAnsi="宋体" w:eastAsia="宋体" w:cs="宋体"/>
                <w:color w:val="000000" w:themeColor="text1"/>
                <w:sz w:val="24"/>
                <w:szCs w:val="24"/>
                <w14:textFill>
                  <w14:solidFill>
                    <w14:schemeClr w14:val="tx1"/>
                  </w14:solidFill>
                </w14:textFill>
              </w:rPr>
              <w:t>钢瓶应由专门人员负责管理，单独存放，在搬运过程中轻拿轻放，避免碰撞造成储存钢瓶破裂气体泄漏或碰撞爆炸。贮存间应有专人管理，在醒目的地方应设置“严禁烟火”的标示。</w:t>
            </w:r>
          </w:p>
          <w:p w14:paraId="672E3F71">
            <w:pPr>
              <w:pStyle w:val="83"/>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⑤钢瓶存储间的设计和建造，应符合《建筑设计防火规范》（GB 50016-2014）的有关规定。</w:t>
            </w:r>
          </w:p>
          <w:p w14:paraId="22952D5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⑥</w:t>
            </w:r>
            <w:r>
              <w:rPr>
                <w:rFonts w:hint="eastAsia" w:ascii="宋体" w:hAnsi="宋体" w:eastAsia="宋体" w:cs="宋体"/>
                <w:color w:val="000000" w:themeColor="text1"/>
                <w:sz w:val="24"/>
                <w:szCs w:val="24"/>
                <w:lang w:eastAsia="zh-CN"/>
                <w14:textFill>
                  <w14:solidFill>
                    <w14:schemeClr w14:val="tx1"/>
                  </w14:solidFill>
                </w14:textFill>
              </w:rPr>
              <w:t>丙</w:t>
            </w:r>
            <w:r>
              <w:rPr>
                <w:rFonts w:hint="eastAsia" w:ascii="宋体" w:hAnsi="宋体" w:eastAsia="宋体" w:cs="宋体"/>
                <w:color w:val="000000" w:themeColor="text1"/>
                <w:sz w:val="24"/>
                <w:szCs w:val="24"/>
                <w14:textFill>
                  <w14:solidFill>
                    <w14:schemeClr w14:val="tx1"/>
                  </w14:solidFill>
                </w14:textFill>
              </w:rPr>
              <w:t>炔瓶着火一定不要慌、迅速关死</w:t>
            </w:r>
            <w:r>
              <w:rPr>
                <w:rFonts w:hint="eastAsia" w:ascii="宋体" w:hAnsi="宋体" w:eastAsia="宋体" w:cs="宋体"/>
                <w:color w:val="000000" w:themeColor="text1"/>
                <w:sz w:val="24"/>
                <w:szCs w:val="24"/>
                <w:lang w:eastAsia="zh-CN"/>
                <w14:textFill>
                  <w14:solidFill>
                    <w14:schemeClr w14:val="tx1"/>
                  </w14:solidFill>
                </w14:textFill>
              </w:rPr>
              <w:t>丙</w:t>
            </w:r>
            <w:r>
              <w:rPr>
                <w:rFonts w:hint="eastAsia" w:ascii="宋体" w:hAnsi="宋体" w:eastAsia="宋体" w:cs="宋体"/>
                <w:color w:val="000000" w:themeColor="text1"/>
                <w:sz w:val="24"/>
                <w:szCs w:val="24"/>
                <w14:textFill>
                  <w14:solidFill>
                    <w14:schemeClr w14:val="tx1"/>
                  </w14:solidFill>
                </w14:textFill>
              </w:rPr>
              <w:t>炔瓶阀门、退掉高压氧，然后用干粉灭火器扑救。</w:t>
            </w:r>
          </w:p>
          <w:p w14:paraId="777F9EA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spacing w:val="-2"/>
                <w:sz w:val="24"/>
                <w:szCs w:val="24"/>
                <w:highlight w:val="yellow"/>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（3）废</w:t>
            </w:r>
            <w:r>
              <w:rPr>
                <w:rFonts w:hint="eastAsia" w:ascii="宋体" w:hAnsi="宋体" w:cs="宋体"/>
                <w:color w:val="000000" w:themeColor="text1"/>
                <w:sz w:val="24"/>
                <w:szCs w:val="24"/>
                <w:lang w:val="en-US" w:eastAsia="zh-CN"/>
                <w14:textFill>
                  <w14:solidFill>
                    <w14:schemeClr w14:val="tx1"/>
                  </w14:solidFill>
                </w14:textFill>
              </w:rPr>
              <w:t>铅酸蓄</w:t>
            </w:r>
            <w:r>
              <w:rPr>
                <w:rFonts w:hint="eastAsia" w:ascii="宋体" w:hAnsi="宋体" w:eastAsia="宋体" w:cs="宋体"/>
                <w:color w:val="000000" w:themeColor="text1"/>
                <w:sz w:val="24"/>
                <w:szCs w:val="24"/>
                <w14:textFill>
                  <w14:solidFill>
                    <w14:schemeClr w14:val="tx1"/>
                  </w14:solidFill>
                </w14:textFill>
              </w:rPr>
              <w:t>电池泄漏风险防范措施</w:t>
            </w:r>
          </w:p>
          <w:p w14:paraId="285165A5">
            <w:pPr>
              <w:pStyle w:val="119"/>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本项目的拆解过程中不会打开蓄电池释放硫酸及硫酸铅，硫酸及硫酸铅都存在于蓄电池内，暂存于废铅蓄电池</w:t>
            </w:r>
            <w:r>
              <w:rPr>
                <w:rFonts w:hint="eastAsia" w:cs="宋体"/>
                <w:color w:val="000000" w:themeColor="text1"/>
                <w:spacing w:val="-2"/>
                <w:sz w:val="24"/>
                <w:szCs w:val="24"/>
                <w:lang w:eastAsia="zh-CN"/>
                <w14:textFill>
                  <w14:solidFill>
                    <w14:schemeClr w14:val="tx1"/>
                  </w14:solidFill>
                </w14:textFill>
              </w:rPr>
              <w:t>暂存库</w:t>
            </w:r>
            <w:r>
              <w:rPr>
                <w:rFonts w:hint="eastAsia" w:ascii="宋体" w:hAnsi="宋体" w:eastAsia="宋体" w:cs="宋体"/>
                <w:color w:val="000000" w:themeColor="text1"/>
                <w:spacing w:val="-2"/>
                <w:sz w:val="24"/>
                <w:szCs w:val="24"/>
                <w14:textFill>
                  <w14:solidFill>
                    <w14:schemeClr w14:val="tx1"/>
                  </w14:solidFill>
                </w14:textFill>
              </w:rPr>
              <w:t>内</w:t>
            </w:r>
            <w:r>
              <w:rPr>
                <w:rFonts w:hint="eastAsia" w:ascii="宋体" w:hAnsi="宋体" w:eastAsia="宋体" w:cs="宋体"/>
                <w:color w:val="000000" w:themeColor="text1"/>
                <w:spacing w:val="-2"/>
                <w:sz w:val="24"/>
                <w:szCs w:val="24"/>
                <w:lang w:eastAsia="zh-CN"/>
                <w14:textFill>
                  <w14:solidFill>
                    <w14:schemeClr w14:val="tx1"/>
                  </w14:solidFill>
                </w14:textFill>
              </w:rPr>
              <w:t>。</w:t>
            </w:r>
            <w:r>
              <w:rPr>
                <w:rFonts w:hint="eastAsia" w:ascii="宋体" w:hAnsi="宋体" w:eastAsia="宋体" w:cs="宋体"/>
                <w:color w:val="000000" w:themeColor="text1"/>
                <w:spacing w:val="-2"/>
                <w:sz w:val="24"/>
                <w:szCs w:val="24"/>
                <w14:textFill>
                  <w14:solidFill>
                    <w14:schemeClr w14:val="tx1"/>
                  </w14:solidFill>
                </w14:textFill>
              </w:rPr>
              <w:t>但是在拆解过程中，遇到蓄电池破损才有可能出现泄漏的情况，</w:t>
            </w:r>
            <w:r>
              <w:rPr>
                <w:rFonts w:hint="eastAsia" w:ascii="宋体" w:hAnsi="宋体" w:eastAsia="宋体" w:cs="宋体"/>
                <w:color w:val="000000" w:themeColor="text1"/>
                <w:spacing w:val="-2"/>
                <w:sz w:val="24"/>
                <w:szCs w:val="24"/>
                <w:lang w:val="en-US" w:eastAsia="zh-CN"/>
                <w14:textFill>
                  <w14:solidFill>
                    <w14:schemeClr w14:val="tx1"/>
                  </w14:solidFill>
                </w14:textFill>
              </w:rPr>
              <w:t>当拆解过程发生铅酸蓄电池</w:t>
            </w:r>
            <w:r>
              <w:rPr>
                <w:rFonts w:hint="eastAsia" w:ascii="宋体" w:hAnsi="宋体" w:eastAsia="宋体" w:cs="宋体"/>
                <w:color w:val="000000" w:themeColor="text1"/>
                <w:spacing w:val="-2"/>
                <w:sz w:val="24"/>
                <w:szCs w:val="24"/>
                <w14:textFill>
                  <w14:solidFill>
                    <w14:schemeClr w14:val="tx1"/>
                  </w14:solidFill>
                </w14:textFill>
              </w:rPr>
              <w:t>泄漏</w:t>
            </w:r>
            <w:r>
              <w:rPr>
                <w:rFonts w:hint="eastAsia" w:ascii="宋体" w:hAnsi="宋体" w:eastAsia="宋体" w:cs="宋体"/>
                <w:color w:val="000000" w:themeColor="text1"/>
                <w:spacing w:val="-2"/>
                <w:sz w:val="24"/>
                <w:szCs w:val="24"/>
                <w:lang w:val="en-US" w:eastAsia="zh-CN"/>
                <w14:textFill>
                  <w14:solidFill>
                    <w14:schemeClr w14:val="tx1"/>
                  </w14:solidFill>
                </w14:textFill>
              </w:rPr>
              <w:t>时采取以下应急处置措施：</w:t>
            </w:r>
          </w:p>
          <w:p w14:paraId="6028D530">
            <w:pPr>
              <w:pStyle w:val="119"/>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隔离警戒：立即停止拆解作业，在泄漏区域周围设置警示标志，划定10米以内的安全隔离区，无关人员禁止进入；</w:t>
            </w:r>
          </w:p>
          <w:p w14:paraId="74554F96">
            <w:pPr>
              <w:pStyle w:val="119"/>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个人防护：应急处置人员需穿戴耐酸防护服、防护手套、护目镜及防毒面具，避免直接接触泄漏的电解液；</w:t>
            </w:r>
          </w:p>
          <w:p w14:paraId="76628BDF">
            <w:pPr>
              <w:pStyle w:val="119"/>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泄漏控制：若电解液少量泄漏，立即用耐酸吸附材料（如活性炭、蛭石、硅酸钙等）覆盖吸附，禁止直接用水冲洗；需将破损电池转移至耐酸密封容器，防止泄漏扩大。</w:t>
            </w:r>
          </w:p>
          <w:p w14:paraId="21BB5396">
            <w:pPr>
              <w:pStyle w:val="119"/>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密封容器</w:t>
            </w:r>
            <w:r>
              <w:rPr>
                <w:rFonts w:hint="eastAsia" w:ascii="宋体" w:hAnsi="宋体" w:eastAsia="宋体" w:cs="宋体"/>
                <w:color w:val="000000" w:themeColor="text1"/>
                <w:spacing w:val="-2"/>
                <w:sz w:val="24"/>
                <w:szCs w:val="24"/>
                <w:lang w:val="en-US" w:eastAsia="zh-CN"/>
                <w14:textFill>
                  <w14:solidFill>
                    <w14:schemeClr w14:val="tx1"/>
                  </w14:solidFill>
                </w14:textFill>
              </w:rPr>
              <w:t>设置于</w:t>
            </w:r>
            <w:r>
              <w:rPr>
                <w:rFonts w:hint="eastAsia" w:ascii="宋体" w:hAnsi="宋体" w:eastAsia="宋体" w:cs="宋体"/>
                <w:color w:val="000000" w:themeColor="text1"/>
                <w:spacing w:val="-2"/>
                <w:sz w:val="24"/>
                <w:szCs w:val="24"/>
                <w14:textFill>
                  <w14:solidFill>
                    <w14:schemeClr w14:val="tx1"/>
                  </w14:solidFill>
                </w14:textFill>
              </w:rPr>
              <w:t>专用暂存箱内，暂存箱底部设置托盘（容积不低于可能泄漏的电解液总量）；</w:t>
            </w:r>
            <w:r>
              <w:rPr>
                <w:rFonts w:hint="eastAsia" w:ascii="宋体" w:hAnsi="宋体" w:eastAsia="宋体" w:cs="宋体"/>
                <w:color w:val="000000" w:themeColor="text1"/>
                <w:spacing w:val="-2"/>
                <w:sz w:val="24"/>
                <w:szCs w:val="24"/>
                <w:lang w:val="en-US" w:eastAsia="zh-CN"/>
                <w14:textFill>
                  <w14:solidFill>
                    <w14:schemeClr w14:val="tx1"/>
                  </w14:solidFill>
                </w14:textFill>
              </w:rPr>
              <w:t>暂时转运至</w:t>
            </w:r>
            <w:r>
              <w:rPr>
                <w:rFonts w:hint="eastAsia" w:cs="宋体"/>
                <w:color w:val="000000" w:themeColor="text1"/>
                <w:spacing w:val="-2"/>
                <w:sz w:val="24"/>
                <w:szCs w:val="24"/>
                <w:lang w:val="en-US" w:eastAsia="zh-CN"/>
                <w14:textFill>
                  <w14:solidFill>
                    <w14:schemeClr w14:val="tx1"/>
                  </w14:solidFill>
                </w14:textFill>
              </w:rPr>
              <w:t>暂存库</w:t>
            </w:r>
            <w:r>
              <w:rPr>
                <w:rFonts w:hint="eastAsia" w:ascii="宋体" w:hAnsi="宋体" w:eastAsia="宋体" w:cs="宋体"/>
                <w:color w:val="000000" w:themeColor="text1"/>
                <w:spacing w:val="-2"/>
                <w:sz w:val="24"/>
                <w:szCs w:val="24"/>
                <w:lang w:val="en-US" w:eastAsia="zh-CN"/>
                <w14:textFill>
                  <w14:solidFill>
                    <w14:schemeClr w14:val="tx1"/>
                  </w14:solidFill>
                </w14:textFill>
              </w:rPr>
              <w:t>，同时</w:t>
            </w:r>
            <w:r>
              <w:rPr>
                <w:rFonts w:hint="eastAsia" w:cs="宋体"/>
                <w:color w:val="000000" w:themeColor="text1"/>
                <w:spacing w:val="-2"/>
                <w:sz w:val="24"/>
                <w:szCs w:val="24"/>
                <w:lang w:eastAsia="zh-CN"/>
                <w14:textFill>
                  <w14:solidFill>
                    <w14:schemeClr w14:val="tx1"/>
                  </w14:solidFill>
                </w14:textFill>
              </w:rPr>
              <w:t>暂存库</w:t>
            </w:r>
            <w:r>
              <w:rPr>
                <w:rFonts w:hint="eastAsia" w:ascii="宋体" w:hAnsi="宋体" w:eastAsia="宋体" w:cs="宋体"/>
                <w:color w:val="000000" w:themeColor="text1"/>
                <w:spacing w:val="-2"/>
                <w:sz w:val="24"/>
                <w:szCs w:val="24"/>
                <w14:textFill>
                  <w14:solidFill>
                    <w14:schemeClr w14:val="tx1"/>
                  </w14:solidFill>
                </w14:textFill>
              </w:rPr>
              <w:t>需配备泄漏应急处理设备，包括吸附材料、中和剂、耐酸泵、应急密封容器等；</w:t>
            </w:r>
          </w:p>
          <w:p w14:paraId="5BA08BFC">
            <w:pPr>
              <w:pStyle w:val="119"/>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建立破损电池暂存台账，记录电池来源、数量、损坏程度、暂存时间及处置去向，保存期限</w:t>
            </w:r>
            <w:r>
              <w:rPr>
                <w:rFonts w:hint="eastAsia" w:ascii="宋体" w:hAnsi="宋体" w:eastAsia="宋体" w:cs="宋体"/>
                <w:color w:val="000000" w:themeColor="text1"/>
                <w:spacing w:val="-2"/>
                <w:sz w:val="24"/>
                <w:szCs w:val="24"/>
                <w:highlight w:val="none"/>
                <w14:textFill>
                  <w14:solidFill>
                    <w14:schemeClr w14:val="tx1"/>
                  </w14:solidFill>
                </w14:textFill>
              </w:rPr>
              <w:t>少于</w:t>
            </w:r>
            <w:r>
              <w:rPr>
                <w:rFonts w:hint="eastAsia" w:ascii="宋体" w:hAnsi="宋体" w:eastAsia="宋体" w:cs="宋体"/>
                <w:color w:val="000000" w:themeColor="text1"/>
                <w:spacing w:val="-2"/>
                <w:sz w:val="24"/>
                <w:szCs w:val="24"/>
                <w:lang w:val="en-US" w:eastAsia="zh-CN"/>
                <w14:textFill>
                  <w14:solidFill>
                    <w14:schemeClr w14:val="tx1"/>
                  </w14:solidFill>
                </w14:textFill>
              </w:rPr>
              <w:t>1天</w:t>
            </w:r>
            <w:r>
              <w:rPr>
                <w:rFonts w:hint="eastAsia" w:ascii="宋体" w:hAnsi="宋体" w:eastAsia="宋体" w:cs="宋体"/>
                <w:color w:val="000000" w:themeColor="text1"/>
                <w:spacing w:val="-2"/>
                <w:sz w:val="24"/>
                <w:szCs w:val="24"/>
                <w14:textFill>
                  <w14:solidFill>
                    <w14:schemeClr w14:val="tx1"/>
                  </w14:solidFill>
                </w14:textFill>
              </w:rPr>
              <w:t>。</w:t>
            </w:r>
            <w:r>
              <w:rPr>
                <w:rFonts w:hint="eastAsia" w:ascii="宋体" w:hAnsi="宋体" w:eastAsia="宋体" w:cs="宋体"/>
                <w:color w:val="000000" w:themeColor="text1"/>
                <w:spacing w:val="-2"/>
                <w:sz w:val="24"/>
                <w:szCs w:val="24"/>
                <w:lang w:val="en-US" w:eastAsia="zh-CN"/>
                <w14:textFill>
                  <w14:solidFill>
                    <w14:schemeClr w14:val="tx1"/>
                  </w14:solidFill>
                </w14:textFill>
              </w:rPr>
              <w:t>及时与当地专业废铅酸蓄电池贮存场所联系，及时清运。四平光铭再生资源有限公司位于四平经济开发区，</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主要为</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废铅酸电池回收、贮存</w:t>
            </w:r>
            <w:r>
              <w:rPr>
                <w:rFonts w:hint="eastAsia" w:ascii="宋体" w:hAnsi="宋体" w:eastAsia="宋体" w:cs="宋体"/>
                <w:i w:val="0"/>
                <w:caps w:val="0"/>
                <w:color w:val="000000" w:themeColor="text1"/>
                <w:spacing w:val="0"/>
                <w:sz w:val="24"/>
                <w:szCs w:val="24"/>
                <w:highlight w:val="none"/>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已于2018年2月27日经原四平市环境保护局审批，主要为废铅酸蓄电池的回收和暂存，不实施任何电池拆解及后续深加工活动，废铅酸蓄电池最大贮存量为30吨，预计年回收、贮存废铅酸蓄电池1500吨，</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按照环评审批要求配套建成各项污染治理设施，废水经</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p</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H值</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调节</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后</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与生活污水一起</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排</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入市政管网；废气经集中收集、喷淋塔处理后高空排放；</w:t>
            </w:r>
            <w:r>
              <w:rPr>
                <w:rFonts w:hint="eastAsia" w:ascii="宋体" w:hAnsi="宋体" w:eastAsia="宋体" w:cs="宋体"/>
                <w:i w:val="0"/>
                <w:caps w:val="0"/>
                <w:color w:val="000000" w:themeColor="text1"/>
                <w:spacing w:val="0"/>
                <w:sz w:val="24"/>
                <w:szCs w:val="24"/>
                <w:highlight w:val="none"/>
                <w:shd w:val="clear" w:fill="FFFFFF"/>
                <w14:textFill>
                  <w14:solidFill>
                    <w14:schemeClr w14:val="tx1"/>
                  </w14:solidFill>
                </w14:textFill>
              </w:rPr>
              <w:t>一般固废分类规范化处置，危险废物交有资质单位处置。</w:t>
            </w:r>
            <w:r>
              <w:rPr>
                <w:rFonts w:hint="eastAsia" w:ascii="宋体" w:hAnsi="宋体" w:eastAsia="宋体" w:cs="宋体"/>
                <w:i w:val="0"/>
                <w:caps w:val="0"/>
                <w:color w:val="000000" w:themeColor="text1"/>
                <w:spacing w:val="0"/>
                <w:sz w:val="24"/>
                <w:szCs w:val="24"/>
                <w:highlight w:val="none"/>
                <w:shd w:val="clear" w:fill="FFFFFF"/>
                <w:lang w:val="en-US" w:eastAsia="zh-CN"/>
                <w14:textFill>
                  <w14:solidFill>
                    <w14:schemeClr w14:val="tx1"/>
                  </w14:solidFill>
                </w14:textFill>
              </w:rPr>
              <w:t>贮存能力满足本项目需求，</w:t>
            </w:r>
            <w:r>
              <w:rPr>
                <w:rFonts w:hint="eastAsia" w:ascii="宋体" w:hAnsi="宋体" w:eastAsia="宋体" w:cs="宋体"/>
                <w:color w:val="000000" w:themeColor="text1"/>
                <w:spacing w:val="-2"/>
                <w:sz w:val="24"/>
                <w:szCs w:val="24"/>
                <w:lang w:val="en-US" w:eastAsia="zh-CN"/>
                <w14:textFill>
                  <w14:solidFill>
                    <w14:schemeClr w14:val="tx1"/>
                  </w14:solidFill>
                </w14:textFill>
              </w:rPr>
              <w:t>四平光铭再生资源有限公司环保手续详见附件。</w:t>
            </w:r>
            <w:r>
              <w:rPr>
                <w:rFonts w:hint="eastAsia" w:ascii="宋体" w:hAnsi="宋体" w:eastAsia="宋体" w:cs="宋体"/>
                <w:color w:val="000000" w:themeColor="text1"/>
                <w:sz w:val="24"/>
                <w:szCs w:val="24"/>
                <w:highlight w:val="none"/>
                <w:lang w:val="en-US" w:eastAsia="zh-CN"/>
                <w14:textFill>
                  <w14:solidFill>
                    <w14:schemeClr w14:val="tx1"/>
                  </w14:solidFill>
                </w14:textFill>
              </w:rPr>
              <w:t>公司委托四平市双兴物流有限公司进行废铅酸蓄电池的收集运输。</w:t>
            </w:r>
          </w:p>
          <w:p w14:paraId="4D2ED0E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综上所术，</w:t>
            </w:r>
            <w:r>
              <w:rPr>
                <w:rFonts w:hint="eastAsia" w:ascii="宋体" w:hAnsi="宋体" w:eastAsia="宋体" w:cs="宋体"/>
                <w:color w:val="000000" w:themeColor="text1"/>
                <w:sz w:val="24"/>
                <w:szCs w:val="24"/>
                <w14:textFill>
                  <w14:solidFill>
                    <w14:schemeClr w14:val="tx1"/>
                  </w14:solidFill>
                </w14:textFill>
              </w:rPr>
              <w:t>废机动车拆解下的蓄电池内含有稀硫酸，在拆解过程、贮存过程中，可能会发生蓄电池中的硫酸泄漏。按本项目的拆解工艺，蓄电池仅从车身上拆卸下来，并不对蓄电池本身进行拆解，当遇到破损的蓄电池才有可能出现泄漏的情况。在拆解、贮存过程中可能因泄漏、包装破损等因素而引发对水、大气、土壤的污染事故。因此，建设单位</w:t>
            </w:r>
            <w:r>
              <w:rPr>
                <w:rFonts w:hint="eastAsia" w:ascii="宋体" w:hAnsi="宋体" w:eastAsia="宋体" w:cs="宋体"/>
                <w:color w:val="000000" w:themeColor="text1"/>
                <w:sz w:val="24"/>
                <w:szCs w:val="24"/>
                <w:lang w:val="en-US" w:eastAsia="zh-CN"/>
                <w14:textFill>
                  <w14:solidFill>
                    <w14:schemeClr w14:val="tx1"/>
                  </w14:solidFill>
                </w14:textFill>
              </w:rPr>
              <w:t>发现铅酸蓄电池有破损时，采取相应应急措施，及时清运，且</w:t>
            </w:r>
            <w:r>
              <w:rPr>
                <w:rFonts w:hint="eastAsia" w:ascii="宋体" w:hAnsi="宋体" w:eastAsia="宋体" w:cs="宋体"/>
                <w:color w:val="000000" w:themeColor="text1"/>
                <w:sz w:val="24"/>
                <w:szCs w:val="24"/>
                <w14:textFill>
                  <w14:solidFill>
                    <w14:schemeClr w14:val="tx1"/>
                  </w14:solidFill>
                </w14:textFill>
              </w:rPr>
              <w:t>在蓄电池的危废储存间设置围堰或导流沟，地面设置防腐防渗层，当发生泄漏事故，由于围堰的作用，泄漏液体都集中在围堰内，发生事故性泄漏时并不会直接排入环境，故项目蓄电池发生泄漏时不会对周围土壤和水环境造成严重影响。</w:t>
            </w:r>
          </w:p>
          <w:p w14:paraId="5DF2FA2E">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2"/>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火灾风险防范措施</w:t>
            </w:r>
          </w:p>
          <w:p w14:paraId="2D3429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由于企业汽车拆解过程中产生危险废物以及具有环境风险的一般固废，因此应加强企业火灾风险防范措施</w:t>
            </w:r>
          </w:p>
          <w:p w14:paraId="05618D2B">
            <w:pPr>
              <w:pStyle w:val="119"/>
              <w:keepNext w:val="0"/>
              <w:keepLines w:val="0"/>
              <w:pageBreakBefore w:val="0"/>
              <w:widowControl w:val="0"/>
              <w:kinsoku/>
              <w:wordWrap/>
              <w:overflowPunct/>
              <w:topLinePunct w:val="0"/>
              <w:autoSpaceDE/>
              <w:autoSpaceDN/>
              <w:bidi w:val="0"/>
              <w:adjustRightInd/>
              <w:snapToGrid/>
              <w:spacing w:line="360" w:lineRule="auto"/>
              <w:ind w:left="107" w:right="22" w:firstLine="479"/>
              <w:textAlignment w:val="auto"/>
              <w:rPr>
                <w:color w:val="000000" w:themeColor="text1"/>
                <w:sz w:val="24"/>
                <w:szCs w:val="24"/>
                <w14:textFill>
                  <w14:solidFill>
                    <w14:schemeClr w14:val="tx1"/>
                  </w14:solidFill>
                </w14:textFill>
              </w:rPr>
            </w:pPr>
            <w:r>
              <w:rPr>
                <w:color w:val="000000" w:themeColor="text1"/>
                <w:spacing w:val="-3"/>
                <w:sz w:val="24"/>
                <w:szCs w:val="24"/>
                <w14:textFill>
                  <w14:solidFill>
                    <w14:schemeClr w14:val="tx1"/>
                  </w14:solidFill>
                </w14:textFill>
              </w:rPr>
              <w:t>① 加强设备选型，严格按规范要求执行。生产工艺进行充分考虑防火分隔、</w:t>
            </w:r>
            <w:r>
              <w:rPr>
                <w:color w:val="000000" w:themeColor="text1"/>
                <w:spacing w:val="-2"/>
                <w:sz w:val="24"/>
                <w:szCs w:val="24"/>
                <w14:textFill>
                  <w14:solidFill>
                    <w14:schemeClr w14:val="tx1"/>
                  </w14:solidFill>
                </w14:textFill>
              </w:rPr>
              <w:t>通风、防泄漏、消防设施等因素。同时对设备、电气的防爆要求和电器线路的防</w:t>
            </w:r>
            <w:r>
              <w:rPr>
                <w:color w:val="000000" w:themeColor="text1"/>
                <w:spacing w:val="-1"/>
                <w:sz w:val="24"/>
                <w:szCs w:val="24"/>
                <w14:textFill>
                  <w14:solidFill>
                    <w14:schemeClr w14:val="tx1"/>
                  </w14:solidFill>
                </w14:textFill>
              </w:rPr>
              <w:t>爆处理要严格把关，从而消除先天性火灾隐患。</w:t>
            </w:r>
          </w:p>
          <w:p w14:paraId="4B5DFD2E">
            <w:pPr>
              <w:pStyle w:val="119"/>
              <w:keepNext w:val="0"/>
              <w:keepLines w:val="0"/>
              <w:pageBreakBefore w:val="0"/>
              <w:widowControl w:val="0"/>
              <w:kinsoku/>
              <w:wordWrap/>
              <w:overflowPunct/>
              <w:topLinePunct w:val="0"/>
              <w:autoSpaceDE/>
              <w:autoSpaceDN/>
              <w:bidi w:val="0"/>
              <w:adjustRightInd/>
              <w:snapToGrid/>
              <w:spacing w:line="360" w:lineRule="auto"/>
              <w:ind w:left="113" w:right="102" w:firstLine="472"/>
              <w:textAlignment w:val="auto"/>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② 加强企业风险管理。企业的安全生产管理极为重要，必须建立各项安全</w:t>
            </w:r>
            <w:r>
              <w:rPr>
                <w:color w:val="000000" w:themeColor="text1"/>
                <w:spacing w:val="-2"/>
                <w:sz w:val="24"/>
                <w:szCs w:val="24"/>
                <w14:textFill>
                  <w14:solidFill>
                    <w14:schemeClr w14:val="tx1"/>
                  </w14:solidFill>
                </w14:textFill>
              </w:rPr>
              <w:t>管理制度并完善安全操作规程，定期进行安全检查和停车检修，及时消除火灾隐</w:t>
            </w:r>
            <w:r>
              <w:rPr>
                <w:color w:val="000000" w:themeColor="text1"/>
                <w:spacing w:val="-1"/>
                <w:sz w:val="24"/>
                <w:szCs w:val="24"/>
                <w14:textFill>
                  <w14:solidFill>
                    <w14:schemeClr w14:val="tx1"/>
                  </w14:solidFill>
                </w14:textFill>
              </w:rPr>
              <w:t>患，同时加强对人员的管理，严防违章操作和违反消防安全管理的行为。</w:t>
            </w:r>
          </w:p>
          <w:p w14:paraId="1121DB73">
            <w:pPr>
              <w:pStyle w:val="119"/>
              <w:keepNext w:val="0"/>
              <w:keepLines w:val="0"/>
              <w:pageBreakBefore w:val="0"/>
              <w:widowControl w:val="0"/>
              <w:kinsoku/>
              <w:wordWrap/>
              <w:overflowPunct/>
              <w:topLinePunct w:val="0"/>
              <w:autoSpaceDE/>
              <w:autoSpaceDN/>
              <w:bidi w:val="0"/>
              <w:adjustRightInd/>
              <w:snapToGrid/>
              <w:spacing w:line="360" w:lineRule="auto"/>
              <w:ind w:left="110" w:right="102" w:firstLine="475"/>
              <w:textAlignment w:val="auto"/>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③ 按要求做好关键环节防静电处理工作。生产的设备做好静电接地，接地</w:t>
            </w:r>
            <w:r>
              <w:rPr>
                <w:color w:val="000000" w:themeColor="text1"/>
                <w:spacing w:val="-2"/>
                <w:sz w:val="24"/>
                <w:szCs w:val="24"/>
                <w14:textFill>
                  <w14:solidFill>
                    <w14:schemeClr w14:val="tx1"/>
                  </w14:solidFill>
                </w14:textFill>
              </w:rPr>
              <w:t>点牢固，丝扣连接的部位当电阻值过大时充分利用跨接，使整个生产过程中的设</w:t>
            </w:r>
            <w:r>
              <w:rPr>
                <w:color w:val="000000" w:themeColor="text1"/>
                <w:spacing w:val="-1"/>
                <w:sz w:val="24"/>
                <w:szCs w:val="24"/>
                <w14:textFill>
                  <w14:solidFill>
                    <w14:schemeClr w14:val="tx1"/>
                  </w14:solidFill>
                </w14:textFill>
              </w:rPr>
              <w:t>备和管线的接地电阻值不大于规范要求。</w:t>
            </w:r>
          </w:p>
          <w:p w14:paraId="13A3C646">
            <w:pPr>
              <w:pStyle w:val="119"/>
              <w:keepNext w:val="0"/>
              <w:keepLines w:val="0"/>
              <w:pageBreakBefore w:val="0"/>
              <w:widowControl w:val="0"/>
              <w:kinsoku/>
              <w:wordWrap/>
              <w:overflowPunct/>
              <w:topLinePunct w:val="0"/>
              <w:autoSpaceDE/>
              <w:autoSpaceDN/>
              <w:bidi w:val="0"/>
              <w:adjustRightInd/>
              <w:snapToGrid/>
              <w:spacing w:line="360" w:lineRule="auto"/>
              <w:ind w:left="108" w:right="102" w:firstLine="477"/>
              <w:textAlignment w:val="auto"/>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④ 加强员工安全培训。对从业人员经常进行消防安全教育，使之熟练掌握</w:t>
            </w:r>
            <w:r>
              <w:rPr>
                <w:color w:val="000000" w:themeColor="text1"/>
                <w:spacing w:val="-2"/>
                <w:sz w:val="24"/>
                <w:szCs w:val="24"/>
                <w14:textFill>
                  <w14:solidFill>
                    <w14:schemeClr w14:val="tx1"/>
                  </w14:solidFill>
                </w14:textFill>
              </w:rPr>
              <w:t>本行业安全操作规程。同时，经常进行有针对性的灭火演练，使他们熟悉本行业</w:t>
            </w:r>
            <w:r>
              <w:rPr>
                <w:color w:val="000000" w:themeColor="text1"/>
                <w:spacing w:val="-1"/>
                <w:sz w:val="24"/>
                <w:szCs w:val="24"/>
                <w14:textFill>
                  <w14:solidFill>
                    <w14:schemeClr w14:val="tx1"/>
                  </w14:solidFill>
                </w14:textFill>
              </w:rPr>
              <w:t>火灾扑救和逃生的基本方法。</w:t>
            </w:r>
          </w:p>
          <w:p w14:paraId="3AFC28AF">
            <w:pPr>
              <w:pStyle w:val="119"/>
              <w:keepNext w:val="0"/>
              <w:keepLines w:val="0"/>
              <w:pageBreakBefore w:val="0"/>
              <w:widowControl w:val="0"/>
              <w:kinsoku/>
              <w:wordWrap/>
              <w:overflowPunct/>
              <w:topLinePunct w:val="0"/>
              <w:autoSpaceDE/>
              <w:autoSpaceDN/>
              <w:bidi w:val="0"/>
              <w:adjustRightInd/>
              <w:snapToGrid/>
              <w:spacing w:line="360" w:lineRule="auto"/>
              <w:ind w:left="111" w:right="102" w:firstLine="474"/>
              <w:textAlignment w:val="auto"/>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⑤ 完善消防设施。完善的消防设备可以在火灾初起时有效地完成预警以及</w:t>
            </w:r>
            <w:r>
              <w:rPr>
                <w:color w:val="000000" w:themeColor="text1"/>
                <w:spacing w:val="-2"/>
                <w:sz w:val="24"/>
                <w:szCs w:val="24"/>
                <w14:textFill>
                  <w14:solidFill>
                    <w14:schemeClr w14:val="tx1"/>
                  </w14:solidFill>
                </w14:textFill>
              </w:rPr>
              <w:t>灭火任务，可以在一定程度上避免火灾的发生或减少火灾造成的损失。必须对消</w:t>
            </w:r>
            <w:r>
              <w:rPr>
                <w:color w:val="000000" w:themeColor="text1"/>
                <w:spacing w:val="-1"/>
                <w:sz w:val="24"/>
                <w:szCs w:val="24"/>
                <w14:textFill>
                  <w14:solidFill>
                    <w14:schemeClr w14:val="tx1"/>
                  </w14:solidFill>
                </w14:textFill>
              </w:rPr>
              <w:t>防设施加以完善，同时定期进行适用性检修，保持完好状态。</w:t>
            </w:r>
          </w:p>
          <w:p w14:paraId="7F05624C">
            <w:pPr>
              <w:pStyle w:val="119"/>
              <w:keepNext w:val="0"/>
              <w:keepLines w:val="0"/>
              <w:pageBreakBefore w:val="0"/>
              <w:widowControl w:val="0"/>
              <w:kinsoku/>
              <w:wordWrap/>
              <w:overflowPunct/>
              <w:topLinePunct w:val="0"/>
              <w:autoSpaceDE/>
              <w:autoSpaceDN/>
              <w:bidi w:val="0"/>
              <w:adjustRightInd/>
              <w:snapToGrid/>
              <w:spacing w:line="360" w:lineRule="auto"/>
              <w:ind w:left="109" w:right="102" w:firstLine="476"/>
              <w:textAlignment w:val="auto"/>
              <w:rPr>
                <w:rFonts w:hint="eastAsia"/>
                <w:color w:val="000000" w:themeColor="text1"/>
                <w14:textFill>
                  <w14:solidFill>
                    <w14:schemeClr w14:val="tx1"/>
                  </w14:solidFill>
                </w14:textFill>
              </w:rPr>
            </w:pPr>
            <w:r>
              <w:rPr>
                <w:color w:val="000000" w:themeColor="text1"/>
                <w:spacing w:val="2"/>
                <w:sz w:val="24"/>
                <w:szCs w:val="24"/>
                <w14:textFill>
                  <w14:solidFill>
                    <w14:schemeClr w14:val="tx1"/>
                  </w14:solidFill>
                </w14:textFill>
              </w:rPr>
              <w:t>⑥ 加强用火管理制度。制定严格的动火审批制度，严格用火管理，避免因</w:t>
            </w:r>
            <w:r>
              <w:rPr>
                <w:color w:val="000000" w:themeColor="text1"/>
                <w:spacing w:val="-1"/>
                <w:sz w:val="24"/>
                <w:szCs w:val="24"/>
                <w14:textFill>
                  <w14:solidFill>
                    <w14:schemeClr w14:val="tx1"/>
                  </w14:solidFill>
                </w14:textFill>
              </w:rPr>
              <w:t>用火不当引起火灾的发生。</w:t>
            </w:r>
          </w:p>
          <w:p w14:paraId="7A479035">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当发生火灾时，为迅速控制火势，消防设施用水进行灭火，将产生消防废水。当发生火灾时，消防废水先进入事故应急池，待火灾过后，再收集此废水进行处理。 </w:t>
            </w:r>
          </w:p>
          <w:p w14:paraId="043C6994">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厂内应设置独立的消防给水，泡沫消防系统，同时在厂区配置一定数量的推车式和手提式干粉火器，以扑灭初起零星火灾，厂区内的办公楼，配电间，拆解车间、存储仓库均置有小型灭火器材，扑救小型火灾，较大的火灾可用厂内的消防栓，消防车等移动消防设备进行灭火并及时通知当地消防部门支援。 </w:t>
            </w:r>
          </w:p>
          <w:p w14:paraId="706CF5CC">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⑦由于消防水在灭火时产生，产生时间短，产生量巨大，不易控制和导向，一般进入火灾厂区雨水管网后直接进入市政雨水管网后进入外界水体环境，从而使带有化学品的消防废水对外界水体环境造成的严重的污染事故，根据这些事故特征，本评价提出如下预防措施： </w:t>
            </w:r>
          </w:p>
          <w:p w14:paraId="40B03959">
            <w:pPr>
              <w:spacing w:line="360" w:lineRule="auto"/>
              <w:ind w:firstLine="482"/>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a.在厂区雨水管网集中汇入基地雨水管网的节点上安装可靠的隔断措施，可在灭火时将此隔断措施关闭，防止消防废水直接进入基地雨水管网；  </w:t>
            </w:r>
          </w:p>
          <w:p w14:paraId="053E2308">
            <w:pPr>
              <w:spacing w:line="360" w:lineRule="auto"/>
              <w:ind w:firstLine="482"/>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b.在厂区边界预先准备适量的沙包，在厂区灭火时堵住厂界围墙有泄漏的地方，防止消防废水向场外泄漏。 </w:t>
            </w:r>
          </w:p>
          <w:p w14:paraId="600FDC4D">
            <w:pPr>
              <w:keepNext w:val="0"/>
              <w:keepLines w:val="0"/>
              <w:pageBreakBefore w:val="0"/>
              <w:widowControl w:val="0"/>
              <w:kinsoku/>
              <w:wordWrap/>
              <w:overflowPunct/>
              <w:topLinePunct w:val="0"/>
              <w:bidi w:val="0"/>
              <w:spacing w:line="360" w:lineRule="auto"/>
              <w:ind w:left="0" w:leftChars="0" w:right="0" w:rightChars="0" w:firstLine="480" w:firstLineChars="200"/>
              <w:jc w:val="both"/>
              <w:textAlignment w:val="auto"/>
              <w:outlineLvl w:val="9"/>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lang w:val="en-US" w:eastAsia="zh-CN"/>
                <w14:textFill>
                  <w14:solidFill>
                    <w14:schemeClr w14:val="tx1"/>
                  </w14:solidFill>
                </w14:textFill>
              </w:rPr>
              <w:t>事故储池</w:t>
            </w:r>
          </w:p>
          <w:p w14:paraId="7B42D4EA">
            <w:pPr>
              <w:keepNext w:val="0"/>
              <w:keepLines w:val="0"/>
              <w:pageBreakBefore w:val="0"/>
              <w:widowControl/>
              <w:kinsoku/>
              <w:wordWrap/>
              <w:overflowPunct/>
              <w:topLinePunct w:val="0"/>
              <w:autoSpaceDE w:val="0"/>
              <w:autoSpaceDN w:val="0"/>
              <w:bidi w:val="0"/>
              <w:adjustRightInd w:val="0"/>
              <w:snapToGrid w:val="0"/>
              <w:spacing w:line="360" w:lineRule="auto"/>
              <w:ind w:firstLine="512"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根据《水体污染防控紧急措施设计导则》7.2 条规定：</w:t>
            </w:r>
          </w:p>
          <w:p w14:paraId="64DBD1B5">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eastAsia="宋体" w:cs="宋体"/>
                <w:color w:val="000000" w:themeColor="text1"/>
                <w:spacing w:val="6"/>
                <w:position w:val="2"/>
                <w:sz w:val="24"/>
                <w:szCs w:val="24"/>
                <w14:textFill>
                  <w14:solidFill>
                    <w14:schemeClr w14:val="tx1"/>
                  </w14:solidFill>
                </w14:textFill>
              </w:rPr>
            </w:pPr>
            <w:r>
              <w:rPr>
                <w:rFonts w:hint="eastAsia" w:ascii="宋体" w:hAnsi="宋体" w:eastAsia="宋体" w:cs="宋体"/>
                <w:color w:val="000000" w:themeColor="text1"/>
                <w:spacing w:val="6"/>
                <w:position w:val="2"/>
                <w:sz w:val="24"/>
                <w:szCs w:val="24"/>
                <w14:textFill>
                  <w14:solidFill>
                    <w14:schemeClr w14:val="tx1"/>
                  </w14:solidFill>
                </w14:textFill>
              </w:rPr>
              <w:t>事故储存设施总有效容积：</w:t>
            </w:r>
          </w:p>
          <w:p w14:paraId="638B810A">
            <w:pPr>
              <w:keepNext w:val="0"/>
              <w:keepLines w:val="0"/>
              <w:pageBreakBefore w:val="0"/>
              <w:widowControl/>
              <w:kinsoku/>
              <w:wordWrap/>
              <w:overflowPunct/>
              <w:topLinePunct w:val="0"/>
              <w:autoSpaceDE w:val="0"/>
              <w:autoSpaceDN w:val="0"/>
              <w:bidi w:val="0"/>
              <w:adjustRightInd w:val="0"/>
              <w:snapToGrid w:val="0"/>
              <w:spacing w:line="360" w:lineRule="auto"/>
              <w:ind w:firstLine="504"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
                <w:position w:val="2"/>
                <w:sz w:val="24"/>
                <w:szCs w:val="24"/>
                <w14:textFill>
                  <w14:solidFill>
                    <w14:schemeClr w14:val="tx1"/>
                  </w14:solidFill>
                </w14:textFill>
              </w:rPr>
              <w:t>V</w:t>
            </w:r>
            <w:r>
              <w:rPr>
                <w:rFonts w:hint="eastAsia" w:ascii="宋体" w:hAnsi="宋体" w:eastAsia="宋体" w:cs="宋体"/>
                <w:color w:val="000000" w:themeColor="text1"/>
                <w:spacing w:val="6"/>
                <w:sz w:val="24"/>
                <w:szCs w:val="24"/>
                <w14:textFill>
                  <w14:solidFill>
                    <w14:schemeClr w14:val="tx1"/>
                  </w14:solidFill>
                </w14:textFill>
              </w:rPr>
              <w:t>总</w:t>
            </w:r>
            <w:r>
              <w:rPr>
                <w:rFonts w:hint="eastAsia" w:ascii="宋体" w:hAnsi="宋体" w:eastAsia="宋体" w:cs="宋体"/>
                <w:color w:val="000000" w:themeColor="text1"/>
                <w:spacing w:val="6"/>
                <w:position w:val="2"/>
                <w:sz w:val="24"/>
                <w:szCs w:val="24"/>
                <w14:textFill>
                  <w14:solidFill>
                    <w14:schemeClr w14:val="tx1"/>
                  </w14:solidFill>
                </w14:textFill>
              </w:rPr>
              <w:t>=（V</w:t>
            </w:r>
            <w:r>
              <w:rPr>
                <w:rFonts w:hint="eastAsia" w:ascii="宋体" w:hAnsi="宋体" w:eastAsia="宋体" w:cs="宋体"/>
                <w:color w:val="000000" w:themeColor="text1"/>
                <w:spacing w:val="6"/>
                <w:position w:val="1"/>
                <w:sz w:val="24"/>
                <w:szCs w:val="24"/>
                <w14:textFill>
                  <w14:solidFill>
                    <w14:schemeClr w14:val="tx1"/>
                  </w14:solidFill>
                </w14:textFill>
              </w:rPr>
              <w:t>1</w:t>
            </w:r>
            <w:r>
              <w:rPr>
                <w:rFonts w:hint="eastAsia" w:ascii="宋体" w:hAnsi="宋体" w:eastAsia="宋体" w:cs="宋体"/>
                <w:color w:val="000000" w:themeColor="text1"/>
                <w:spacing w:val="6"/>
                <w:position w:val="2"/>
                <w:sz w:val="24"/>
                <w:szCs w:val="24"/>
                <w14:textFill>
                  <w14:solidFill>
                    <w14:schemeClr w14:val="tx1"/>
                  </w14:solidFill>
                </w14:textFill>
              </w:rPr>
              <w:t>+V2-V</w:t>
            </w:r>
            <w:r>
              <w:rPr>
                <w:rFonts w:hint="eastAsia" w:ascii="宋体" w:hAnsi="宋体" w:eastAsia="宋体" w:cs="宋体"/>
                <w:color w:val="000000" w:themeColor="text1"/>
                <w:spacing w:val="6"/>
                <w:position w:val="1"/>
                <w:sz w:val="24"/>
                <w:szCs w:val="24"/>
                <w14:textFill>
                  <w14:solidFill>
                    <w14:schemeClr w14:val="tx1"/>
                  </w14:solidFill>
                </w14:textFill>
              </w:rPr>
              <w:t xml:space="preserve">3 </w:t>
            </w:r>
            <w:r>
              <w:rPr>
                <w:rFonts w:hint="eastAsia" w:ascii="宋体" w:hAnsi="宋体" w:eastAsia="宋体" w:cs="宋体"/>
                <w:color w:val="000000" w:themeColor="text1"/>
                <w:spacing w:val="6"/>
                <w:position w:val="2"/>
                <w:sz w:val="24"/>
                <w:szCs w:val="24"/>
                <w14:textFill>
                  <w14:solidFill>
                    <w14:schemeClr w14:val="tx1"/>
                  </w14:solidFill>
                </w14:textFill>
              </w:rPr>
              <w:t>）</w:t>
            </w:r>
            <w:r>
              <w:rPr>
                <w:rFonts w:hint="eastAsia" w:ascii="宋体" w:hAnsi="宋体" w:eastAsia="宋体" w:cs="宋体"/>
                <w:color w:val="000000" w:themeColor="text1"/>
                <w:position w:val="2"/>
                <w:sz w:val="24"/>
                <w:szCs w:val="24"/>
                <w14:textFill>
                  <w14:solidFill>
                    <w14:schemeClr w14:val="tx1"/>
                  </w14:solidFill>
                </w14:textFill>
              </w:rPr>
              <w:t>max</w:t>
            </w:r>
            <w:r>
              <w:rPr>
                <w:rFonts w:hint="eastAsia" w:ascii="宋体" w:hAnsi="宋体" w:eastAsia="宋体" w:cs="宋体"/>
                <w:color w:val="000000" w:themeColor="text1"/>
                <w:spacing w:val="6"/>
                <w:position w:val="2"/>
                <w:sz w:val="24"/>
                <w:szCs w:val="24"/>
                <w14:textFill>
                  <w14:solidFill>
                    <w14:schemeClr w14:val="tx1"/>
                  </w14:solidFill>
                </w14:textFill>
              </w:rPr>
              <w:t>+V</w:t>
            </w:r>
            <w:r>
              <w:rPr>
                <w:rFonts w:hint="eastAsia" w:ascii="宋体" w:hAnsi="宋体" w:eastAsia="宋体" w:cs="宋体"/>
                <w:color w:val="000000" w:themeColor="text1"/>
                <w:spacing w:val="6"/>
                <w:position w:val="1"/>
                <w:sz w:val="24"/>
                <w:szCs w:val="24"/>
                <w14:textFill>
                  <w14:solidFill>
                    <w14:schemeClr w14:val="tx1"/>
                  </w14:solidFill>
                </w14:textFill>
              </w:rPr>
              <w:t>4</w:t>
            </w:r>
            <w:r>
              <w:rPr>
                <w:rFonts w:hint="eastAsia" w:ascii="宋体" w:hAnsi="宋体" w:eastAsia="宋体" w:cs="宋体"/>
                <w:color w:val="000000" w:themeColor="text1"/>
                <w:spacing w:val="6"/>
                <w:position w:val="2"/>
                <w:sz w:val="24"/>
                <w:szCs w:val="24"/>
                <w14:textFill>
                  <w14:solidFill>
                    <w14:schemeClr w14:val="tx1"/>
                  </w14:solidFill>
                </w14:textFill>
              </w:rPr>
              <w:t>+V</w:t>
            </w:r>
            <w:r>
              <w:rPr>
                <w:rFonts w:hint="eastAsia" w:ascii="宋体" w:hAnsi="宋体" w:eastAsia="宋体" w:cs="宋体"/>
                <w:color w:val="000000" w:themeColor="text1"/>
                <w:spacing w:val="6"/>
                <w:sz w:val="24"/>
                <w:szCs w:val="24"/>
                <w14:textFill>
                  <w14:solidFill>
                    <w14:schemeClr w14:val="tx1"/>
                  </w14:solidFill>
                </w14:textFill>
              </w:rPr>
              <w:t>雨</w:t>
            </w:r>
          </w:p>
          <w:p w14:paraId="6A571E77">
            <w:pPr>
              <w:keepNext w:val="0"/>
              <w:keepLines w:val="0"/>
              <w:pageBreakBefore w:val="0"/>
              <w:widowControl/>
              <w:kinsoku/>
              <w:wordWrap/>
              <w:overflowPunct/>
              <w:topLinePunct w:val="0"/>
              <w:autoSpaceDE w:val="0"/>
              <w:autoSpaceDN w:val="0"/>
              <w:bidi w:val="0"/>
              <w:adjustRightInd w:val="0"/>
              <w:snapToGrid w:val="0"/>
              <w:spacing w:line="360" w:lineRule="auto"/>
              <w:ind w:firstLine="508"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其中（V</w:t>
            </w:r>
            <w:r>
              <w:rPr>
                <w:rFonts w:hint="eastAsia" w:ascii="宋体" w:hAnsi="宋体" w:eastAsia="宋体" w:cs="宋体"/>
                <w:color w:val="000000" w:themeColor="text1"/>
                <w:spacing w:val="7"/>
                <w:position w:val="-1"/>
                <w:sz w:val="24"/>
                <w:szCs w:val="24"/>
                <w14:textFill>
                  <w14:solidFill>
                    <w14:schemeClr w14:val="tx1"/>
                  </w14:solidFill>
                </w14:textFill>
              </w:rPr>
              <w:t>1</w:t>
            </w:r>
            <w:r>
              <w:rPr>
                <w:rFonts w:hint="eastAsia" w:ascii="宋体" w:hAnsi="宋体" w:eastAsia="宋体" w:cs="宋体"/>
                <w:color w:val="000000" w:themeColor="text1"/>
                <w:spacing w:val="7"/>
                <w:sz w:val="24"/>
                <w:szCs w:val="24"/>
                <w14:textFill>
                  <w14:solidFill>
                    <w14:schemeClr w14:val="tx1"/>
                  </w14:solidFill>
                </w14:textFill>
              </w:rPr>
              <w:t>+V2-V</w:t>
            </w:r>
            <w:r>
              <w:rPr>
                <w:rFonts w:hint="eastAsia" w:ascii="宋体" w:hAnsi="宋体" w:eastAsia="宋体" w:cs="宋体"/>
                <w:color w:val="000000" w:themeColor="text1"/>
                <w:spacing w:val="7"/>
                <w:position w:val="-1"/>
                <w:sz w:val="24"/>
                <w:szCs w:val="24"/>
                <w14:textFill>
                  <w14:solidFill>
                    <w14:schemeClr w14:val="tx1"/>
                  </w14:solidFill>
                </w14:textFill>
              </w:rPr>
              <w:t>3</w:t>
            </w:r>
            <w:r>
              <w:rPr>
                <w:rFonts w:hint="eastAsia" w:ascii="宋体" w:hAnsi="宋体" w:eastAsia="宋体" w:cs="宋体"/>
                <w:color w:val="000000" w:themeColor="text1"/>
                <w:spacing w:val="7"/>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max</w:t>
            </w:r>
            <w:r>
              <w:rPr>
                <w:rFonts w:hint="eastAsia" w:ascii="宋体" w:hAnsi="宋体" w:eastAsia="宋体" w:cs="宋体"/>
                <w:color w:val="000000" w:themeColor="text1"/>
                <w:spacing w:val="7"/>
                <w:sz w:val="24"/>
                <w:szCs w:val="24"/>
                <w14:textFill>
                  <w14:solidFill>
                    <w14:schemeClr w14:val="tx1"/>
                  </w14:solidFill>
                </w14:textFill>
              </w:rPr>
              <w:t>是指对收集系统范围内不同罐组或装置分别计</w:t>
            </w:r>
            <w:r>
              <w:rPr>
                <w:rFonts w:hint="eastAsia" w:ascii="宋体" w:hAnsi="宋体" w:eastAsia="宋体" w:cs="宋体"/>
                <w:color w:val="000000" w:themeColor="text1"/>
                <w:spacing w:val="6"/>
                <w:sz w:val="24"/>
                <w:szCs w:val="24"/>
                <w14:textFill>
                  <w14:solidFill>
                    <w14:schemeClr w14:val="tx1"/>
                  </w14:solidFill>
                </w14:textFill>
              </w:rPr>
              <w:t>算</w:t>
            </w:r>
            <w:r>
              <w:rPr>
                <w:rFonts w:hint="eastAsia" w:ascii="宋体" w:hAnsi="宋体" w:eastAsia="宋体" w:cs="宋体"/>
                <w:color w:val="000000" w:themeColor="text1"/>
                <w:spacing w:val="-45"/>
                <w:sz w:val="24"/>
                <w:szCs w:val="24"/>
                <w14:textFill>
                  <w14:solidFill>
                    <w14:schemeClr w14:val="tx1"/>
                  </w14:solidFill>
                </w14:textFill>
              </w:rPr>
              <w:t xml:space="preserve"> </w:t>
            </w:r>
            <w:r>
              <w:rPr>
                <w:rFonts w:hint="eastAsia" w:ascii="宋体" w:hAnsi="宋体" w:eastAsia="宋体" w:cs="宋体"/>
                <w:color w:val="000000" w:themeColor="text1"/>
                <w:spacing w:val="6"/>
                <w:sz w:val="24"/>
                <w:szCs w:val="24"/>
                <w14:textFill>
                  <w14:solidFill>
                    <w14:schemeClr w14:val="tx1"/>
                  </w14:solidFill>
                </w14:textFill>
              </w:rPr>
              <w:t>V</w:t>
            </w:r>
            <w:r>
              <w:rPr>
                <w:rFonts w:hint="eastAsia" w:ascii="宋体" w:hAnsi="宋体" w:eastAsia="宋体" w:cs="宋体"/>
                <w:color w:val="000000" w:themeColor="text1"/>
                <w:spacing w:val="6"/>
                <w:position w:val="-1"/>
                <w:sz w:val="24"/>
                <w:szCs w:val="24"/>
                <w14:textFill>
                  <w14:solidFill>
                    <w14:schemeClr w14:val="tx1"/>
                  </w14:solidFill>
                </w14:textFill>
              </w:rPr>
              <w:t>1</w:t>
            </w:r>
            <w:r>
              <w:rPr>
                <w:rFonts w:hint="eastAsia" w:ascii="宋体" w:hAnsi="宋体" w:eastAsia="宋体" w:cs="宋体"/>
                <w:color w:val="000000" w:themeColor="text1"/>
                <w:spacing w:val="6"/>
                <w:sz w:val="24"/>
                <w:szCs w:val="24"/>
                <w14:textFill>
                  <w14:solidFill>
                    <w14:schemeClr w14:val="tx1"/>
                  </w14:solidFill>
                </w14:textFill>
              </w:rPr>
              <w:t>+V2-V</w:t>
            </w:r>
            <w:r>
              <w:rPr>
                <w:rFonts w:hint="eastAsia" w:ascii="宋体" w:hAnsi="宋体" w:eastAsia="宋体" w:cs="宋体"/>
                <w:color w:val="000000" w:themeColor="text1"/>
                <w:spacing w:val="6"/>
                <w:position w:val="-1"/>
                <w:sz w:val="24"/>
                <w:szCs w:val="24"/>
                <w14:textFill>
                  <w14:solidFill>
                    <w14:schemeClr w14:val="tx1"/>
                  </w14:solidFill>
                </w14:textFill>
              </w:rPr>
              <w:t>3</w:t>
            </w:r>
            <w:r>
              <w:rPr>
                <w:rFonts w:hint="eastAsia" w:ascii="宋体" w:hAnsi="宋体" w:eastAsia="宋体" w:cs="宋体"/>
                <w:color w:val="000000" w:themeColor="text1"/>
                <w:spacing w:val="-9"/>
                <w:position w:val="-1"/>
                <w:sz w:val="24"/>
                <w:szCs w:val="24"/>
                <w14:textFill>
                  <w14:solidFill>
                    <w14:schemeClr w14:val="tx1"/>
                  </w14:solidFill>
                </w14:textFill>
              </w:rPr>
              <w:t xml:space="preserve"> </w:t>
            </w:r>
            <w:r>
              <w:rPr>
                <w:rFonts w:hint="eastAsia" w:ascii="宋体" w:hAnsi="宋体" w:eastAsia="宋体" w:cs="宋体"/>
                <w:color w:val="000000" w:themeColor="text1"/>
                <w:spacing w:val="6"/>
                <w:sz w:val="24"/>
                <w:szCs w:val="24"/>
                <w14:textFill>
                  <w14:solidFill>
                    <w14:schemeClr w14:val="tx1"/>
                  </w14:solidFill>
                </w14:textFill>
              </w:rPr>
              <w:t>，取其中最</w:t>
            </w:r>
            <w:r>
              <w:rPr>
                <w:rFonts w:hint="eastAsia" w:ascii="宋体" w:hAnsi="宋体" w:eastAsia="宋体" w:cs="宋体"/>
                <w:color w:val="000000" w:themeColor="text1"/>
                <w:spacing w:val="2"/>
                <w:sz w:val="24"/>
                <w:szCs w:val="24"/>
                <w14:textFill>
                  <w14:solidFill>
                    <w14:schemeClr w14:val="tx1"/>
                  </w14:solidFill>
                </w14:textFill>
              </w:rPr>
              <w:t>大值。</w:t>
            </w:r>
          </w:p>
          <w:p w14:paraId="02A2320F">
            <w:pPr>
              <w:keepNext w:val="0"/>
              <w:keepLines w:val="0"/>
              <w:pageBreakBefore w:val="0"/>
              <w:widowControl/>
              <w:kinsoku/>
              <w:wordWrap/>
              <w:overflowPunct/>
              <w:topLinePunct w:val="0"/>
              <w:autoSpaceDE w:val="0"/>
              <w:autoSpaceDN w:val="0"/>
              <w:bidi w:val="0"/>
              <w:adjustRightInd w:val="0"/>
              <w:snapToGrid w:val="0"/>
              <w:spacing w:line="360" w:lineRule="auto"/>
              <w:ind w:firstLine="516"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V</w:t>
            </w:r>
            <w:r>
              <w:rPr>
                <w:rFonts w:hint="eastAsia" w:ascii="宋体" w:hAnsi="宋体" w:eastAsia="宋体" w:cs="宋体"/>
                <w:color w:val="000000" w:themeColor="text1"/>
                <w:spacing w:val="9"/>
                <w:position w:val="-1"/>
                <w:sz w:val="24"/>
                <w:szCs w:val="24"/>
                <w14:textFill>
                  <w14:solidFill>
                    <w14:schemeClr w14:val="tx1"/>
                  </w14:solidFill>
                </w14:textFill>
              </w:rPr>
              <w:t>1</w:t>
            </w:r>
            <w:r>
              <w:rPr>
                <w:rFonts w:hint="eastAsia" w:ascii="宋体" w:hAnsi="宋体" w:eastAsia="宋体" w:cs="宋体"/>
                <w:color w:val="000000" w:themeColor="text1"/>
                <w:spacing w:val="9"/>
                <w:sz w:val="24"/>
                <w:szCs w:val="24"/>
                <w14:textFill>
                  <w14:solidFill>
                    <w14:schemeClr w14:val="tx1"/>
                  </w14:solidFill>
                </w14:textFill>
              </w:rPr>
              <w:t>—收集系统范围内发生事故的一个储罐或一套装置的泄漏的物料量（</w:t>
            </w:r>
            <w:r>
              <w:rPr>
                <w:rFonts w:hint="eastAsia" w:ascii="宋体" w:hAnsi="宋体" w:eastAsia="宋体" w:cs="宋体"/>
                <w:color w:val="000000" w:themeColor="text1"/>
                <w:spacing w:val="8"/>
                <w:sz w:val="24"/>
                <w:szCs w:val="24"/>
                <w14:textFill>
                  <w14:solidFill>
                    <w14:schemeClr w14:val="tx1"/>
                  </w14:solidFill>
                </w14:textFill>
              </w:rPr>
              <w:t>m</w:t>
            </w:r>
            <w:r>
              <w:rPr>
                <w:rFonts w:hint="eastAsia" w:ascii="宋体" w:hAnsi="宋体" w:eastAsia="宋体" w:cs="宋体"/>
                <w:color w:val="000000" w:themeColor="text1"/>
                <w:spacing w:val="8"/>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pacing w:val="-13"/>
                <w:sz w:val="24"/>
                <w:szCs w:val="24"/>
                <w14:textFill>
                  <w14:solidFill>
                    <w14:schemeClr w14:val="tx1"/>
                  </w14:solidFill>
                </w14:textFill>
              </w:rPr>
              <w:t>）；</w:t>
            </w:r>
          </w:p>
          <w:p w14:paraId="5B21FDA4">
            <w:pPr>
              <w:keepNext w:val="0"/>
              <w:keepLines w:val="0"/>
              <w:pageBreakBefore w:val="0"/>
              <w:widowControl/>
              <w:kinsoku/>
              <w:wordWrap/>
              <w:overflowPunct/>
              <w:topLinePunct w:val="0"/>
              <w:autoSpaceDE w:val="0"/>
              <w:autoSpaceDN w:val="0"/>
              <w:bidi w:val="0"/>
              <w:adjustRightInd w:val="0"/>
              <w:snapToGrid w:val="0"/>
              <w:spacing w:line="360" w:lineRule="auto"/>
              <w:ind w:left="20" w:firstLine="4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注：储存相同物料的罐组按一个最大储罐计，装置物料量按存留最大物料量的一台反应器或</w:t>
            </w:r>
            <w:r>
              <w:rPr>
                <w:rFonts w:hint="eastAsia" w:ascii="宋体" w:hAnsi="宋体" w:eastAsia="宋体" w:cs="宋体"/>
                <w:color w:val="000000" w:themeColor="text1"/>
                <w:spacing w:val="3"/>
                <w:sz w:val="24"/>
                <w:szCs w:val="24"/>
                <w14:textFill>
                  <w14:solidFill>
                    <w14:schemeClr w14:val="tx1"/>
                  </w14:solidFill>
                </w14:textFill>
              </w:rPr>
              <w:t>中间储罐计；</w:t>
            </w:r>
          </w:p>
          <w:p w14:paraId="5C3AF8BC">
            <w:pPr>
              <w:keepNext w:val="0"/>
              <w:keepLines w:val="0"/>
              <w:pageBreakBefore w:val="0"/>
              <w:widowControl/>
              <w:kinsoku/>
              <w:wordWrap/>
              <w:overflowPunct/>
              <w:topLinePunct w:val="0"/>
              <w:autoSpaceDE w:val="0"/>
              <w:autoSpaceDN w:val="0"/>
              <w:bidi w:val="0"/>
              <w:adjustRightInd w:val="0"/>
              <w:snapToGrid w:val="0"/>
              <w:spacing w:line="360" w:lineRule="auto"/>
              <w:ind w:left="41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V</w:t>
            </w:r>
            <w:r>
              <w:rPr>
                <w:rFonts w:hint="eastAsia" w:ascii="宋体" w:hAnsi="宋体" w:eastAsia="宋体" w:cs="宋体"/>
                <w:color w:val="000000" w:themeColor="text1"/>
                <w:spacing w:val="8"/>
                <w:position w:val="-1"/>
                <w:sz w:val="24"/>
                <w:szCs w:val="24"/>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—发生事故的储罐或装置的消防水量（m</w:t>
            </w:r>
            <w:r>
              <w:rPr>
                <w:rFonts w:hint="eastAsia" w:ascii="宋体" w:hAnsi="宋体" w:eastAsia="宋体" w:cs="宋体"/>
                <w:color w:val="000000" w:themeColor="text1"/>
                <w:spacing w:val="8"/>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pacing w:val="-9"/>
                <w:sz w:val="24"/>
                <w:szCs w:val="24"/>
                <w14:textFill>
                  <w14:solidFill>
                    <w14:schemeClr w14:val="tx1"/>
                  </w14:solidFill>
                </w14:textFill>
              </w:rPr>
              <w:t>）；</w:t>
            </w:r>
          </w:p>
          <w:p w14:paraId="05E91E90">
            <w:pPr>
              <w:keepNext w:val="0"/>
              <w:keepLines w:val="0"/>
              <w:pageBreakBefore w:val="0"/>
              <w:widowControl/>
              <w:kinsoku/>
              <w:wordWrap/>
              <w:overflowPunct/>
              <w:topLinePunct w:val="0"/>
              <w:autoSpaceDE w:val="0"/>
              <w:autoSpaceDN w:val="0"/>
              <w:bidi w:val="0"/>
              <w:adjustRightInd w:val="0"/>
              <w:snapToGrid w:val="0"/>
              <w:spacing w:line="360" w:lineRule="auto"/>
              <w:ind w:left="41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position w:val="4"/>
                <w:sz w:val="24"/>
                <w:szCs w:val="24"/>
                <w14:textFill>
                  <w14:solidFill>
                    <w14:schemeClr w14:val="tx1"/>
                  </w14:solidFill>
                </w14:textFill>
              </w:rPr>
              <w:t>V</w:t>
            </w:r>
            <w:r>
              <w:rPr>
                <w:rFonts w:hint="eastAsia" w:ascii="宋体" w:hAnsi="宋体" w:eastAsia="宋体" w:cs="宋体"/>
                <w:color w:val="000000" w:themeColor="text1"/>
                <w:spacing w:val="2"/>
                <w:position w:val="3"/>
                <w:sz w:val="24"/>
                <w:szCs w:val="24"/>
                <w14:textFill>
                  <w14:solidFill>
                    <w14:schemeClr w14:val="tx1"/>
                  </w14:solidFill>
                </w14:textFill>
              </w:rPr>
              <w:t>2</w:t>
            </w:r>
            <w:r>
              <w:rPr>
                <w:rFonts w:hint="eastAsia" w:ascii="宋体" w:hAnsi="宋体" w:eastAsia="宋体" w:cs="宋体"/>
                <w:color w:val="000000" w:themeColor="text1"/>
                <w:spacing w:val="2"/>
                <w:position w:val="4"/>
                <w:sz w:val="24"/>
                <w:szCs w:val="24"/>
                <w14:textFill>
                  <w14:solidFill>
                    <w14:schemeClr w14:val="tx1"/>
                  </w14:solidFill>
                </w14:textFill>
              </w:rPr>
              <w:t>=Q</w:t>
            </w:r>
            <w:r>
              <w:rPr>
                <w:rFonts w:hint="eastAsia" w:ascii="宋体" w:hAnsi="宋体" w:eastAsia="宋体" w:cs="宋体"/>
                <w:color w:val="000000" w:themeColor="text1"/>
                <w:spacing w:val="2"/>
                <w:position w:val="2"/>
                <w:sz w:val="24"/>
                <w:szCs w:val="24"/>
                <w:vertAlign w:val="subscript"/>
                <w14:textFill>
                  <w14:solidFill>
                    <w14:schemeClr w14:val="tx1"/>
                  </w14:solidFill>
                </w14:textFill>
              </w:rPr>
              <w:t>消</w:t>
            </w:r>
            <w:r>
              <w:rPr>
                <w:rFonts w:hint="eastAsia" w:ascii="宋体" w:hAnsi="宋体" w:eastAsia="宋体" w:cs="宋体"/>
                <w:color w:val="000000" w:themeColor="text1"/>
                <w:spacing w:val="-25"/>
                <w:position w:val="2"/>
                <w:sz w:val="24"/>
                <w:szCs w:val="24"/>
                <w14:textFill>
                  <w14:solidFill>
                    <w14:schemeClr w14:val="tx1"/>
                  </w14:solidFill>
                </w14:textFill>
              </w:rPr>
              <w:t xml:space="preserve"> </w:t>
            </w:r>
            <w:r>
              <w:rPr>
                <w:rFonts w:hint="eastAsia" w:ascii="宋体" w:hAnsi="宋体" w:eastAsia="宋体" w:cs="宋体"/>
                <w:color w:val="000000" w:themeColor="text1"/>
                <w:spacing w:val="2"/>
                <w:position w:val="4"/>
                <w:sz w:val="24"/>
                <w:szCs w:val="24"/>
                <w14:textFill>
                  <w14:solidFill>
                    <w14:schemeClr w14:val="tx1"/>
                  </w14:solidFill>
                </w14:textFill>
              </w:rPr>
              <w:t>t</w:t>
            </w:r>
            <w:r>
              <w:rPr>
                <w:rFonts w:hint="eastAsia" w:ascii="宋体" w:hAnsi="宋体" w:eastAsia="宋体" w:cs="宋体"/>
                <w:color w:val="000000" w:themeColor="text1"/>
                <w:spacing w:val="2"/>
                <w:position w:val="2"/>
                <w:sz w:val="24"/>
                <w:szCs w:val="24"/>
                <w:vertAlign w:val="subscript"/>
                <w14:textFill>
                  <w14:solidFill>
                    <w14:schemeClr w14:val="tx1"/>
                  </w14:solidFill>
                </w14:textFill>
              </w:rPr>
              <w:t>消</w:t>
            </w:r>
          </w:p>
          <w:p w14:paraId="029CDC05">
            <w:pPr>
              <w:keepNext w:val="0"/>
              <w:keepLines w:val="0"/>
              <w:pageBreakBefore w:val="0"/>
              <w:widowControl/>
              <w:kinsoku/>
              <w:wordWrap/>
              <w:overflowPunct/>
              <w:topLinePunct w:val="0"/>
              <w:autoSpaceDE w:val="0"/>
              <w:autoSpaceDN w:val="0"/>
              <w:bidi w:val="0"/>
              <w:adjustRightInd w:val="0"/>
              <w:snapToGrid w:val="0"/>
              <w:spacing w:line="360" w:lineRule="auto"/>
              <w:ind w:left="42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Q</w:t>
            </w:r>
            <w:r>
              <w:rPr>
                <w:rFonts w:hint="eastAsia" w:ascii="宋体" w:hAnsi="宋体" w:eastAsia="宋体" w:cs="宋体"/>
                <w:color w:val="000000" w:themeColor="text1"/>
                <w:spacing w:val="9"/>
                <w:position w:val="-2"/>
                <w:sz w:val="24"/>
                <w:szCs w:val="24"/>
                <w:vertAlign w:val="subscript"/>
                <w14:textFill>
                  <w14:solidFill>
                    <w14:schemeClr w14:val="tx1"/>
                  </w14:solidFill>
                </w14:textFill>
              </w:rPr>
              <w:t>消</w:t>
            </w:r>
            <w:r>
              <w:rPr>
                <w:rFonts w:hint="eastAsia" w:ascii="宋体" w:hAnsi="宋体" w:eastAsia="宋体" w:cs="宋体"/>
                <w:color w:val="000000" w:themeColor="text1"/>
                <w:spacing w:val="9"/>
                <w:sz w:val="24"/>
                <w:szCs w:val="24"/>
                <w14:textFill>
                  <w14:solidFill>
                    <w14:schemeClr w14:val="tx1"/>
                  </w14:solidFill>
                </w14:textFill>
              </w:rPr>
              <w:t>—发生事故的储罐或装置的同时使用</w:t>
            </w:r>
            <w:r>
              <w:rPr>
                <w:rFonts w:hint="eastAsia" w:ascii="宋体" w:hAnsi="宋体" w:eastAsia="宋体" w:cs="宋体"/>
                <w:color w:val="000000" w:themeColor="text1"/>
                <w:spacing w:val="8"/>
                <w:sz w:val="24"/>
                <w:szCs w:val="24"/>
                <w14:textFill>
                  <w14:solidFill>
                    <w14:schemeClr w14:val="tx1"/>
                  </w14:solidFill>
                </w14:textFill>
              </w:rPr>
              <w:t>的消防设施给水流量（m</w:t>
            </w:r>
            <w:r>
              <w:rPr>
                <w:rFonts w:hint="eastAsia" w:ascii="宋体" w:hAnsi="宋体" w:eastAsia="宋体" w:cs="宋体"/>
                <w:color w:val="000000" w:themeColor="text1"/>
                <w:spacing w:val="8"/>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/h</w:t>
            </w:r>
            <w:r>
              <w:rPr>
                <w:rFonts w:hint="eastAsia" w:ascii="宋体" w:hAnsi="宋体" w:eastAsia="宋体" w:cs="宋体"/>
                <w:color w:val="000000" w:themeColor="text1"/>
                <w:sz w:val="24"/>
                <w:szCs w:val="24"/>
                <w14:textFill>
                  <w14:solidFill>
                    <w14:schemeClr w14:val="tx1"/>
                  </w14:solidFill>
                </w14:textFill>
              </w:rPr>
              <w:t>）；</w:t>
            </w:r>
          </w:p>
          <w:p w14:paraId="65296047">
            <w:pPr>
              <w:keepNext w:val="0"/>
              <w:keepLines w:val="0"/>
              <w:pageBreakBefore w:val="0"/>
              <w:widowControl/>
              <w:kinsoku/>
              <w:wordWrap/>
              <w:overflowPunct/>
              <w:topLinePunct w:val="0"/>
              <w:autoSpaceDE w:val="0"/>
              <w:autoSpaceDN w:val="0"/>
              <w:bidi w:val="0"/>
              <w:adjustRightInd w:val="0"/>
              <w:snapToGrid w:val="0"/>
              <w:spacing w:line="360" w:lineRule="auto"/>
              <w:ind w:left="41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t</w:t>
            </w:r>
            <w:r>
              <w:rPr>
                <w:rFonts w:hint="eastAsia" w:ascii="宋体" w:hAnsi="宋体" w:eastAsia="宋体" w:cs="宋体"/>
                <w:color w:val="000000" w:themeColor="text1"/>
                <w:spacing w:val="7"/>
                <w:position w:val="-2"/>
                <w:sz w:val="24"/>
                <w:szCs w:val="24"/>
                <w:vertAlign w:val="subscript"/>
                <w14:textFill>
                  <w14:solidFill>
                    <w14:schemeClr w14:val="tx1"/>
                  </w14:solidFill>
                </w14:textFill>
              </w:rPr>
              <w:t>消</w:t>
            </w:r>
            <w:r>
              <w:rPr>
                <w:rFonts w:hint="eastAsia" w:ascii="宋体" w:hAnsi="宋体" w:eastAsia="宋体" w:cs="宋体"/>
                <w:color w:val="000000" w:themeColor="text1"/>
                <w:spacing w:val="7"/>
                <w:sz w:val="24"/>
                <w:szCs w:val="24"/>
                <w14:textFill>
                  <w14:solidFill>
                    <w14:schemeClr w14:val="tx1"/>
                  </w14:solidFill>
                </w14:textFill>
              </w:rPr>
              <w:t>—消防设施对应的消防历时，h；</w:t>
            </w:r>
          </w:p>
          <w:p w14:paraId="128C63EE">
            <w:pPr>
              <w:keepNext w:val="0"/>
              <w:keepLines w:val="0"/>
              <w:pageBreakBefore w:val="0"/>
              <w:widowControl/>
              <w:kinsoku/>
              <w:wordWrap/>
              <w:overflowPunct/>
              <w:topLinePunct w:val="0"/>
              <w:autoSpaceDE w:val="0"/>
              <w:autoSpaceDN w:val="0"/>
              <w:bidi w:val="0"/>
              <w:adjustRightInd w:val="0"/>
              <w:snapToGrid w:val="0"/>
              <w:spacing w:line="360" w:lineRule="auto"/>
              <w:ind w:left="41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V</w:t>
            </w:r>
            <w:r>
              <w:rPr>
                <w:rFonts w:hint="eastAsia" w:ascii="宋体" w:hAnsi="宋体" w:eastAsia="宋体" w:cs="宋体"/>
                <w:color w:val="000000" w:themeColor="text1"/>
                <w:spacing w:val="9"/>
                <w:position w:val="-1"/>
                <w:sz w:val="24"/>
                <w:szCs w:val="24"/>
                <w14:textFill>
                  <w14:solidFill>
                    <w14:schemeClr w14:val="tx1"/>
                  </w14:solidFill>
                </w14:textFill>
              </w:rPr>
              <w:t>3</w:t>
            </w:r>
            <w:r>
              <w:rPr>
                <w:rFonts w:hint="eastAsia" w:ascii="宋体" w:hAnsi="宋体" w:eastAsia="宋体" w:cs="宋体"/>
                <w:color w:val="000000" w:themeColor="text1"/>
                <w:spacing w:val="9"/>
                <w:sz w:val="24"/>
                <w:szCs w:val="24"/>
                <w14:textFill>
                  <w14:solidFill>
                    <w14:schemeClr w14:val="tx1"/>
                  </w14:solidFill>
                </w14:textFill>
              </w:rPr>
              <w:t>—发生事故时可以</w:t>
            </w:r>
            <w:r>
              <w:rPr>
                <w:rFonts w:hint="eastAsia" w:ascii="宋体" w:hAnsi="宋体" w:eastAsia="宋体" w:cs="宋体"/>
                <w:color w:val="000000" w:themeColor="text1"/>
                <w:spacing w:val="9"/>
                <w:sz w:val="24"/>
                <w:szCs w:val="24"/>
                <w:lang w:eastAsia="zh-CN"/>
                <w14:textFill>
                  <w14:solidFill>
                    <w14:schemeClr w14:val="tx1"/>
                  </w14:solidFill>
                </w14:textFill>
              </w:rPr>
              <w:t>传输</w:t>
            </w:r>
            <w:r>
              <w:rPr>
                <w:rFonts w:hint="eastAsia" w:ascii="宋体" w:hAnsi="宋体" w:eastAsia="宋体" w:cs="宋体"/>
                <w:color w:val="000000" w:themeColor="text1"/>
                <w:spacing w:val="9"/>
                <w:sz w:val="24"/>
                <w:szCs w:val="24"/>
                <w14:textFill>
                  <w14:solidFill>
                    <w14:schemeClr w14:val="tx1"/>
                  </w14:solidFill>
                </w14:textFill>
              </w:rPr>
              <w:t>到其他储存或处理设施的物</w:t>
            </w:r>
            <w:r>
              <w:rPr>
                <w:rFonts w:hint="eastAsia" w:ascii="宋体" w:hAnsi="宋体" w:eastAsia="宋体" w:cs="宋体"/>
                <w:color w:val="000000" w:themeColor="text1"/>
                <w:spacing w:val="8"/>
                <w:sz w:val="24"/>
                <w:szCs w:val="24"/>
                <w14:textFill>
                  <w14:solidFill>
                    <w14:schemeClr w14:val="tx1"/>
                  </w14:solidFill>
                </w14:textFill>
              </w:rPr>
              <w:t>料量（m</w:t>
            </w:r>
            <w:r>
              <w:rPr>
                <w:rFonts w:hint="eastAsia" w:ascii="宋体" w:hAnsi="宋体" w:eastAsia="宋体" w:cs="宋体"/>
                <w:color w:val="000000" w:themeColor="text1"/>
                <w:spacing w:val="8"/>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pacing w:val="-13"/>
                <w:sz w:val="24"/>
                <w:szCs w:val="24"/>
                <w14:textFill>
                  <w14:solidFill>
                    <w14:schemeClr w14:val="tx1"/>
                  </w14:solidFill>
                </w14:textFill>
              </w:rPr>
              <w:t>）；</w:t>
            </w:r>
          </w:p>
          <w:p w14:paraId="790D4717">
            <w:pPr>
              <w:keepNext w:val="0"/>
              <w:keepLines w:val="0"/>
              <w:pageBreakBefore w:val="0"/>
              <w:widowControl/>
              <w:kinsoku/>
              <w:wordWrap/>
              <w:overflowPunct/>
              <w:topLinePunct w:val="0"/>
              <w:autoSpaceDE w:val="0"/>
              <w:autoSpaceDN w:val="0"/>
              <w:bidi w:val="0"/>
              <w:adjustRightInd w:val="0"/>
              <w:snapToGrid w:val="0"/>
              <w:spacing w:line="360" w:lineRule="auto"/>
              <w:ind w:left="41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V4—发生事故时仍必须进入该收集系统的生产废水量</w:t>
            </w:r>
            <w:r>
              <w:rPr>
                <w:rFonts w:hint="eastAsia" w:ascii="宋体" w:hAnsi="宋体" w:eastAsia="宋体" w:cs="宋体"/>
                <w:color w:val="000000" w:themeColor="text1"/>
                <w:spacing w:val="8"/>
                <w:sz w:val="24"/>
                <w:szCs w:val="24"/>
                <w14:textFill>
                  <w14:solidFill>
                    <w14:schemeClr w14:val="tx1"/>
                  </w14:solidFill>
                </w14:textFill>
              </w:rPr>
              <w:t>（m</w:t>
            </w:r>
            <w:r>
              <w:rPr>
                <w:rFonts w:hint="eastAsia" w:ascii="宋体" w:hAnsi="宋体" w:eastAsia="宋体" w:cs="宋体"/>
                <w:color w:val="000000" w:themeColor="text1"/>
                <w:spacing w:val="8"/>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pacing w:val="-13"/>
                <w:sz w:val="24"/>
                <w:szCs w:val="24"/>
                <w14:textFill>
                  <w14:solidFill>
                    <w14:schemeClr w14:val="tx1"/>
                  </w14:solidFill>
                </w14:textFill>
              </w:rPr>
              <w:t>）；</w:t>
            </w:r>
          </w:p>
          <w:p w14:paraId="6154C6C9">
            <w:pPr>
              <w:keepNext w:val="0"/>
              <w:keepLines w:val="0"/>
              <w:pageBreakBefore w:val="0"/>
              <w:widowControl/>
              <w:kinsoku/>
              <w:wordWrap/>
              <w:overflowPunct/>
              <w:topLinePunct w:val="0"/>
              <w:autoSpaceDE w:val="0"/>
              <w:autoSpaceDN w:val="0"/>
              <w:bidi w:val="0"/>
              <w:adjustRightInd w:val="0"/>
              <w:snapToGrid w:val="0"/>
              <w:spacing w:line="360" w:lineRule="auto"/>
              <w:ind w:left="41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V</w:t>
            </w:r>
            <w:r>
              <w:rPr>
                <w:rFonts w:hint="eastAsia" w:ascii="宋体" w:hAnsi="宋体" w:eastAsia="宋体" w:cs="宋体"/>
                <w:color w:val="000000" w:themeColor="text1"/>
                <w:spacing w:val="8"/>
                <w:position w:val="-2"/>
                <w:sz w:val="24"/>
                <w:szCs w:val="24"/>
                <w14:textFill>
                  <w14:solidFill>
                    <w14:schemeClr w14:val="tx1"/>
                  </w14:solidFill>
                </w14:textFill>
              </w:rPr>
              <w:t>雨</w:t>
            </w:r>
            <w:r>
              <w:rPr>
                <w:rFonts w:hint="eastAsia" w:ascii="宋体" w:hAnsi="宋体" w:eastAsia="宋体" w:cs="宋体"/>
                <w:color w:val="000000" w:themeColor="text1"/>
                <w:spacing w:val="8"/>
                <w:sz w:val="24"/>
                <w:szCs w:val="24"/>
                <w14:textFill>
                  <w14:solidFill>
                    <w14:schemeClr w14:val="tx1"/>
                  </w14:solidFill>
                </w14:textFill>
              </w:rPr>
              <w:t>—发生事故时可能进入该收集系统的降雨量（m</w:t>
            </w:r>
            <w:r>
              <w:rPr>
                <w:rFonts w:hint="eastAsia" w:ascii="宋体" w:hAnsi="宋体" w:eastAsia="宋体" w:cs="宋体"/>
                <w:color w:val="000000" w:themeColor="text1"/>
                <w:spacing w:val="8"/>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w:t>
            </w:r>
          </w:p>
          <w:p w14:paraId="0352A9BC">
            <w:pPr>
              <w:keepNext w:val="0"/>
              <w:keepLines w:val="0"/>
              <w:pageBreakBefore w:val="0"/>
              <w:widowControl/>
              <w:kinsoku/>
              <w:wordWrap/>
              <w:overflowPunct/>
              <w:topLinePunct w:val="0"/>
              <w:autoSpaceDE w:val="0"/>
              <w:autoSpaceDN w:val="0"/>
              <w:bidi w:val="0"/>
              <w:adjustRightInd w:val="0"/>
              <w:snapToGrid w:val="0"/>
              <w:spacing w:line="360" w:lineRule="auto"/>
              <w:ind w:left="41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position w:val="4"/>
                <w:sz w:val="24"/>
                <w:szCs w:val="24"/>
                <w14:textFill>
                  <w14:solidFill>
                    <w14:schemeClr w14:val="tx1"/>
                  </w14:solidFill>
                </w14:textFill>
              </w:rPr>
              <w:t>V</w:t>
            </w:r>
            <w:r>
              <w:rPr>
                <w:rFonts w:hint="eastAsia" w:ascii="宋体" w:hAnsi="宋体" w:eastAsia="宋体" w:cs="宋体"/>
                <w:color w:val="000000" w:themeColor="text1"/>
                <w:position w:val="2"/>
                <w:sz w:val="24"/>
                <w:szCs w:val="24"/>
                <w14:textFill>
                  <w14:solidFill>
                    <w14:schemeClr w14:val="tx1"/>
                  </w14:solidFill>
                </w14:textFill>
              </w:rPr>
              <w:t>雨</w:t>
            </w:r>
            <w:r>
              <w:rPr>
                <w:rFonts w:hint="eastAsia" w:ascii="宋体" w:hAnsi="宋体" w:eastAsia="宋体" w:cs="宋体"/>
                <w:color w:val="000000" w:themeColor="text1"/>
                <w:position w:val="4"/>
                <w:sz w:val="24"/>
                <w:szCs w:val="24"/>
                <w14:textFill>
                  <w14:solidFill>
                    <w14:schemeClr w14:val="tx1"/>
                  </w14:solidFill>
                </w14:textFill>
              </w:rPr>
              <w:t>=</w:t>
            </w:r>
            <w:r>
              <w:rPr>
                <w:rFonts w:hint="eastAsia" w:ascii="宋体" w:hAnsi="宋体" w:eastAsia="宋体" w:cs="宋体"/>
                <w:color w:val="000000" w:themeColor="text1"/>
                <w:spacing w:val="-26"/>
                <w:position w:val="4"/>
                <w:sz w:val="24"/>
                <w:szCs w:val="24"/>
                <w14:textFill>
                  <w14:solidFill>
                    <w14:schemeClr w14:val="tx1"/>
                  </w14:solidFill>
                </w14:textFill>
              </w:rPr>
              <w:t xml:space="preserve"> </w:t>
            </w:r>
            <w:r>
              <w:rPr>
                <w:rFonts w:hint="eastAsia" w:ascii="宋体" w:hAnsi="宋体" w:eastAsia="宋体" w:cs="宋体"/>
                <w:color w:val="000000" w:themeColor="text1"/>
                <w:position w:val="4"/>
                <w:sz w:val="24"/>
                <w:szCs w:val="24"/>
                <w14:textFill>
                  <w14:solidFill>
                    <w14:schemeClr w14:val="tx1"/>
                  </w14:solidFill>
                </w14:textFill>
              </w:rPr>
              <w:t>10qF</w:t>
            </w:r>
          </w:p>
          <w:p w14:paraId="00085EA3">
            <w:pPr>
              <w:keepNext w:val="0"/>
              <w:keepLines w:val="0"/>
              <w:pageBreakBefore w:val="0"/>
              <w:widowControl/>
              <w:kinsoku/>
              <w:wordWrap/>
              <w:overflowPunct/>
              <w:topLinePunct w:val="0"/>
              <w:autoSpaceDE w:val="0"/>
              <w:autoSpaceDN w:val="0"/>
              <w:bidi w:val="0"/>
              <w:adjustRightInd w:val="0"/>
              <w:snapToGrid w:val="0"/>
              <w:spacing w:line="360" w:lineRule="auto"/>
              <w:ind w:left="419"/>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q—降雨强度，</w:t>
            </w:r>
            <w:r>
              <w:rPr>
                <w:rFonts w:hint="eastAsia" w:ascii="宋体" w:hAnsi="宋体" w:eastAsia="宋体" w:cs="宋体"/>
                <w:color w:val="000000" w:themeColor="text1"/>
                <w:sz w:val="24"/>
                <w:szCs w:val="24"/>
                <w14:textFill>
                  <w14:solidFill>
                    <w14:schemeClr w14:val="tx1"/>
                  </w14:solidFill>
                </w14:textFill>
              </w:rPr>
              <w:t>mm</w:t>
            </w:r>
            <w:r>
              <w:rPr>
                <w:rFonts w:hint="eastAsia" w:ascii="宋体" w:hAnsi="宋体" w:eastAsia="宋体" w:cs="宋体"/>
                <w:color w:val="000000" w:themeColor="text1"/>
                <w:spacing w:val="9"/>
                <w:sz w:val="24"/>
                <w:szCs w:val="24"/>
                <w14:textFill>
                  <w14:solidFill>
                    <w14:schemeClr w14:val="tx1"/>
                  </w14:solidFill>
                </w14:textFill>
              </w:rPr>
              <w:t>；按平均日降雨量；</w:t>
            </w:r>
          </w:p>
          <w:p w14:paraId="624EED7F">
            <w:pPr>
              <w:keepNext w:val="0"/>
              <w:keepLines w:val="0"/>
              <w:pageBreakBefore w:val="0"/>
              <w:widowControl/>
              <w:kinsoku/>
              <w:wordWrap/>
              <w:overflowPunct/>
              <w:topLinePunct w:val="0"/>
              <w:autoSpaceDE w:val="0"/>
              <w:autoSpaceDN w:val="0"/>
              <w:bidi w:val="0"/>
              <w:adjustRightInd w:val="0"/>
              <w:snapToGrid w:val="0"/>
              <w:spacing w:line="360" w:lineRule="auto"/>
              <w:ind w:left="419"/>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5"/>
                <w:position w:val="4"/>
                <w:sz w:val="24"/>
                <w:szCs w:val="24"/>
                <w14:textFill>
                  <w14:solidFill>
                    <w14:schemeClr w14:val="tx1"/>
                  </w14:solidFill>
                </w14:textFill>
              </w:rPr>
              <w:t>q=</w:t>
            </w:r>
            <w:r>
              <w:rPr>
                <w:rFonts w:hint="eastAsia" w:ascii="宋体" w:hAnsi="宋体" w:eastAsia="宋体" w:cs="宋体"/>
                <w:color w:val="000000" w:themeColor="text1"/>
                <w:position w:val="4"/>
                <w:sz w:val="24"/>
                <w:szCs w:val="24"/>
                <w14:textFill>
                  <w14:solidFill>
                    <w14:schemeClr w14:val="tx1"/>
                  </w14:solidFill>
                </w14:textFill>
              </w:rPr>
              <w:t>qa</w:t>
            </w:r>
            <w:r>
              <w:rPr>
                <w:rFonts w:hint="eastAsia" w:ascii="宋体" w:hAnsi="宋体" w:eastAsia="宋体" w:cs="宋体"/>
                <w:color w:val="000000" w:themeColor="text1"/>
                <w:spacing w:val="5"/>
                <w:position w:val="4"/>
                <w:sz w:val="24"/>
                <w:szCs w:val="24"/>
                <w14:textFill>
                  <w14:solidFill>
                    <w14:schemeClr w14:val="tx1"/>
                  </w14:solidFill>
                </w14:textFill>
              </w:rPr>
              <w:t>/n</w:t>
            </w:r>
          </w:p>
          <w:p w14:paraId="16261B1B">
            <w:pPr>
              <w:keepNext w:val="0"/>
              <w:keepLines w:val="0"/>
              <w:pageBreakBefore w:val="0"/>
              <w:widowControl/>
              <w:kinsoku/>
              <w:wordWrap/>
              <w:overflowPunct/>
              <w:topLinePunct w:val="0"/>
              <w:autoSpaceDE w:val="0"/>
              <w:autoSpaceDN w:val="0"/>
              <w:bidi w:val="0"/>
              <w:adjustRightInd w:val="0"/>
              <w:snapToGrid w:val="0"/>
              <w:spacing w:line="360" w:lineRule="auto"/>
              <w:ind w:left="419"/>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qa</w:t>
            </w:r>
            <w:r>
              <w:rPr>
                <w:rFonts w:hint="eastAsia" w:ascii="宋体" w:hAnsi="宋体" w:eastAsia="宋体" w:cs="宋体"/>
                <w:color w:val="000000" w:themeColor="text1"/>
                <w:spacing w:val="10"/>
                <w:sz w:val="24"/>
                <w:szCs w:val="24"/>
                <w14:textFill>
                  <w14:solidFill>
                    <w14:schemeClr w14:val="tx1"/>
                  </w14:solidFill>
                </w14:textFill>
              </w:rPr>
              <w:t>—年平均降雨量，</w:t>
            </w:r>
            <w:r>
              <w:rPr>
                <w:rFonts w:hint="eastAsia" w:ascii="宋体" w:hAnsi="宋体" w:eastAsia="宋体" w:cs="宋体"/>
                <w:color w:val="000000" w:themeColor="text1"/>
                <w:sz w:val="24"/>
                <w:szCs w:val="24"/>
                <w14:textFill>
                  <w14:solidFill>
                    <w14:schemeClr w14:val="tx1"/>
                  </w14:solidFill>
                </w14:textFill>
              </w:rPr>
              <w:t>mm</w:t>
            </w:r>
            <w:r>
              <w:rPr>
                <w:rFonts w:hint="eastAsia" w:ascii="宋体" w:hAnsi="宋体" w:eastAsia="宋体" w:cs="宋体"/>
                <w:color w:val="000000" w:themeColor="text1"/>
                <w:spacing w:val="10"/>
                <w:sz w:val="24"/>
                <w:szCs w:val="24"/>
                <w14:textFill>
                  <w14:solidFill>
                    <w14:schemeClr w14:val="tx1"/>
                  </w14:solidFill>
                </w14:textFill>
              </w:rPr>
              <w:t>；</w:t>
            </w:r>
          </w:p>
          <w:p w14:paraId="26CA9280">
            <w:pPr>
              <w:keepNext w:val="0"/>
              <w:keepLines w:val="0"/>
              <w:pageBreakBefore w:val="0"/>
              <w:widowControl/>
              <w:kinsoku/>
              <w:wordWrap/>
              <w:overflowPunct/>
              <w:topLinePunct w:val="0"/>
              <w:autoSpaceDE w:val="0"/>
              <w:autoSpaceDN w:val="0"/>
              <w:bidi w:val="0"/>
              <w:adjustRightInd w:val="0"/>
              <w:snapToGrid w:val="0"/>
              <w:spacing w:line="360" w:lineRule="auto"/>
              <w:ind w:left="484"/>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n—年平均日数。</w:t>
            </w:r>
          </w:p>
          <w:p w14:paraId="6CC3719F">
            <w:pPr>
              <w:keepNext w:val="0"/>
              <w:keepLines w:val="0"/>
              <w:pageBreakBefore w:val="0"/>
              <w:widowControl/>
              <w:kinsoku/>
              <w:wordWrap/>
              <w:overflowPunct/>
              <w:topLinePunct w:val="0"/>
              <w:autoSpaceDE w:val="0"/>
              <w:autoSpaceDN w:val="0"/>
              <w:bidi w:val="0"/>
              <w:adjustRightInd w:val="0"/>
              <w:snapToGrid w:val="0"/>
              <w:spacing w:line="360" w:lineRule="auto"/>
              <w:ind w:left="486"/>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F—必须进入事故废水收集系统的雨水汇水面积，</w:t>
            </w:r>
            <w:r>
              <w:rPr>
                <w:rFonts w:hint="eastAsia" w:ascii="宋体" w:hAnsi="宋体" w:eastAsia="宋体" w:cs="宋体"/>
                <w:color w:val="000000" w:themeColor="text1"/>
                <w:sz w:val="24"/>
                <w:szCs w:val="24"/>
                <w14:textFill>
                  <w14:solidFill>
                    <w14:schemeClr w14:val="tx1"/>
                  </w14:solidFill>
                </w14:textFill>
              </w:rPr>
              <w:t>ha</w:t>
            </w:r>
            <w:r>
              <w:rPr>
                <w:rFonts w:hint="eastAsia" w:ascii="宋体" w:hAnsi="宋体" w:eastAsia="宋体" w:cs="宋体"/>
                <w:color w:val="000000" w:themeColor="text1"/>
                <w:spacing w:val="9"/>
                <w:sz w:val="24"/>
                <w:szCs w:val="24"/>
                <w14:textFill>
                  <w14:solidFill>
                    <w14:schemeClr w14:val="tx1"/>
                  </w14:solidFill>
                </w14:textFill>
              </w:rPr>
              <w:t>；</w:t>
            </w:r>
          </w:p>
          <w:p w14:paraId="603186A7">
            <w:pPr>
              <w:keepNext w:val="0"/>
              <w:keepLines w:val="0"/>
              <w:pageBreakBefore w:val="0"/>
              <w:widowControl/>
              <w:kinsoku/>
              <w:wordWrap/>
              <w:overflowPunct/>
              <w:topLinePunct w:val="0"/>
              <w:autoSpaceDE w:val="0"/>
              <w:autoSpaceDN w:val="0"/>
              <w:bidi w:val="0"/>
              <w:adjustRightInd w:val="0"/>
              <w:snapToGrid w:val="0"/>
              <w:spacing w:line="360" w:lineRule="auto"/>
              <w:ind w:left="49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
                <w:sz w:val="24"/>
                <w:szCs w:val="24"/>
                <w14:textFill>
                  <w14:solidFill>
                    <w14:schemeClr w14:val="tx1"/>
                  </w14:solidFill>
                </w14:textFill>
              </w:rPr>
              <w:t>①物料量（V</w:t>
            </w:r>
            <w:r>
              <w:rPr>
                <w:rFonts w:hint="eastAsia" w:ascii="宋体" w:hAnsi="宋体" w:eastAsia="宋体" w:cs="宋体"/>
                <w:color w:val="000000" w:themeColor="text1"/>
                <w:spacing w:val="6"/>
                <w:position w:val="-1"/>
                <w:sz w:val="24"/>
                <w:szCs w:val="24"/>
                <w14:textFill>
                  <w14:solidFill>
                    <w14:schemeClr w14:val="tx1"/>
                  </w14:solidFill>
                </w14:textFill>
              </w:rPr>
              <w:t>1</w:t>
            </w:r>
            <w:r>
              <w:rPr>
                <w:rFonts w:hint="eastAsia" w:ascii="宋体" w:hAnsi="宋体" w:eastAsia="宋体" w:cs="宋体"/>
                <w:color w:val="000000" w:themeColor="text1"/>
                <w:spacing w:val="6"/>
                <w:sz w:val="24"/>
                <w:szCs w:val="24"/>
                <w14:textFill>
                  <w14:solidFill>
                    <w14:schemeClr w14:val="tx1"/>
                  </w14:solidFill>
                </w14:textFill>
              </w:rPr>
              <w:t>）</w:t>
            </w:r>
          </w:p>
          <w:p w14:paraId="37BB209F">
            <w:pPr>
              <w:keepNext w:val="0"/>
              <w:keepLines w:val="0"/>
              <w:pageBreakBefore w:val="0"/>
              <w:widowControl/>
              <w:kinsoku/>
              <w:wordWrap/>
              <w:overflowPunct/>
              <w:topLinePunct w:val="0"/>
              <w:autoSpaceDE w:val="0"/>
              <w:autoSpaceDN w:val="0"/>
              <w:bidi w:val="0"/>
              <w:adjustRightInd w:val="0"/>
              <w:snapToGrid w:val="0"/>
              <w:spacing w:line="360" w:lineRule="auto"/>
              <w:ind w:left="20" w:firstLine="4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收集系统内发生事故时一个罐组或装置最大物料泄漏量。</w:t>
            </w:r>
            <w:r>
              <w:rPr>
                <w:rFonts w:hint="eastAsia" w:ascii="宋体" w:hAnsi="宋体" w:eastAsia="宋体" w:cs="宋体"/>
                <w:color w:val="000000" w:themeColor="text1"/>
                <w:spacing w:val="3"/>
                <w:sz w:val="24"/>
                <w:szCs w:val="24"/>
                <w14:textFill>
                  <w14:solidFill>
                    <w14:schemeClr w14:val="tx1"/>
                  </w14:solidFill>
                </w14:textFill>
              </w:rPr>
              <w:t>本企业生产过程中的最大液体储罐为危废贮存桶，最大存储量为1m</w:t>
            </w:r>
            <w:r>
              <w:rPr>
                <w:rFonts w:hint="eastAsia" w:ascii="宋体" w:hAnsi="宋体" w:eastAsia="宋体" w:cs="宋体"/>
                <w:color w:val="000000" w:themeColor="text1"/>
                <w:spacing w:val="3"/>
                <w:sz w:val="24"/>
                <w:szCs w:val="24"/>
                <w:vertAlign w:val="superscript"/>
                <w14:textFill>
                  <w14:solidFill>
                    <w14:schemeClr w14:val="tx1"/>
                  </w14:solidFill>
                </w14:textFill>
              </w:rPr>
              <w:t>3</w:t>
            </w:r>
            <w:r>
              <w:rPr>
                <w:rFonts w:hint="eastAsia" w:ascii="宋体" w:hAnsi="宋体" w:eastAsia="宋体" w:cs="宋体"/>
                <w:color w:val="000000" w:themeColor="text1"/>
                <w:spacing w:val="3"/>
                <w:sz w:val="24"/>
                <w:szCs w:val="24"/>
                <w14:textFill>
                  <w14:solidFill>
                    <w14:schemeClr w14:val="tx1"/>
                  </w14:solidFill>
                </w14:textFill>
              </w:rPr>
              <w:t>，即V1=1m</w:t>
            </w:r>
            <w:r>
              <w:rPr>
                <w:rFonts w:hint="eastAsia" w:ascii="宋体" w:hAnsi="宋体" w:eastAsia="宋体" w:cs="宋体"/>
                <w:color w:val="000000" w:themeColor="text1"/>
                <w:spacing w:val="3"/>
                <w:sz w:val="24"/>
                <w:szCs w:val="24"/>
                <w:vertAlign w:val="superscript"/>
                <w14:textFill>
                  <w14:solidFill>
                    <w14:schemeClr w14:val="tx1"/>
                  </w14:solidFill>
                </w14:textFill>
              </w:rPr>
              <w:t>3</w:t>
            </w:r>
            <w:r>
              <w:rPr>
                <w:rFonts w:hint="eastAsia" w:ascii="宋体" w:hAnsi="宋体" w:eastAsia="宋体" w:cs="宋体"/>
                <w:color w:val="000000" w:themeColor="text1"/>
                <w:spacing w:val="3"/>
                <w:sz w:val="24"/>
                <w:szCs w:val="24"/>
                <w14:textFill>
                  <w14:solidFill>
                    <w14:schemeClr w14:val="tx1"/>
                  </w14:solidFill>
                </w14:textFill>
              </w:rPr>
              <w:t>。</w:t>
            </w:r>
          </w:p>
          <w:p w14:paraId="4C0AB742">
            <w:pPr>
              <w:keepNext w:val="0"/>
              <w:keepLines w:val="0"/>
              <w:pageBreakBefore w:val="0"/>
              <w:widowControl/>
              <w:kinsoku/>
              <w:wordWrap/>
              <w:overflowPunct/>
              <w:topLinePunct w:val="0"/>
              <w:autoSpaceDE w:val="0"/>
              <w:autoSpaceDN w:val="0"/>
              <w:bidi w:val="0"/>
              <w:adjustRightInd w:val="0"/>
              <w:snapToGrid w:val="0"/>
              <w:spacing w:line="360" w:lineRule="auto"/>
              <w:ind w:left="489"/>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②消防水量（V</w:t>
            </w:r>
            <w:r>
              <w:rPr>
                <w:rFonts w:hint="eastAsia" w:ascii="宋体" w:hAnsi="宋体" w:eastAsia="宋体" w:cs="宋体"/>
                <w:color w:val="000000" w:themeColor="text1"/>
                <w:spacing w:val="7"/>
                <w:position w:val="-1"/>
                <w:sz w:val="24"/>
                <w:szCs w:val="24"/>
                <w14:textFill>
                  <w14:solidFill>
                    <w14:schemeClr w14:val="tx1"/>
                  </w14:solidFill>
                </w14:textFill>
              </w:rPr>
              <w:t>2</w:t>
            </w:r>
            <w:r>
              <w:rPr>
                <w:rFonts w:hint="eastAsia" w:ascii="宋体" w:hAnsi="宋体" w:eastAsia="宋体" w:cs="宋体"/>
                <w:color w:val="000000" w:themeColor="text1"/>
                <w:spacing w:val="7"/>
                <w:sz w:val="24"/>
                <w:szCs w:val="24"/>
                <w14:textFill>
                  <w14:solidFill>
                    <w14:schemeClr w14:val="tx1"/>
                  </w14:solidFill>
                </w14:textFill>
              </w:rPr>
              <w:t>）</w:t>
            </w:r>
          </w:p>
          <w:p w14:paraId="3F36927F">
            <w:pPr>
              <w:keepNext w:val="0"/>
              <w:keepLines w:val="0"/>
              <w:pageBreakBefore w:val="0"/>
              <w:widowControl/>
              <w:kinsoku/>
              <w:wordWrap/>
              <w:overflowPunct/>
              <w:topLinePunct w:val="0"/>
              <w:autoSpaceDE w:val="0"/>
              <w:autoSpaceDN w:val="0"/>
              <w:bidi w:val="0"/>
              <w:adjustRightInd w:val="0"/>
              <w:snapToGrid w:val="0"/>
              <w:spacing w:line="360" w:lineRule="auto"/>
              <w:ind w:left="73" w:right="70" w:firstLine="417"/>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根据《石油化工企业设计防火标准》（</w:t>
            </w:r>
            <w:r>
              <w:rPr>
                <w:rFonts w:hint="eastAsia" w:ascii="宋体" w:hAnsi="宋体" w:eastAsia="宋体" w:cs="宋体"/>
                <w:color w:val="000000" w:themeColor="text1"/>
                <w:sz w:val="24"/>
                <w:szCs w:val="24"/>
                <w14:textFill>
                  <w14:solidFill>
                    <w14:schemeClr w14:val="tx1"/>
                  </w14:solidFill>
                </w14:textFill>
              </w:rPr>
              <w:t>GB</w:t>
            </w:r>
            <w:r>
              <w:rPr>
                <w:rFonts w:hint="eastAsia" w:ascii="宋体" w:hAnsi="宋体" w:eastAsia="宋体" w:cs="宋体"/>
                <w:color w:val="000000" w:themeColor="text1"/>
                <w:spacing w:val="8"/>
                <w:sz w:val="24"/>
                <w:szCs w:val="24"/>
                <w14:textFill>
                  <w14:solidFill>
                    <w14:schemeClr w14:val="tx1"/>
                  </w14:solidFill>
                </w14:textFill>
              </w:rPr>
              <w:t>50160-2008</w:t>
            </w:r>
            <w:r>
              <w:rPr>
                <w:rFonts w:hint="eastAsia" w:ascii="宋体" w:hAnsi="宋体" w:eastAsia="宋体" w:cs="宋体"/>
                <w:color w:val="000000" w:themeColor="text1"/>
                <w:spacing w:val="-6"/>
                <w:sz w:val="24"/>
                <w:szCs w:val="24"/>
                <w14:textFill>
                  <w14:solidFill>
                    <w14:schemeClr w14:val="tx1"/>
                  </w14:solidFill>
                </w14:textFill>
              </w:rPr>
              <w:t>）（</w:t>
            </w:r>
            <w:r>
              <w:rPr>
                <w:rFonts w:hint="eastAsia" w:ascii="宋体" w:hAnsi="宋体" w:eastAsia="宋体" w:cs="宋体"/>
                <w:color w:val="000000" w:themeColor="text1"/>
                <w:spacing w:val="8"/>
                <w:sz w:val="24"/>
                <w:szCs w:val="24"/>
                <w14:textFill>
                  <w14:solidFill>
                    <w14:schemeClr w14:val="tx1"/>
                  </w14:solidFill>
                </w14:textFill>
              </w:rPr>
              <w:t>2018年修订</w:t>
            </w:r>
            <w:r>
              <w:rPr>
                <w:rFonts w:hint="eastAsia" w:ascii="宋体" w:hAnsi="宋体" w:eastAsia="宋体" w:cs="宋体"/>
                <w:color w:val="000000" w:themeColor="text1"/>
                <w:spacing w:val="-6"/>
                <w:sz w:val="24"/>
                <w:szCs w:val="24"/>
                <w14:textFill>
                  <w14:solidFill>
                    <w14:schemeClr w14:val="tx1"/>
                  </w14:solidFill>
                </w14:textFill>
              </w:rPr>
              <w:t>），</w:t>
            </w:r>
            <w:r>
              <w:rPr>
                <w:rFonts w:hint="eastAsia" w:ascii="宋体" w:hAnsi="宋体" w:eastAsia="宋体" w:cs="宋体"/>
                <w:color w:val="000000" w:themeColor="text1"/>
                <w:spacing w:val="8"/>
                <w:sz w:val="24"/>
                <w:szCs w:val="24"/>
                <w14:textFill>
                  <w14:solidFill>
                    <w14:schemeClr w14:val="tx1"/>
                  </w14:solidFill>
                </w14:textFill>
              </w:rPr>
              <w:t>辅助生产</w:t>
            </w:r>
            <w:r>
              <w:rPr>
                <w:rFonts w:hint="eastAsia" w:ascii="宋体" w:hAnsi="宋体" w:eastAsia="宋体" w:cs="宋体"/>
                <w:color w:val="000000" w:themeColor="text1"/>
                <w:spacing w:val="7"/>
                <w:sz w:val="24"/>
                <w:szCs w:val="24"/>
                <w14:textFill>
                  <w14:solidFill>
                    <w14:schemeClr w14:val="tx1"/>
                  </w14:solidFill>
                </w14:textFill>
              </w:rPr>
              <w:t>设施</w:t>
            </w:r>
            <w:r>
              <w:rPr>
                <w:rFonts w:hint="eastAsia" w:ascii="宋体" w:hAnsi="宋体" w:eastAsia="宋体" w:cs="宋体"/>
                <w:color w:val="000000" w:themeColor="text1"/>
                <w:spacing w:val="7"/>
                <w:sz w:val="24"/>
                <w:szCs w:val="24"/>
                <w:lang w:eastAsia="zh-CN"/>
                <w14:textFill>
                  <w14:solidFill>
                    <w14:schemeClr w14:val="tx1"/>
                  </w14:solidFill>
                </w14:textFill>
              </w:rPr>
              <w:t>天然气控制系统</w:t>
            </w:r>
            <w:r>
              <w:rPr>
                <w:rFonts w:hint="eastAsia" w:ascii="宋体" w:hAnsi="宋体" w:eastAsia="宋体" w:cs="宋体"/>
                <w:color w:val="000000" w:themeColor="text1"/>
                <w:spacing w:val="7"/>
                <w:sz w:val="24"/>
                <w:szCs w:val="24"/>
                <w14:textFill>
                  <w14:solidFill>
                    <w14:schemeClr w14:val="tx1"/>
                  </w14:solidFill>
                </w14:textFill>
              </w:rPr>
              <w:t>火灾</w:t>
            </w:r>
            <w:r>
              <w:rPr>
                <w:rFonts w:hint="eastAsia" w:ascii="宋体" w:hAnsi="宋体" w:eastAsia="宋体" w:cs="宋体"/>
                <w:color w:val="000000" w:themeColor="text1"/>
                <w:spacing w:val="6"/>
                <w:sz w:val="24"/>
                <w:szCs w:val="24"/>
                <w14:textFill>
                  <w14:solidFill>
                    <w14:schemeClr w14:val="tx1"/>
                  </w14:solidFill>
                </w14:textFill>
              </w:rPr>
              <w:t>时消防用水流量按</w:t>
            </w:r>
            <w:r>
              <w:rPr>
                <w:rFonts w:hint="eastAsia" w:ascii="宋体" w:hAnsi="宋体" w:eastAsia="宋体" w:cs="宋体"/>
                <w:color w:val="000000" w:themeColor="text1"/>
                <w:spacing w:val="-30"/>
                <w:sz w:val="24"/>
                <w:szCs w:val="24"/>
                <w14:textFill>
                  <w14:solidFill>
                    <w14:schemeClr w14:val="tx1"/>
                  </w14:solidFill>
                </w14:textFill>
              </w:rPr>
              <w:t xml:space="preserve"> </w:t>
            </w:r>
            <w:r>
              <w:rPr>
                <w:rFonts w:hint="eastAsia" w:ascii="宋体" w:hAnsi="宋体" w:eastAsia="宋体" w:cs="宋体"/>
                <w:color w:val="000000" w:themeColor="text1"/>
                <w:spacing w:val="6"/>
                <w:sz w:val="24"/>
                <w:szCs w:val="24"/>
                <w:lang w:val="en-US" w:eastAsia="zh-CN"/>
                <w14:textFill>
                  <w14:solidFill>
                    <w14:schemeClr w14:val="tx1"/>
                  </w14:solidFill>
                </w14:textFill>
              </w:rPr>
              <w:t>10</w:t>
            </w:r>
            <w:r>
              <w:rPr>
                <w:rFonts w:hint="eastAsia" w:ascii="宋体" w:hAnsi="宋体" w:eastAsia="宋体" w:cs="宋体"/>
                <w:color w:val="000000" w:themeColor="text1"/>
                <w:spacing w:val="6"/>
                <w:sz w:val="24"/>
                <w:szCs w:val="24"/>
                <w14:textFill>
                  <w14:solidFill>
                    <w14:schemeClr w14:val="tx1"/>
                  </w14:solidFill>
                </w14:textFill>
              </w:rPr>
              <w:t>L/s计，火灾延续供水时间不小于</w:t>
            </w:r>
            <w:r>
              <w:rPr>
                <w:rFonts w:hint="eastAsia" w:ascii="宋体" w:hAnsi="宋体" w:eastAsia="宋体" w:cs="宋体"/>
                <w:color w:val="000000" w:themeColor="text1"/>
                <w:spacing w:val="-43"/>
                <w:sz w:val="24"/>
                <w:szCs w:val="24"/>
                <w14:textFill>
                  <w14:solidFill>
                    <w14:schemeClr w14:val="tx1"/>
                  </w14:solidFill>
                </w14:textFill>
              </w:rPr>
              <w:t xml:space="preserve"> </w:t>
            </w:r>
            <w:r>
              <w:rPr>
                <w:rFonts w:hint="eastAsia" w:ascii="宋体" w:hAnsi="宋体" w:eastAsia="宋体" w:cs="宋体"/>
                <w:color w:val="000000" w:themeColor="text1"/>
                <w:spacing w:val="6"/>
                <w:sz w:val="24"/>
                <w:szCs w:val="24"/>
                <w14:textFill>
                  <w14:solidFill>
                    <w14:schemeClr w14:val="tx1"/>
                  </w14:solidFill>
                </w14:textFill>
              </w:rPr>
              <w:t>2h，本项目按</w:t>
            </w:r>
            <w:r>
              <w:rPr>
                <w:rFonts w:hint="eastAsia" w:ascii="宋体" w:hAnsi="宋体" w:eastAsia="宋体" w:cs="宋体"/>
                <w:color w:val="000000" w:themeColor="text1"/>
                <w:spacing w:val="-41"/>
                <w:sz w:val="24"/>
                <w:szCs w:val="24"/>
                <w14:textFill>
                  <w14:solidFill>
                    <w14:schemeClr w14:val="tx1"/>
                  </w14:solidFill>
                </w14:textFill>
              </w:rPr>
              <w:t xml:space="preserve"> </w:t>
            </w:r>
            <w:r>
              <w:rPr>
                <w:rFonts w:hint="eastAsia" w:ascii="宋体" w:hAnsi="宋体" w:eastAsia="宋体" w:cs="宋体"/>
                <w:color w:val="000000" w:themeColor="text1"/>
                <w:spacing w:val="6"/>
                <w:sz w:val="24"/>
                <w:szCs w:val="24"/>
                <w14:textFill>
                  <w14:solidFill>
                    <w14:schemeClr w14:val="tx1"/>
                  </w14:solidFill>
                </w14:textFill>
              </w:rPr>
              <w:t>2h计，最大一次消防用水量</w:t>
            </w:r>
            <w:r>
              <w:rPr>
                <w:rFonts w:hint="eastAsia" w:ascii="宋体" w:hAnsi="宋体" w:eastAsia="宋体" w:cs="宋体"/>
                <w:color w:val="000000" w:themeColor="text1"/>
                <w:spacing w:val="2"/>
                <w:sz w:val="24"/>
                <w:szCs w:val="24"/>
                <w14:textFill>
                  <w14:solidFill>
                    <w14:schemeClr w14:val="tx1"/>
                  </w14:solidFill>
                </w14:textFill>
              </w:rPr>
              <w:t>为</w:t>
            </w:r>
            <w:r>
              <w:rPr>
                <w:rFonts w:hint="eastAsia" w:ascii="宋体" w:hAnsi="宋体" w:eastAsia="宋体" w:cs="宋体"/>
                <w:color w:val="000000" w:themeColor="text1"/>
                <w:spacing w:val="-39"/>
                <w:sz w:val="24"/>
                <w:szCs w:val="24"/>
                <w14:textFill>
                  <w14:solidFill>
                    <w14:schemeClr w14:val="tx1"/>
                  </w14:solidFill>
                </w14:textFill>
              </w:rPr>
              <w:t xml:space="preserve"> </w:t>
            </w:r>
            <w:r>
              <w:rPr>
                <w:rFonts w:hint="eastAsia" w:ascii="宋体" w:hAnsi="宋体" w:eastAsia="宋体" w:cs="宋体"/>
                <w:color w:val="000000" w:themeColor="text1"/>
                <w:spacing w:val="2"/>
                <w:sz w:val="24"/>
                <w:szCs w:val="24"/>
                <w:lang w:val="en-US" w:eastAsia="zh-CN"/>
                <w14:textFill>
                  <w14:solidFill>
                    <w14:schemeClr w14:val="tx1"/>
                  </w14:solidFill>
                </w14:textFill>
              </w:rPr>
              <w:t>72</w:t>
            </w:r>
            <w:r>
              <w:rPr>
                <w:rFonts w:hint="eastAsia" w:ascii="宋体" w:hAnsi="宋体" w:eastAsia="宋体" w:cs="宋体"/>
                <w:color w:val="000000" w:themeColor="text1"/>
                <w:spacing w:val="8"/>
                <w:sz w:val="24"/>
                <w:szCs w:val="24"/>
                <w14:textFill>
                  <w14:solidFill>
                    <w14:schemeClr w14:val="tx1"/>
                  </w14:solidFill>
                </w14:textFill>
              </w:rPr>
              <w:t>m</w:t>
            </w:r>
            <w:r>
              <w:rPr>
                <w:rFonts w:hint="eastAsia" w:ascii="宋体" w:hAnsi="宋体" w:eastAsia="宋体" w:cs="宋体"/>
                <w:color w:val="000000" w:themeColor="text1"/>
                <w:spacing w:val="8"/>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pacing w:val="2"/>
                <w:sz w:val="24"/>
                <w:szCs w:val="24"/>
                <w14:textFill>
                  <w14:solidFill>
                    <w14:schemeClr w14:val="tx1"/>
                  </w14:solidFill>
                </w14:textFill>
              </w:rPr>
              <w:t>。</w:t>
            </w:r>
          </w:p>
          <w:p w14:paraId="2E15F4E9">
            <w:pPr>
              <w:keepNext w:val="0"/>
              <w:keepLines w:val="0"/>
              <w:pageBreakBefore w:val="0"/>
              <w:widowControl/>
              <w:kinsoku/>
              <w:wordWrap/>
              <w:overflowPunct/>
              <w:topLinePunct w:val="0"/>
              <w:autoSpaceDE w:val="0"/>
              <w:autoSpaceDN w:val="0"/>
              <w:bidi w:val="0"/>
              <w:adjustRightInd w:val="0"/>
              <w:snapToGrid w:val="0"/>
              <w:spacing w:line="360" w:lineRule="auto"/>
              <w:ind w:left="489"/>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③发生事故时可以</w:t>
            </w:r>
            <w:r>
              <w:rPr>
                <w:rFonts w:hint="eastAsia" w:ascii="宋体" w:hAnsi="宋体" w:eastAsia="宋体" w:cs="宋体"/>
                <w:color w:val="000000" w:themeColor="text1"/>
                <w:spacing w:val="9"/>
                <w:sz w:val="24"/>
                <w:szCs w:val="24"/>
                <w:lang w:eastAsia="zh-CN"/>
                <w14:textFill>
                  <w14:solidFill>
                    <w14:schemeClr w14:val="tx1"/>
                  </w14:solidFill>
                </w14:textFill>
              </w:rPr>
              <w:t>传输</w:t>
            </w:r>
            <w:r>
              <w:rPr>
                <w:rFonts w:hint="eastAsia" w:ascii="宋体" w:hAnsi="宋体" w:eastAsia="宋体" w:cs="宋体"/>
                <w:color w:val="000000" w:themeColor="text1"/>
                <w:spacing w:val="9"/>
                <w:sz w:val="24"/>
                <w:szCs w:val="24"/>
                <w14:textFill>
                  <w14:solidFill>
                    <w14:schemeClr w14:val="tx1"/>
                  </w14:solidFill>
                </w14:textFill>
              </w:rPr>
              <w:t>到其他储存或处理设施的物料量（V</w:t>
            </w:r>
            <w:r>
              <w:rPr>
                <w:rFonts w:hint="eastAsia" w:ascii="宋体" w:hAnsi="宋体" w:eastAsia="宋体" w:cs="宋体"/>
                <w:color w:val="000000" w:themeColor="text1"/>
                <w:spacing w:val="9"/>
                <w:position w:val="-1"/>
                <w:sz w:val="24"/>
                <w:szCs w:val="24"/>
                <w14:textFill>
                  <w14:solidFill>
                    <w14:schemeClr w14:val="tx1"/>
                  </w14:solidFill>
                </w14:textFill>
              </w:rPr>
              <w:t>3</w:t>
            </w:r>
            <w:r>
              <w:rPr>
                <w:rFonts w:hint="eastAsia" w:ascii="宋体" w:hAnsi="宋体" w:eastAsia="宋体" w:cs="宋体"/>
                <w:color w:val="000000" w:themeColor="text1"/>
                <w:spacing w:val="9"/>
                <w:sz w:val="24"/>
                <w:szCs w:val="24"/>
                <w14:textFill>
                  <w14:solidFill>
                    <w14:schemeClr w14:val="tx1"/>
                  </w14:solidFill>
                </w14:textFill>
              </w:rPr>
              <w:t>）</w:t>
            </w:r>
          </w:p>
          <w:p w14:paraId="266B1D5B">
            <w:pPr>
              <w:keepNext w:val="0"/>
              <w:keepLines w:val="0"/>
              <w:pageBreakBefore w:val="0"/>
              <w:widowControl/>
              <w:kinsoku/>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position w:val="1"/>
                <w:sz w:val="24"/>
                <w:szCs w:val="24"/>
                <w14:textFill>
                  <w14:solidFill>
                    <w14:schemeClr w14:val="tx1"/>
                  </w14:solidFill>
                </w14:textFill>
              </w:rPr>
              <w:t>本项目V</w:t>
            </w:r>
            <w:r>
              <w:rPr>
                <w:rFonts w:hint="eastAsia" w:ascii="宋体" w:hAnsi="宋体" w:eastAsia="宋体" w:cs="宋体"/>
                <w:color w:val="000000" w:themeColor="text1"/>
                <w:spacing w:val="7"/>
                <w:sz w:val="24"/>
                <w:szCs w:val="24"/>
                <w14:textFill>
                  <w14:solidFill>
                    <w14:schemeClr w14:val="tx1"/>
                  </w14:solidFill>
                </w14:textFill>
              </w:rPr>
              <w:t>3</w:t>
            </w:r>
            <w:r>
              <w:rPr>
                <w:rFonts w:hint="eastAsia" w:ascii="宋体" w:hAnsi="宋体" w:eastAsia="宋体" w:cs="宋体"/>
                <w:color w:val="000000" w:themeColor="text1"/>
                <w:spacing w:val="7"/>
                <w:position w:val="1"/>
                <w:sz w:val="24"/>
                <w:szCs w:val="24"/>
                <w14:textFill>
                  <w14:solidFill>
                    <w14:schemeClr w14:val="tx1"/>
                  </w14:solidFill>
                </w14:textFill>
              </w:rPr>
              <w:t>=</w:t>
            </w:r>
            <w:r>
              <w:rPr>
                <w:rFonts w:hint="eastAsia" w:ascii="宋体" w:hAnsi="宋体" w:cs="宋体"/>
                <w:color w:val="000000" w:themeColor="text1"/>
                <w:spacing w:val="7"/>
                <w:position w:val="1"/>
                <w:sz w:val="24"/>
                <w:szCs w:val="24"/>
                <w:lang w:val="en-US" w:eastAsia="zh-CN"/>
                <w14:textFill>
                  <w14:solidFill>
                    <w14:schemeClr w14:val="tx1"/>
                  </w14:solidFill>
                </w14:textFill>
              </w:rPr>
              <w:t>10</w:t>
            </w:r>
            <w:r>
              <w:rPr>
                <w:rFonts w:hint="eastAsia" w:ascii="宋体" w:hAnsi="宋体" w:eastAsia="宋体" w:cs="宋体"/>
                <w:color w:val="000000" w:themeColor="text1"/>
                <w:spacing w:val="7"/>
                <w:position w:val="1"/>
                <w:sz w:val="24"/>
                <w:szCs w:val="24"/>
                <w14:textFill>
                  <w14:solidFill>
                    <w14:schemeClr w14:val="tx1"/>
                  </w14:solidFill>
                </w14:textFill>
              </w:rPr>
              <w:t>。</w:t>
            </w:r>
          </w:p>
          <w:p w14:paraId="1D057C31">
            <w:pPr>
              <w:keepNext w:val="0"/>
              <w:keepLines w:val="0"/>
              <w:pageBreakBefore w:val="0"/>
              <w:widowControl/>
              <w:kinsoku/>
              <w:wordWrap/>
              <w:overflowPunct/>
              <w:topLinePunct w:val="0"/>
              <w:autoSpaceDE w:val="0"/>
              <w:autoSpaceDN w:val="0"/>
              <w:bidi w:val="0"/>
              <w:adjustRightInd w:val="0"/>
              <w:snapToGrid w:val="0"/>
              <w:spacing w:line="360" w:lineRule="auto"/>
              <w:ind w:left="489"/>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④生产废水量（V</w:t>
            </w:r>
            <w:r>
              <w:rPr>
                <w:rFonts w:hint="eastAsia" w:ascii="宋体" w:hAnsi="宋体" w:eastAsia="宋体" w:cs="宋体"/>
                <w:color w:val="000000" w:themeColor="text1"/>
                <w:spacing w:val="7"/>
                <w:position w:val="-1"/>
                <w:sz w:val="24"/>
                <w:szCs w:val="24"/>
                <w14:textFill>
                  <w14:solidFill>
                    <w14:schemeClr w14:val="tx1"/>
                  </w14:solidFill>
                </w14:textFill>
              </w:rPr>
              <w:t>4</w:t>
            </w:r>
            <w:r>
              <w:rPr>
                <w:rFonts w:hint="eastAsia" w:ascii="宋体" w:hAnsi="宋体" w:eastAsia="宋体" w:cs="宋体"/>
                <w:color w:val="000000" w:themeColor="text1"/>
                <w:spacing w:val="7"/>
                <w:sz w:val="24"/>
                <w:szCs w:val="24"/>
                <w14:textFill>
                  <w14:solidFill>
                    <w14:schemeClr w14:val="tx1"/>
                  </w14:solidFill>
                </w14:textFill>
              </w:rPr>
              <w:t>）</w:t>
            </w:r>
          </w:p>
          <w:p w14:paraId="697937D1">
            <w:pPr>
              <w:keepNext w:val="0"/>
              <w:keepLines w:val="0"/>
              <w:pageBreakBefore w:val="0"/>
              <w:widowControl/>
              <w:kinsoku/>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position w:val="1"/>
                <w:sz w:val="24"/>
                <w:szCs w:val="24"/>
                <w14:textFill>
                  <w14:solidFill>
                    <w14:schemeClr w14:val="tx1"/>
                  </w14:solidFill>
                </w14:textFill>
              </w:rPr>
              <w:t>本项目实施后，正常生产时</w:t>
            </w:r>
            <w:r>
              <w:rPr>
                <w:rFonts w:hint="eastAsia" w:ascii="宋体" w:hAnsi="宋体" w:eastAsia="宋体" w:cs="宋体"/>
                <w:color w:val="000000" w:themeColor="text1"/>
                <w:spacing w:val="9"/>
                <w:position w:val="1"/>
                <w:sz w:val="24"/>
                <w:szCs w:val="24"/>
                <w:lang w:eastAsia="zh-CN"/>
                <w14:textFill>
                  <w14:solidFill>
                    <w14:schemeClr w14:val="tx1"/>
                  </w14:solidFill>
                </w14:textFill>
              </w:rPr>
              <w:t>，</w:t>
            </w:r>
            <w:r>
              <w:rPr>
                <w:rFonts w:hint="eastAsia" w:ascii="宋体" w:hAnsi="宋体" w:eastAsia="宋体" w:cs="宋体"/>
                <w:color w:val="000000" w:themeColor="text1"/>
                <w:spacing w:val="9"/>
                <w:position w:val="1"/>
                <w:sz w:val="24"/>
                <w:szCs w:val="24"/>
                <w14:textFill>
                  <w14:solidFill>
                    <w14:schemeClr w14:val="tx1"/>
                  </w14:solidFill>
                </w14:textFill>
              </w:rPr>
              <w:t>无必须进入该收集系统的生产废水</w:t>
            </w:r>
            <w:r>
              <w:rPr>
                <w:rFonts w:hint="eastAsia" w:ascii="宋体" w:hAnsi="宋体" w:eastAsia="宋体" w:cs="宋体"/>
                <w:color w:val="000000" w:themeColor="text1"/>
                <w:spacing w:val="8"/>
                <w:position w:val="1"/>
                <w:sz w:val="24"/>
                <w:szCs w:val="24"/>
                <w14:textFill>
                  <w14:solidFill>
                    <w14:schemeClr w14:val="tx1"/>
                  </w14:solidFill>
                </w14:textFill>
              </w:rPr>
              <w:t>量，V</w:t>
            </w:r>
            <w:r>
              <w:rPr>
                <w:rFonts w:hint="eastAsia" w:ascii="宋体" w:hAnsi="宋体" w:eastAsia="宋体" w:cs="宋体"/>
                <w:color w:val="000000" w:themeColor="text1"/>
                <w:spacing w:val="8"/>
                <w:sz w:val="24"/>
                <w:szCs w:val="24"/>
                <w14:textFill>
                  <w14:solidFill>
                    <w14:schemeClr w14:val="tx1"/>
                  </w14:solidFill>
                </w14:textFill>
              </w:rPr>
              <w:t>4</w:t>
            </w:r>
            <w:r>
              <w:rPr>
                <w:rFonts w:hint="eastAsia" w:ascii="宋体" w:hAnsi="宋体" w:eastAsia="宋体" w:cs="宋体"/>
                <w:color w:val="000000" w:themeColor="text1"/>
                <w:spacing w:val="8"/>
                <w:position w:val="1"/>
                <w:sz w:val="24"/>
                <w:szCs w:val="24"/>
                <w14:textFill>
                  <w14:solidFill>
                    <w14:schemeClr w14:val="tx1"/>
                  </w14:solidFill>
                </w14:textFill>
              </w:rPr>
              <w:t>=0。</w:t>
            </w:r>
          </w:p>
          <w:p w14:paraId="496C7177">
            <w:pPr>
              <w:keepNext w:val="0"/>
              <w:keepLines w:val="0"/>
              <w:pageBreakBefore w:val="0"/>
              <w:widowControl/>
              <w:kinsoku/>
              <w:wordWrap/>
              <w:overflowPunct/>
              <w:topLinePunct w:val="0"/>
              <w:autoSpaceDE w:val="0"/>
              <w:autoSpaceDN w:val="0"/>
              <w:bidi w:val="0"/>
              <w:adjustRightInd w:val="0"/>
              <w:snapToGrid w:val="0"/>
              <w:spacing w:line="360" w:lineRule="auto"/>
              <w:ind w:left="489"/>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7"/>
                <w:sz w:val="24"/>
                <w:szCs w:val="24"/>
                <w14:textFill>
                  <w14:solidFill>
                    <w14:schemeClr w14:val="tx1"/>
                  </w14:solidFill>
                </w14:textFill>
              </w:rPr>
              <w:t>⑤污染雨水量（V</w:t>
            </w:r>
            <w:r>
              <w:rPr>
                <w:rFonts w:hint="eastAsia" w:ascii="宋体" w:hAnsi="宋体" w:eastAsia="宋体" w:cs="宋体"/>
                <w:color w:val="000000" w:themeColor="text1"/>
                <w:spacing w:val="7"/>
                <w:position w:val="-1"/>
                <w:sz w:val="24"/>
                <w:szCs w:val="24"/>
                <w14:textFill>
                  <w14:solidFill>
                    <w14:schemeClr w14:val="tx1"/>
                  </w14:solidFill>
                </w14:textFill>
              </w:rPr>
              <w:t>5</w:t>
            </w:r>
            <w:r>
              <w:rPr>
                <w:rFonts w:hint="eastAsia" w:ascii="宋体" w:hAnsi="宋体" w:eastAsia="宋体" w:cs="宋体"/>
                <w:color w:val="000000" w:themeColor="text1"/>
                <w:spacing w:val="7"/>
                <w:sz w:val="24"/>
                <w:szCs w:val="24"/>
                <w14:textFill>
                  <w14:solidFill>
                    <w14:schemeClr w14:val="tx1"/>
                  </w14:solidFill>
                </w14:textFill>
              </w:rPr>
              <w:t>）</w:t>
            </w:r>
          </w:p>
          <w:p w14:paraId="7860B63C">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根据《石油化工企业给水排水系统设计规范》（SH3015-2019）中的6.3.3初期雨水的计算情况进行估算，其规定按降水深度1</w:t>
            </w:r>
            <w:r>
              <w:rPr>
                <w:rFonts w:hint="eastAsia" w:ascii="宋体" w:hAnsi="宋体" w:cs="宋体"/>
                <w:color w:val="000000" w:themeColor="text1"/>
                <w:sz w:val="24"/>
                <w:szCs w:val="28"/>
                <w:lang w:val="en-US" w:eastAsia="zh-CN"/>
                <w14:textFill>
                  <w14:solidFill>
                    <w14:schemeClr w14:val="tx1"/>
                  </w14:solidFill>
                </w14:textFill>
              </w:rPr>
              <w:t>0</w:t>
            </w:r>
            <w:r>
              <w:rPr>
                <w:rFonts w:hint="eastAsia" w:ascii="宋体" w:hAnsi="宋体" w:eastAsia="宋体" w:cs="宋体"/>
                <w:color w:val="000000" w:themeColor="text1"/>
                <w:sz w:val="24"/>
                <w:szCs w:val="28"/>
                <w14:textFill>
                  <w14:solidFill>
                    <w14:schemeClr w14:val="tx1"/>
                  </w14:solidFill>
                </w14:textFill>
              </w:rPr>
              <w:t>-</w:t>
            </w:r>
            <w:r>
              <w:rPr>
                <w:rFonts w:hint="eastAsia" w:ascii="宋体" w:hAnsi="宋体" w:cs="宋体"/>
                <w:color w:val="000000" w:themeColor="text1"/>
                <w:sz w:val="24"/>
                <w:szCs w:val="28"/>
                <w:lang w:val="en-US" w:eastAsia="zh-CN"/>
                <w14:textFill>
                  <w14:solidFill>
                    <w14:schemeClr w14:val="tx1"/>
                  </w14:solidFill>
                </w14:textFill>
              </w:rPr>
              <w:t>15</w:t>
            </w:r>
            <w:r>
              <w:rPr>
                <w:rFonts w:hint="eastAsia" w:ascii="宋体" w:hAnsi="宋体" w:eastAsia="宋体" w:cs="宋体"/>
                <w:color w:val="000000" w:themeColor="text1"/>
                <w:sz w:val="24"/>
                <w:szCs w:val="28"/>
                <w14:textFill>
                  <w14:solidFill>
                    <w14:schemeClr w14:val="tx1"/>
                  </w14:solidFill>
                </w14:textFill>
              </w:rPr>
              <w:t>mm与污染区面积的乘积计算初期雨水。本项目污染区包括待拆解汽车的贮存区、车辆进出道路，厂区内落地的初期雨水面积约为</w:t>
            </w:r>
            <w:r>
              <w:rPr>
                <w:rFonts w:hint="eastAsia" w:ascii="宋体" w:hAnsi="宋体" w:cs="宋体"/>
                <w:color w:val="000000" w:themeColor="text1"/>
                <w:sz w:val="24"/>
                <w:szCs w:val="28"/>
                <w:lang w:val="en-US" w:eastAsia="zh-CN"/>
                <w14:textFill>
                  <w14:solidFill>
                    <w14:schemeClr w14:val="tx1"/>
                  </w14:solidFill>
                </w14:textFill>
              </w:rPr>
              <w:t>2.2万</w:t>
            </w:r>
            <w:r>
              <w:rPr>
                <w:rFonts w:hint="eastAsia" w:ascii="宋体" w:hAnsi="宋体" w:eastAsia="宋体" w:cs="宋体"/>
                <w:color w:val="000000" w:themeColor="text1"/>
                <w:sz w:val="24"/>
                <w:szCs w:val="28"/>
                <w14:textFill>
                  <w14:solidFill>
                    <w14:schemeClr w14:val="tx1"/>
                  </w14:solidFill>
                </w14:textFill>
              </w:rPr>
              <w:t>m²，初期雨水量取0.02m，径流系数为0.4-1.0（本评价取0.</w:t>
            </w:r>
            <w:r>
              <w:rPr>
                <w:rFonts w:hint="eastAsia" w:ascii="宋体" w:hAnsi="宋体" w:eastAsia="宋体" w:cs="宋体"/>
                <w:color w:val="000000" w:themeColor="text1"/>
                <w:sz w:val="24"/>
                <w:szCs w:val="28"/>
                <w:lang w:val="en-US" w:eastAsia="zh-CN"/>
                <w14:textFill>
                  <w14:solidFill>
                    <w14:schemeClr w14:val="tx1"/>
                  </w14:solidFill>
                </w14:textFill>
              </w:rPr>
              <w:t>8</w:t>
            </w:r>
            <w:r>
              <w:rPr>
                <w:rFonts w:hint="eastAsia" w:ascii="宋体" w:hAnsi="宋体" w:eastAsia="宋体" w:cs="宋体"/>
                <w:color w:val="000000" w:themeColor="text1"/>
                <w:sz w:val="24"/>
                <w:szCs w:val="28"/>
                <w14:textFill>
                  <w14:solidFill>
                    <w14:schemeClr w14:val="tx1"/>
                  </w14:solidFill>
                </w14:textFill>
              </w:rPr>
              <w:t>），则初期雨水量为：</w:t>
            </w:r>
            <w:r>
              <w:rPr>
                <w:rFonts w:hint="eastAsia" w:ascii="宋体" w:hAnsi="宋体" w:cs="宋体"/>
                <w:color w:val="000000" w:themeColor="text1"/>
                <w:sz w:val="24"/>
                <w:szCs w:val="28"/>
                <w:lang w:val="en-US" w:eastAsia="zh-CN"/>
                <w14:textFill>
                  <w14:solidFill>
                    <w14:schemeClr w14:val="tx1"/>
                  </w14:solidFill>
                </w14:textFill>
              </w:rPr>
              <w:t>22000</w:t>
            </w:r>
            <w:r>
              <w:rPr>
                <w:rFonts w:hint="eastAsia" w:ascii="宋体" w:hAnsi="宋体" w:eastAsia="宋体" w:cs="宋体"/>
                <w:color w:val="000000" w:themeColor="text1"/>
                <w:sz w:val="24"/>
                <w:szCs w:val="28"/>
                <w14:textFill>
                  <w14:solidFill>
                    <w14:schemeClr w14:val="tx1"/>
                  </w14:solidFill>
                </w14:textFill>
              </w:rPr>
              <w:t>×0.0</w:t>
            </w:r>
            <w:r>
              <w:rPr>
                <w:rFonts w:hint="eastAsia" w:ascii="宋体" w:hAnsi="宋体" w:cs="宋体"/>
                <w:color w:val="000000" w:themeColor="text1"/>
                <w:sz w:val="24"/>
                <w:szCs w:val="28"/>
                <w:lang w:val="en-US" w:eastAsia="zh-CN"/>
                <w14:textFill>
                  <w14:solidFill>
                    <w14:schemeClr w14:val="tx1"/>
                  </w14:solidFill>
                </w14:textFill>
              </w:rPr>
              <w:t>15</w:t>
            </w:r>
            <w:r>
              <w:rPr>
                <w:rFonts w:hint="eastAsia" w:ascii="宋体" w:hAnsi="宋体" w:eastAsia="宋体" w:cs="宋体"/>
                <w:color w:val="000000" w:themeColor="text1"/>
                <w:sz w:val="24"/>
                <w:szCs w:val="28"/>
                <w14:textFill>
                  <w14:solidFill>
                    <w14:schemeClr w14:val="tx1"/>
                  </w14:solidFill>
                </w14:textFill>
              </w:rPr>
              <w:t>×0.</w:t>
            </w:r>
            <w:r>
              <w:rPr>
                <w:rFonts w:hint="eastAsia" w:ascii="宋体" w:hAnsi="宋体" w:eastAsia="宋体" w:cs="宋体"/>
                <w:color w:val="000000" w:themeColor="text1"/>
                <w:sz w:val="24"/>
                <w:szCs w:val="28"/>
                <w:lang w:val="en-US" w:eastAsia="zh-CN"/>
                <w14:textFill>
                  <w14:solidFill>
                    <w14:schemeClr w14:val="tx1"/>
                  </w14:solidFill>
                </w14:textFill>
              </w:rPr>
              <w:t>8</w:t>
            </w:r>
            <w:r>
              <w:rPr>
                <w:rFonts w:hint="eastAsia" w:ascii="宋体" w:hAnsi="宋体" w:eastAsia="宋体" w:cs="宋体"/>
                <w:color w:val="000000" w:themeColor="text1"/>
                <w:sz w:val="24"/>
                <w:szCs w:val="28"/>
                <w14:textFill>
                  <w14:solidFill>
                    <w14:schemeClr w14:val="tx1"/>
                  </w14:solidFill>
                </w14:textFill>
              </w:rPr>
              <w:t>=</w:t>
            </w:r>
            <w:r>
              <w:rPr>
                <w:rFonts w:hint="eastAsia" w:ascii="宋体" w:hAnsi="宋体" w:cs="宋体"/>
                <w:color w:val="000000" w:themeColor="text1"/>
                <w:sz w:val="24"/>
                <w:szCs w:val="28"/>
                <w:lang w:val="en-US" w:eastAsia="zh-CN"/>
                <w14:textFill>
                  <w14:solidFill>
                    <w14:schemeClr w14:val="tx1"/>
                  </w14:solidFill>
                </w14:textFill>
              </w:rPr>
              <w:t>264</w:t>
            </w:r>
            <w:r>
              <w:rPr>
                <w:rFonts w:hint="eastAsia" w:ascii="宋体" w:hAnsi="宋体" w:eastAsia="宋体" w:cs="宋体"/>
                <w:color w:val="000000" w:themeColor="text1"/>
                <w:sz w:val="24"/>
                <w:szCs w:val="28"/>
                <w14:textFill>
                  <w14:solidFill>
                    <w14:schemeClr w14:val="tx1"/>
                  </w14:solidFill>
                </w14:textFill>
              </w:rPr>
              <w:t>m</w:t>
            </w:r>
            <w:r>
              <w:rPr>
                <w:rFonts w:hint="eastAsia" w:ascii="宋体" w:hAnsi="宋体" w:eastAsia="宋体" w:cs="宋体"/>
                <w:color w:val="000000" w:themeColor="text1"/>
                <w:sz w:val="24"/>
                <w:szCs w:val="28"/>
                <w:vertAlign w:val="superscript"/>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/次。</w:t>
            </w:r>
          </w:p>
          <w:p w14:paraId="0C8BA2A2">
            <w:pPr>
              <w:spacing w:line="360" w:lineRule="auto"/>
              <w:ind w:firstLine="48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故</w:t>
            </w:r>
            <w:r>
              <w:rPr>
                <w:rFonts w:hint="eastAsia" w:ascii="宋体" w:hAnsi="宋体" w:eastAsia="宋体" w:cs="宋体"/>
                <w:color w:val="000000" w:themeColor="text1"/>
                <w:lang w:val="en-US" w:eastAsia="zh-CN"/>
                <w14:textFill>
                  <w14:solidFill>
                    <w14:schemeClr w14:val="tx1"/>
                  </w14:solidFill>
                </w14:textFill>
              </w:rPr>
              <w:object>
                <v:shape id="_x0000_i1027" o:spt="75" type="#_x0000_t75" style="height:18.7pt;width:153.5pt;" o:ole="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o:OLEObject Type="Embed" ProgID="" ShapeID="_x0000_i1027" DrawAspect="Content" ObjectID="_1468075727" r:id="rId31">
                  <o:LockedField>false</o:LockedField>
                </o:OLEObject>
              </w:object>
            </w:r>
            <w:r>
              <w:rPr>
                <w:rFonts w:hint="eastAsia" w:ascii="宋体" w:hAnsi="宋体" w:eastAsia="宋体" w:cs="宋体"/>
                <w:color w:val="000000" w:themeColor="text1"/>
                <w:lang w:eastAsia="zh-CN"/>
                <w14:textFill>
                  <w14:solidFill>
                    <w14:schemeClr w14:val="tx1"/>
                  </w14:solidFill>
                </w14:textFill>
              </w:rPr>
              <w:t>小于零，即</w:t>
            </w:r>
            <w:r>
              <w:rPr>
                <w:rFonts w:hint="eastAsia" w:ascii="宋体" w:hAnsi="宋体" w:cs="宋体"/>
                <w:color w:val="000000" w:themeColor="text1"/>
                <w:lang w:val="en-US" w:eastAsia="zh-CN"/>
                <w14:textFill>
                  <w14:solidFill>
                    <w14:schemeClr w14:val="tx1"/>
                  </w14:solidFill>
                </w14:textFill>
              </w:rPr>
              <w:t>V</w:t>
            </w:r>
            <w:r>
              <w:rPr>
                <w:rFonts w:hint="eastAsia" w:ascii="宋体" w:hAnsi="宋体" w:cs="宋体"/>
                <w:color w:val="000000" w:themeColor="text1"/>
                <w:vertAlign w:val="subscript"/>
                <w:lang w:val="en-US" w:eastAsia="zh-CN"/>
                <w14:textFill>
                  <w14:solidFill>
                    <w14:schemeClr w14:val="tx1"/>
                  </w14:solidFill>
                </w14:textFill>
              </w:rPr>
              <w:t>总</w:t>
            </w:r>
            <w:r>
              <w:rPr>
                <w:rFonts w:hint="eastAsia" w:ascii="宋体" w:hAnsi="宋体" w:cs="宋体"/>
                <w:color w:val="000000" w:themeColor="text1"/>
                <w:vertAlign w:val="baseline"/>
                <w:lang w:val="en-US" w:eastAsia="zh-CN"/>
                <w14:textFill>
                  <w14:solidFill>
                    <w14:schemeClr w14:val="tx1"/>
                  </w14:solidFill>
                </w14:textFill>
              </w:rPr>
              <w:t>=327</w:t>
            </w:r>
            <w:r>
              <w:rPr>
                <w:rFonts w:hint="eastAsia" w:ascii="宋体" w:hAnsi="宋体" w:eastAsia="宋体" w:cs="宋体"/>
                <w:color w:val="000000" w:themeColor="text1"/>
                <w14:textFill>
                  <w14:solidFill>
                    <w14:schemeClr w14:val="tx1"/>
                  </w14:solidFill>
                </w14:textFill>
              </w:rPr>
              <w:t>m</w:t>
            </w:r>
            <w:r>
              <w:rPr>
                <w:rFonts w:hint="eastAsia" w:ascii="宋体" w:hAnsi="宋体" w:eastAsia="宋体" w:cs="宋体"/>
                <w:color w:val="000000" w:themeColor="text1"/>
                <w:vertAlign w:val="super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企业设4.5m×10m×10m的储池，做为事故储池和初期雨水收集池。</w:t>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综上，</w:t>
            </w:r>
            <w:r>
              <w:rPr>
                <w:rFonts w:hint="eastAsia" w:ascii="宋体" w:hAnsi="宋体" w:eastAsia="宋体" w:cs="宋体"/>
                <w:color w:val="000000" w:themeColor="text1"/>
                <w:lang w:eastAsia="zh-CN"/>
                <w14:textFill>
                  <w14:solidFill>
                    <w14:schemeClr w14:val="tx1"/>
                  </w14:solidFill>
                </w14:textFill>
              </w:rPr>
              <w:t>企业事故储池</w:t>
            </w:r>
            <w:r>
              <w:rPr>
                <w:rFonts w:hint="eastAsia" w:ascii="宋体" w:hAnsi="宋体" w:cs="宋体"/>
                <w:color w:val="000000" w:themeColor="text1"/>
                <w:lang w:val="en-US" w:eastAsia="zh-CN"/>
                <w14:textFill>
                  <w14:solidFill>
                    <w14:schemeClr w14:val="tx1"/>
                  </w14:solidFill>
                </w14:textFill>
              </w:rPr>
              <w:t>可以做为</w:t>
            </w:r>
            <w:r>
              <w:rPr>
                <w:rFonts w:hint="eastAsia" w:ascii="宋体" w:hAnsi="宋体" w:eastAsia="宋体" w:cs="宋体"/>
                <w:color w:val="000000" w:themeColor="text1"/>
                <w:lang w:eastAsia="zh-CN"/>
                <w14:textFill>
                  <w14:solidFill>
                    <w14:schemeClr w14:val="tx1"/>
                  </w14:solidFill>
                </w14:textFill>
              </w:rPr>
              <w:t>初期雨水池</w:t>
            </w:r>
            <w:r>
              <w:rPr>
                <w:rFonts w:hint="eastAsia" w:ascii="宋体" w:hAnsi="宋体" w:eastAsia="宋体" w:cs="宋体"/>
                <w:color w:val="000000" w:themeColor="text1"/>
                <w14:textFill>
                  <w14:solidFill>
                    <w14:schemeClr w14:val="tx1"/>
                  </w14:solidFill>
                </w14:textFill>
              </w:rPr>
              <w:t>。</w:t>
            </w:r>
          </w:p>
          <w:p w14:paraId="19574147">
            <w:pPr>
              <w:keepNext w:val="0"/>
              <w:keepLines w:val="0"/>
              <w:pageBreakBefore w:val="0"/>
              <w:widowControl/>
              <w:kinsoku/>
              <w:wordWrap/>
              <w:overflowPunct/>
              <w:topLinePunct w:val="0"/>
              <w:autoSpaceDE w:val="0"/>
              <w:autoSpaceDN w:val="0"/>
              <w:bidi w:val="0"/>
              <w:adjustRightInd w:val="0"/>
              <w:snapToGrid w:val="0"/>
              <w:spacing w:line="360" w:lineRule="auto"/>
              <w:ind w:left="73" w:firstLine="420"/>
              <w:textAlignment w:val="baseline"/>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综上，</w:t>
            </w:r>
            <w:r>
              <w:rPr>
                <w:rFonts w:hint="eastAsia" w:ascii="宋体" w:hAnsi="宋体" w:eastAsia="宋体" w:cs="宋体"/>
                <w:color w:val="000000" w:themeColor="text1"/>
                <w:spacing w:val="8"/>
                <w:sz w:val="24"/>
                <w:szCs w:val="24"/>
                <w14:textFill>
                  <w14:solidFill>
                    <w14:schemeClr w14:val="tx1"/>
                  </w14:solidFill>
                </w14:textFill>
              </w:rPr>
              <w:t>为有效收集事故状态下产生的事故废水，本项目设置有效容积为</w:t>
            </w:r>
            <w:r>
              <w:rPr>
                <w:rFonts w:hint="eastAsia" w:ascii="宋体" w:hAnsi="宋体" w:cs="宋体"/>
                <w:color w:val="000000" w:themeColor="text1"/>
                <w:spacing w:val="8"/>
                <w:sz w:val="24"/>
                <w:szCs w:val="24"/>
                <w:lang w:val="en-US" w:eastAsia="zh-CN"/>
                <w14:textFill>
                  <w14:solidFill>
                    <w14:schemeClr w14:val="tx1"/>
                  </w14:solidFill>
                </w14:textFill>
              </w:rPr>
              <w:t>450</w:t>
            </w:r>
            <w:r>
              <w:rPr>
                <w:rFonts w:hint="eastAsia" w:ascii="宋体" w:hAnsi="宋体" w:eastAsia="宋体" w:cs="宋体"/>
                <w:color w:val="000000" w:themeColor="text1"/>
                <w:spacing w:val="8"/>
                <w:sz w:val="24"/>
                <w:szCs w:val="24"/>
                <w14:textFill>
                  <w14:solidFill>
                    <w14:schemeClr w14:val="tx1"/>
                  </w14:solidFill>
                </w14:textFill>
              </w:rPr>
              <w:t>m³的事故水池。</w:t>
            </w:r>
          </w:p>
          <w:p w14:paraId="06BB93CB">
            <w:pPr>
              <w:pStyle w:val="119"/>
              <w:keepNext w:val="0"/>
              <w:keepLines w:val="0"/>
              <w:pageBreakBefore w:val="0"/>
              <w:widowControl w:val="0"/>
              <w:kinsoku/>
              <w:wordWrap/>
              <w:overflowPunct/>
              <w:topLinePunct w:val="0"/>
              <w:autoSpaceDE/>
              <w:autoSpaceDN/>
              <w:bidi w:val="0"/>
              <w:adjustRightInd/>
              <w:snapToGrid/>
              <w:spacing w:line="360" w:lineRule="auto"/>
              <w:ind w:left="599"/>
              <w:textAlignment w:val="auto"/>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7</w:t>
            </w:r>
            <w:r>
              <w:rPr>
                <w:color w:val="000000" w:themeColor="text1"/>
                <w:spacing w:val="-2"/>
                <w:sz w:val="24"/>
                <w:szCs w:val="24"/>
                <w14:textFill>
                  <w14:solidFill>
                    <w14:schemeClr w14:val="tx1"/>
                  </w14:solidFill>
                </w14:textFill>
              </w:rPr>
              <w:t>）环境风险影响结论</w:t>
            </w:r>
          </w:p>
          <w:p w14:paraId="08BB27EE">
            <w:pPr>
              <w:pStyle w:val="119"/>
              <w:keepNext w:val="0"/>
              <w:keepLines w:val="0"/>
              <w:pageBreakBefore w:val="0"/>
              <w:widowControl w:val="0"/>
              <w:kinsoku/>
              <w:wordWrap/>
              <w:overflowPunct/>
              <w:topLinePunct w:val="0"/>
              <w:autoSpaceDE/>
              <w:autoSpaceDN/>
              <w:bidi w:val="0"/>
              <w:adjustRightInd/>
              <w:snapToGrid/>
              <w:spacing w:line="360" w:lineRule="auto"/>
              <w:ind w:left="108" w:right="102" w:firstLine="481"/>
              <w:jc w:val="both"/>
              <w:textAlignment w:val="auto"/>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项目运行涉及有毒、腐蚀性物质，具有一定的潜在危险性，但处理工艺和设</w:t>
            </w:r>
            <w:r>
              <w:rPr>
                <w:color w:val="000000" w:themeColor="text1"/>
                <w:spacing w:val="-7"/>
                <w:sz w:val="24"/>
                <w:szCs w:val="24"/>
                <w14:textFill>
                  <w14:solidFill>
                    <w14:schemeClr w14:val="tx1"/>
                  </w14:solidFill>
                </w14:textFill>
              </w:rPr>
              <w:t>备成熟可靠，不属于高温高压</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不进行二次拆解</w:t>
            </w:r>
            <w:r>
              <w:rPr>
                <w:color w:val="000000" w:themeColor="text1"/>
                <w:spacing w:val="-7"/>
                <w:sz w:val="24"/>
                <w:szCs w:val="24"/>
                <w14:textFill>
                  <w14:solidFill>
                    <w14:schemeClr w14:val="tx1"/>
                  </w14:solidFill>
                </w14:textFill>
              </w:rPr>
              <w:t>，在设计中严格执行各有关规范中的条款，</w:t>
            </w:r>
            <w:r>
              <w:rPr>
                <w:color w:val="000000" w:themeColor="text1"/>
                <w:spacing w:val="-2"/>
                <w:sz w:val="24"/>
                <w:szCs w:val="24"/>
                <w14:textFill>
                  <w14:solidFill>
                    <w14:schemeClr w14:val="tx1"/>
                  </w14:solidFill>
                </w14:textFill>
              </w:rPr>
              <w:t>对影响安全卫生的因素均采取了措施予以预防，正常情况下能够保证安全生产和</w:t>
            </w:r>
            <w:r>
              <w:rPr>
                <w:color w:val="000000" w:themeColor="text1"/>
                <w:spacing w:val="-1"/>
                <w:sz w:val="24"/>
                <w:szCs w:val="24"/>
                <w14:textFill>
                  <w14:solidFill>
                    <w14:schemeClr w14:val="tx1"/>
                  </w14:solidFill>
                </w14:textFill>
              </w:rPr>
              <w:t>达到工业企业设计卫生标准的要求。</w:t>
            </w:r>
            <w:r>
              <w:rPr>
                <w:color w:val="000000" w:themeColor="text1"/>
                <w:spacing w:val="-2"/>
                <w:sz w:val="24"/>
                <w:szCs w:val="24"/>
                <w14:textFill>
                  <w14:solidFill>
                    <w14:schemeClr w14:val="tx1"/>
                  </w14:solidFill>
                </w14:textFill>
              </w:rPr>
              <w:t>建设单位将严格控制危险物质存储量、严格管理、严格生产操作规程，认真制定和落实各项环境风险防控措施与应急预案，加强日常管理和巡视，定期对员</w:t>
            </w:r>
            <w:r>
              <w:rPr>
                <w:color w:val="000000" w:themeColor="text1"/>
                <w:spacing w:val="-1"/>
                <w:sz w:val="24"/>
                <w:szCs w:val="24"/>
                <w14:textFill>
                  <w14:solidFill>
                    <w14:schemeClr w14:val="tx1"/>
                  </w14:solidFill>
                </w14:textFill>
              </w:rPr>
              <w:t>工进行环境安全和生产安全培训与演练。</w:t>
            </w:r>
          </w:p>
          <w:p w14:paraId="30459B70">
            <w:pPr>
              <w:keepNext w:val="0"/>
              <w:keepLines w:val="0"/>
              <w:pageBreakBefore w:val="0"/>
              <w:widowControl w:val="0"/>
              <w:numPr>
                <w:ilvl w:val="0"/>
                <w:numId w:val="0"/>
              </w:numPr>
              <w:kinsoku/>
              <w:wordWrap/>
              <w:overflowPunct w:val="0"/>
              <w:topLinePunct w:val="0"/>
              <w:autoSpaceDE w:val="0"/>
              <w:autoSpaceDN w:val="0"/>
              <w:bidi w:val="0"/>
              <w:snapToGrid w:val="0"/>
              <w:spacing w:line="360" w:lineRule="auto"/>
              <w:ind w:firstLine="482" w:firstLineChars="200"/>
              <w:textAlignment w:val="baseline"/>
              <w:rPr>
                <w:rFonts w:hint="eastAsia" w:ascii="Times New Roman" w:hAnsi="Times New Roman" w:eastAsia="宋体" w:cs="Times New Roman"/>
                <w:b/>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（九）环保投资</w:t>
            </w:r>
          </w:p>
          <w:p w14:paraId="7446B292">
            <w:pPr>
              <w:keepNext w:val="0"/>
              <w:keepLines w:val="0"/>
              <w:pageBreakBefore w:val="0"/>
              <w:widowControl w:val="0"/>
              <w:kinsoku/>
              <w:wordWrap/>
              <w:topLinePunct w:val="0"/>
              <w:autoSpaceDE w:val="0"/>
              <w:autoSpaceDN w:val="0"/>
              <w:bidi w:val="0"/>
              <w:adjustRightInd w:val="0"/>
              <w:spacing w:line="360" w:lineRule="auto"/>
              <w:ind w:firstLine="480" w:firstLineChars="200"/>
              <w:jc w:val="left"/>
              <w:rPr>
                <w:rFonts w:hint="eastAsia"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本项目环保投资约</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为</w:t>
            </w:r>
            <w:r>
              <w:rPr>
                <w:rFonts w:hint="eastAsia" w:ascii="宋体" w:hAnsi="宋体" w:cs="宋体"/>
                <w:b w:val="0"/>
                <w:bCs w:val="0"/>
                <w:color w:val="000000" w:themeColor="text1"/>
                <w:kern w:val="0"/>
                <w:sz w:val="24"/>
                <w:szCs w:val="24"/>
                <w:highlight w:val="none"/>
                <w:shd w:val="clear" w:color="auto" w:fill="auto"/>
                <w:lang w:val="en-US" w:eastAsia="zh-CN"/>
                <w14:textFill>
                  <w14:solidFill>
                    <w14:schemeClr w14:val="tx1"/>
                  </w14:solidFill>
                </w14:textFill>
              </w:rPr>
              <w:t>5</w:t>
            </w:r>
            <w:r>
              <w:rPr>
                <w:rFonts w:hint="eastAsia" w:ascii="宋体" w:hAnsi="宋体" w:eastAsia="宋体" w:cs="宋体"/>
                <w:b w:val="0"/>
                <w:bCs w:val="0"/>
                <w:color w:val="000000" w:themeColor="text1"/>
                <w:kern w:val="0"/>
                <w:sz w:val="24"/>
                <w:szCs w:val="24"/>
                <w:shd w:val="clear" w:color="auto" w:fill="auto"/>
                <w:lang w:val="en-US" w:eastAsia="zh-CN"/>
                <w14:textFill>
                  <w14:solidFill>
                    <w14:schemeClr w14:val="tx1"/>
                  </w14:solidFill>
                </w14:textFill>
              </w:rPr>
              <w:t>万元</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，见下表：</w:t>
            </w:r>
          </w:p>
          <w:p w14:paraId="4C919DE5">
            <w:pPr>
              <w:pStyle w:val="1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表4-18   环保投资一览表</w:t>
            </w:r>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156"/>
              <w:gridCol w:w="2886"/>
              <w:gridCol w:w="3851"/>
              <w:gridCol w:w="607"/>
            </w:tblGrid>
            <w:tr w14:paraId="1AF5F68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89" w:hRule="atLeast"/>
                <w:jc w:val="center"/>
              </w:trPr>
              <w:tc>
                <w:tcPr>
                  <w:tcW w:w="680" w:type="pct"/>
                  <w:tcBorders>
                    <w:tl2br w:val="nil"/>
                    <w:tr2bl w:val="nil"/>
                  </w:tcBorders>
                  <w:noWrap w:val="0"/>
                  <w:vAlign w:val="center"/>
                </w:tcPr>
                <w:p w14:paraId="241498B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1696" w:type="pct"/>
                  <w:tcBorders>
                    <w:tl2br w:val="nil"/>
                    <w:tr2bl w:val="nil"/>
                  </w:tcBorders>
                  <w:noWrap w:val="0"/>
                  <w:vAlign w:val="center"/>
                </w:tcPr>
                <w:p w14:paraId="2F90D46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内容</w:t>
                  </w:r>
                </w:p>
              </w:tc>
              <w:tc>
                <w:tcPr>
                  <w:tcW w:w="2265" w:type="pct"/>
                  <w:tcBorders>
                    <w:tl2br w:val="nil"/>
                    <w:tr2bl w:val="nil"/>
                  </w:tcBorders>
                  <w:noWrap w:val="0"/>
                  <w:vAlign w:val="center"/>
                </w:tcPr>
                <w:p w14:paraId="11C2505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投资</w:t>
                  </w:r>
                  <w:r>
                    <w:rPr>
                      <w:rFonts w:hint="eastAsia" w:ascii="宋体" w:hAnsi="宋体" w:eastAsia="宋体" w:cs="宋体"/>
                      <w:color w:val="000000" w:themeColor="text1"/>
                      <w:sz w:val="21"/>
                      <w:szCs w:val="21"/>
                      <w14:textFill>
                        <w14:solidFill>
                          <w14:schemeClr w14:val="tx1"/>
                        </w14:solidFill>
                      </w14:textFill>
                    </w:rPr>
                    <w:t>（万元）</w:t>
                  </w:r>
                </w:p>
              </w:tc>
              <w:tc>
                <w:tcPr>
                  <w:tcW w:w="357" w:type="pct"/>
                  <w:tcBorders>
                    <w:tl2br w:val="nil"/>
                    <w:tr2bl w:val="nil"/>
                  </w:tcBorders>
                  <w:noWrap w:val="0"/>
                  <w:vAlign w:val="center"/>
                </w:tcPr>
                <w:p w14:paraId="4DE1FB6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投资</w:t>
                  </w:r>
                </w:p>
              </w:tc>
            </w:tr>
            <w:tr w14:paraId="346EF1D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335" w:hRule="atLeast"/>
                <w:jc w:val="center"/>
              </w:trPr>
              <w:tc>
                <w:tcPr>
                  <w:tcW w:w="680" w:type="pct"/>
                  <w:tcBorders>
                    <w:tl2br w:val="nil"/>
                    <w:tr2bl w:val="nil"/>
                  </w:tcBorders>
                  <w:noWrap w:val="0"/>
                  <w:vAlign w:val="center"/>
                </w:tcPr>
                <w:p w14:paraId="51555C8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废水治理</w:t>
                  </w:r>
                </w:p>
              </w:tc>
              <w:tc>
                <w:tcPr>
                  <w:tcW w:w="1696" w:type="pct"/>
                  <w:tcBorders>
                    <w:tl2br w:val="nil"/>
                    <w:tr2bl w:val="nil"/>
                  </w:tcBorders>
                  <w:noWrap w:val="0"/>
                  <w:vAlign w:val="center"/>
                </w:tcPr>
                <w:p w14:paraId="6A4FADF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初期雨水设施隔油沉淀池、污水泵等设备</w:t>
                  </w:r>
                </w:p>
              </w:tc>
              <w:tc>
                <w:tcPr>
                  <w:tcW w:w="2265" w:type="pct"/>
                  <w:tcBorders>
                    <w:tl2br w:val="nil"/>
                    <w:tr2bl w:val="nil"/>
                  </w:tcBorders>
                  <w:noWrap w:val="0"/>
                  <w:vAlign w:val="center"/>
                </w:tcPr>
                <w:p w14:paraId="1627D4EC">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本项目扩建后，厂区用地面积、建（构）筑物规模均未发生改变，初期雨水产生量无变化，对应初期雨水治理措施亦未调整，因此本次扩建项目无新增废水环保投资费用。</w:t>
                  </w:r>
                </w:p>
              </w:tc>
              <w:tc>
                <w:tcPr>
                  <w:tcW w:w="357" w:type="pct"/>
                  <w:tcBorders>
                    <w:tl2br w:val="nil"/>
                    <w:tr2bl w:val="nil"/>
                  </w:tcBorders>
                  <w:noWrap w:val="0"/>
                  <w:vAlign w:val="center"/>
                </w:tcPr>
                <w:p w14:paraId="4A6EB1D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14:paraId="5DBBDFA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680" w:type="pct"/>
                  <w:tcBorders>
                    <w:tl2br w:val="nil"/>
                    <w:tr2bl w:val="nil"/>
                  </w:tcBorders>
                  <w:noWrap w:val="0"/>
                  <w:vAlign w:val="center"/>
                </w:tcPr>
                <w:p w14:paraId="0A2027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废气治理</w:t>
                  </w:r>
                </w:p>
              </w:tc>
              <w:tc>
                <w:tcPr>
                  <w:tcW w:w="1696" w:type="pct"/>
                  <w:tcBorders>
                    <w:tl2br w:val="nil"/>
                    <w:tr2bl w:val="nil"/>
                  </w:tcBorders>
                  <w:noWrap w:val="0"/>
                  <w:vAlign w:val="center"/>
                </w:tcPr>
                <w:p w14:paraId="4A4FD791">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非甲烷总烃：活性炭废气处理装置处理后有组织排放。</w:t>
                  </w:r>
                </w:p>
                <w:p w14:paraId="1041BA8F">
                  <w:pPr>
                    <w:pStyle w:val="3"/>
                    <w:keepNext w:val="0"/>
                    <w:keepLines w:val="0"/>
                    <w:pageBreakBefore w:val="0"/>
                    <w:widowControl w:val="0"/>
                    <w:kinsoku/>
                    <w:wordWrap/>
                    <w:overflowPunct/>
                    <w:topLinePunct w:val="0"/>
                    <w:autoSpaceDE/>
                    <w:autoSpaceDN/>
                    <w:bidi w:val="0"/>
                    <w:adjustRightInd/>
                    <w:snapToGrid/>
                    <w:spacing w:beforeLines="0" w:afterLines="0" w:line="240" w:lineRule="atLeas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切割粉尘</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设置配备布袋除尘器。</w:t>
                  </w:r>
                </w:p>
              </w:tc>
              <w:tc>
                <w:tcPr>
                  <w:tcW w:w="2265" w:type="pct"/>
                  <w:tcBorders>
                    <w:tl2br w:val="nil"/>
                    <w:tr2bl w:val="nil"/>
                  </w:tcBorders>
                  <w:noWrap w:val="0"/>
                  <w:vAlign w:val="center"/>
                </w:tcPr>
                <w:p w14:paraId="051A69D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现有废气治理设施满足扩建需求</w:t>
                  </w:r>
                </w:p>
              </w:tc>
              <w:tc>
                <w:tcPr>
                  <w:tcW w:w="357" w:type="pct"/>
                  <w:tcBorders>
                    <w:tl2br w:val="nil"/>
                    <w:tr2bl w:val="nil"/>
                  </w:tcBorders>
                  <w:noWrap w:val="0"/>
                  <w:vAlign w:val="center"/>
                </w:tcPr>
                <w:p w14:paraId="185B4AE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14:paraId="0A8D58C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680" w:type="pct"/>
                  <w:tcBorders>
                    <w:tl2br w:val="nil"/>
                    <w:tr2bl w:val="nil"/>
                  </w:tcBorders>
                  <w:noWrap w:val="0"/>
                  <w:vAlign w:val="center"/>
                </w:tcPr>
                <w:p w14:paraId="4451649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噪声治理</w:t>
                  </w:r>
                </w:p>
              </w:tc>
              <w:tc>
                <w:tcPr>
                  <w:tcW w:w="1696" w:type="pct"/>
                  <w:tcBorders>
                    <w:tl2br w:val="nil"/>
                    <w:tr2bl w:val="nil"/>
                  </w:tcBorders>
                  <w:noWrap w:val="0"/>
                  <w:vAlign w:val="center"/>
                </w:tcPr>
                <w:p w14:paraId="7CBFF76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设备噪声：采取隔声、减振措施、定期维修，避免在不良状态下运行</w:t>
                  </w:r>
                </w:p>
              </w:tc>
              <w:tc>
                <w:tcPr>
                  <w:tcW w:w="2265" w:type="pct"/>
                  <w:tcBorders>
                    <w:tl2br w:val="nil"/>
                    <w:tr2bl w:val="nil"/>
                  </w:tcBorders>
                  <w:noWrap w:val="0"/>
                  <w:vAlign w:val="center"/>
                </w:tcPr>
                <w:p w14:paraId="1003433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本次扩建未新增生产设备，仅通过调整生产时长扩大产能。经核实，现有厂区厂界噪声可达标排放，本次扩建无需新增噪声治理措施，亦无相关环保投资。</w:t>
                  </w:r>
                </w:p>
              </w:tc>
              <w:tc>
                <w:tcPr>
                  <w:tcW w:w="357" w:type="pct"/>
                  <w:tcBorders>
                    <w:tl2br w:val="nil"/>
                    <w:tr2bl w:val="nil"/>
                  </w:tcBorders>
                  <w:noWrap w:val="0"/>
                  <w:vAlign w:val="center"/>
                </w:tcPr>
                <w:p w14:paraId="59A310D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0</w:t>
                  </w:r>
                </w:p>
              </w:tc>
            </w:tr>
            <w:tr w14:paraId="58ECB1F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37" w:hRule="atLeast"/>
                <w:jc w:val="center"/>
              </w:trPr>
              <w:tc>
                <w:tcPr>
                  <w:tcW w:w="680" w:type="pct"/>
                  <w:tcBorders>
                    <w:tl2br w:val="nil"/>
                    <w:tr2bl w:val="nil"/>
                  </w:tcBorders>
                  <w:noWrap w:val="0"/>
                  <w:vAlign w:val="center"/>
                </w:tcPr>
                <w:p w14:paraId="4B12C4C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固废处置</w:t>
                  </w:r>
                </w:p>
              </w:tc>
              <w:tc>
                <w:tcPr>
                  <w:tcW w:w="1696" w:type="pct"/>
                  <w:tcBorders>
                    <w:tl2br w:val="nil"/>
                    <w:tr2bl w:val="nil"/>
                  </w:tcBorders>
                  <w:noWrap w:val="0"/>
                  <w:vAlign w:val="center"/>
                </w:tcPr>
                <w:p w14:paraId="649DD98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新增危废盛放容器、一般固废包装箱等</w:t>
                  </w:r>
                </w:p>
              </w:tc>
              <w:tc>
                <w:tcPr>
                  <w:tcW w:w="2265" w:type="pct"/>
                  <w:tcBorders>
                    <w:tl2br w:val="nil"/>
                    <w:tr2bl w:val="nil"/>
                  </w:tcBorders>
                  <w:noWrap w:val="0"/>
                  <w:vAlign w:val="center"/>
                </w:tcPr>
                <w:p w14:paraId="24D79F8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本次扩建后产能提升，危险废物产生量相应增加，需配套购置危废暂存设施满足危险废物规范化暂存要求。</w:t>
                  </w:r>
                </w:p>
              </w:tc>
              <w:tc>
                <w:tcPr>
                  <w:tcW w:w="357" w:type="pct"/>
                  <w:tcBorders>
                    <w:tl2br w:val="nil"/>
                    <w:tr2bl w:val="nil"/>
                  </w:tcBorders>
                  <w:noWrap w:val="0"/>
                  <w:vAlign w:val="center"/>
                </w:tcPr>
                <w:p w14:paraId="60E12F4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r>
            <w:tr w14:paraId="6A756B7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680" w:type="pct"/>
                  <w:tcBorders>
                    <w:tl2br w:val="nil"/>
                    <w:tr2bl w:val="nil"/>
                  </w:tcBorders>
                  <w:noWrap w:val="0"/>
                  <w:vAlign w:val="center"/>
                </w:tcPr>
                <w:p w14:paraId="6B9A297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地下水、土壤防渗</w:t>
                  </w:r>
                </w:p>
              </w:tc>
              <w:tc>
                <w:tcPr>
                  <w:tcW w:w="1696" w:type="pct"/>
                  <w:tcBorders>
                    <w:tl2br w:val="nil"/>
                    <w:tr2bl w:val="nil"/>
                  </w:tcBorders>
                  <w:noWrap w:val="0"/>
                  <w:vAlign w:val="center"/>
                </w:tcPr>
                <w:p w14:paraId="7C11DB4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分区地面防腐、防渗、硬化处理</w:t>
                  </w:r>
                </w:p>
              </w:tc>
              <w:tc>
                <w:tcPr>
                  <w:tcW w:w="2265" w:type="pct"/>
                  <w:tcBorders>
                    <w:tl2br w:val="nil"/>
                    <w:tr2bl w:val="nil"/>
                  </w:tcBorders>
                  <w:noWrap w:val="0"/>
                  <w:vAlign w:val="center"/>
                </w:tcPr>
                <w:p w14:paraId="1B4D8ED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现有防渗满足要求，无需新增环保投资</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w:t>
                  </w:r>
                </w:p>
              </w:tc>
              <w:tc>
                <w:tcPr>
                  <w:tcW w:w="357" w:type="pct"/>
                  <w:tcBorders>
                    <w:tl2br w:val="nil"/>
                    <w:tr2bl w:val="nil"/>
                  </w:tcBorders>
                  <w:noWrap w:val="0"/>
                  <w:vAlign w:val="center"/>
                </w:tcPr>
                <w:p w14:paraId="3CDB6E4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0</w:t>
                  </w:r>
                </w:p>
              </w:tc>
            </w:tr>
            <w:tr w14:paraId="00A9CA6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43" w:hRule="atLeast"/>
                <w:jc w:val="center"/>
              </w:trPr>
              <w:tc>
                <w:tcPr>
                  <w:tcW w:w="680" w:type="pct"/>
                  <w:tcBorders>
                    <w:tl2br w:val="nil"/>
                    <w:tr2bl w:val="nil"/>
                  </w:tcBorders>
                  <w:noWrap w:val="0"/>
                  <w:vAlign w:val="center"/>
                </w:tcPr>
                <w:p w14:paraId="0470FB8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环境风险</w:t>
                  </w:r>
                </w:p>
              </w:tc>
              <w:tc>
                <w:tcPr>
                  <w:tcW w:w="1696" w:type="pct"/>
                  <w:tcBorders>
                    <w:tl2br w:val="nil"/>
                    <w:tr2bl w:val="nil"/>
                  </w:tcBorders>
                  <w:noWrap w:val="0"/>
                  <w:vAlign w:val="center"/>
                </w:tcPr>
                <w:p w14:paraId="1D288B5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2"/>
                      <w:sz w:val="21"/>
                      <w:szCs w:val="21"/>
                      <w14:textFill>
                        <w14:solidFill>
                          <w14:schemeClr w14:val="tx1"/>
                        </w14:solidFill>
                      </w14:textFill>
                    </w:rPr>
                    <w:t>应急事故池，应急物资（吸油毡、抹布、灭火器等）</w:t>
                  </w:r>
                </w:p>
              </w:tc>
              <w:tc>
                <w:tcPr>
                  <w:tcW w:w="2265" w:type="pct"/>
                  <w:tcBorders>
                    <w:tl2br w:val="nil"/>
                    <w:tr2bl w:val="nil"/>
                  </w:tcBorders>
                  <w:noWrap w:val="0"/>
                  <w:vAlign w:val="center"/>
                </w:tcPr>
                <w:p w14:paraId="6345894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现有环境风险物质能够满足扩建项目需求，无需新增环保投资</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w:t>
                  </w:r>
                </w:p>
              </w:tc>
              <w:tc>
                <w:tcPr>
                  <w:tcW w:w="357" w:type="pct"/>
                  <w:tcBorders>
                    <w:tl2br w:val="nil"/>
                    <w:tr2bl w:val="nil"/>
                  </w:tcBorders>
                  <w:noWrap w:val="0"/>
                  <w:vAlign w:val="center"/>
                </w:tcPr>
                <w:p w14:paraId="5210A21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r>
            <w:tr w14:paraId="2007ED1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2377" w:type="pct"/>
                  <w:gridSpan w:val="2"/>
                  <w:tcBorders>
                    <w:tl2br w:val="nil"/>
                    <w:tr2bl w:val="nil"/>
                  </w:tcBorders>
                  <w:noWrap w:val="0"/>
                  <w:vAlign w:val="center"/>
                </w:tcPr>
                <w:p w14:paraId="01C46DC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w:t>
                  </w:r>
                </w:p>
              </w:tc>
              <w:tc>
                <w:tcPr>
                  <w:tcW w:w="2265" w:type="pct"/>
                  <w:tcBorders>
                    <w:tl2br w:val="nil"/>
                    <w:tr2bl w:val="nil"/>
                  </w:tcBorders>
                  <w:noWrap w:val="0"/>
                  <w:vAlign w:val="center"/>
                </w:tcPr>
                <w:p w14:paraId="5B37F17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357" w:type="pct"/>
                  <w:tcBorders>
                    <w:tl2br w:val="nil"/>
                    <w:tr2bl w:val="nil"/>
                  </w:tcBorders>
                  <w:noWrap w:val="0"/>
                  <w:vAlign w:val="center"/>
                </w:tcPr>
                <w:p w14:paraId="75A0BF7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r>
          </w:tbl>
          <w:p w14:paraId="3F118DC7">
            <w:pPr>
              <w:rPr>
                <w:rFonts w:hint="eastAsia" w:ascii="宋体" w:hAnsi="宋体" w:eastAsia="宋体" w:cs="宋体"/>
                <w:color w:val="000000" w:themeColor="text1"/>
                <w14:textFill>
                  <w14:solidFill>
                    <w14:schemeClr w14:val="tx1"/>
                  </w14:solidFill>
                </w14:textFill>
              </w:rPr>
            </w:pPr>
          </w:p>
          <w:p w14:paraId="339A72F9">
            <w:pPr>
              <w:rPr>
                <w:rFonts w:hint="eastAsia" w:ascii="宋体" w:hAnsi="宋体" w:eastAsia="宋体" w:cs="宋体"/>
                <w:color w:val="000000" w:themeColor="text1"/>
                <w14:textFill>
                  <w14:solidFill>
                    <w14:schemeClr w14:val="tx1"/>
                  </w14:solidFill>
                </w14:textFill>
              </w:rPr>
            </w:pPr>
          </w:p>
          <w:p w14:paraId="7EBF180D">
            <w:pPr>
              <w:rPr>
                <w:rFonts w:hint="eastAsia" w:ascii="宋体" w:hAnsi="宋体" w:eastAsia="宋体" w:cs="宋体"/>
                <w:color w:val="000000" w:themeColor="text1"/>
                <w14:textFill>
                  <w14:solidFill>
                    <w14:schemeClr w14:val="tx1"/>
                  </w14:solidFill>
                </w14:textFill>
              </w:rPr>
            </w:pPr>
          </w:p>
        </w:tc>
      </w:tr>
    </w:tbl>
    <w:p w14:paraId="71B9B846">
      <w:pPr>
        <w:ind w:firstLine="480"/>
        <w:rPr>
          <w:rFonts w:hint="eastAsia" w:ascii="宋体" w:hAnsi="宋体" w:eastAsia="宋体" w:cs="宋体"/>
          <w:color w:val="000000" w:themeColor="text1"/>
          <w14:textFill>
            <w14:solidFill>
              <w14:schemeClr w14:val="tx1"/>
            </w14:solidFill>
          </w14:textFill>
        </w:rPr>
      </w:pPr>
    </w:p>
    <w:p w14:paraId="5412DD73">
      <w:pPr>
        <w:pStyle w:val="2"/>
        <w:spacing w:before="120" w:after="12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五、</w:t>
      </w:r>
      <w:bookmarkStart w:id="1" w:name="_Hlk54167917"/>
      <w:r>
        <w:rPr>
          <w:rFonts w:hint="eastAsia" w:ascii="宋体" w:hAnsi="宋体" w:eastAsia="宋体" w:cs="宋体"/>
          <w:color w:val="000000" w:themeColor="text1"/>
          <w14:textFill>
            <w14:solidFill>
              <w14:schemeClr w14:val="tx1"/>
            </w14:solidFill>
          </w14:textFill>
        </w:rPr>
        <w:t>环境保护措施监督检查清单</w:t>
      </w:r>
      <w:bookmarkEnd w:id="1"/>
    </w:p>
    <w:tbl>
      <w:tblPr>
        <w:tblStyle w:val="25"/>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22"/>
        <w:gridCol w:w="1040"/>
        <w:gridCol w:w="1779"/>
        <w:gridCol w:w="1551"/>
        <w:gridCol w:w="702"/>
        <w:gridCol w:w="2550"/>
      </w:tblGrid>
      <w:tr w14:paraId="225D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tcBorders>
              <w:tl2br w:val="nil"/>
              <w:tr2bl w:val="nil"/>
            </w:tcBorders>
            <w:vAlign w:val="top"/>
          </w:tcPr>
          <w:p w14:paraId="5CB119E8">
            <w:pPr>
              <w:pStyle w:val="38"/>
              <w:jc w:val="righ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内容</w:t>
            </w:r>
          </w:p>
          <w:p w14:paraId="57E316B1">
            <w:pPr>
              <w:pStyle w:val="38"/>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要素</w:t>
            </w:r>
          </w:p>
        </w:tc>
        <w:tc>
          <w:tcPr>
            <w:tcW w:w="1862" w:type="dxa"/>
            <w:gridSpan w:val="2"/>
            <w:tcBorders>
              <w:tl2br w:val="nil"/>
              <w:tr2bl w:val="nil"/>
            </w:tcBorders>
            <w:vAlign w:val="center"/>
          </w:tcPr>
          <w:p w14:paraId="525FC65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排放口(编号、名称)/污染源</w:t>
            </w:r>
          </w:p>
        </w:tc>
        <w:tc>
          <w:tcPr>
            <w:tcW w:w="1779" w:type="dxa"/>
            <w:tcBorders>
              <w:tl2br w:val="nil"/>
              <w:tr2bl w:val="nil"/>
            </w:tcBorders>
            <w:vAlign w:val="center"/>
          </w:tcPr>
          <w:p w14:paraId="45D7161B">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污染物项目</w:t>
            </w:r>
          </w:p>
        </w:tc>
        <w:tc>
          <w:tcPr>
            <w:tcW w:w="1551" w:type="dxa"/>
            <w:tcBorders>
              <w:tl2br w:val="nil"/>
              <w:tr2bl w:val="nil"/>
            </w:tcBorders>
            <w:vAlign w:val="center"/>
          </w:tcPr>
          <w:p w14:paraId="61B424D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环境保护措施</w:t>
            </w:r>
          </w:p>
        </w:tc>
        <w:tc>
          <w:tcPr>
            <w:tcW w:w="3252" w:type="dxa"/>
            <w:gridSpan w:val="2"/>
            <w:tcBorders>
              <w:tl2br w:val="nil"/>
              <w:tr2bl w:val="nil"/>
            </w:tcBorders>
            <w:vAlign w:val="center"/>
          </w:tcPr>
          <w:p w14:paraId="34BBC2EB">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执行标准</w:t>
            </w:r>
          </w:p>
        </w:tc>
      </w:tr>
      <w:tr w14:paraId="61CC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restart"/>
            <w:tcBorders>
              <w:tl2br w:val="nil"/>
              <w:tr2bl w:val="nil"/>
            </w:tcBorders>
            <w:vAlign w:val="center"/>
          </w:tcPr>
          <w:p w14:paraId="3847051D">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大气环境</w:t>
            </w:r>
          </w:p>
        </w:tc>
        <w:tc>
          <w:tcPr>
            <w:tcW w:w="1862" w:type="dxa"/>
            <w:gridSpan w:val="2"/>
            <w:tcBorders>
              <w:bottom w:val="single" w:color="000000" w:sz="6" w:space="0"/>
              <w:tl2br w:val="nil"/>
              <w:tr2bl w:val="nil"/>
            </w:tcBorders>
            <w:vAlign w:val="center"/>
          </w:tcPr>
          <w:p w14:paraId="403A43BB">
            <w:pPr>
              <w:pStyle w:val="38"/>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拆解车间</w:t>
            </w:r>
          </w:p>
        </w:tc>
        <w:tc>
          <w:tcPr>
            <w:tcW w:w="1779" w:type="dxa"/>
            <w:tcBorders>
              <w:tl2br w:val="nil"/>
              <w:tr2bl w:val="nil"/>
            </w:tcBorders>
            <w:vAlign w:val="center"/>
          </w:tcPr>
          <w:p w14:paraId="2DA789C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颗粒物</w:t>
            </w:r>
          </w:p>
        </w:tc>
        <w:tc>
          <w:tcPr>
            <w:tcW w:w="1551" w:type="dxa"/>
            <w:tcBorders>
              <w:bottom w:val="single" w:color="000000" w:sz="6" w:space="0"/>
              <w:tl2br w:val="nil"/>
              <w:tr2bl w:val="nil"/>
            </w:tcBorders>
            <w:vAlign w:val="center"/>
          </w:tcPr>
          <w:p w14:paraId="0046299F">
            <w:pPr>
              <w:pStyle w:val="38"/>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布袋除尘</w:t>
            </w:r>
          </w:p>
        </w:tc>
        <w:tc>
          <w:tcPr>
            <w:tcW w:w="3252" w:type="dxa"/>
            <w:gridSpan w:val="2"/>
            <w:vMerge w:val="restart"/>
            <w:tcBorders>
              <w:tl2br w:val="nil"/>
              <w:tr2bl w:val="nil"/>
            </w:tcBorders>
            <w:vAlign w:val="center"/>
          </w:tcPr>
          <w:p w14:paraId="2EF3A692">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《大气污染物综合排放标准》（GB16297-1996）中表2；</w:t>
            </w:r>
          </w:p>
          <w:p w14:paraId="54E3C3C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《挥发性有机物无组织排放控制标准》（GB37822-2019）表A.1 </w:t>
            </w:r>
          </w:p>
        </w:tc>
      </w:tr>
      <w:tr w14:paraId="5447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2AF1BD5D">
            <w:pPr>
              <w:pStyle w:val="38"/>
              <w:rPr>
                <w:rFonts w:hint="eastAsia" w:ascii="宋体" w:hAnsi="宋体" w:eastAsia="宋体" w:cs="宋体"/>
                <w:color w:val="000000" w:themeColor="text1"/>
                <w14:textFill>
                  <w14:solidFill>
                    <w14:schemeClr w14:val="tx1"/>
                  </w14:solidFill>
                </w14:textFill>
              </w:rPr>
            </w:pPr>
          </w:p>
        </w:tc>
        <w:tc>
          <w:tcPr>
            <w:tcW w:w="822" w:type="dxa"/>
            <w:vMerge w:val="restart"/>
            <w:tcBorders>
              <w:top w:val="single" w:color="000000" w:sz="6" w:space="0"/>
              <w:tl2br w:val="nil"/>
              <w:tr2bl w:val="nil"/>
            </w:tcBorders>
            <w:vAlign w:val="center"/>
          </w:tcPr>
          <w:p w14:paraId="5CB796D4">
            <w:pPr>
              <w:pStyle w:val="38"/>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预处理车间</w:t>
            </w:r>
          </w:p>
        </w:tc>
        <w:tc>
          <w:tcPr>
            <w:tcW w:w="1040" w:type="dxa"/>
            <w:tcBorders>
              <w:top w:val="single" w:color="000000" w:sz="6" w:space="0"/>
              <w:tl2br w:val="nil"/>
              <w:tr2bl w:val="nil"/>
            </w:tcBorders>
            <w:vAlign w:val="center"/>
          </w:tcPr>
          <w:p w14:paraId="6C06A829">
            <w:pPr>
              <w:pStyle w:val="38"/>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排气筒</w:t>
            </w:r>
          </w:p>
        </w:tc>
        <w:tc>
          <w:tcPr>
            <w:tcW w:w="1779" w:type="dxa"/>
            <w:tcBorders>
              <w:tl2br w:val="nil"/>
              <w:tr2bl w:val="nil"/>
            </w:tcBorders>
            <w:vAlign w:val="center"/>
          </w:tcPr>
          <w:p w14:paraId="3784624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非甲烷总烃</w:t>
            </w:r>
          </w:p>
        </w:tc>
        <w:tc>
          <w:tcPr>
            <w:tcW w:w="1551" w:type="dxa"/>
            <w:tcBorders>
              <w:top w:val="single" w:color="000000" w:sz="6" w:space="0"/>
              <w:bottom w:val="single" w:color="000000" w:sz="6" w:space="0"/>
              <w:tl2br w:val="nil"/>
              <w:tr2bl w:val="nil"/>
            </w:tcBorders>
            <w:vAlign w:val="center"/>
          </w:tcPr>
          <w:p w14:paraId="1A96BBD3">
            <w:pPr>
              <w:pStyle w:val="38"/>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活性炭</w:t>
            </w:r>
            <w:r>
              <w:rPr>
                <w:rFonts w:hint="eastAsia" w:ascii="宋体" w:hAnsi="宋体" w:cs="宋体"/>
                <w:color w:val="000000" w:themeColor="text1"/>
                <w:lang w:val="en-US" w:eastAsia="zh-CN"/>
                <w14:textFill>
                  <w14:solidFill>
                    <w14:schemeClr w14:val="tx1"/>
                  </w14:solidFill>
                </w14:textFill>
              </w:rPr>
              <w:t>+有组织排放</w:t>
            </w:r>
          </w:p>
        </w:tc>
        <w:tc>
          <w:tcPr>
            <w:tcW w:w="3252" w:type="dxa"/>
            <w:gridSpan w:val="2"/>
            <w:vMerge w:val="continue"/>
            <w:tcBorders>
              <w:tl2br w:val="nil"/>
              <w:tr2bl w:val="nil"/>
            </w:tcBorders>
            <w:vAlign w:val="center"/>
          </w:tcPr>
          <w:p w14:paraId="1070DE90">
            <w:pPr>
              <w:pStyle w:val="38"/>
              <w:rPr>
                <w:rFonts w:hint="eastAsia" w:ascii="宋体" w:hAnsi="宋体" w:eastAsia="宋体" w:cs="宋体"/>
                <w:color w:val="000000" w:themeColor="text1"/>
                <w14:textFill>
                  <w14:solidFill>
                    <w14:schemeClr w14:val="tx1"/>
                  </w14:solidFill>
                </w14:textFill>
              </w:rPr>
            </w:pPr>
          </w:p>
        </w:tc>
      </w:tr>
      <w:tr w14:paraId="04A2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139F318C">
            <w:pPr>
              <w:pStyle w:val="38"/>
              <w:rPr>
                <w:rFonts w:hint="eastAsia" w:ascii="宋体" w:hAnsi="宋体" w:eastAsia="宋体" w:cs="宋体"/>
                <w:color w:val="000000" w:themeColor="text1"/>
                <w14:textFill>
                  <w14:solidFill>
                    <w14:schemeClr w14:val="tx1"/>
                  </w14:solidFill>
                </w14:textFill>
              </w:rPr>
            </w:pPr>
          </w:p>
        </w:tc>
        <w:tc>
          <w:tcPr>
            <w:tcW w:w="822" w:type="dxa"/>
            <w:vMerge w:val="continue"/>
            <w:tcBorders>
              <w:tl2br w:val="nil"/>
              <w:tr2bl w:val="nil"/>
            </w:tcBorders>
            <w:vAlign w:val="center"/>
          </w:tcPr>
          <w:p w14:paraId="1C6CF088">
            <w:pPr>
              <w:pStyle w:val="38"/>
              <w:rPr>
                <w:rFonts w:hint="eastAsia" w:ascii="宋体" w:hAnsi="宋体" w:eastAsia="宋体" w:cs="宋体"/>
                <w:color w:val="000000" w:themeColor="text1"/>
                <w:lang w:val="en-US" w:eastAsia="zh-CN"/>
                <w14:textFill>
                  <w14:solidFill>
                    <w14:schemeClr w14:val="tx1"/>
                  </w14:solidFill>
                </w14:textFill>
              </w:rPr>
            </w:pPr>
          </w:p>
        </w:tc>
        <w:tc>
          <w:tcPr>
            <w:tcW w:w="1040" w:type="dxa"/>
            <w:tcBorders>
              <w:top w:val="single" w:color="000000" w:sz="6" w:space="0"/>
              <w:tl2br w:val="nil"/>
              <w:tr2bl w:val="nil"/>
            </w:tcBorders>
            <w:vAlign w:val="center"/>
          </w:tcPr>
          <w:p w14:paraId="699E223C">
            <w:pPr>
              <w:pStyle w:val="38"/>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未收集无组织</w:t>
            </w:r>
          </w:p>
        </w:tc>
        <w:tc>
          <w:tcPr>
            <w:tcW w:w="1779" w:type="dxa"/>
            <w:tcBorders>
              <w:tl2br w:val="nil"/>
              <w:tr2bl w:val="nil"/>
            </w:tcBorders>
            <w:vAlign w:val="center"/>
          </w:tcPr>
          <w:p w14:paraId="6C2F0C09">
            <w:pPr>
              <w:pStyle w:val="38"/>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非甲烷总烃</w:t>
            </w:r>
          </w:p>
        </w:tc>
        <w:tc>
          <w:tcPr>
            <w:tcW w:w="1551" w:type="dxa"/>
            <w:tcBorders>
              <w:top w:val="single" w:color="000000" w:sz="6" w:space="0"/>
              <w:tl2br w:val="nil"/>
              <w:tr2bl w:val="nil"/>
            </w:tcBorders>
            <w:vAlign w:val="center"/>
          </w:tcPr>
          <w:p w14:paraId="499C434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w:t>
            </w:r>
          </w:p>
        </w:tc>
        <w:tc>
          <w:tcPr>
            <w:tcW w:w="3252" w:type="dxa"/>
            <w:gridSpan w:val="2"/>
            <w:vMerge w:val="continue"/>
            <w:tcBorders>
              <w:tl2br w:val="nil"/>
              <w:tr2bl w:val="nil"/>
            </w:tcBorders>
            <w:vAlign w:val="center"/>
          </w:tcPr>
          <w:p w14:paraId="49E12AA4">
            <w:pPr>
              <w:pStyle w:val="38"/>
              <w:rPr>
                <w:rFonts w:hint="eastAsia" w:ascii="宋体" w:hAnsi="宋体" w:eastAsia="宋体" w:cs="宋体"/>
                <w:color w:val="000000" w:themeColor="text1"/>
                <w14:textFill>
                  <w14:solidFill>
                    <w14:schemeClr w14:val="tx1"/>
                  </w14:solidFill>
                </w14:textFill>
              </w:rPr>
            </w:pPr>
          </w:p>
        </w:tc>
      </w:tr>
      <w:tr w14:paraId="3D67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6EF4EF45">
            <w:pPr>
              <w:pStyle w:val="38"/>
              <w:rPr>
                <w:rFonts w:hint="eastAsia" w:ascii="宋体" w:hAnsi="宋体" w:eastAsia="宋体" w:cs="宋体"/>
                <w:color w:val="000000" w:themeColor="text1"/>
                <w14:textFill>
                  <w14:solidFill>
                    <w14:schemeClr w14:val="tx1"/>
                  </w14:solidFill>
                </w14:textFill>
              </w:rPr>
            </w:pPr>
          </w:p>
        </w:tc>
        <w:tc>
          <w:tcPr>
            <w:tcW w:w="822" w:type="dxa"/>
            <w:vMerge w:val="continue"/>
            <w:tcBorders>
              <w:tl2br w:val="nil"/>
              <w:tr2bl w:val="nil"/>
            </w:tcBorders>
            <w:vAlign w:val="center"/>
          </w:tcPr>
          <w:p w14:paraId="23985476">
            <w:pPr>
              <w:pStyle w:val="38"/>
              <w:rPr>
                <w:rFonts w:hint="eastAsia" w:ascii="宋体" w:hAnsi="宋体" w:eastAsia="宋体" w:cs="宋体"/>
                <w:color w:val="000000" w:themeColor="text1"/>
                <w:lang w:val="en-US" w:eastAsia="zh-CN"/>
                <w14:textFill>
                  <w14:solidFill>
                    <w14:schemeClr w14:val="tx1"/>
                  </w14:solidFill>
                </w14:textFill>
              </w:rPr>
            </w:pPr>
          </w:p>
        </w:tc>
        <w:tc>
          <w:tcPr>
            <w:tcW w:w="1040" w:type="dxa"/>
            <w:tcBorders>
              <w:top w:val="single" w:color="000000" w:sz="6" w:space="0"/>
              <w:tl2br w:val="nil"/>
              <w:tr2bl w:val="nil"/>
            </w:tcBorders>
            <w:vAlign w:val="center"/>
          </w:tcPr>
          <w:p w14:paraId="4BCC0D2E">
            <w:pPr>
              <w:pStyle w:val="38"/>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非正常情况下铅酸蓄电池发生破损无组织</w:t>
            </w:r>
          </w:p>
        </w:tc>
        <w:tc>
          <w:tcPr>
            <w:tcW w:w="1779" w:type="dxa"/>
            <w:tcBorders>
              <w:tl2br w:val="nil"/>
              <w:tr2bl w:val="nil"/>
            </w:tcBorders>
            <w:vAlign w:val="center"/>
          </w:tcPr>
          <w:p w14:paraId="3B884608">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铅、硫酸雾</w:t>
            </w:r>
          </w:p>
        </w:tc>
        <w:tc>
          <w:tcPr>
            <w:tcW w:w="1551" w:type="dxa"/>
            <w:tcBorders>
              <w:top w:val="single" w:color="000000" w:sz="6" w:space="0"/>
              <w:tl2br w:val="nil"/>
              <w:tr2bl w:val="nil"/>
            </w:tcBorders>
            <w:vAlign w:val="center"/>
          </w:tcPr>
          <w:p w14:paraId="775D9DAA">
            <w:pPr>
              <w:pStyle w:val="38"/>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密闭桶，及时转运</w:t>
            </w:r>
          </w:p>
        </w:tc>
        <w:tc>
          <w:tcPr>
            <w:tcW w:w="3252" w:type="dxa"/>
            <w:gridSpan w:val="2"/>
            <w:tcBorders>
              <w:tl2br w:val="nil"/>
              <w:tr2bl w:val="nil"/>
            </w:tcBorders>
            <w:vAlign w:val="center"/>
          </w:tcPr>
          <w:p w14:paraId="3A6E67E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《大气污染物综合排放标准》（GB16297-1996）中表2</w:t>
            </w:r>
          </w:p>
        </w:tc>
      </w:tr>
      <w:tr w14:paraId="4739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restart"/>
            <w:tcBorders>
              <w:tl2br w:val="nil"/>
              <w:tr2bl w:val="nil"/>
            </w:tcBorders>
            <w:vAlign w:val="center"/>
          </w:tcPr>
          <w:p w14:paraId="1BAF230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地表水环境</w:t>
            </w:r>
          </w:p>
        </w:tc>
        <w:tc>
          <w:tcPr>
            <w:tcW w:w="1862" w:type="dxa"/>
            <w:gridSpan w:val="2"/>
            <w:vMerge w:val="restart"/>
            <w:tcBorders>
              <w:tl2br w:val="nil"/>
              <w:tr2bl w:val="nil"/>
            </w:tcBorders>
            <w:vAlign w:val="center"/>
          </w:tcPr>
          <w:p w14:paraId="46DDCA6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污水总排口</w:t>
            </w:r>
          </w:p>
        </w:tc>
        <w:tc>
          <w:tcPr>
            <w:tcW w:w="1779" w:type="dxa"/>
            <w:tcBorders>
              <w:tl2br w:val="nil"/>
              <w:tr2bl w:val="nil"/>
            </w:tcBorders>
            <w:vAlign w:val="center"/>
          </w:tcPr>
          <w:p w14:paraId="2BE3A642">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pH（无量纲）</w:t>
            </w:r>
          </w:p>
        </w:tc>
        <w:tc>
          <w:tcPr>
            <w:tcW w:w="1551" w:type="dxa"/>
            <w:vMerge w:val="restart"/>
            <w:tcBorders>
              <w:tl2br w:val="nil"/>
              <w:tr2bl w:val="nil"/>
            </w:tcBorders>
            <w:vAlign w:val="center"/>
          </w:tcPr>
          <w:p w14:paraId="31C10972">
            <w:pPr>
              <w:pStyle w:val="38"/>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通过</w:t>
            </w:r>
            <w:r>
              <w:rPr>
                <w:rFonts w:hint="eastAsia" w:ascii="宋体" w:hAnsi="宋体" w:cs="宋体"/>
                <w:color w:val="000000" w:themeColor="text1"/>
                <w:lang w:val="en-US" w:eastAsia="zh-CN"/>
                <w14:textFill>
                  <w14:solidFill>
                    <w14:schemeClr w14:val="tx1"/>
                  </w14:solidFill>
                </w14:textFill>
              </w:rPr>
              <w:t>化粪池处理后定期清运</w:t>
            </w:r>
          </w:p>
        </w:tc>
        <w:tc>
          <w:tcPr>
            <w:tcW w:w="702" w:type="dxa"/>
            <w:tcBorders>
              <w:tl2br w:val="nil"/>
              <w:tr2bl w:val="nil"/>
            </w:tcBorders>
            <w:vAlign w:val="top"/>
          </w:tcPr>
          <w:p w14:paraId="2CC4152F">
            <w:pPr>
              <w:pStyle w:val="38"/>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6-9</w:t>
            </w:r>
          </w:p>
        </w:tc>
        <w:tc>
          <w:tcPr>
            <w:tcW w:w="2550" w:type="dxa"/>
            <w:vMerge w:val="restart"/>
            <w:tcBorders>
              <w:tl2br w:val="nil"/>
              <w:tr2bl w:val="nil"/>
            </w:tcBorders>
            <w:vAlign w:val="center"/>
          </w:tcPr>
          <w:p w14:paraId="223C275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《污水综合排放标准》（GB8978-1996</w:t>
            </w:r>
            <w:r>
              <w:rPr>
                <w:rFonts w:hint="eastAsia" w:ascii="宋体" w:hAnsi="宋体" w:eastAsia="宋体" w:cs="宋体"/>
                <w:color w:val="000000" w:themeColor="text1"/>
                <w:highlight w:val="none"/>
                <w14:textFill>
                  <w14:solidFill>
                    <w14:schemeClr w14:val="tx1"/>
                  </w14:solidFill>
                </w14:textFill>
              </w:rPr>
              <w:t>）表4中的三级排放标准，氨氮参照执行《污水排入城镇下水道水质标准》（GB/T31962-2015）表1中B级标准。</w:t>
            </w:r>
          </w:p>
        </w:tc>
      </w:tr>
      <w:tr w14:paraId="0B11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1CC30E39">
            <w:pPr>
              <w:pStyle w:val="38"/>
              <w:rPr>
                <w:rFonts w:hint="eastAsia" w:ascii="宋体" w:hAnsi="宋体" w:eastAsia="宋体" w:cs="宋体"/>
                <w:color w:val="000000" w:themeColor="text1"/>
                <w14:textFill>
                  <w14:solidFill>
                    <w14:schemeClr w14:val="tx1"/>
                  </w14:solidFill>
                </w14:textFill>
              </w:rPr>
            </w:pPr>
          </w:p>
        </w:tc>
        <w:tc>
          <w:tcPr>
            <w:tcW w:w="1862" w:type="dxa"/>
            <w:gridSpan w:val="2"/>
            <w:vMerge w:val="continue"/>
            <w:tcBorders>
              <w:tl2br w:val="nil"/>
              <w:tr2bl w:val="nil"/>
            </w:tcBorders>
            <w:vAlign w:val="center"/>
          </w:tcPr>
          <w:p w14:paraId="4A461C5A">
            <w:pPr>
              <w:pStyle w:val="38"/>
              <w:rPr>
                <w:rFonts w:hint="eastAsia" w:ascii="宋体" w:hAnsi="宋体" w:eastAsia="宋体" w:cs="宋体"/>
                <w:color w:val="000000" w:themeColor="text1"/>
                <w14:textFill>
                  <w14:solidFill>
                    <w14:schemeClr w14:val="tx1"/>
                  </w14:solidFill>
                </w14:textFill>
              </w:rPr>
            </w:pPr>
          </w:p>
        </w:tc>
        <w:tc>
          <w:tcPr>
            <w:tcW w:w="1779" w:type="dxa"/>
            <w:tcBorders>
              <w:tl2br w:val="nil"/>
              <w:tr2bl w:val="nil"/>
            </w:tcBorders>
            <w:vAlign w:val="center"/>
          </w:tcPr>
          <w:p w14:paraId="51DEA20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COD（mg/L）</w:t>
            </w:r>
          </w:p>
        </w:tc>
        <w:tc>
          <w:tcPr>
            <w:tcW w:w="1551" w:type="dxa"/>
            <w:vMerge w:val="continue"/>
            <w:tcBorders>
              <w:tl2br w:val="nil"/>
              <w:tr2bl w:val="nil"/>
            </w:tcBorders>
            <w:vAlign w:val="center"/>
          </w:tcPr>
          <w:p w14:paraId="3826B358">
            <w:pPr>
              <w:pStyle w:val="38"/>
              <w:rPr>
                <w:rFonts w:hint="eastAsia" w:ascii="宋体" w:hAnsi="宋体" w:eastAsia="宋体" w:cs="宋体"/>
                <w:color w:val="000000" w:themeColor="text1"/>
                <w14:textFill>
                  <w14:solidFill>
                    <w14:schemeClr w14:val="tx1"/>
                  </w14:solidFill>
                </w14:textFill>
              </w:rPr>
            </w:pPr>
          </w:p>
        </w:tc>
        <w:tc>
          <w:tcPr>
            <w:tcW w:w="702" w:type="dxa"/>
            <w:tcBorders>
              <w:tl2br w:val="nil"/>
              <w:tr2bl w:val="nil"/>
            </w:tcBorders>
            <w:vAlign w:val="top"/>
          </w:tcPr>
          <w:p w14:paraId="7D5CE8D2">
            <w:pPr>
              <w:pStyle w:val="38"/>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500</w:t>
            </w:r>
          </w:p>
        </w:tc>
        <w:tc>
          <w:tcPr>
            <w:tcW w:w="2550" w:type="dxa"/>
            <w:vMerge w:val="continue"/>
            <w:tcBorders>
              <w:tl2br w:val="nil"/>
              <w:tr2bl w:val="nil"/>
            </w:tcBorders>
            <w:vAlign w:val="center"/>
          </w:tcPr>
          <w:p w14:paraId="6B4224FD">
            <w:pPr>
              <w:pStyle w:val="38"/>
              <w:jc w:val="both"/>
              <w:rPr>
                <w:rFonts w:hint="eastAsia" w:ascii="宋体" w:hAnsi="宋体" w:eastAsia="宋体" w:cs="宋体"/>
                <w:color w:val="000000" w:themeColor="text1"/>
                <w14:textFill>
                  <w14:solidFill>
                    <w14:schemeClr w14:val="tx1"/>
                  </w14:solidFill>
                </w14:textFill>
              </w:rPr>
            </w:pPr>
          </w:p>
        </w:tc>
      </w:tr>
      <w:tr w14:paraId="6C13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97" w:type="dxa"/>
            <w:vMerge w:val="continue"/>
            <w:tcBorders>
              <w:tl2br w:val="nil"/>
              <w:tr2bl w:val="nil"/>
            </w:tcBorders>
            <w:vAlign w:val="center"/>
          </w:tcPr>
          <w:p w14:paraId="271EB5D3">
            <w:pPr>
              <w:pStyle w:val="38"/>
              <w:rPr>
                <w:rFonts w:hint="eastAsia" w:ascii="宋体" w:hAnsi="宋体" w:eastAsia="宋体" w:cs="宋体"/>
                <w:color w:val="000000" w:themeColor="text1"/>
                <w14:textFill>
                  <w14:solidFill>
                    <w14:schemeClr w14:val="tx1"/>
                  </w14:solidFill>
                </w14:textFill>
              </w:rPr>
            </w:pPr>
          </w:p>
        </w:tc>
        <w:tc>
          <w:tcPr>
            <w:tcW w:w="1862" w:type="dxa"/>
            <w:gridSpan w:val="2"/>
            <w:vMerge w:val="continue"/>
            <w:tcBorders>
              <w:tl2br w:val="nil"/>
              <w:tr2bl w:val="nil"/>
            </w:tcBorders>
            <w:vAlign w:val="center"/>
          </w:tcPr>
          <w:p w14:paraId="64EFDDDD">
            <w:pPr>
              <w:pStyle w:val="38"/>
              <w:rPr>
                <w:rFonts w:hint="eastAsia" w:ascii="宋体" w:hAnsi="宋体" w:eastAsia="宋体" w:cs="宋体"/>
                <w:color w:val="000000" w:themeColor="text1"/>
                <w14:textFill>
                  <w14:solidFill>
                    <w14:schemeClr w14:val="tx1"/>
                  </w14:solidFill>
                </w14:textFill>
              </w:rPr>
            </w:pPr>
          </w:p>
        </w:tc>
        <w:tc>
          <w:tcPr>
            <w:tcW w:w="1779" w:type="dxa"/>
            <w:tcBorders>
              <w:tl2br w:val="nil"/>
              <w:tr2bl w:val="nil"/>
            </w:tcBorders>
            <w:vAlign w:val="center"/>
          </w:tcPr>
          <w:p w14:paraId="2A5BA09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BOD</w:t>
            </w:r>
            <w:r>
              <w:rPr>
                <w:rFonts w:hint="eastAsia" w:ascii="宋体" w:hAnsi="宋体" w:eastAsia="宋体" w:cs="宋体"/>
                <w:color w:val="000000" w:themeColor="text1"/>
                <w:vertAlign w:val="subscript"/>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（mg/L）</w:t>
            </w:r>
          </w:p>
        </w:tc>
        <w:tc>
          <w:tcPr>
            <w:tcW w:w="1551" w:type="dxa"/>
            <w:vMerge w:val="continue"/>
            <w:tcBorders>
              <w:tl2br w:val="nil"/>
              <w:tr2bl w:val="nil"/>
            </w:tcBorders>
            <w:vAlign w:val="center"/>
          </w:tcPr>
          <w:p w14:paraId="36076AA0">
            <w:pPr>
              <w:pStyle w:val="38"/>
              <w:rPr>
                <w:rFonts w:hint="eastAsia" w:ascii="宋体" w:hAnsi="宋体" w:eastAsia="宋体" w:cs="宋体"/>
                <w:color w:val="000000" w:themeColor="text1"/>
                <w14:textFill>
                  <w14:solidFill>
                    <w14:schemeClr w14:val="tx1"/>
                  </w14:solidFill>
                </w14:textFill>
              </w:rPr>
            </w:pPr>
          </w:p>
        </w:tc>
        <w:tc>
          <w:tcPr>
            <w:tcW w:w="702" w:type="dxa"/>
            <w:tcBorders>
              <w:tl2br w:val="nil"/>
              <w:tr2bl w:val="nil"/>
            </w:tcBorders>
            <w:vAlign w:val="top"/>
          </w:tcPr>
          <w:p w14:paraId="41B29370">
            <w:pPr>
              <w:pStyle w:val="38"/>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300</w:t>
            </w:r>
          </w:p>
        </w:tc>
        <w:tc>
          <w:tcPr>
            <w:tcW w:w="2550" w:type="dxa"/>
            <w:vMerge w:val="continue"/>
            <w:tcBorders>
              <w:tl2br w:val="nil"/>
              <w:tr2bl w:val="nil"/>
            </w:tcBorders>
            <w:vAlign w:val="center"/>
          </w:tcPr>
          <w:p w14:paraId="28AC4670">
            <w:pPr>
              <w:pStyle w:val="38"/>
              <w:rPr>
                <w:rFonts w:hint="eastAsia" w:ascii="宋体" w:hAnsi="宋体" w:eastAsia="宋体" w:cs="宋体"/>
                <w:color w:val="000000" w:themeColor="text1"/>
                <w14:textFill>
                  <w14:solidFill>
                    <w14:schemeClr w14:val="tx1"/>
                  </w14:solidFill>
                </w14:textFill>
              </w:rPr>
            </w:pPr>
          </w:p>
        </w:tc>
      </w:tr>
      <w:tr w14:paraId="3040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26838F0F">
            <w:pPr>
              <w:pStyle w:val="38"/>
              <w:rPr>
                <w:rFonts w:hint="eastAsia" w:ascii="宋体" w:hAnsi="宋体" w:eastAsia="宋体" w:cs="宋体"/>
                <w:color w:val="000000" w:themeColor="text1"/>
                <w14:textFill>
                  <w14:solidFill>
                    <w14:schemeClr w14:val="tx1"/>
                  </w14:solidFill>
                </w14:textFill>
              </w:rPr>
            </w:pPr>
          </w:p>
        </w:tc>
        <w:tc>
          <w:tcPr>
            <w:tcW w:w="1862" w:type="dxa"/>
            <w:gridSpan w:val="2"/>
            <w:vMerge w:val="continue"/>
            <w:tcBorders>
              <w:tl2br w:val="nil"/>
              <w:tr2bl w:val="nil"/>
            </w:tcBorders>
            <w:vAlign w:val="center"/>
          </w:tcPr>
          <w:p w14:paraId="0B3CD9EC">
            <w:pPr>
              <w:pStyle w:val="38"/>
              <w:rPr>
                <w:rFonts w:hint="eastAsia" w:ascii="宋体" w:hAnsi="宋体" w:eastAsia="宋体" w:cs="宋体"/>
                <w:color w:val="000000" w:themeColor="text1"/>
                <w14:textFill>
                  <w14:solidFill>
                    <w14:schemeClr w14:val="tx1"/>
                  </w14:solidFill>
                </w14:textFill>
              </w:rPr>
            </w:pPr>
          </w:p>
        </w:tc>
        <w:tc>
          <w:tcPr>
            <w:tcW w:w="1779" w:type="dxa"/>
            <w:tcBorders>
              <w:tl2br w:val="nil"/>
              <w:tr2bl w:val="nil"/>
            </w:tcBorders>
            <w:vAlign w:val="center"/>
          </w:tcPr>
          <w:p w14:paraId="662D339E">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SS（mg/L）</w:t>
            </w:r>
          </w:p>
        </w:tc>
        <w:tc>
          <w:tcPr>
            <w:tcW w:w="1551" w:type="dxa"/>
            <w:vMerge w:val="continue"/>
            <w:tcBorders>
              <w:tl2br w:val="nil"/>
              <w:tr2bl w:val="nil"/>
            </w:tcBorders>
            <w:vAlign w:val="center"/>
          </w:tcPr>
          <w:p w14:paraId="51B886A4">
            <w:pPr>
              <w:pStyle w:val="38"/>
              <w:rPr>
                <w:rFonts w:hint="eastAsia" w:ascii="宋体" w:hAnsi="宋体" w:eastAsia="宋体" w:cs="宋体"/>
                <w:color w:val="000000" w:themeColor="text1"/>
                <w14:textFill>
                  <w14:solidFill>
                    <w14:schemeClr w14:val="tx1"/>
                  </w14:solidFill>
                </w14:textFill>
              </w:rPr>
            </w:pPr>
          </w:p>
        </w:tc>
        <w:tc>
          <w:tcPr>
            <w:tcW w:w="702" w:type="dxa"/>
            <w:tcBorders>
              <w:tl2br w:val="nil"/>
              <w:tr2bl w:val="nil"/>
            </w:tcBorders>
            <w:vAlign w:val="top"/>
          </w:tcPr>
          <w:p w14:paraId="7903AA05">
            <w:pPr>
              <w:pStyle w:val="38"/>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400</w:t>
            </w:r>
          </w:p>
        </w:tc>
        <w:tc>
          <w:tcPr>
            <w:tcW w:w="2550" w:type="dxa"/>
            <w:vMerge w:val="continue"/>
            <w:tcBorders>
              <w:tl2br w:val="nil"/>
              <w:tr2bl w:val="nil"/>
            </w:tcBorders>
            <w:vAlign w:val="center"/>
          </w:tcPr>
          <w:p w14:paraId="78E1A9A0">
            <w:pPr>
              <w:pStyle w:val="38"/>
              <w:rPr>
                <w:rFonts w:hint="eastAsia" w:ascii="宋体" w:hAnsi="宋体" w:eastAsia="宋体" w:cs="宋体"/>
                <w:color w:val="000000" w:themeColor="text1"/>
                <w14:textFill>
                  <w14:solidFill>
                    <w14:schemeClr w14:val="tx1"/>
                  </w14:solidFill>
                </w14:textFill>
              </w:rPr>
            </w:pPr>
          </w:p>
        </w:tc>
      </w:tr>
      <w:tr w14:paraId="3BF9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4" w:hRule="atLeast"/>
          <w:jc w:val="center"/>
        </w:trPr>
        <w:tc>
          <w:tcPr>
            <w:tcW w:w="597" w:type="dxa"/>
            <w:vMerge w:val="continue"/>
            <w:tcBorders>
              <w:tl2br w:val="nil"/>
              <w:tr2bl w:val="nil"/>
            </w:tcBorders>
            <w:vAlign w:val="center"/>
          </w:tcPr>
          <w:p w14:paraId="215C1FB9">
            <w:pPr>
              <w:pStyle w:val="38"/>
              <w:rPr>
                <w:rFonts w:hint="eastAsia" w:ascii="宋体" w:hAnsi="宋体" w:eastAsia="宋体" w:cs="宋体"/>
                <w:color w:val="000000" w:themeColor="text1"/>
                <w14:textFill>
                  <w14:solidFill>
                    <w14:schemeClr w14:val="tx1"/>
                  </w14:solidFill>
                </w14:textFill>
              </w:rPr>
            </w:pPr>
          </w:p>
        </w:tc>
        <w:tc>
          <w:tcPr>
            <w:tcW w:w="1862" w:type="dxa"/>
            <w:gridSpan w:val="2"/>
            <w:vMerge w:val="continue"/>
            <w:tcBorders>
              <w:tl2br w:val="nil"/>
              <w:tr2bl w:val="nil"/>
            </w:tcBorders>
            <w:vAlign w:val="center"/>
          </w:tcPr>
          <w:p w14:paraId="76218039">
            <w:pPr>
              <w:pStyle w:val="38"/>
              <w:rPr>
                <w:rFonts w:hint="eastAsia" w:ascii="宋体" w:hAnsi="宋体" w:eastAsia="宋体" w:cs="宋体"/>
                <w:color w:val="000000" w:themeColor="text1"/>
                <w14:textFill>
                  <w14:solidFill>
                    <w14:schemeClr w14:val="tx1"/>
                  </w14:solidFill>
                </w14:textFill>
              </w:rPr>
            </w:pPr>
          </w:p>
        </w:tc>
        <w:tc>
          <w:tcPr>
            <w:tcW w:w="1779" w:type="dxa"/>
            <w:tcBorders>
              <w:tl2br w:val="nil"/>
              <w:tr2bl w:val="nil"/>
            </w:tcBorders>
            <w:vAlign w:val="center"/>
          </w:tcPr>
          <w:p w14:paraId="420B5FF6">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氨氮（mg/L）</w:t>
            </w:r>
          </w:p>
        </w:tc>
        <w:tc>
          <w:tcPr>
            <w:tcW w:w="1551" w:type="dxa"/>
            <w:vMerge w:val="continue"/>
            <w:tcBorders>
              <w:tl2br w:val="nil"/>
              <w:tr2bl w:val="nil"/>
            </w:tcBorders>
            <w:vAlign w:val="center"/>
          </w:tcPr>
          <w:p w14:paraId="505F5AEA">
            <w:pPr>
              <w:pStyle w:val="38"/>
              <w:rPr>
                <w:rFonts w:hint="eastAsia" w:ascii="宋体" w:hAnsi="宋体" w:eastAsia="宋体" w:cs="宋体"/>
                <w:color w:val="000000" w:themeColor="text1"/>
                <w14:textFill>
                  <w14:solidFill>
                    <w14:schemeClr w14:val="tx1"/>
                  </w14:solidFill>
                </w14:textFill>
              </w:rPr>
            </w:pPr>
          </w:p>
        </w:tc>
        <w:tc>
          <w:tcPr>
            <w:tcW w:w="702" w:type="dxa"/>
            <w:tcBorders>
              <w:tl2br w:val="nil"/>
              <w:tr2bl w:val="nil"/>
            </w:tcBorders>
            <w:vAlign w:val="top"/>
          </w:tcPr>
          <w:p w14:paraId="45103F1F">
            <w:pPr>
              <w:pStyle w:val="38"/>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45</w:t>
            </w:r>
          </w:p>
        </w:tc>
        <w:tc>
          <w:tcPr>
            <w:tcW w:w="2550" w:type="dxa"/>
            <w:vMerge w:val="continue"/>
            <w:tcBorders>
              <w:tl2br w:val="nil"/>
              <w:tr2bl w:val="nil"/>
            </w:tcBorders>
            <w:vAlign w:val="center"/>
          </w:tcPr>
          <w:p w14:paraId="5717BFE9">
            <w:pPr>
              <w:pStyle w:val="38"/>
              <w:rPr>
                <w:rFonts w:hint="eastAsia" w:ascii="宋体" w:hAnsi="宋体" w:eastAsia="宋体" w:cs="宋体"/>
                <w:color w:val="000000" w:themeColor="text1"/>
                <w14:textFill>
                  <w14:solidFill>
                    <w14:schemeClr w14:val="tx1"/>
                  </w14:solidFill>
                </w14:textFill>
              </w:rPr>
            </w:pPr>
          </w:p>
        </w:tc>
      </w:tr>
      <w:tr w14:paraId="687C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77DD492C">
            <w:pPr>
              <w:pStyle w:val="38"/>
              <w:rPr>
                <w:rFonts w:hint="eastAsia" w:ascii="宋体" w:hAnsi="宋体" w:eastAsia="宋体" w:cs="宋体"/>
                <w:color w:val="000000" w:themeColor="text1"/>
                <w14:textFill>
                  <w14:solidFill>
                    <w14:schemeClr w14:val="tx1"/>
                  </w14:solidFill>
                </w14:textFill>
              </w:rPr>
            </w:pPr>
          </w:p>
        </w:tc>
        <w:tc>
          <w:tcPr>
            <w:tcW w:w="1862" w:type="dxa"/>
            <w:gridSpan w:val="2"/>
            <w:vMerge w:val="continue"/>
            <w:tcBorders>
              <w:tl2br w:val="nil"/>
              <w:tr2bl w:val="nil"/>
            </w:tcBorders>
            <w:vAlign w:val="center"/>
          </w:tcPr>
          <w:p w14:paraId="1F00B3F5">
            <w:pPr>
              <w:pStyle w:val="38"/>
              <w:rPr>
                <w:rFonts w:hint="eastAsia" w:ascii="宋体" w:hAnsi="宋体" w:eastAsia="宋体" w:cs="宋体"/>
                <w:color w:val="000000" w:themeColor="text1"/>
                <w14:textFill>
                  <w14:solidFill>
                    <w14:schemeClr w14:val="tx1"/>
                  </w14:solidFill>
                </w14:textFill>
              </w:rPr>
            </w:pPr>
          </w:p>
        </w:tc>
        <w:tc>
          <w:tcPr>
            <w:tcW w:w="1779" w:type="dxa"/>
            <w:tcBorders>
              <w:tl2br w:val="nil"/>
              <w:tr2bl w:val="nil"/>
            </w:tcBorders>
            <w:vAlign w:val="center"/>
          </w:tcPr>
          <w:p w14:paraId="3144292F">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石油类（mg/L）</w:t>
            </w:r>
          </w:p>
        </w:tc>
        <w:tc>
          <w:tcPr>
            <w:tcW w:w="1551" w:type="dxa"/>
            <w:tcBorders>
              <w:tl2br w:val="nil"/>
              <w:tr2bl w:val="nil"/>
            </w:tcBorders>
            <w:vAlign w:val="center"/>
          </w:tcPr>
          <w:p w14:paraId="07E768CA">
            <w:pPr>
              <w:pStyle w:val="38"/>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初期雨水收集池隔油池</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由吸污车送至指定排污口（市政下水管网覆盖区）</w:t>
            </w:r>
          </w:p>
        </w:tc>
        <w:tc>
          <w:tcPr>
            <w:tcW w:w="702" w:type="dxa"/>
            <w:tcBorders>
              <w:tl2br w:val="nil"/>
              <w:tr2bl w:val="nil"/>
            </w:tcBorders>
            <w:vAlign w:val="center"/>
          </w:tcPr>
          <w:p w14:paraId="5F82F994">
            <w:pPr>
              <w:pStyle w:val="38"/>
              <w:rPr>
                <w:rFonts w:hint="default" w:ascii="宋体" w:hAnsi="宋体" w:eastAsia="宋体" w:cs="宋体"/>
                <w:color w:val="000000" w:themeColor="text1"/>
                <w:highlight w:val="yellow"/>
                <w:lang w:val="en-US"/>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20</w:t>
            </w:r>
          </w:p>
        </w:tc>
        <w:tc>
          <w:tcPr>
            <w:tcW w:w="2550" w:type="dxa"/>
            <w:vMerge w:val="continue"/>
            <w:tcBorders>
              <w:tl2br w:val="nil"/>
              <w:tr2bl w:val="nil"/>
            </w:tcBorders>
            <w:vAlign w:val="center"/>
          </w:tcPr>
          <w:p w14:paraId="6B16EC3B">
            <w:pPr>
              <w:pStyle w:val="38"/>
              <w:rPr>
                <w:rFonts w:hint="eastAsia" w:ascii="宋体" w:hAnsi="宋体" w:eastAsia="宋体" w:cs="宋体"/>
                <w:color w:val="000000" w:themeColor="text1"/>
                <w14:textFill>
                  <w14:solidFill>
                    <w14:schemeClr w14:val="tx1"/>
                  </w14:solidFill>
                </w14:textFill>
              </w:rPr>
            </w:pPr>
          </w:p>
        </w:tc>
      </w:tr>
      <w:tr w14:paraId="0367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tcBorders>
              <w:tl2br w:val="nil"/>
              <w:tr2bl w:val="nil"/>
            </w:tcBorders>
            <w:vAlign w:val="center"/>
          </w:tcPr>
          <w:p w14:paraId="5B4FA95D">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声环境</w:t>
            </w:r>
          </w:p>
        </w:tc>
        <w:tc>
          <w:tcPr>
            <w:tcW w:w="1862" w:type="dxa"/>
            <w:gridSpan w:val="2"/>
            <w:tcBorders>
              <w:tl2br w:val="nil"/>
              <w:tr2bl w:val="nil"/>
            </w:tcBorders>
            <w:vAlign w:val="center"/>
          </w:tcPr>
          <w:p w14:paraId="1FF2DE6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车间设备</w:t>
            </w:r>
          </w:p>
        </w:tc>
        <w:tc>
          <w:tcPr>
            <w:tcW w:w="1779" w:type="dxa"/>
            <w:tcBorders>
              <w:tl2br w:val="nil"/>
              <w:tr2bl w:val="nil"/>
            </w:tcBorders>
            <w:vAlign w:val="center"/>
          </w:tcPr>
          <w:p w14:paraId="1D92316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噪声</w:t>
            </w:r>
          </w:p>
        </w:tc>
        <w:tc>
          <w:tcPr>
            <w:tcW w:w="1551" w:type="dxa"/>
            <w:tcBorders>
              <w:tl2br w:val="nil"/>
              <w:tr2bl w:val="nil"/>
            </w:tcBorders>
            <w:vAlign w:val="center"/>
          </w:tcPr>
          <w:p w14:paraId="790AD863">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优化设备布局，选用低噪音设备，隔声减震，加强管理等</w:t>
            </w:r>
          </w:p>
        </w:tc>
        <w:tc>
          <w:tcPr>
            <w:tcW w:w="3252" w:type="dxa"/>
            <w:gridSpan w:val="2"/>
            <w:tcBorders>
              <w:tl2br w:val="nil"/>
              <w:tr2bl w:val="nil"/>
            </w:tcBorders>
            <w:vAlign w:val="center"/>
          </w:tcPr>
          <w:p w14:paraId="0A04BCD1">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《工业企业厂界环境噪声排放标准》（GB12348-2008）中</w:t>
            </w:r>
            <w:r>
              <w:rPr>
                <w:rFonts w:hint="eastAsia" w:ascii="宋体" w:hAnsi="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类标准，昼间6</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dB(A)，夜间不生产。</w:t>
            </w:r>
          </w:p>
        </w:tc>
      </w:tr>
      <w:tr w14:paraId="09D1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restart"/>
            <w:tcBorders>
              <w:tl2br w:val="nil"/>
              <w:tr2bl w:val="nil"/>
            </w:tcBorders>
            <w:vAlign w:val="center"/>
          </w:tcPr>
          <w:p w14:paraId="66542B00">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固体废物</w:t>
            </w:r>
          </w:p>
        </w:tc>
        <w:tc>
          <w:tcPr>
            <w:tcW w:w="5192" w:type="dxa"/>
            <w:gridSpan w:val="4"/>
            <w:tcBorders>
              <w:tl2br w:val="nil"/>
              <w:tr2bl w:val="nil"/>
            </w:tcBorders>
            <w:vAlign w:val="center"/>
          </w:tcPr>
          <w:p w14:paraId="66322595">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危险废物分类收集，委托有资质单位处理，位于厂区东侧独立</w:t>
            </w:r>
            <w:r>
              <w:rPr>
                <w:rFonts w:hint="eastAsia" w:ascii="宋体" w:hAnsi="宋体" w:cs="宋体"/>
                <w:color w:val="000000" w:themeColor="text1"/>
                <w:lang w:eastAsia="zh-CN"/>
                <w14:textFill>
                  <w14:solidFill>
                    <w14:schemeClr w14:val="tx1"/>
                  </w14:solidFill>
                </w14:textFill>
              </w:rPr>
              <w:t>暂存库</w:t>
            </w:r>
            <w:r>
              <w:rPr>
                <w:rFonts w:hint="eastAsia" w:ascii="宋体" w:hAnsi="宋体" w:eastAsia="宋体" w:cs="宋体"/>
                <w:color w:val="000000" w:themeColor="text1"/>
                <w14:textFill>
                  <w14:solidFill>
                    <w14:schemeClr w14:val="tx1"/>
                  </w14:solidFill>
                </w14:textFill>
              </w:rPr>
              <w:t>。</w:t>
            </w:r>
          </w:p>
        </w:tc>
        <w:tc>
          <w:tcPr>
            <w:tcW w:w="3252" w:type="dxa"/>
            <w:gridSpan w:val="2"/>
            <w:tcBorders>
              <w:tl2br w:val="nil"/>
              <w:tr2bl w:val="nil"/>
            </w:tcBorders>
            <w:vAlign w:val="center"/>
          </w:tcPr>
          <w:p w14:paraId="0B4290D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《危险废物贮存污染控制标准》（GB18597-20</w:t>
            </w:r>
            <w:r>
              <w:rPr>
                <w:rFonts w:hint="eastAsia" w:ascii="宋体" w:hAnsi="宋体" w:cs="宋体"/>
                <w:color w:val="000000" w:themeColor="text1"/>
                <w:lang w:val="en-US" w:eastAsia="zh-CN"/>
                <w14:textFill>
                  <w14:solidFill>
                    <w14:schemeClr w14:val="tx1"/>
                  </w14:solidFill>
                </w14:textFill>
              </w:rPr>
              <w:t>23</w:t>
            </w:r>
            <w:r>
              <w:rPr>
                <w:rFonts w:hint="eastAsia" w:ascii="宋体" w:hAnsi="宋体" w:eastAsia="宋体" w:cs="宋体"/>
                <w:color w:val="000000" w:themeColor="text1"/>
                <w14:textFill>
                  <w14:solidFill>
                    <w14:schemeClr w14:val="tx1"/>
                  </w14:solidFill>
                </w14:textFill>
              </w:rPr>
              <w:t>）</w:t>
            </w:r>
          </w:p>
        </w:tc>
      </w:tr>
      <w:tr w14:paraId="33D8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268A2137">
            <w:pPr>
              <w:pStyle w:val="38"/>
              <w:rPr>
                <w:rFonts w:hint="eastAsia" w:ascii="宋体" w:hAnsi="宋体" w:eastAsia="宋体" w:cs="宋体"/>
                <w:color w:val="000000" w:themeColor="text1"/>
                <w14:textFill>
                  <w14:solidFill>
                    <w14:schemeClr w14:val="tx1"/>
                  </w14:solidFill>
                </w14:textFill>
              </w:rPr>
            </w:pPr>
          </w:p>
        </w:tc>
        <w:tc>
          <w:tcPr>
            <w:tcW w:w="5192" w:type="dxa"/>
            <w:gridSpan w:val="4"/>
            <w:tcBorders>
              <w:tl2br w:val="nil"/>
              <w:tr2bl w:val="nil"/>
            </w:tcBorders>
            <w:vAlign w:val="center"/>
          </w:tcPr>
          <w:p w14:paraId="127619EA">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一般固废暂存于一般废物仓库，出售物资回收单位</w:t>
            </w:r>
          </w:p>
        </w:tc>
        <w:tc>
          <w:tcPr>
            <w:tcW w:w="3252" w:type="dxa"/>
            <w:gridSpan w:val="2"/>
            <w:tcBorders>
              <w:tl2br w:val="nil"/>
              <w:tr2bl w:val="nil"/>
            </w:tcBorders>
            <w:vAlign w:val="center"/>
          </w:tcPr>
          <w:p w14:paraId="140852A9">
            <w:pPr>
              <w:pStyle w:val="38"/>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不会产生二次污染</w:t>
            </w:r>
          </w:p>
        </w:tc>
      </w:tr>
      <w:tr w14:paraId="0E25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vMerge w:val="continue"/>
            <w:tcBorders>
              <w:tl2br w:val="nil"/>
              <w:tr2bl w:val="nil"/>
            </w:tcBorders>
            <w:vAlign w:val="center"/>
          </w:tcPr>
          <w:p w14:paraId="113B0FD2">
            <w:pPr>
              <w:pStyle w:val="38"/>
              <w:rPr>
                <w:rFonts w:hint="eastAsia" w:ascii="宋体" w:hAnsi="宋体" w:eastAsia="宋体" w:cs="宋体"/>
                <w:color w:val="000000" w:themeColor="text1"/>
                <w14:textFill>
                  <w14:solidFill>
                    <w14:schemeClr w14:val="tx1"/>
                  </w14:solidFill>
                </w14:textFill>
              </w:rPr>
            </w:pPr>
          </w:p>
        </w:tc>
        <w:tc>
          <w:tcPr>
            <w:tcW w:w="5192" w:type="dxa"/>
            <w:gridSpan w:val="4"/>
            <w:tcBorders>
              <w:tl2br w:val="nil"/>
              <w:tr2bl w:val="nil"/>
            </w:tcBorders>
            <w:vAlign w:val="center"/>
          </w:tcPr>
          <w:p w14:paraId="0F6C7F49">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生活垃圾由环卫部门清运</w:t>
            </w:r>
          </w:p>
        </w:tc>
        <w:tc>
          <w:tcPr>
            <w:tcW w:w="3252" w:type="dxa"/>
            <w:gridSpan w:val="2"/>
            <w:tcBorders>
              <w:tl2br w:val="nil"/>
              <w:tr2bl w:val="nil"/>
            </w:tcBorders>
            <w:vAlign w:val="center"/>
          </w:tcPr>
          <w:p w14:paraId="1F7AB188">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4C4D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8" w:hRule="atLeast"/>
          <w:jc w:val="center"/>
        </w:trPr>
        <w:tc>
          <w:tcPr>
            <w:tcW w:w="597" w:type="dxa"/>
            <w:tcBorders>
              <w:tl2br w:val="nil"/>
              <w:tr2bl w:val="nil"/>
            </w:tcBorders>
            <w:vAlign w:val="center"/>
          </w:tcPr>
          <w:p w14:paraId="0B1A44E7">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土壤及地下水</w:t>
            </w:r>
          </w:p>
          <w:p w14:paraId="3B2913FB">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污染防治措施</w:t>
            </w:r>
          </w:p>
        </w:tc>
        <w:tc>
          <w:tcPr>
            <w:tcW w:w="8444" w:type="dxa"/>
            <w:gridSpan w:val="6"/>
            <w:tcBorders>
              <w:tl2br w:val="nil"/>
              <w:tr2bl w:val="nil"/>
            </w:tcBorders>
            <w:vAlign w:val="center"/>
          </w:tcPr>
          <w:p w14:paraId="109201DA">
            <w:pPr>
              <w:pStyle w:val="119"/>
              <w:spacing w:before="165" w:line="358" w:lineRule="auto"/>
              <w:ind w:right="102" w:firstLine="408" w:firstLineChars="200"/>
              <w:rPr>
                <w:color w:val="000000" w:themeColor="text1"/>
                <w:spacing w:val="-1"/>
                <w:sz w:val="24"/>
                <w:szCs w:val="24"/>
                <w14:textFill>
                  <w14:solidFill>
                    <w14:schemeClr w14:val="tx1"/>
                  </w14:solidFill>
                </w14:textFill>
              </w:rPr>
            </w:pPr>
            <w:r>
              <w:rPr>
                <w:color w:val="000000" w:themeColor="text1"/>
                <w:spacing w:val="-3"/>
                <w:sz w:val="21"/>
                <w:szCs w:val="21"/>
                <w14:textFill>
                  <w14:solidFill>
                    <w14:schemeClr w14:val="tx1"/>
                  </w14:solidFill>
                </w14:textFill>
              </w:rPr>
              <w:t>根据《环境影响评价技术导则 地下水环境》（</w:t>
            </w:r>
            <w:r>
              <w:rPr>
                <w:rFonts w:ascii="Times New Roman" w:hAnsi="Times New Roman" w:eastAsia="Times New Roman" w:cs="Times New Roman"/>
                <w:color w:val="000000" w:themeColor="text1"/>
                <w:spacing w:val="-3"/>
                <w:sz w:val="21"/>
                <w:szCs w:val="21"/>
                <w14:textFill>
                  <w14:solidFill>
                    <w14:schemeClr w14:val="tx1"/>
                  </w14:solidFill>
                </w14:textFill>
              </w:rPr>
              <w:t>HJ610-2016</w:t>
            </w:r>
            <w:r>
              <w:rPr>
                <w:color w:val="000000" w:themeColor="text1"/>
                <w:spacing w:val="-3"/>
                <w:sz w:val="21"/>
                <w:szCs w:val="21"/>
                <w14:textFill>
                  <w14:solidFill>
                    <w14:schemeClr w14:val="tx1"/>
                  </w14:solidFill>
                </w14:textFill>
              </w:rPr>
              <w:t>）“</w:t>
            </w:r>
            <w:r>
              <w:rPr>
                <w:color w:val="000000" w:themeColor="text1"/>
                <w:spacing w:val="-94"/>
                <w:sz w:val="21"/>
                <w:szCs w:val="21"/>
                <w14:textFill>
                  <w14:solidFill>
                    <w14:schemeClr w14:val="tx1"/>
                  </w14:solidFill>
                </w14:textFill>
              </w:rPr>
              <w:t xml:space="preserve"> </w:t>
            </w:r>
            <w:r>
              <w:rPr>
                <w:rFonts w:ascii="Times New Roman" w:hAnsi="Times New Roman" w:eastAsia="Times New Roman" w:cs="Times New Roman"/>
                <w:color w:val="000000" w:themeColor="text1"/>
                <w:spacing w:val="-3"/>
                <w:sz w:val="21"/>
                <w:szCs w:val="21"/>
                <w14:textFill>
                  <w14:solidFill>
                    <w14:schemeClr w14:val="tx1"/>
                  </w14:solidFill>
                </w14:textFill>
              </w:rPr>
              <w:t xml:space="preserve">11.2.2 </w:t>
            </w:r>
            <w:r>
              <w:rPr>
                <w:color w:val="000000" w:themeColor="text1"/>
                <w:spacing w:val="-3"/>
                <w:sz w:val="21"/>
                <w:szCs w:val="21"/>
                <w14:textFill>
                  <w14:solidFill>
                    <w14:schemeClr w14:val="tx1"/>
                  </w14:solidFill>
                </w14:textFill>
              </w:rPr>
              <w:t>分区防</w:t>
            </w:r>
            <w:r>
              <w:rPr>
                <w:color w:val="000000" w:themeColor="text1"/>
                <w:spacing w:val="-5"/>
                <w:sz w:val="21"/>
                <w:szCs w:val="21"/>
                <w14:textFill>
                  <w14:solidFill>
                    <w14:schemeClr w14:val="tx1"/>
                  </w14:solidFill>
                </w14:textFill>
              </w:rPr>
              <w:t>控措施</w:t>
            </w:r>
            <w:r>
              <w:rPr>
                <w:color w:val="000000" w:themeColor="text1"/>
                <w:spacing w:val="-88"/>
                <w:sz w:val="21"/>
                <w:szCs w:val="21"/>
                <w14:textFill>
                  <w14:solidFill>
                    <w14:schemeClr w14:val="tx1"/>
                  </w14:solidFill>
                </w14:textFill>
              </w:rPr>
              <w:t xml:space="preserve"> </w:t>
            </w:r>
            <w:r>
              <w:rPr>
                <w:color w:val="000000" w:themeColor="text1"/>
                <w:spacing w:val="-5"/>
                <w:sz w:val="21"/>
                <w:szCs w:val="21"/>
                <w14:textFill>
                  <w14:solidFill>
                    <w14:schemeClr w14:val="tx1"/>
                  </w14:solidFill>
                </w14:textFill>
              </w:rPr>
              <w:t>”及“表</w:t>
            </w:r>
            <w:r>
              <w:rPr>
                <w:color w:val="000000" w:themeColor="text1"/>
                <w:spacing w:val="-51"/>
                <w:sz w:val="21"/>
                <w:szCs w:val="21"/>
                <w14:textFill>
                  <w14:solidFill>
                    <w14:schemeClr w14:val="tx1"/>
                  </w14:solidFill>
                </w14:textFill>
              </w:rPr>
              <w:t xml:space="preserve"> </w:t>
            </w:r>
            <w:r>
              <w:rPr>
                <w:rFonts w:ascii="Times New Roman" w:hAnsi="Times New Roman" w:eastAsia="Times New Roman" w:cs="Times New Roman"/>
                <w:color w:val="000000" w:themeColor="text1"/>
                <w:spacing w:val="-5"/>
                <w:sz w:val="21"/>
                <w:szCs w:val="21"/>
                <w14:textFill>
                  <w14:solidFill>
                    <w14:schemeClr w14:val="tx1"/>
                  </w14:solidFill>
                </w14:textFill>
              </w:rPr>
              <w:t xml:space="preserve">7  </w:t>
            </w:r>
            <w:r>
              <w:rPr>
                <w:color w:val="000000" w:themeColor="text1"/>
                <w:spacing w:val="-5"/>
                <w:sz w:val="21"/>
                <w:szCs w:val="21"/>
                <w14:textFill>
                  <w14:solidFill>
                    <w14:schemeClr w14:val="tx1"/>
                  </w14:solidFill>
                </w14:textFill>
              </w:rPr>
              <w:t>地下水污染防渗分区参照表</w:t>
            </w:r>
            <w:r>
              <w:rPr>
                <w:color w:val="000000" w:themeColor="text1"/>
                <w:spacing w:val="-88"/>
                <w:sz w:val="21"/>
                <w:szCs w:val="21"/>
                <w14:textFill>
                  <w14:solidFill>
                    <w14:schemeClr w14:val="tx1"/>
                  </w14:solidFill>
                </w14:textFill>
              </w:rPr>
              <w:t xml:space="preserve"> </w:t>
            </w:r>
            <w:r>
              <w:rPr>
                <w:color w:val="000000" w:themeColor="text1"/>
                <w:spacing w:val="-5"/>
                <w:sz w:val="21"/>
                <w:szCs w:val="21"/>
                <w14:textFill>
                  <w14:solidFill>
                    <w14:schemeClr w14:val="tx1"/>
                  </w14:solidFill>
                </w14:textFill>
              </w:rPr>
              <w:t>”，项目划分为重点防渗区</w:t>
            </w:r>
            <w:r>
              <w:rPr>
                <w:color w:val="000000" w:themeColor="text1"/>
                <w:spacing w:val="-6"/>
                <w:sz w:val="21"/>
                <w:szCs w:val="21"/>
                <w14:textFill>
                  <w14:solidFill>
                    <w14:schemeClr w14:val="tx1"/>
                  </w14:solidFill>
                </w14:textFill>
              </w:rPr>
              <w:t>、一般</w:t>
            </w:r>
            <w:r>
              <w:rPr>
                <w:color w:val="000000" w:themeColor="text1"/>
                <w:spacing w:val="-1"/>
                <w:sz w:val="21"/>
                <w:szCs w:val="21"/>
                <w14:textFill>
                  <w14:solidFill>
                    <w14:schemeClr w14:val="tx1"/>
                  </w14:solidFill>
                </w14:textFill>
              </w:rPr>
              <w:t>防渗区和简单防渗区，项目防渗区域及防渗要求见</w:t>
            </w:r>
            <w:r>
              <w:rPr>
                <w:rFonts w:hint="eastAsia"/>
                <w:color w:val="000000" w:themeColor="text1"/>
                <w:spacing w:val="-1"/>
                <w:sz w:val="21"/>
                <w:szCs w:val="21"/>
                <w:lang w:val="en-US" w:eastAsia="zh-CN"/>
                <w14:textFill>
                  <w14:solidFill>
                    <w14:schemeClr w14:val="tx1"/>
                  </w14:solidFill>
                </w14:textFill>
              </w:rPr>
              <w:t>表4-6</w:t>
            </w:r>
            <w:r>
              <w:rPr>
                <w:color w:val="000000" w:themeColor="text1"/>
                <w:spacing w:val="-1"/>
                <w:sz w:val="21"/>
                <w:szCs w:val="21"/>
                <w14:textFill>
                  <w14:solidFill>
                    <w14:schemeClr w14:val="tx1"/>
                  </w14:solidFill>
                </w14:textFill>
              </w:rPr>
              <w:t>。</w:t>
            </w:r>
          </w:p>
          <w:p w14:paraId="73057F18">
            <w:pPr>
              <w:pStyle w:val="38"/>
              <w:jc w:val="both"/>
              <w:rPr>
                <w:rFonts w:hint="eastAsia" w:ascii="宋体" w:hAnsi="宋体" w:eastAsia="宋体" w:cs="宋体"/>
                <w:color w:val="000000" w:themeColor="text1"/>
                <w:sz w:val="21"/>
                <w:szCs w:val="21"/>
                <w14:textFill>
                  <w14:solidFill>
                    <w14:schemeClr w14:val="tx1"/>
                  </w14:solidFill>
                </w14:textFill>
              </w:rPr>
            </w:pPr>
          </w:p>
          <w:p w14:paraId="14342D62">
            <w:pPr>
              <w:pStyle w:val="38"/>
              <w:jc w:val="both"/>
              <w:rPr>
                <w:rFonts w:hint="eastAsia" w:ascii="宋体" w:hAnsi="宋体" w:eastAsia="宋体" w:cs="宋体"/>
                <w:color w:val="000000" w:themeColor="text1"/>
                <w14:textFill>
                  <w14:solidFill>
                    <w14:schemeClr w14:val="tx1"/>
                  </w14:solidFill>
                </w14:textFill>
              </w:rPr>
            </w:pPr>
          </w:p>
        </w:tc>
      </w:tr>
      <w:tr w14:paraId="0C49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tcBorders>
              <w:tl2br w:val="nil"/>
              <w:tr2bl w:val="nil"/>
            </w:tcBorders>
            <w:vAlign w:val="center"/>
          </w:tcPr>
          <w:p w14:paraId="757938A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生态保护措施</w:t>
            </w:r>
          </w:p>
        </w:tc>
        <w:tc>
          <w:tcPr>
            <w:tcW w:w="8444" w:type="dxa"/>
            <w:gridSpan w:val="6"/>
            <w:tcBorders>
              <w:tl2br w:val="nil"/>
              <w:tr2bl w:val="nil"/>
            </w:tcBorders>
            <w:vAlign w:val="center"/>
          </w:tcPr>
          <w:p w14:paraId="134984A5">
            <w:pPr>
              <w:pStyle w:val="38"/>
              <w:jc w:val="both"/>
              <w:rPr>
                <w:rFonts w:hint="eastAsia" w:ascii="宋体" w:hAnsi="宋体" w:eastAsia="宋体" w:cs="宋体"/>
                <w:color w:val="000000" w:themeColor="text1"/>
                <w14:textFill>
                  <w14:solidFill>
                    <w14:schemeClr w14:val="tx1"/>
                  </w14:solidFill>
                </w14:textFill>
              </w:rPr>
            </w:pPr>
          </w:p>
          <w:p w14:paraId="5E45AC4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bl>
    <w:p w14:paraId="70C1537F">
      <w:pPr>
        <w:pStyle w:val="38"/>
        <w:rPr>
          <w:rFonts w:hint="eastAsia" w:ascii="宋体" w:hAnsi="宋体" w:eastAsia="宋体" w:cs="宋体"/>
          <w:color w:val="000000" w:themeColor="text1"/>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5"/>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444"/>
      </w:tblGrid>
      <w:tr w14:paraId="53F1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tcBorders>
              <w:tl2br w:val="nil"/>
              <w:tr2bl w:val="nil"/>
            </w:tcBorders>
            <w:vAlign w:val="center"/>
          </w:tcPr>
          <w:p w14:paraId="03D9BDD2">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环境风险</w:t>
            </w:r>
          </w:p>
          <w:p w14:paraId="44D941E5">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防范措施</w:t>
            </w:r>
          </w:p>
        </w:tc>
        <w:tc>
          <w:tcPr>
            <w:tcW w:w="8444" w:type="dxa"/>
            <w:tcBorders>
              <w:tl2br w:val="nil"/>
              <w:tr2bl w:val="nil"/>
            </w:tcBorders>
            <w:vAlign w:val="center"/>
          </w:tcPr>
          <w:p w14:paraId="4384B8D5">
            <w:pPr>
              <w:pStyle w:val="38"/>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各建筑单体之间要按有关设计规范要求，留有足够的防火间距。虽然本项目生产中使用和储存的危险物</w:t>
            </w:r>
            <w:r>
              <w:rPr>
                <w:rFonts w:hint="eastAsia" w:ascii="宋体" w:hAnsi="宋体" w:cs="宋体"/>
                <w:color w:val="000000" w:themeColor="text1"/>
                <w:lang w:val="en-US" w:eastAsia="zh-CN"/>
                <w14:textFill>
                  <w14:solidFill>
                    <w14:schemeClr w14:val="tx1"/>
                  </w14:solidFill>
                </w14:textFill>
              </w:rPr>
              <w:t>大部分</w:t>
            </w:r>
            <w:r>
              <w:rPr>
                <w:rFonts w:hint="eastAsia" w:ascii="宋体" w:hAnsi="宋体" w:eastAsia="宋体" w:cs="宋体"/>
                <w:color w:val="000000" w:themeColor="text1"/>
                <w14:textFill>
                  <w14:solidFill>
                    <w14:schemeClr w14:val="tx1"/>
                  </w14:solidFill>
                </w14:textFill>
              </w:rPr>
              <w:t>不构成重大危险源，其储存地仍</w:t>
            </w:r>
            <w:r>
              <w:rPr>
                <w:rFonts w:hint="eastAsia" w:ascii="宋体" w:hAnsi="宋体" w:eastAsia="宋体" w:cs="宋体"/>
                <w:color w:val="000000" w:themeColor="text1"/>
                <w:lang w:eastAsia="zh-CN"/>
                <w14:textFill>
                  <w14:solidFill>
                    <w14:schemeClr w14:val="tx1"/>
                  </w14:solidFill>
                </w14:textFill>
              </w:rPr>
              <w:t>做好防渗及管理要求防止各类风险事故发生</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eastAsia="zh-CN"/>
                <w14:textFill>
                  <w14:solidFill>
                    <w14:schemeClr w14:val="tx1"/>
                  </w14:solidFill>
                </w14:textFill>
              </w:rPr>
              <w:t>包括设置</w:t>
            </w:r>
            <w:r>
              <w:rPr>
                <w:rFonts w:hint="eastAsia" w:ascii="宋体" w:hAnsi="宋体" w:eastAsia="宋体" w:cs="宋体"/>
                <w:color w:val="000000" w:themeColor="text1"/>
                <w:szCs w:val="21"/>
                <w14:textFill>
                  <w14:solidFill>
                    <w14:schemeClr w14:val="tx1"/>
                  </w14:solidFill>
                </w14:textFill>
              </w:rPr>
              <w:t>警示标志、应急防护设施及相关消防设施</w:t>
            </w:r>
            <w:r>
              <w:rPr>
                <w:rFonts w:hint="eastAsia" w:ascii="宋体" w:hAnsi="宋体" w:eastAsia="宋体" w:cs="宋体"/>
                <w:color w:val="000000" w:themeColor="text1"/>
                <w:szCs w:val="21"/>
                <w:lang w:eastAsia="zh-CN"/>
                <w14:textFill>
                  <w14:solidFill>
                    <w14:schemeClr w14:val="tx1"/>
                  </w14:solidFill>
                </w14:textFill>
              </w:rPr>
              <w:t>，设</w:t>
            </w:r>
            <w:r>
              <w:rPr>
                <w:rFonts w:hint="eastAsia" w:ascii="宋体" w:hAnsi="宋体" w:eastAsia="宋体" w:cs="宋体"/>
                <w:color w:val="000000" w:themeColor="text1"/>
                <w:szCs w:val="21"/>
                <w:highlight w:val="none"/>
                <w:lang w:eastAsia="zh-CN"/>
                <w14:textFill>
                  <w14:solidFill>
                    <w14:schemeClr w14:val="tx1"/>
                  </w14:solidFill>
                </w14:textFill>
              </w:rPr>
              <w:t>置</w:t>
            </w:r>
            <w:r>
              <w:rPr>
                <w:rFonts w:hint="eastAsia" w:ascii="宋体" w:hAnsi="宋体" w:cs="宋体"/>
                <w:color w:val="000000" w:themeColor="text1"/>
                <w:highlight w:val="none"/>
                <w:lang w:val="en-US" w:eastAsia="zh-CN"/>
                <w14:textFill>
                  <w14:solidFill>
                    <w14:schemeClr w14:val="tx1"/>
                  </w14:solidFill>
                </w14:textFill>
              </w:rPr>
              <w:t>45</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m</w:t>
            </w:r>
            <w:r>
              <w:rPr>
                <w:rFonts w:hint="eastAsia" w:ascii="宋体" w:hAnsi="宋体" w:eastAsia="宋体" w:cs="宋体"/>
                <w:color w:val="000000" w:themeColor="text1"/>
                <w:highlight w:val="none"/>
                <w:vertAlign w:val="superscript"/>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事故</w:t>
            </w:r>
            <w:r>
              <w:rPr>
                <w:rFonts w:hint="eastAsia" w:ascii="宋体" w:hAnsi="宋体" w:eastAsia="宋体" w:cs="宋体"/>
                <w:color w:val="000000" w:themeColor="text1"/>
                <w14:textFill>
                  <w14:solidFill>
                    <w14:schemeClr w14:val="tx1"/>
                  </w14:solidFill>
                </w14:textFill>
              </w:rPr>
              <w:t>应急池</w:t>
            </w:r>
            <w:r>
              <w:rPr>
                <w:rFonts w:hint="eastAsia" w:ascii="宋体" w:hAnsi="宋体" w:eastAsia="宋体" w:cs="宋体"/>
                <w:color w:val="000000" w:themeColor="text1"/>
                <w:lang w:val="en-US" w:eastAsia="zh-CN"/>
                <w14:textFill>
                  <w14:solidFill>
                    <w14:schemeClr w14:val="tx1"/>
                  </w14:solidFill>
                </w14:textFill>
              </w:rPr>
              <w:t>(初期雨水池可作为事故应急池)</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确保事故时废水可收集进入应急池内，事故后根据水质情况清运至有关单位处理。</w:t>
            </w:r>
          </w:p>
        </w:tc>
      </w:tr>
      <w:tr w14:paraId="63A7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7" w:type="dxa"/>
            <w:tcBorders>
              <w:tl2br w:val="nil"/>
              <w:tr2bl w:val="nil"/>
            </w:tcBorders>
            <w:vAlign w:val="center"/>
          </w:tcPr>
          <w:p w14:paraId="3555821C">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其他环境</w:t>
            </w:r>
          </w:p>
          <w:p w14:paraId="11D8B164">
            <w:pPr>
              <w:pStyle w:val="38"/>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管理要求</w:t>
            </w:r>
          </w:p>
        </w:tc>
        <w:tc>
          <w:tcPr>
            <w:tcW w:w="8444" w:type="dxa"/>
            <w:tcBorders>
              <w:tl2br w:val="nil"/>
              <w:tr2bl w:val="nil"/>
            </w:tcBorders>
            <w:vAlign w:val="center"/>
          </w:tcPr>
          <w:p w14:paraId="290B8CD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1、及时</w:t>
            </w:r>
            <w:r>
              <w:rPr>
                <w:rFonts w:hint="eastAsia" w:ascii="宋体" w:hAnsi="宋体" w:eastAsia="宋体" w:cs="宋体"/>
                <w:color w:val="000000" w:themeColor="text1"/>
                <w:sz w:val="21"/>
                <w:szCs w:val="21"/>
                <w:lang w:eastAsia="zh-CN"/>
                <w14:textFill>
                  <w14:solidFill>
                    <w14:schemeClr w14:val="tx1"/>
                  </w14:solidFill>
                </w14:textFill>
              </w:rPr>
              <w:t>重新</w:t>
            </w:r>
            <w:r>
              <w:rPr>
                <w:rFonts w:hint="eastAsia" w:ascii="宋体" w:hAnsi="宋体" w:eastAsia="宋体" w:cs="宋体"/>
                <w:color w:val="000000" w:themeColor="text1"/>
                <w:sz w:val="21"/>
                <w:szCs w:val="21"/>
                <w14:textFill>
                  <w14:solidFill>
                    <w14:schemeClr w14:val="tx1"/>
                  </w14:solidFill>
                </w14:textFill>
              </w:rPr>
              <w:t>申请排污许可证。</w:t>
            </w:r>
          </w:p>
          <w:p w14:paraId="7DCA9E9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修编</w:t>
            </w:r>
            <w:r>
              <w:rPr>
                <w:rFonts w:hint="eastAsia" w:ascii="宋体" w:hAnsi="宋体" w:eastAsia="宋体" w:cs="宋体"/>
                <w:color w:val="000000" w:themeColor="text1"/>
                <w:sz w:val="21"/>
                <w:szCs w:val="21"/>
                <w14:textFill>
                  <w14:solidFill>
                    <w14:schemeClr w14:val="tx1"/>
                  </w14:solidFill>
                </w14:textFill>
              </w:rPr>
              <w:t>突发环境事件应急预案。</w:t>
            </w:r>
          </w:p>
          <w:p w14:paraId="1B05E39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3、应根据项目实际情况，设置专门的环境管理机构或</w:t>
            </w:r>
            <w:r>
              <w:rPr>
                <w:rFonts w:hint="eastAsia" w:ascii="宋体" w:hAnsi="宋体" w:cs="宋体"/>
                <w:color w:val="000000" w:themeColor="text1"/>
                <w:sz w:val="21"/>
                <w:szCs w:val="21"/>
                <w:lang w:val="en-US" w:eastAsia="zh-CN"/>
                <w14:textFill>
                  <w14:solidFill>
                    <w14:schemeClr w14:val="tx1"/>
                  </w14:solidFill>
                </w14:textFill>
              </w:rPr>
              <w:t>设置</w:t>
            </w:r>
            <w:r>
              <w:rPr>
                <w:rFonts w:hint="eastAsia" w:ascii="宋体" w:hAnsi="宋体" w:eastAsia="宋体" w:cs="宋体"/>
                <w:color w:val="000000" w:themeColor="text1"/>
                <w:sz w:val="21"/>
                <w:szCs w:val="21"/>
                <w14:textFill>
                  <w14:solidFill>
                    <w14:schemeClr w14:val="tx1"/>
                  </w14:solidFill>
                </w14:textFill>
              </w:rPr>
              <w:t>兼职环境监督员，研究、制定有关环保事宜，统筹全厂的环境管理工作。</w:t>
            </w:r>
          </w:p>
          <w:p w14:paraId="0313FE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4、建立环境管理台帐。环境管理台帐应当载明环境保护设施运行和维护的情况及相应的主要参数、污染物排放情况及相关监测数据，原始记录应清晰，及时归档并妥善管理。</w:t>
            </w:r>
          </w:p>
          <w:p w14:paraId="637AE370">
            <w:pPr>
              <w:pStyle w:val="38"/>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5、应根据《建设项目环境影响评价信息公开机制方案》要求，并依据《企事业单位环保信息</w:t>
            </w:r>
            <w:r>
              <w:rPr>
                <w:rFonts w:hint="eastAsia" w:ascii="宋体" w:hAnsi="宋体" w:cs="宋体"/>
                <w:color w:val="000000" w:themeColor="text1"/>
                <w:lang w:val="en-US" w:eastAsia="zh-CN"/>
                <w14:textFill>
                  <w14:solidFill>
                    <w14:schemeClr w14:val="tx1"/>
                  </w14:solidFill>
                </w14:textFill>
              </w:rPr>
              <w:t>公</w:t>
            </w:r>
            <w:r>
              <w:rPr>
                <w:rFonts w:hint="eastAsia" w:ascii="宋体" w:hAnsi="宋体" w:eastAsia="宋体" w:cs="宋体"/>
                <w:color w:val="000000" w:themeColor="text1"/>
                <w14:textFill>
                  <w14:solidFill>
                    <w14:schemeClr w14:val="tx1"/>
                  </w14:solidFill>
                </w14:textFill>
              </w:rPr>
              <w:t>开办法》，向社会公开相关环保</w:t>
            </w:r>
            <w:r>
              <w:rPr>
                <w:rFonts w:hint="eastAsia" w:ascii="宋体" w:hAnsi="宋体" w:cs="宋体"/>
                <w:color w:val="000000" w:themeColor="text1"/>
                <w:lang w:val="en-US" w:eastAsia="zh-CN"/>
                <w14:textFill>
                  <w14:solidFill>
                    <w14:schemeClr w14:val="tx1"/>
                  </w14:solidFill>
                </w14:textFill>
              </w:rPr>
              <w:t>公开</w:t>
            </w:r>
            <w:r>
              <w:rPr>
                <w:rFonts w:hint="eastAsia" w:ascii="宋体" w:hAnsi="宋体" w:eastAsia="宋体" w:cs="宋体"/>
                <w:color w:val="000000" w:themeColor="text1"/>
                <w14:textFill>
                  <w14:solidFill>
                    <w14:schemeClr w14:val="tx1"/>
                  </w14:solidFill>
                </w14:textFill>
              </w:rPr>
              <w:t>。</w:t>
            </w:r>
          </w:p>
          <w:p w14:paraId="01C7B585">
            <w:pPr>
              <w:pStyle w:val="38"/>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6、要求建设单位按照《关于开展排放口规范化整治工作的通知》（环发〔1999〕24号）和《排污口规范化整治技术要求（试行）》（环监〔1996〕470号）等文件要求，进行新增排污口规范化设置工作。</w:t>
            </w:r>
          </w:p>
          <w:p w14:paraId="75852B80">
            <w:pPr>
              <w:pStyle w:val="38"/>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7、按要求进行</w:t>
            </w:r>
            <w:r>
              <w:rPr>
                <w:rFonts w:hint="eastAsia" w:ascii="宋体" w:hAnsi="宋体" w:cs="宋体"/>
                <w:color w:val="000000" w:themeColor="text1"/>
                <w:lang w:val="en-US" w:eastAsia="zh-CN"/>
                <w14:textFill>
                  <w14:solidFill>
                    <w14:schemeClr w14:val="tx1"/>
                  </w14:solidFill>
                </w14:textFill>
              </w:rPr>
              <w:t>自行</w:t>
            </w:r>
            <w:r>
              <w:rPr>
                <w:rFonts w:hint="eastAsia" w:ascii="宋体" w:hAnsi="宋体" w:eastAsia="宋体" w:cs="宋体"/>
                <w:color w:val="000000" w:themeColor="text1"/>
                <w14:textFill>
                  <w14:solidFill>
                    <w14:schemeClr w14:val="tx1"/>
                  </w14:solidFill>
                </w14:textFill>
              </w:rPr>
              <w:t>监测。</w:t>
            </w:r>
          </w:p>
          <w:p w14:paraId="4F4D88F3">
            <w:pPr>
              <w:pStyle w:val="38"/>
              <w:jc w:val="both"/>
              <w:rPr>
                <w:rFonts w:hint="eastAsia" w:ascii="宋体" w:hAnsi="宋体" w:eastAsia="宋体" w:cs="宋体"/>
                <w:color w:val="000000" w:themeColor="text1"/>
                <w14:textFill>
                  <w14:solidFill>
                    <w14:schemeClr w14:val="tx1"/>
                  </w14:solidFill>
                </w14:textFill>
              </w:rPr>
            </w:pPr>
          </w:p>
          <w:p w14:paraId="7840B259">
            <w:pPr>
              <w:pStyle w:val="38"/>
              <w:jc w:val="both"/>
              <w:rPr>
                <w:rFonts w:hint="eastAsia" w:ascii="宋体" w:hAnsi="宋体" w:eastAsia="宋体" w:cs="宋体"/>
                <w:color w:val="000000" w:themeColor="text1"/>
                <w14:textFill>
                  <w14:solidFill>
                    <w14:schemeClr w14:val="tx1"/>
                  </w14:solidFill>
                </w14:textFill>
              </w:rPr>
            </w:pPr>
          </w:p>
          <w:p w14:paraId="3860643D">
            <w:pPr>
              <w:pStyle w:val="38"/>
              <w:jc w:val="both"/>
              <w:rPr>
                <w:rFonts w:hint="eastAsia" w:ascii="宋体" w:hAnsi="宋体" w:eastAsia="宋体" w:cs="宋体"/>
                <w:color w:val="000000" w:themeColor="text1"/>
                <w14:textFill>
                  <w14:solidFill>
                    <w14:schemeClr w14:val="tx1"/>
                  </w14:solidFill>
                </w14:textFill>
              </w:rPr>
            </w:pPr>
          </w:p>
          <w:p w14:paraId="55FD1713">
            <w:pPr>
              <w:pStyle w:val="38"/>
              <w:jc w:val="both"/>
              <w:rPr>
                <w:rFonts w:hint="eastAsia" w:ascii="宋体" w:hAnsi="宋体" w:eastAsia="宋体" w:cs="宋体"/>
                <w:color w:val="000000" w:themeColor="text1"/>
                <w14:textFill>
                  <w14:solidFill>
                    <w14:schemeClr w14:val="tx1"/>
                  </w14:solidFill>
                </w14:textFill>
              </w:rPr>
            </w:pPr>
          </w:p>
          <w:p w14:paraId="4B9E391A">
            <w:pPr>
              <w:pStyle w:val="38"/>
              <w:jc w:val="both"/>
              <w:rPr>
                <w:rFonts w:hint="eastAsia" w:ascii="宋体" w:hAnsi="宋体" w:eastAsia="宋体" w:cs="宋体"/>
                <w:color w:val="000000" w:themeColor="text1"/>
                <w14:textFill>
                  <w14:solidFill>
                    <w14:schemeClr w14:val="tx1"/>
                  </w14:solidFill>
                </w14:textFill>
              </w:rPr>
            </w:pPr>
          </w:p>
          <w:p w14:paraId="3261E212">
            <w:pPr>
              <w:pStyle w:val="38"/>
              <w:jc w:val="both"/>
              <w:rPr>
                <w:rFonts w:hint="eastAsia" w:ascii="宋体" w:hAnsi="宋体" w:eastAsia="宋体" w:cs="宋体"/>
                <w:color w:val="000000" w:themeColor="text1"/>
                <w14:textFill>
                  <w14:solidFill>
                    <w14:schemeClr w14:val="tx1"/>
                  </w14:solidFill>
                </w14:textFill>
              </w:rPr>
            </w:pPr>
          </w:p>
          <w:p w14:paraId="43165208">
            <w:pPr>
              <w:pStyle w:val="38"/>
              <w:jc w:val="both"/>
              <w:rPr>
                <w:rFonts w:hint="eastAsia" w:ascii="宋体" w:hAnsi="宋体" w:eastAsia="宋体" w:cs="宋体"/>
                <w:color w:val="000000" w:themeColor="text1"/>
                <w14:textFill>
                  <w14:solidFill>
                    <w14:schemeClr w14:val="tx1"/>
                  </w14:solidFill>
                </w14:textFill>
              </w:rPr>
            </w:pPr>
          </w:p>
          <w:p w14:paraId="577AA24D">
            <w:pPr>
              <w:pStyle w:val="38"/>
              <w:jc w:val="both"/>
              <w:rPr>
                <w:rFonts w:hint="eastAsia" w:ascii="宋体" w:hAnsi="宋体" w:eastAsia="宋体" w:cs="宋体"/>
                <w:color w:val="000000" w:themeColor="text1"/>
                <w14:textFill>
                  <w14:solidFill>
                    <w14:schemeClr w14:val="tx1"/>
                  </w14:solidFill>
                </w14:textFill>
              </w:rPr>
            </w:pPr>
          </w:p>
          <w:p w14:paraId="30627091">
            <w:pPr>
              <w:pStyle w:val="38"/>
              <w:jc w:val="both"/>
              <w:rPr>
                <w:rFonts w:hint="eastAsia" w:ascii="宋体" w:hAnsi="宋体" w:eastAsia="宋体" w:cs="宋体"/>
                <w:color w:val="000000" w:themeColor="text1"/>
                <w14:textFill>
                  <w14:solidFill>
                    <w14:schemeClr w14:val="tx1"/>
                  </w14:solidFill>
                </w14:textFill>
              </w:rPr>
            </w:pPr>
          </w:p>
          <w:p w14:paraId="6363AF6E">
            <w:pPr>
              <w:pStyle w:val="38"/>
              <w:jc w:val="both"/>
              <w:rPr>
                <w:rFonts w:hint="eastAsia" w:ascii="宋体" w:hAnsi="宋体" w:eastAsia="宋体" w:cs="宋体"/>
                <w:color w:val="000000" w:themeColor="text1"/>
                <w14:textFill>
                  <w14:solidFill>
                    <w14:schemeClr w14:val="tx1"/>
                  </w14:solidFill>
                </w14:textFill>
              </w:rPr>
            </w:pPr>
          </w:p>
          <w:p w14:paraId="2F7BFFD5">
            <w:pPr>
              <w:pStyle w:val="38"/>
              <w:jc w:val="both"/>
              <w:rPr>
                <w:rFonts w:hint="eastAsia" w:ascii="宋体" w:hAnsi="宋体" w:eastAsia="宋体" w:cs="宋体"/>
                <w:color w:val="000000" w:themeColor="text1"/>
                <w14:textFill>
                  <w14:solidFill>
                    <w14:schemeClr w14:val="tx1"/>
                  </w14:solidFill>
                </w14:textFill>
              </w:rPr>
            </w:pPr>
          </w:p>
          <w:p w14:paraId="136CE145">
            <w:pPr>
              <w:pStyle w:val="38"/>
              <w:jc w:val="both"/>
              <w:rPr>
                <w:rFonts w:hint="eastAsia" w:ascii="宋体" w:hAnsi="宋体" w:eastAsia="宋体" w:cs="宋体"/>
                <w:color w:val="000000" w:themeColor="text1"/>
                <w14:textFill>
                  <w14:solidFill>
                    <w14:schemeClr w14:val="tx1"/>
                  </w14:solidFill>
                </w14:textFill>
              </w:rPr>
            </w:pPr>
          </w:p>
          <w:p w14:paraId="34C9501C">
            <w:pPr>
              <w:pStyle w:val="38"/>
              <w:jc w:val="both"/>
              <w:rPr>
                <w:rFonts w:hint="eastAsia" w:ascii="宋体" w:hAnsi="宋体" w:eastAsia="宋体" w:cs="宋体"/>
                <w:color w:val="000000" w:themeColor="text1"/>
                <w14:textFill>
                  <w14:solidFill>
                    <w14:schemeClr w14:val="tx1"/>
                  </w14:solidFill>
                </w14:textFill>
              </w:rPr>
            </w:pPr>
          </w:p>
          <w:p w14:paraId="4C75832E">
            <w:pPr>
              <w:pStyle w:val="38"/>
              <w:jc w:val="both"/>
              <w:rPr>
                <w:rFonts w:hint="eastAsia" w:ascii="宋体" w:hAnsi="宋体" w:eastAsia="宋体" w:cs="宋体"/>
                <w:color w:val="000000" w:themeColor="text1"/>
                <w14:textFill>
                  <w14:solidFill>
                    <w14:schemeClr w14:val="tx1"/>
                  </w14:solidFill>
                </w14:textFill>
              </w:rPr>
            </w:pPr>
          </w:p>
          <w:p w14:paraId="4015A1DF">
            <w:pPr>
              <w:pStyle w:val="38"/>
              <w:jc w:val="both"/>
              <w:rPr>
                <w:rFonts w:hint="eastAsia" w:ascii="宋体" w:hAnsi="宋体" w:eastAsia="宋体" w:cs="宋体"/>
                <w:color w:val="000000" w:themeColor="text1"/>
                <w14:textFill>
                  <w14:solidFill>
                    <w14:schemeClr w14:val="tx1"/>
                  </w14:solidFill>
                </w14:textFill>
              </w:rPr>
            </w:pPr>
          </w:p>
          <w:p w14:paraId="7F252C0B">
            <w:pPr>
              <w:pStyle w:val="38"/>
              <w:jc w:val="both"/>
              <w:rPr>
                <w:rFonts w:hint="eastAsia" w:ascii="宋体" w:hAnsi="宋体" w:eastAsia="宋体" w:cs="宋体"/>
                <w:color w:val="000000" w:themeColor="text1"/>
                <w14:textFill>
                  <w14:solidFill>
                    <w14:schemeClr w14:val="tx1"/>
                  </w14:solidFill>
                </w14:textFill>
              </w:rPr>
            </w:pPr>
          </w:p>
          <w:p w14:paraId="324F8802">
            <w:pPr>
              <w:pStyle w:val="38"/>
              <w:jc w:val="both"/>
              <w:rPr>
                <w:rFonts w:hint="eastAsia" w:ascii="宋体" w:hAnsi="宋体" w:eastAsia="宋体" w:cs="宋体"/>
                <w:color w:val="000000" w:themeColor="text1"/>
                <w14:textFill>
                  <w14:solidFill>
                    <w14:schemeClr w14:val="tx1"/>
                  </w14:solidFill>
                </w14:textFill>
              </w:rPr>
            </w:pPr>
          </w:p>
          <w:p w14:paraId="7D37D1C5">
            <w:pPr>
              <w:pStyle w:val="38"/>
              <w:jc w:val="both"/>
              <w:rPr>
                <w:rFonts w:hint="eastAsia" w:ascii="宋体" w:hAnsi="宋体" w:eastAsia="宋体" w:cs="宋体"/>
                <w:color w:val="000000" w:themeColor="text1"/>
                <w14:textFill>
                  <w14:solidFill>
                    <w14:schemeClr w14:val="tx1"/>
                  </w14:solidFill>
                </w14:textFill>
              </w:rPr>
            </w:pPr>
          </w:p>
          <w:p w14:paraId="10CEA017">
            <w:pPr>
              <w:pStyle w:val="38"/>
              <w:jc w:val="both"/>
              <w:rPr>
                <w:rFonts w:hint="eastAsia" w:ascii="宋体" w:hAnsi="宋体" w:eastAsia="宋体" w:cs="宋体"/>
                <w:color w:val="000000" w:themeColor="text1"/>
                <w14:textFill>
                  <w14:solidFill>
                    <w14:schemeClr w14:val="tx1"/>
                  </w14:solidFill>
                </w14:textFill>
              </w:rPr>
            </w:pPr>
          </w:p>
          <w:p w14:paraId="665F1CC6">
            <w:pPr>
              <w:pStyle w:val="38"/>
              <w:jc w:val="both"/>
              <w:rPr>
                <w:rFonts w:hint="eastAsia" w:ascii="宋体" w:hAnsi="宋体" w:eastAsia="宋体" w:cs="宋体"/>
                <w:color w:val="000000" w:themeColor="text1"/>
                <w14:textFill>
                  <w14:solidFill>
                    <w14:schemeClr w14:val="tx1"/>
                  </w14:solidFill>
                </w14:textFill>
              </w:rPr>
            </w:pPr>
          </w:p>
          <w:p w14:paraId="235C2059">
            <w:pPr>
              <w:pStyle w:val="38"/>
              <w:jc w:val="both"/>
              <w:rPr>
                <w:rFonts w:hint="eastAsia" w:ascii="宋体" w:hAnsi="宋体" w:eastAsia="宋体" w:cs="宋体"/>
                <w:color w:val="000000" w:themeColor="text1"/>
                <w14:textFill>
                  <w14:solidFill>
                    <w14:schemeClr w14:val="tx1"/>
                  </w14:solidFill>
                </w14:textFill>
              </w:rPr>
            </w:pPr>
          </w:p>
          <w:p w14:paraId="4D36816F">
            <w:pPr>
              <w:pStyle w:val="38"/>
              <w:jc w:val="both"/>
              <w:rPr>
                <w:rFonts w:hint="eastAsia" w:ascii="宋体" w:hAnsi="宋体" w:eastAsia="宋体" w:cs="宋体"/>
                <w:color w:val="000000" w:themeColor="text1"/>
                <w14:textFill>
                  <w14:solidFill>
                    <w14:schemeClr w14:val="tx1"/>
                  </w14:solidFill>
                </w14:textFill>
              </w:rPr>
            </w:pPr>
          </w:p>
          <w:p w14:paraId="549D8EE0">
            <w:pPr>
              <w:pStyle w:val="38"/>
              <w:jc w:val="both"/>
              <w:rPr>
                <w:rFonts w:hint="eastAsia" w:ascii="宋体" w:hAnsi="宋体" w:eastAsia="宋体" w:cs="宋体"/>
                <w:color w:val="000000" w:themeColor="text1"/>
                <w14:textFill>
                  <w14:solidFill>
                    <w14:schemeClr w14:val="tx1"/>
                  </w14:solidFill>
                </w14:textFill>
              </w:rPr>
            </w:pPr>
          </w:p>
          <w:p w14:paraId="112AF933">
            <w:pPr>
              <w:pStyle w:val="38"/>
              <w:jc w:val="both"/>
              <w:rPr>
                <w:rFonts w:hint="eastAsia" w:ascii="宋体" w:hAnsi="宋体" w:eastAsia="宋体" w:cs="宋体"/>
                <w:color w:val="000000" w:themeColor="text1"/>
                <w14:textFill>
                  <w14:solidFill>
                    <w14:schemeClr w14:val="tx1"/>
                  </w14:solidFill>
                </w14:textFill>
              </w:rPr>
            </w:pPr>
          </w:p>
          <w:p w14:paraId="24D575FA">
            <w:pPr>
              <w:pStyle w:val="38"/>
              <w:jc w:val="both"/>
              <w:rPr>
                <w:rFonts w:hint="eastAsia" w:ascii="宋体" w:hAnsi="宋体" w:eastAsia="宋体" w:cs="宋体"/>
                <w:color w:val="000000" w:themeColor="text1"/>
                <w14:textFill>
                  <w14:solidFill>
                    <w14:schemeClr w14:val="tx1"/>
                  </w14:solidFill>
                </w14:textFill>
              </w:rPr>
            </w:pPr>
          </w:p>
        </w:tc>
      </w:tr>
    </w:tbl>
    <w:p w14:paraId="2BC32813">
      <w:pPr>
        <w:pStyle w:val="2"/>
        <w:spacing w:before="120" w:after="12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snapToGrid w:val="0"/>
          <w:color w:val="000000" w:themeColor="text1"/>
          <w14:textFill>
            <w14:solidFill>
              <w14:schemeClr w14:val="tx1"/>
            </w14:solidFill>
          </w14:textFill>
        </w:rPr>
        <w:br w:type="page"/>
      </w:r>
      <w:r>
        <w:rPr>
          <w:rFonts w:hint="eastAsia" w:ascii="宋体" w:hAnsi="宋体" w:eastAsia="宋体" w:cs="宋体"/>
          <w:color w:val="000000" w:themeColor="text1"/>
          <w14:textFill>
            <w14:solidFill>
              <w14:schemeClr w14:val="tx1"/>
            </w14:solidFill>
          </w14:textFill>
        </w:rPr>
        <w:t>六、结论</w:t>
      </w:r>
    </w:p>
    <w:tbl>
      <w:tblPr>
        <w:tblStyle w:val="25"/>
        <w:tblW w:w="8865"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14:paraId="6819E76F">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vAlign w:val="top"/>
          </w:tcPr>
          <w:p w14:paraId="2EC4D6D5">
            <w:pPr>
              <w:spacing w:line="360" w:lineRule="auto"/>
              <w:jc w:val="both"/>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本项目符合国家产业政策、“三线一单”要求，在实施过程中认真贯彻“达标排放”原则，针对营运过程中可能存在的环境问题采取严格有效的防治措施，使主要污染物排放浓度满足相应标准的要求。对大气环境、地表水环境和声环境影响很小，在环境标准允许和公众可接受的范围内，从环境保护角度和可持续发展角度看，本项目在各污染物达标排放的情况下，从环保角度考虑，建设可行。</w:t>
            </w:r>
          </w:p>
        </w:tc>
      </w:tr>
    </w:tbl>
    <w:p w14:paraId="4E783460">
      <w:pPr>
        <w:outlineLvl w:val="0"/>
        <w:rPr>
          <w:rFonts w:hint="eastAsia" w:ascii="宋体" w:hAnsi="宋体" w:eastAsia="宋体" w:cs="宋体"/>
          <w:color w:val="000000" w:themeColor="text1"/>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p w14:paraId="1DE1D6F5">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hint="eastAsia" w:ascii="宋体" w:hAnsi="宋体" w:eastAsia="宋体" w:cs="宋体"/>
          <w:b/>
          <w:bCs/>
          <w:color w:val="000000" w:themeColor="text1"/>
          <w:sz w:val="36"/>
          <w:szCs w:val="36"/>
          <w:highlight w:val="none"/>
          <w:u w:val="none" w:color="auto"/>
          <w:lang w:eastAsia="zh-CN"/>
          <w14:textFill>
            <w14:solidFill>
              <w14:schemeClr w14:val="tx1"/>
            </w14:solidFill>
          </w14:textFill>
        </w:rPr>
      </w:pPr>
      <w:r>
        <w:rPr>
          <w:rFonts w:hint="eastAsia" w:ascii="宋体" w:hAnsi="宋体" w:eastAsia="宋体" w:cs="宋体"/>
          <w:b/>
          <w:bCs/>
          <w:color w:val="000000" w:themeColor="text1"/>
          <w:sz w:val="36"/>
          <w:szCs w:val="36"/>
          <w:u w:val="none" w:color="auto"/>
          <w:lang w:eastAsia="zh-CN"/>
          <w14:textFill>
            <w14:solidFill>
              <w14:schemeClr w14:val="tx1"/>
            </w14:solidFill>
          </w14:textFill>
        </w:rPr>
        <w:t>四平鑫龙报废汽车回收拆解</w:t>
      </w:r>
      <w:r>
        <w:rPr>
          <w:rFonts w:hint="eastAsia" w:ascii="宋体" w:hAnsi="宋体" w:eastAsia="宋体" w:cs="宋体"/>
          <w:b/>
          <w:bCs/>
          <w:color w:val="000000" w:themeColor="text1"/>
          <w:sz w:val="36"/>
          <w:szCs w:val="36"/>
          <w:highlight w:val="none"/>
          <w:u w:val="none" w:color="auto"/>
          <w:lang w:eastAsia="zh-CN"/>
          <w14:textFill>
            <w14:solidFill>
              <w14:schemeClr w14:val="tx1"/>
            </w14:solidFill>
          </w14:textFill>
        </w:rPr>
        <w:t>有限公司</w:t>
      </w:r>
    </w:p>
    <w:p w14:paraId="0B08706B">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hint="eastAsia" w:ascii="宋体" w:hAnsi="宋体" w:eastAsia="宋体" w:cs="宋体"/>
          <w:b/>
          <w:bCs/>
          <w:color w:val="000000" w:themeColor="text1"/>
          <w:sz w:val="36"/>
          <w:szCs w:val="36"/>
          <w:highlight w:val="none"/>
          <w:u w:val="none" w:color="auto"/>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u w:val="none" w:color="auto"/>
          <w:lang w:val="en-US" w:eastAsia="zh-CN"/>
          <w14:textFill>
            <w14:solidFill>
              <w14:schemeClr w14:val="tx1"/>
            </w14:solidFill>
          </w14:textFill>
        </w:rPr>
        <w:t>报废汽车回收拆解加工利用扩建项目</w:t>
      </w:r>
    </w:p>
    <w:p w14:paraId="56ACCE0A">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hint="eastAsia" w:ascii="宋体" w:hAnsi="宋体" w:eastAsia="宋体" w:cs="宋体"/>
          <w:b/>
          <w:bCs/>
          <w:color w:val="000000" w:themeColor="text1"/>
          <w:spacing w:val="-2"/>
          <w:sz w:val="36"/>
          <w:szCs w:val="36"/>
          <w:u w:val="none" w:color="auto"/>
          <w14:textFill>
            <w14:solidFill>
              <w14:schemeClr w14:val="tx1"/>
            </w14:solidFill>
          </w14:textFill>
        </w:rPr>
      </w:pPr>
      <w:r>
        <w:rPr>
          <w:rFonts w:hint="eastAsia" w:ascii="宋体" w:hAnsi="宋体" w:eastAsia="宋体" w:cs="宋体"/>
          <w:b/>
          <w:bCs/>
          <w:color w:val="000000" w:themeColor="text1"/>
          <w:spacing w:val="-2"/>
          <w:sz w:val="36"/>
          <w:szCs w:val="36"/>
          <w:u w:val="none" w:color="auto"/>
          <w14:textFill>
            <w14:solidFill>
              <w14:schemeClr w14:val="tx1"/>
            </w14:solidFill>
          </w14:textFill>
        </w:rPr>
        <w:t>大气环境影响专项评价</w:t>
      </w:r>
    </w:p>
    <w:p w14:paraId="69253751">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ascii="黑体" w:hAnsi="黑体" w:eastAsia="黑体" w:cs="黑体"/>
          <w:b/>
          <w:bCs/>
          <w:color w:val="000000" w:themeColor="text1"/>
          <w:spacing w:val="-2"/>
          <w:sz w:val="36"/>
          <w:szCs w:val="36"/>
          <w:u w:val="none" w:color="auto"/>
          <w14:textFill>
            <w14:solidFill>
              <w14:schemeClr w14:val="tx1"/>
            </w14:solidFill>
          </w14:textFill>
        </w:rPr>
      </w:pPr>
    </w:p>
    <w:p w14:paraId="64A320FD">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ascii="黑体" w:hAnsi="黑体" w:eastAsia="黑体" w:cs="黑体"/>
          <w:b/>
          <w:bCs/>
          <w:color w:val="000000" w:themeColor="text1"/>
          <w:spacing w:val="-2"/>
          <w:sz w:val="36"/>
          <w:szCs w:val="36"/>
          <w:u w:val="none" w:color="auto"/>
          <w14:textFill>
            <w14:solidFill>
              <w14:schemeClr w14:val="tx1"/>
            </w14:solidFill>
          </w14:textFill>
        </w:rPr>
      </w:pPr>
    </w:p>
    <w:p w14:paraId="7AB1D701">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ascii="黑体" w:hAnsi="黑体" w:eastAsia="黑体" w:cs="黑体"/>
          <w:b/>
          <w:bCs/>
          <w:color w:val="000000" w:themeColor="text1"/>
          <w:spacing w:val="-2"/>
          <w:sz w:val="36"/>
          <w:szCs w:val="36"/>
          <w:u w:val="none" w:color="auto"/>
          <w14:textFill>
            <w14:solidFill>
              <w14:schemeClr w14:val="tx1"/>
            </w14:solidFill>
          </w14:textFill>
        </w:rPr>
      </w:pPr>
    </w:p>
    <w:p w14:paraId="5FC0280A">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ascii="黑体" w:hAnsi="黑体" w:eastAsia="黑体" w:cs="黑体"/>
          <w:b/>
          <w:bCs/>
          <w:color w:val="000000" w:themeColor="text1"/>
          <w:spacing w:val="-2"/>
          <w:sz w:val="36"/>
          <w:szCs w:val="36"/>
          <w:u w:val="none" w:color="auto"/>
          <w14:textFill>
            <w14:solidFill>
              <w14:schemeClr w14:val="tx1"/>
            </w14:solidFill>
          </w14:textFill>
        </w:rPr>
      </w:pPr>
    </w:p>
    <w:p w14:paraId="1A7702AF">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ascii="黑体" w:hAnsi="黑体" w:eastAsia="黑体" w:cs="黑体"/>
          <w:b/>
          <w:bCs/>
          <w:color w:val="000000" w:themeColor="text1"/>
          <w:spacing w:val="-2"/>
          <w:sz w:val="36"/>
          <w:szCs w:val="36"/>
          <w:u w:val="none" w:color="auto"/>
          <w14:textFill>
            <w14:solidFill>
              <w14:schemeClr w14:val="tx1"/>
            </w14:solidFill>
          </w14:textFill>
        </w:rPr>
      </w:pPr>
    </w:p>
    <w:p w14:paraId="410DAE4F">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ascii="黑体" w:hAnsi="黑体" w:eastAsia="黑体" w:cs="黑体"/>
          <w:b/>
          <w:bCs/>
          <w:color w:val="000000" w:themeColor="text1"/>
          <w:spacing w:val="-2"/>
          <w:sz w:val="36"/>
          <w:szCs w:val="36"/>
          <w:u w:val="none" w:color="auto"/>
          <w14:textFill>
            <w14:solidFill>
              <w14:schemeClr w14:val="tx1"/>
            </w14:solidFill>
          </w14:textFill>
        </w:rPr>
      </w:pPr>
    </w:p>
    <w:p w14:paraId="35648BA9">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3"/>
        <w:rPr>
          <w:rFonts w:ascii="黑体" w:hAnsi="黑体" w:eastAsia="黑体" w:cs="黑体"/>
          <w:b/>
          <w:bCs/>
          <w:color w:val="000000" w:themeColor="text1"/>
          <w:spacing w:val="-2"/>
          <w:sz w:val="36"/>
          <w:szCs w:val="36"/>
          <w:u w:val="none" w:color="auto"/>
          <w14:textFill>
            <w14:solidFill>
              <w14:schemeClr w14:val="tx1"/>
            </w14:solidFill>
          </w14:textFill>
        </w:rPr>
      </w:pPr>
    </w:p>
    <w:p w14:paraId="5F41F2ED">
      <w:pPr>
        <w:pageBreakBefore w:val="0"/>
        <w:widowControl w:val="0"/>
        <w:kinsoku/>
        <w:wordWrap/>
        <w:overflowPunct/>
        <w:topLinePunct w:val="0"/>
        <w:autoSpaceDE/>
        <w:autoSpaceDN/>
        <w:bidi w:val="0"/>
        <w:adjustRightInd/>
        <w:snapToGrid/>
        <w:spacing w:line="500" w:lineRule="exact"/>
        <w:ind w:left="0" w:leftChars="0" w:right="0" w:rightChars="0" w:firstLine="602" w:firstLineChars="200"/>
        <w:jc w:val="center"/>
        <w:textAlignment w:val="auto"/>
        <w:rPr>
          <w:rFonts w:hint="eastAsia" w:ascii="宋体" w:hAnsi="宋体"/>
          <w:b/>
          <w:bCs/>
          <w:color w:val="000000" w:themeColor="text1"/>
          <w:sz w:val="30"/>
          <w:szCs w:val="30"/>
          <w:lang w:eastAsia="zh-CN"/>
          <w14:textFill>
            <w14:solidFill>
              <w14:schemeClr w14:val="tx1"/>
            </w14:solidFill>
          </w14:textFill>
        </w:rPr>
        <w:sectPr>
          <w:pgSz w:w="11906" w:h="16838"/>
          <w:pgMar w:top="1304" w:right="1418" w:bottom="130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hAnsi="宋体"/>
          <w:b/>
          <w:bCs/>
          <w:color w:val="000000" w:themeColor="text1"/>
          <w:sz w:val="30"/>
          <w:szCs w:val="30"/>
          <w:lang w:eastAsia="zh-CN"/>
          <w14:textFill>
            <w14:solidFill>
              <w14:schemeClr w14:val="tx1"/>
            </w14:solidFill>
          </w14:textFill>
        </w:rPr>
        <w:t>编制日期：</w:t>
      </w:r>
      <w:r>
        <w:rPr>
          <w:rFonts w:hint="eastAsia" w:ascii="宋体" w:hAnsi="宋体"/>
          <w:b/>
          <w:bCs/>
          <w:color w:val="000000" w:themeColor="text1"/>
          <w:sz w:val="30"/>
          <w:szCs w:val="30"/>
          <w:lang w:val="en-US" w:eastAsia="zh-CN"/>
          <w14:textFill>
            <w14:solidFill>
              <w14:schemeClr w14:val="tx1"/>
            </w14:solidFill>
          </w14:textFill>
        </w:rPr>
        <w:t>2026年3月</w:t>
      </w:r>
    </w:p>
    <w:p w14:paraId="438A058F">
      <w:pPr>
        <w:pStyle w:val="11"/>
        <w:rPr>
          <w:rFonts w:hint="eastAsia"/>
          <w:color w:val="000000" w:themeColor="text1"/>
          <w14:textFill>
            <w14:solidFill>
              <w14:schemeClr w14:val="tx1"/>
            </w14:solidFill>
          </w14:textFill>
        </w:rPr>
      </w:pPr>
    </w:p>
    <w:p w14:paraId="74C5E7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 评价依据</w:t>
      </w:r>
    </w:p>
    <w:p w14:paraId="41279965">
      <w:pPr>
        <w:pStyle w:val="4"/>
        <w:pageBreakBefore w:val="0"/>
        <w:kinsoku/>
        <w:wordWrap/>
        <w:overflowPunct/>
        <w:topLinePunct w:val="0"/>
        <w:autoSpaceDE/>
        <w:bidi w:val="0"/>
        <w:adjustRightInd/>
        <w:snapToGrid w:val="0"/>
        <w:spacing w:line="500" w:lineRule="exact"/>
        <w:ind w:left="0" w:leftChars="0" w:right="0" w:rightChars="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14:textFill>
            <w14:solidFill>
              <w14:schemeClr w14:val="tx1"/>
            </w14:solidFill>
          </w14:textFill>
        </w:rPr>
        <w:t>法律法规、技术标准及规范</w:t>
      </w:r>
    </w:p>
    <w:p w14:paraId="1F522E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（1）《中华人民共和国环境保护法》（修订），2015年1月 1日；</w:t>
      </w:r>
    </w:p>
    <w:p w14:paraId="313073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（2）《中华人民共和国环境影响评价法（修订）》，2018年12月 ；</w:t>
      </w:r>
    </w:p>
    <w:p w14:paraId="2F358E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《中华人民共和国大气污染防治法》（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订</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，20</w:t>
      </w: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月2</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日；</w:t>
      </w:r>
    </w:p>
    <w:p w14:paraId="5B4641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（4）《建设项目环境保护管理条例》，</w:t>
      </w:r>
      <w:r>
        <w:rPr>
          <w:rFonts w:hint="eastAsia" w:ascii="宋体" w:hAnsi="宋体" w:eastAsia="宋体" w:cs="宋体"/>
          <w:color w:val="000000" w:themeColor="text1"/>
          <w:sz w:val="24"/>
          <w:szCs w:val="24"/>
          <w:lang w:val="en-US" w:eastAsia="zh-CN"/>
          <w14:textFill>
            <w14:solidFill>
              <w14:schemeClr w14:val="tx1"/>
            </w14:solidFill>
          </w14:textFill>
        </w:rPr>
        <w:t>国务院令第253号，2017</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16</w:t>
      </w:r>
      <w:r>
        <w:rPr>
          <w:rFonts w:hint="eastAsia" w:ascii="宋体" w:hAnsi="宋体" w:eastAsia="宋体" w:cs="宋体"/>
          <w:color w:val="000000" w:themeColor="text1"/>
          <w:sz w:val="24"/>
          <w:szCs w:val="24"/>
          <w14:textFill>
            <w14:solidFill>
              <w14:schemeClr w14:val="tx1"/>
            </w14:solidFill>
          </w14:textFill>
        </w:rPr>
        <w:t>日；</w:t>
      </w:r>
    </w:p>
    <w:p w14:paraId="7E8D9F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建设项目环境影响报告表编制技术指南 （污染影响类）（试行）</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20</w:t>
      </w:r>
      <w:r>
        <w:rPr>
          <w:rFonts w:hint="eastAsia" w:ascii="宋体" w:hAnsi="宋体" w:eastAsia="宋体" w:cs="宋体"/>
          <w:color w:val="000000" w:themeColor="text1"/>
          <w:sz w:val="24"/>
          <w:szCs w:val="24"/>
          <w:lang w:val="en-US" w:eastAsia="zh-CN"/>
          <w14:textFill>
            <w14:solidFill>
              <w14:schemeClr w14:val="tx1"/>
            </w14:solidFill>
          </w14:textFill>
        </w:rPr>
        <w:t>21</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p>
    <w:p w14:paraId="5F7055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（6）《环境影响评价技术导则—</w:t>
      </w:r>
      <w:r>
        <w:rPr>
          <w:rFonts w:hint="eastAsia" w:ascii="宋体" w:hAnsi="宋体" w:eastAsia="宋体" w:cs="宋体"/>
          <w:color w:val="000000" w:themeColor="text1"/>
          <w:sz w:val="24"/>
          <w:szCs w:val="24"/>
          <w:lang w:val="en-US" w:eastAsia="zh-CN"/>
          <w14:textFill>
            <w14:solidFill>
              <w14:schemeClr w14:val="tx1"/>
            </w14:solidFill>
          </w14:textFill>
        </w:rPr>
        <w:t>大气环境</w:t>
      </w:r>
      <w:r>
        <w:rPr>
          <w:rFonts w:hint="eastAsia" w:ascii="宋体" w:hAnsi="宋体" w:eastAsia="宋体" w:cs="宋体"/>
          <w:color w:val="000000" w:themeColor="text1"/>
          <w:sz w:val="24"/>
          <w:szCs w:val="24"/>
          <w14:textFill>
            <w14:solidFill>
              <w14:schemeClr w14:val="tx1"/>
            </w14:solidFill>
          </w14:textFill>
        </w:rPr>
        <w:t>》（HJ</w:t>
      </w:r>
      <w:r>
        <w:rPr>
          <w:rFonts w:hint="eastAsia" w:ascii="宋体" w:hAnsi="宋体" w:eastAsia="宋体" w:cs="宋体"/>
          <w:color w:val="000000" w:themeColor="text1"/>
          <w:sz w:val="24"/>
          <w:szCs w:val="24"/>
          <w:lang w:val="en-US" w:eastAsia="zh-CN"/>
          <w14:textFill>
            <w14:solidFill>
              <w14:schemeClr w14:val="tx1"/>
            </w14:solidFill>
          </w14:textFill>
        </w:rPr>
        <w:t>2.2</w:t>
      </w:r>
      <w:r>
        <w:rPr>
          <w:rFonts w:hint="eastAsia" w:ascii="宋体" w:hAnsi="宋体" w:eastAsia="宋体" w:cs="宋体"/>
          <w:color w:val="000000" w:themeColor="text1"/>
          <w:sz w:val="24"/>
          <w:szCs w:val="24"/>
          <w14:textFill>
            <w14:solidFill>
              <w14:schemeClr w14:val="tx1"/>
            </w14:solidFill>
          </w14:textFill>
        </w:rPr>
        <w:t>-20</w:t>
      </w: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w:t>
      </w:r>
    </w:p>
    <w:p w14:paraId="3BAE6C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left="0" w:leftChars="0" w:right="0" w:rightChars="0"/>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（7）《建设项目环境影响评价技术导则 总纲》(HJ2.1-2016)</w:t>
      </w:r>
      <w:r>
        <w:rPr>
          <w:rFonts w:hint="eastAsia" w:ascii="宋体" w:hAnsi="宋体" w:eastAsia="宋体" w:cs="宋体"/>
          <w:color w:val="000000" w:themeColor="text1"/>
          <w:sz w:val="24"/>
          <w:szCs w:val="24"/>
          <w:lang w:eastAsia="zh-CN"/>
          <w14:textFill>
            <w14:solidFill>
              <w14:schemeClr w14:val="tx1"/>
            </w14:solidFill>
          </w14:textFill>
        </w:rPr>
        <w:t>；</w:t>
      </w:r>
    </w:p>
    <w:p w14:paraId="7CE14F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《环境空气质量标准》(GB3095-20</w:t>
      </w:r>
      <w:r>
        <w:rPr>
          <w:rFonts w:hint="eastAsia" w:ascii="宋体" w:hAnsi="宋体"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lang w:val="en-US" w:eastAsia="zh-CN"/>
          <w14:textFill>
            <w14:solidFill>
              <w14:schemeClr w14:val="tx1"/>
            </w14:solidFill>
          </w14:textFill>
        </w:rPr>
        <w:t>)。</w:t>
      </w:r>
    </w:p>
    <w:p w14:paraId="6FB7E630">
      <w:pPr>
        <w:pStyle w:val="4"/>
        <w:pageBreakBefore w:val="0"/>
        <w:kinsoku/>
        <w:wordWrap/>
        <w:overflowPunct/>
        <w:topLinePunct w:val="0"/>
        <w:autoSpaceDE/>
        <w:bidi w:val="0"/>
        <w:adjustRightInd/>
        <w:snapToGrid w:val="0"/>
        <w:spacing w:line="500" w:lineRule="exact"/>
        <w:ind w:left="0" w:leftChars="0" w:right="0" w:rightChars="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相关技术资料及文件</w:t>
      </w:r>
    </w:p>
    <w:p w14:paraId="64F6DF6A">
      <w:pPr>
        <w:pageBreakBefore w:val="0"/>
        <w:kinsoku/>
        <w:wordWrap/>
        <w:overflowPunct/>
        <w:topLinePunct w:val="0"/>
        <w:autoSpaceDE/>
        <w:autoSpaceDN w:val="0"/>
        <w:bidi w:val="0"/>
        <w:adjustRightInd/>
        <w:snapToGrid w:val="0"/>
        <w:spacing w:line="500" w:lineRule="exact"/>
        <w:ind w:left="0" w:leftChars="0" w:right="0" w:rightChars="0" w:firstLine="480" w:firstLineChars="200"/>
        <w:textAlignment w:val="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lang w:eastAsia="zh-CN"/>
          <w14:textFill>
            <w14:solidFill>
              <w14:schemeClr w14:val="tx1"/>
            </w14:solidFill>
          </w14:textFill>
        </w:rPr>
        <w:t>关于</w:t>
      </w:r>
      <w:r>
        <w:rPr>
          <w:rFonts w:hint="eastAsia" w:ascii="宋体" w:hAnsi="宋体" w:eastAsia="宋体" w:cs="宋体"/>
          <w:color w:val="000000" w:themeColor="text1"/>
          <w:sz w:val="24"/>
          <w14:textFill>
            <w14:solidFill>
              <w14:schemeClr w14:val="tx1"/>
            </w14:solidFill>
          </w14:textFill>
        </w:rPr>
        <w:t>本项目环评的委托书；</w:t>
      </w:r>
    </w:p>
    <w:p w14:paraId="2DD56900">
      <w:pPr>
        <w:pStyle w:val="3"/>
        <w:ind w:firstLine="480" w:firstLineChars="200"/>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（2）建设单位与设计单位提供的其他相关技术资料。</w:t>
      </w:r>
    </w:p>
    <w:p w14:paraId="77C04F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 xml:space="preserve">2 </w:t>
      </w:r>
      <w:r>
        <w:rPr>
          <w:rFonts w:hint="eastAsia"/>
          <w:b/>
          <w:bCs/>
          <w:color w:val="000000" w:themeColor="text1"/>
          <w:sz w:val="24"/>
          <w:szCs w:val="24"/>
          <w:lang w:val="en-US" w:eastAsia="zh-CN"/>
          <w14:textFill>
            <w14:solidFill>
              <w14:schemeClr w14:val="tx1"/>
            </w14:solidFill>
          </w14:textFill>
        </w:rPr>
        <w:t>环境功能区划与评价标准</w:t>
      </w:r>
    </w:p>
    <w:p w14:paraId="58362C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b/>
          <w:bCs/>
          <w:color w:val="000000" w:themeColor="text1"/>
          <w:sz w:val="24"/>
          <w:szCs w:val="24"/>
          <w14:textFill>
            <w14:solidFill>
              <w14:schemeClr w14:val="tx1"/>
            </w14:solidFill>
          </w14:textFill>
        </w:rPr>
        <w:t xml:space="preserve">2.1 </w:t>
      </w:r>
      <w:r>
        <w:rPr>
          <w:rFonts w:hint="eastAsia"/>
          <w:b/>
          <w:bCs/>
          <w:color w:val="000000" w:themeColor="text1"/>
          <w:sz w:val="24"/>
          <w:szCs w:val="24"/>
          <w:lang w:val="en-US" w:eastAsia="zh-CN"/>
          <w14:textFill>
            <w14:solidFill>
              <w14:schemeClr w14:val="tx1"/>
            </w14:solidFill>
          </w14:textFill>
        </w:rPr>
        <w:t>大气环境功能区划</w:t>
      </w:r>
    </w:p>
    <w:p w14:paraId="616A1718">
      <w:pPr>
        <w:pageBreakBefore w:val="0"/>
        <w:kinsoku/>
        <w:wordWrap/>
        <w:overflowPunct/>
        <w:topLinePunct w:val="0"/>
        <w:autoSpaceDE/>
        <w:autoSpaceDN w:val="0"/>
        <w:bidi w:val="0"/>
        <w:adjustRightInd/>
        <w:snapToGrid w:val="0"/>
        <w:spacing w:line="500" w:lineRule="exact"/>
        <w:ind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根据《环境空气质量标准》(GB3095-20</w:t>
      </w:r>
      <w:r>
        <w:rPr>
          <w:rFonts w:hint="eastAsia" w:ascii="宋体" w:hAnsi="宋体" w:eastAsia="宋体" w:cs="宋体"/>
          <w:color w:val="000000" w:themeColor="text1"/>
          <w:sz w:val="24"/>
          <w:lang w:val="en-US" w:eastAsia="zh-CN"/>
          <w14:textFill>
            <w14:solidFill>
              <w14:schemeClr w14:val="tx1"/>
            </w14:solidFill>
          </w14:textFill>
        </w:rPr>
        <w:t>26</w:t>
      </w:r>
      <w:r>
        <w:rPr>
          <w:rFonts w:hint="eastAsia" w:ascii="宋体" w:hAnsi="宋体" w:eastAsia="宋体" w:cs="宋体"/>
          <w:color w:val="000000" w:themeColor="text1"/>
          <w:sz w:val="24"/>
          <w14:textFill>
            <w14:solidFill>
              <w14:schemeClr w14:val="tx1"/>
            </w14:solidFill>
          </w14:textFill>
        </w:rPr>
        <w:t>)，项目所处区域环境空气质量功能区划分为二类区。</w:t>
      </w:r>
    </w:p>
    <w:p w14:paraId="22A11EBD">
      <w:pPr>
        <w:pageBreakBefore w:val="0"/>
        <w:kinsoku/>
        <w:wordWrap/>
        <w:overflowPunct/>
        <w:topLinePunct w:val="0"/>
        <w:autoSpaceDE/>
        <w:autoSpaceDN w:val="0"/>
        <w:bidi w:val="0"/>
        <w:adjustRightInd/>
        <w:snapToGrid w:val="0"/>
        <w:spacing w:line="500" w:lineRule="exact"/>
        <w:ind w:right="0" w:rightChars="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环境质量标准</w:t>
      </w:r>
    </w:p>
    <w:p w14:paraId="1F0B1311">
      <w:pPr>
        <w:tabs>
          <w:tab w:val="left" w:pos="243"/>
        </w:tabs>
        <w:spacing w:before="182" w:line="359" w:lineRule="auto"/>
        <w:ind w:left="108" w:right="209" w:firstLine="490"/>
        <w:rPr>
          <w:rFonts w:ascii="宋体" w:hAnsi="宋体" w:eastAsia="宋体" w:cs="宋体"/>
          <w:color w:val="000000" w:themeColor="text1"/>
          <w:sz w:val="24"/>
          <w:szCs w:val="24"/>
          <w:u w:val="none" w:color="auto"/>
          <w14:textFill>
            <w14:solidFill>
              <w14:schemeClr w14:val="tx1"/>
            </w14:solidFill>
          </w14:textFill>
        </w:rPr>
      </w:pPr>
      <w:r>
        <w:rPr>
          <w:rFonts w:ascii="宋体" w:hAnsi="宋体" w:eastAsia="宋体" w:cs="宋体"/>
          <w:color w:val="000000" w:themeColor="text1"/>
          <w:spacing w:val="-4"/>
          <w:position w:val="1"/>
          <w:sz w:val="24"/>
          <w:szCs w:val="24"/>
          <w:u w:val="none" w:color="auto"/>
          <w14:textFill>
            <w14:solidFill>
              <w14:schemeClr w14:val="tx1"/>
            </w14:solidFill>
          </w14:textFill>
        </w:rPr>
        <w:t>本项目</w:t>
      </w:r>
      <w:r>
        <w:rPr>
          <w:rFonts w:ascii="宋体" w:hAnsi="宋体" w:eastAsia="宋体" w:cs="宋体"/>
          <w:color w:val="000000" w:themeColor="text1"/>
          <w:spacing w:val="-56"/>
          <w:position w:val="1"/>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4"/>
          <w:position w:val="1"/>
          <w:sz w:val="24"/>
          <w:szCs w:val="24"/>
          <w:u w:val="none" w:color="auto"/>
          <w14:textFill>
            <w14:solidFill>
              <w14:schemeClr w14:val="tx1"/>
            </w14:solidFill>
          </w14:textFill>
        </w:rPr>
        <w:t>PM</w:t>
      </w:r>
      <w:r>
        <w:rPr>
          <w:rFonts w:ascii="Times New Roman" w:hAnsi="Times New Roman" w:eastAsia="Times New Roman" w:cs="Times New Roman"/>
          <w:color w:val="000000" w:themeColor="text1"/>
          <w:spacing w:val="-4"/>
          <w:sz w:val="15"/>
          <w:szCs w:val="15"/>
          <w:u w:val="none" w:color="auto"/>
          <w14:textFill>
            <w14:solidFill>
              <w14:schemeClr w14:val="tx1"/>
            </w14:solidFill>
          </w14:textFill>
        </w:rPr>
        <w:t>10</w:t>
      </w:r>
      <w:r>
        <w:rPr>
          <w:rFonts w:ascii="Times New Roman" w:hAnsi="Times New Roman" w:eastAsia="Times New Roman" w:cs="Times New Roman"/>
          <w:color w:val="000000" w:themeColor="text1"/>
          <w:spacing w:val="-13"/>
          <w:sz w:val="15"/>
          <w:szCs w:val="15"/>
          <w:u w:val="none" w:color="auto"/>
          <w14:textFill>
            <w14:solidFill>
              <w14:schemeClr w14:val="tx1"/>
            </w14:solidFill>
          </w14:textFill>
        </w:rPr>
        <w:t xml:space="preserve"> </w:t>
      </w:r>
      <w:r>
        <w:rPr>
          <w:rFonts w:ascii="宋体" w:hAnsi="宋体" w:eastAsia="宋体" w:cs="宋体"/>
          <w:color w:val="000000" w:themeColor="text1"/>
          <w:spacing w:val="-4"/>
          <w:position w:val="1"/>
          <w:sz w:val="24"/>
          <w:szCs w:val="24"/>
          <w:u w:val="none" w:color="auto"/>
          <w14:textFill>
            <w14:solidFill>
              <w14:schemeClr w14:val="tx1"/>
            </w14:solidFill>
          </w14:textFill>
        </w:rPr>
        <w:t>、</w:t>
      </w:r>
      <w:r>
        <w:rPr>
          <w:rFonts w:ascii="Times New Roman" w:hAnsi="Times New Roman" w:eastAsia="Times New Roman" w:cs="Times New Roman"/>
          <w:color w:val="000000" w:themeColor="text1"/>
          <w:spacing w:val="-4"/>
          <w:position w:val="1"/>
          <w:sz w:val="24"/>
          <w:szCs w:val="24"/>
          <w:u w:val="none" w:color="auto"/>
          <w14:textFill>
            <w14:solidFill>
              <w14:schemeClr w14:val="tx1"/>
            </w14:solidFill>
          </w14:textFill>
        </w:rPr>
        <w:t>PM</w:t>
      </w:r>
      <w:r>
        <w:rPr>
          <w:rFonts w:ascii="Times New Roman" w:hAnsi="Times New Roman" w:eastAsia="Times New Roman" w:cs="Times New Roman"/>
          <w:color w:val="000000" w:themeColor="text1"/>
          <w:spacing w:val="-4"/>
          <w:sz w:val="15"/>
          <w:szCs w:val="15"/>
          <w:u w:val="none" w:color="auto"/>
          <w14:textFill>
            <w14:solidFill>
              <w14:schemeClr w14:val="tx1"/>
            </w14:solidFill>
          </w14:textFill>
        </w:rPr>
        <w:t>2.5</w:t>
      </w:r>
      <w:r>
        <w:rPr>
          <w:rFonts w:ascii="Times New Roman" w:hAnsi="Times New Roman" w:eastAsia="Times New Roman" w:cs="Times New Roman"/>
          <w:color w:val="000000" w:themeColor="text1"/>
          <w:spacing w:val="-12"/>
          <w:sz w:val="15"/>
          <w:szCs w:val="15"/>
          <w:u w:val="none" w:color="auto"/>
          <w14:textFill>
            <w14:solidFill>
              <w14:schemeClr w14:val="tx1"/>
            </w14:solidFill>
          </w14:textFill>
        </w:rPr>
        <w:t xml:space="preserve"> </w:t>
      </w:r>
      <w:r>
        <w:rPr>
          <w:rFonts w:ascii="宋体" w:hAnsi="宋体" w:eastAsia="宋体" w:cs="宋体"/>
          <w:color w:val="000000" w:themeColor="text1"/>
          <w:spacing w:val="-4"/>
          <w:position w:val="1"/>
          <w:sz w:val="24"/>
          <w:szCs w:val="24"/>
          <w:u w:val="none" w:color="auto"/>
          <w14:textFill>
            <w14:solidFill>
              <w14:schemeClr w14:val="tx1"/>
            </w14:solidFill>
          </w14:textFill>
        </w:rPr>
        <w:t>、</w:t>
      </w:r>
      <w:r>
        <w:rPr>
          <w:rFonts w:ascii="Times New Roman" w:hAnsi="Times New Roman" w:eastAsia="Times New Roman" w:cs="Times New Roman"/>
          <w:color w:val="000000" w:themeColor="text1"/>
          <w:spacing w:val="-4"/>
          <w:position w:val="1"/>
          <w:sz w:val="24"/>
          <w:szCs w:val="24"/>
          <w:u w:val="none" w:color="auto"/>
          <w14:textFill>
            <w14:solidFill>
              <w14:schemeClr w14:val="tx1"/>
            </w14:solidFill>
          </w14:textFill>
        </w:rPr>
        <w:t>SO</w:t>
      </w:r>
      <w:r>
        <w:rPr>
          <w:rFonts w:ascii="Times New Roman" w:hAnsi="Times New Roman" w:eastAsia="Times New Roman" w:cs="Times New Roman"/>
          <w:color w:val="000000" w:themeColor="text1"/>
          <w:spacing w:val="-4"/>
          <w:sz w:val="15"/>
          <w:szCs w:val="15"/>
          <w:u w:val="none" w:color="auto"/>
          <w14:textFill>
            <w14:solidFill>
              <w14:schemeClr w14:val="tx1"/>
            </w14:solidFill>
          </w14:textFill>
        </w:rPr>
        <w:t>2</w:t>
      </w:r>
      <w:r>
        <w:rPr>
          <w:rFonts w:ascii="Times New Roman" w:hAnsi="Times New Roman" w:eastAsia="Times New Roman" w:cs="Times New Roman"/>
          <w:color w:val="000000" w:themeColor="text1"/>
          <w:spacing w:val="-13"/>
          <w:sz w:val="15"/>
          <w:szCs w:val="15"/>
          <w:u w:val="none" w:color="auto"/>
          <w14:textFill>
            <w14:solidFill>
              <w14:schemeClr w14:val="tx1"/>
            </w14:solidFill>
          </w14:textFill>
        </w:rPr>
        <w:t xml:space="preserve"> </w:t>
      </w:r>
      <w:r>
        <w:rPr>
          <w:rFonts w:ascii="宋体" w:hAnsi="宋体" w:eastAsia="宋体" w:cs="宋体"/>
          <w:color w:val="000000" w:themeColor="text1"/>
          <w:spacing w:val="-4"/>
          <w:position w:val="1"/>
          <w:sz w:val="24"/>
          <w:szCs w:val="24"/>
          <w:u w:val="none" w:color="auto"/>
          <w14:textFill>
            <w14:solidFill>
              <w14:schemeClr w14:val="tx1"/>
            </w14:solidFill>
          </w14:textFill>
        </w:rPr>
        <w:t>、</w:t>
      </w:r>
      <w:r>
        <w:rPr>
          <w:rFonts w:ascii="Times New Roman" w:hAnsi="Times New Roman" w:eastAsia="Times New Roman" w:cs="Times New Roman"/>
          <w:color w:val="000000" w:themeColor="text1"/>
          <w:spacing w:val="-4"/>
          <w:position w:val="1"/>
          <w:sz w:val="24"/>
          <w:szCs w:val="24"/>
          <w:u w:val="none" w:color="auto"/>
          <w14:textFill>
            <w14:solidFill>
              <w14:schemeClr w14:val="tx1"/>
            </w14:solidFill>
          </w14:textFill>
        </w:rPr>
        <w:t>NO</w:t>
      </w:r>
      <w:r>
        <w:rPr>
          <w:rFonts w:ascii="Times New Roman" w:hAnsi="Times New Roman" w:eastAsia="Times New Roman" w:cs="Times New Roman"/>
          <w:color w:val="000000" w:themeColor="text1"/>
          <w:spacing w:val="-4"/>
          <w:sz w:val="15"/>
          <w:szCs w:val="15"/>
          <w:u w:val="none" w:color="auto"/>
          <w14:textFill>
            <w14:solidFill>
              <w14:schemeClr w14:val="tx1"/>
            </w14:solidFill>
          </w14:textFill>
        </w:rPr>
        <w:t>2</w:t>
      </w:r>
      <w:r>
        <w:rPr>
          <w:rFonts w:ascii="Times New Roman" w:hAnsi="Times New Roman" w:eastAsia="Times New Roman" w:cs="Times New Roman"/>
          <w:color w:val="000000" w:themeColor="text1"/>
          <w:spacing w:val="-12"/>
          <w:sz w:val="15"/>
          <w:szCs w:val="15"/>
          <w:u w:val="none" w:color="auto"/>
          <w14:textFill>
            <w14:solidFill>
              <w14:schemeClr w14:val="tx1"/>
            </w14:solidFill>
          </w14:textFill>
        </w:rPr>
        <w:t xml:space="preserve"> </w:t>
      </w:r>
      <w:r>
        <w:rPr>
          <w:rFonts w:ascii="宋体" w:hAnsi="宋体" w:eastAsia="宋体" w:cs="宋体"/>
          <w:color w:val="000000" w:themeColor="text1"/>
          <w:spacing w:val="-4"/>
          <w:position w:val="1"/>
          <w:sz w:val="24"/>
          <w:szCs w:val="24"/>
          <w:u w:val="none" w:color="auto"/>
          <w14:textFill>
            <w14:solidFill>
              <w14:schemeClr w14:val="tx1"/>
            </w14:solidFill>
          </w14:textFill>
        </w:rPr>
        <w:t>、</w:t>
      </w:r>
      <w:r>
        <w:rPr>
          <w:rFonts w:ascii="Times New Roman" w:hAnsi="Times New Roman" w:eastAsia="Times New Roman" w:cs="Times New Roman"/>
          <w:color w:val="000000" w:themeColor="text1"/>
          <w:spacing w:val="-4"/>
          <w:position w:val="1"/>
          <w:sz w:val="24"/>
          <w:szCs w:val="24"/>
          <w:u w:val="none" w:color="auto"/>
          <w14:textFill>
            <w14:solidFill>
              <w14:schemeClr w14:val="tx1"/>
            </w14:solidFill>
          </w14:textFill>
        </w:rPr>
        <w:t>O</w:t>
      </w:r>
      <w:r>
        <w:rPr>
          <w:rFonts w:ascii="Times New Roman" w:hAnsi="Times New Roman" w:eastAsia="Times New Roman" w:cs="Times New Roman"/>
          <w:color w:val="000000" w:themeColor="text1"/>
          <w:spacing w:val="-4"/>
          <w:sz w:val="15"/>
          <w:szCs w:val="15"/>
          <w:u w:val="none" w:color="auto"/>
          <w14:textFill>
            <w14:solidFill>
              <w14:schemeClr w14:val="tx1"/>
            </w14:solidFill>
          </w14:textFill>
        </w:rPr>
        <w:t>3</w:t>
      </w:r>
      <w:r>
        <w:rPr>
          <w:rFonts w:ascii="Times New Roman" w:hAnsi="Times New Roman" w:eastAsia="Times New Roman" w:cs="Times New Roman"/>
          <w:color w:val="000000" w:themeColor="text1"/>
          <w:spacing w:val="-13"/>
          <w:sz w:val="15"/>
          <w:szCs w:val="15"/>
          <w:u w:val="none" w:color="auto"/>
          <w14:textFill>
            <w14:solidFill>
              <w14:schemeClr w14:val="tx1"/>
            </w14:solidFill>
          </w14:textFill>
        </w:rPr>
        <w:t xml:space="preserve"> </w:t>
      </w:r>
      <w:r>
        <w:rPr>
          <w:rFonts w:ascii="宋体" w:hAnsi="宋体" w:eastAsia="宋体" w:cs="宋体"/>
          <w:color w:val="000000" w:themeColor="text1"/>
          <w:spacing w:val="-4"/>
          <w:position w:val="1"/>
          <w:sz w:val="24"/>
          <w:szCs w:val="24"/>
          <w:u w:val="none" w:color="auto"/>
          <w14:textFill>
            <w14:solidFill>
              <w14:schemeClr w14:val="tx1"/>
            </w14:solidFill>
          </w14:textFill>
        </w:rPr>
        <w:t>、</w:t>
      </w:r>
      <w:r>
        <w:rPr>
          <w:rFonts w:ascii="Times New Roman" w:hAnsi="Times New Roman" w:eastAsia="Times New Roman" w:cs="Times New Roman"/>
          <w:color w:val="000000" w:themeColor="text1"/>
          <w:spacing w:val="-4"/>
          <w:position w:val="1"/>
          <w:sz w:val="24"/>
          <w:szCs w:val="24"/>
          <w:u w:val="none" w:color="auto"/>
          <w14:textFill>
            <w14:solidFill>
              <w14:schemeClr w14:val="tx1"/>
            </w14:solidFill>
          </w14:textFill>
        </w:rPr>
        <w:t>NOx</w:t>
      </w:r>
      <w:r>
        <w:rPr>
          <w:rFonts w:ascii="Times New Roman" w:hAnsi="Times New Roman" w:eastAsia="Times New Roman" w:cs="Times New Roman"/>
          <w:color w:val="000000" w:themeColor="text1"/>
          <w:spacing w:val="-31"/>
          <w:position w:val="1"/>
          <w:sz w:val="24"/>
          <w:szCs w:val="24"/>
          <w:u w:val="none" w:color="auto"/>
          <w14:textFill>
            <w14:solidFill>
              <w14:schemeClr w14:val="tx1"/>
            </w14:solidFill>
          </w14:textFill>
        </w:rPr>
        <w:t xml:space="preserve"> </w:t>
      </w:r>
      <w:r>
        <w:rPr>
          <w:rFonts w:ascii="宋体" w:hAnsi="宋体" w:eastAsia="宋体" w:cs="宋体"/>
          <w:color w:val="000000" w:themeColor="text1"/>
          <w:spacing w:val="-4"/>
          <w:position w:val="1"/>
          <w:sz w:val="24"/>
          <w:szCs w:val="24"/>
          <w:u w:val="none" w:color="auto"/>
          <w14:textFill>
            <w14:solidFill>
              <w14:schemeClr w14:val="tx1"/>
            </w14:solidFill>
          </w14:textFill>
        </w:rPr>
        <w:t>、</w:t>
      </w:r>
      <w:r>
        <w:rPr>
          <w:rFonts w:ascii="Times New Roman" w:hAnsi="Times New Roman" w:eastAsia="Times New Roman" w:cs="Times New Roman"/>
          <w:color w:val="000000" w:themeColor="text1"/>
          <w:spacing w:val="-4"/>
          <w:position w:val="1"/>
          <w:sz w:val="24"/>
          <w:szCs w:val="24"/>
          <w:u w:val="none" w:color="auto"/>
          <w14:textFill>
            <w14:solidFill>
              <w14:schemeClr w14:val="tx1"/>
            </w14:solidFill>
          </w14:textFill>
        </w:rPr>
        <w:t>CO</w:t>
      </w:r>
      <w:r>
        <w:rPr>
          <w:rFonts w:ascii="Times New Roman" w:hAnsi="Times New Roman" w:eastAsia="Times New Roman" w:cs="Times New Roman"/>
          <w:color w:val="000000" w:themeColor="text1"/>
          <w:spacing w:val="-35"/>
          <w:position w:val="1"/>
          <w:sz w:val="24"/>
          <w:szCs w:val="24"/>
          <w:u w:val="none" w:color="auto"/>
          <w14:textFill>
            <w14:solidFill>
              <w14:schemeClr w14:val="tx1"/>
            </w14:solidFill>
          </w14:textFill>
        </w:rPr>
        <w:t xml:space="preserve"> </w:t>
      </w:r>
      <w:r>
        <w:rPr>
          <w:rFonts w:ascii="宋体" w:hAnsi="宋体" w:eastAsia="宋体" w:cs="宋体"/>
          <w:color w:val="000000" w:themeColor="text1"/>
          <w:spacing w:val="-4"/>
          <w:position w:val="1"/>
          <w:sz w:val="24"/>
          <w:szCs w:val="24"/>
          <w:u w:val="none" w:color="auto"/>
          <w14:textFill>
            <w14:solidFill>
              <w14:schemeClr w14:val="tx1"/>
            </w14:solidFill>
          </w14:textFill>
        </w:rPr>
        <w:t>、铅执行《环</w:t>
      </w:r>
      <w:r>
        <w:rPr>
          <w:rFonts w:ascii="宋体" w:hAnsi="宋体" w:eastAsia="宋体" w:cs="宋体"/>
          <w:color w:val="000000" w:themeColor="text1"/>
          <w:spacing w:val="-5"/>
          <w:position w:val="1"/>
          <w:sz w:val="24"/>
          <w:szCs w:val="24"/>
          <w:u w:val="none" w:color="auto"/>
          <w14:textFill>
            <w14:solidFill>
              <w14:schemeClr w14:val="tx1"/>
            </w14:solidFill>
          </w14:textFill>
        </w:rPr>
        <w:t>境空气质量标准》</w:t>
      </w:r>
      <w:r>
        <w:rPr>
          <w:rFonts w:ascii="宋体" w:hAnsi="宋体" w:eastAsia="宋体" w:cs="宋体"/>
          <w:color w:val="000000" w:themeColor="text1"/>
          <w:sz w:val="24"/>
          <w:szCs w:val="24"/>
          <w:u w:val="none" w:color="auto"/>
          <w14:textFill>
            <w14:solidFill>
              <w14:schemeClr w14:val="tx1"/>
            </w14:solidFill>
          </w14:textFill>
        </w:rPr>
        <w:tab/>
      </w:r>
      <w:r>
        <w:rPr>
          <w:rFonts w:ascii="宋体" w:hAnsi="宋体" w:eastAsia="宋体" w:cs="宋体"/>
          <w:color w:val="000000" w:themeColor="text1"/>
          <w:spacing w:val="-13"/>
          <w:sz w:val="24"/>
          <w:szCs w:val="24"/>
          <w:u w:val="none" w:color="auto"/>
          <w14:textFill>
            <w14:solidFill>
              <w14:schemeClr w14:val="tx1"/>
            </w14:solidFill>
          </w14:textFill>
        </w:rPr>
        <w:t>（</w:t>
      </w:r>
      <w:r>
        <w:rPr>
          <w:rFonts w:ascii="Times New Roman" w:hAnsi="Times New Roman" w:eastAsia="Times New Roman" w:cs="Times New Roman"/>
          <w:color w:val="000000" w:themeColor="text1"/>
          <w:spacing w:val="-13"/>
          <w:sz w:val="24"/>
          <w:szCs w:val="24"/>
          <w:u w:val="none" w:color="auto"/>
          <w14:textFill>
            <w14:solidFill>
              <w14:schemeClr w14:val="tx1"/>
            </w14:solidFill>
          </w14:textFill>
        </w:rPr>
        <w:t>GB3095-20</w:t>
      </w:r>
      <w:r>
        <w:rPr>
          <w:rFonts w:hint="eastAsia" w:eastAsia="宋体" w:cs="Times New Roman"/>
          <w:color w:val="000000" w:themeColor="text1"/>
          <w:spacing w:val="-13"/>
          <w:sz w:val="24"/>
          <w:szCs w:val="24"/>
          <w:u w:val="none" w:color="auto"/>
          <w:lang w:val="en-US" w:eastAsia="zh-CN"/>
          <w14:textFill>
            <w14:solidFill>
              <w14:schemeClr w14:val="tx1"/>
            </w14:solidFill>
          </w14:textFill>
        </w:rPr>
        <w:t>26</w:t>
      </w:r>
      <w:r>
        <w:rPr>
          <w:rFonts w:ascii="宋体" w:hAnsi="宋体" w:eastAsia="宋体" w:cs="宋体"/>
          <w:color w:val="000000" w:themeColor="text1"/>
          <w:spacing w:val="-13"/>
          <w:sz w:val="24"/>
          <w:szCs w:val="24"/>
          <w:u w:val="none" w:color="auto"/>
          <w14:textFill>
            <w14:solidFill>
              <w14:schemeClr w14:val="tx1"/>
            </w14:solidFill>
          </w14:textFill>
        </w:rPr>
        <w:t>）中二级标准；硫酸执行</w:t>
      </w:r>
      <w:r>
        <w:rPr>
          <w:rFonts w:ascii="宋体" w:hAnsi="宋体" w:eastAsia="宋体" w:cs="宋体"/>
          <w:color w:val="000000" w:themeColor="text1"/>
          <w:spacing w:val="-51"/>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13"/>
          <w:sz w:val="24"/>
          <w:szCs w:val="24"/>
          <w:u w:val="none" w:color="auto"/>
          <w14:textFill>
            <w14:solidFill>
              <w14:schemeClr w14:val="tx1"/>
            </w14:solidFill>
          </w14:textFill>
        </w:rPr>
        <w:t>HJ2.2—2018</w:t>
      </w:r>
      <w:r>
        <w:rPr>
          <w:rFonts w:ascii="宋体" w:hAnsi="宋体" w:eastAsia="宋体" w:cs="宋体"/>
          <w:color w:val="000000" w:themeColor="text1"/>
          <w:spacing w:val="-13"/>
          <w:sz w:val="24"/>
          <w:szCs w:val="24"/>
          <w:u w:val="none" w:color="auto"/>
          <w14:textFill>
            <w14:solidFill>
              <w14:schemeClr w14:val="tx1"/>
            </w14:solidFill>
          </w14:textFill>
        </w:rPr>
        <w:t>《环境影响评价导则（大气环境）》</w:t>
      </w:r>
      <w:r>
        <w:rPr>
          <w:rFonts w:ascii="宋体" w:hAnsi="宋体" w:eastAsia="宋体" w:cs="宋体"/>
          <w:color w:val="000000" w:themeColor="text1"/>
          <w:spacing w:val="-2"/>
          <w:sz w:val="24"/>
          <w:szCs w:val="24"/>
          <w:u w:val="none" w:color="auto"/>
          <w14:textFill>
            <w14:solidFill>
              <w14:schemeClr w14:val="tx1"/>
            </w14:solidFill>
          </w14:textFill>
        </w:rPr>
        <w:t>中附录</w:t>
      </w:r>
      <w:r>
        <w:rPr>
          <w:rFonts w:ascii="宋体" w:hAnsi="宋体" w:eastAsia="宋体" w:cs="宋体"/>
          <w:color w:val="000000" w:themeColor="text1"/>
          <w:spacing w:val="-56"/>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 xml:space="preserve">D </w:t>
      </w:r>
      <w:r>
        <w:rPr>
          <w:rFonts w:ascii="宋体" w:hAnsi="宋体" w:eastAsia="宋体" w:cs="宋体"/>
          <w:color w:val="000000" w:themeColor="text1"/>
          <w:spacing w:val="-2"/>
          <w:sz w:val="24"/>
          <w:szCs w:val="24"/>
          <w:u w:val="none" w:color="auto"/>
          <w14:textFill>
            <w14:solidFill>
              <w14:schemeClr w14:val="tx1"/>
            </w14:solidFill>
          </w14:textFill>
        </w:rPr>
        <w:t>其他污染物空气质量浓度参考限</w:t>
      </w:r>
      <w:r>
        <w:rPr>
          <w:rFonts w:ascii="宋体" w:hAnsi="宋体" w:eastAsia="宋体" w:cs="宋体"/>
          <w:color w:val="000000" w:themeColor="text1"/>
          <w:spacing w:val="-3"/>
          <w:sz w:val="24"/>
          <w:szCs w:val="24"/>
          <w:u w:val="none" w:color="auto"/>
          <w14:textFill>
            <w14:solidFill>
              <w14:schemeClr w14:val="tx1"/>
            </w14:solidFill>
          </w14:textFill>
        </w:rPr>
        <w:t>值，非甲烷总烃参照原国家环境保护局科技</w:t>
      </w:r>
      <w:r>
        <w:rPr>
          <w:rFonts w:ascii="宋体" w:hAnsi="宋体" w:eastAsia="宋体" w:cs="宋体"/>
          <w:color w:val="000000" w:themeColor="text1"/>
          <w:spacing w:val="-2"/>
          <w:sz w:val="24"/>
          <w:szCs w:val="24"/>
          <w:u w:val="none" w:color="auto"/>
          <w14:textFill>
            <w14:solidFill>
              <w14:schemeClr w14:val="tx1"/>
            </w14:solidFill>
          </w14:textFill>
        </w:rPr>
        <w:t>标准司《大气污染物综合排放标准详解》（第</w:t>
      </w:r>
      <w:r>
        <w:rPr>
          <w:rFonts w:ascii="宋体" w:hAnsi="宋体" w:eastAsia="宋体" w:cs="宋体"/>
          <w:color w:val="000000" w:themeColor="text1"/>
          <w:spacing w:val="-55"/>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244</w:t>
      </w:r>
      <w:r>
        <w:rPr>
          <w:rFonts w:ascii="宋体" w:hAnsi="宋体" w:eastAsia="宋体" w:cs="宋体"/>
          <w:color w:val="000000" w:themeColor="text1"/>
          <w:spacing w:val="-2"/>
          <w:sz w:val="24"/>
          <w:szCs w:val="24"/>
          <w:u w:val="none" w:color="auto"/>
          <w14:textFill>
            <w14:solidFill>
              <w14:schemeClr w14:val="tx1"/>
            </w14:solidFill>
          </w14:textFill>
        </w:rPr>
        <w:t>页</w:t>
      </w:r>
      <w:r>
        <w:rPr>
          <w:rFonts w:ascii="宋体" w:hAnsi="宋体" w:eastAsia="宋体" w:cs="宋体"/>
          <w:color w:val="000000" w:themeColor="text1"/>
          <w:spacing w:val="11"/>
          <w:sz w:val="24"/>
          <w:szCs w:val="24"/>
          <w:u w:val="none" w:color="auto"/>
          <w14:textFill>
            <w14:solidFill>
              <w14:schemeClr w14:val="tx1"/>
            </w14:solidFill>
          </w14:textFill>
        </w:rPr>
        <w:t>），</w:t>
      </w:r>
      <w:r>
        <w:rPr>
          <w:rFonts w:ascii="宋体" w:hAnsi="宋体" w:eastAsia="宋体" w:cs="宋体"/>
          <w:color w:val="000000" w:themeColor="text1"/>
          <w:spacing w:val="-2"/>
          <w:sz w:val="24"/>
          <w:szCs w:val="24"/>
          <w:u w:val="none" w:color="auto"/>
          <w14:textFill>
            <w14:solidFill>
              <w14:schemeClr w14:val="tx1"/>
            </w14:solidFill>
          </w14:textFill>
        </w:rPr>
        <w:t>详见</w:t>
      </w:r>
      <w:r>
        <w:rPr>
          <w:rFonts w:hint="eastAsia" w:ascii="宋体" w:hAnsi="宋体" w:cs="宋体"/>
          <w:color w:val="000000" w:themeColor="text1"/>
          <w:spacing w:val="-2"/>
          <w:sz w:val="24"/>
          <w:szCs w:val="24"/>
          <w:u w:val="none" w:color="auto"/>
          <w:lang w:val="en-US" w:eastAsia="zh-CN"/>
          <w14:textFill>
            <w14:solidFill>
              <w14:schemeClr w14:val="tx1"/>
            </w14:solidFill>
          </w14:textFill>
        </w:rPr>
        <w:t>下表</w:t>
      </w:r>
      <w:r>
        <w:rPr>
          <w:rFonts w:ascii="Times New Roman" w:hAnsi="Times New Roman" w:eastAsia="Times New Roman" w:cs="Times New Roman"/>
          <w:color w:val="000000" w:themeColor="text1"/>
          <w:spacing w:val="-27"/>
          <w:sz w:val="24"/>
          <w:szCs w:val="24"/>
          <w:u w:val="none" w:color="auto"/>
          <w14:textFill>
            <w14:solidFill>
              <w14:schemeClr w14:val="tx1"/>
            </w14:solidFill>
          </w14:textFill>
        </w:rPr>
        <w:t xml:space="preserve"> </w:t>
      </w:r>
      <w:r>
        <w:rPr>
          <w:rFonts w:ascii="宋体" w:hAnsi="宋体" w:eastAsia="宋体" w:cs="宋体"/>
          <w:color w:val="000000" w:themeColor="text1"/>
          <w:spacing w:val="-2"/>
          <w:sz w:val="24"/>
          <w:szCs w:val="24"/>
          <w:u w:val="none" w:color="auto"/>
          <w14:textFill>
            <w14:solidFill>
              <w14:schemeClr w14:val="tx1"/>
            </w14:solidFill>
          </w14:textFill>
        </w:rPr>
        <w:t>。</w:t>
      </w:r>
    </w:p>
    <w:p w14:paraId="56533F22">
      <w:pPr>
        <w:spacing w:before="1" w:line="211" w:lineRule="auto"/>
        <w:ind w:left="2401"/>
        <w:rPr>
          <w:rFonts w:ascii="宋体" w:hAnsi="宋体" w:eastAsia="宋体" w:cs="宋体"/>
          <w:color w:val="000000" w:themeColor="text1"/>
          <w:sz w:val="21"/>
          <w:szCs w:val="21"/>
          <w:u w:val="none" w:color="auto"/>
          <w14:textFill>
            <w14:solidFill>
              <w14:schemeClr w14:val="tx1"/>
            </w14:solidFill>
          </w14:textFill>
        </w:rPr>
      </w:pPr>
      <w:r>
        <w:rPr>
          <w:rFonts w:ascii="宋体" w:hAnsi="宋体" w:eastAsia="宋体" w:cs="宋体"/>
          <w:b/>
          <w:bCs/>
          <w:color w:val="000000" w:themeColor="text1"/>
          <w:spacing w:val="-2"/>
          <w:sz w:val="21"/>
          <w:szCs w:val="21"/>
          <w:u w:val="none" w:color="auto"/>
          <w14:textFill>
            <w14:solidFill>
              <w14:schemeClr w14:val="tx1"/>
            </w14:solidFill>
          </w14:textFill>
        </w:rPr>
        <w:t>表</w:t>
      </w:r>
      <w:r>
        <w:rPr>
          <w:rFonts w:ascii="宋体" w:hAnsi="宋体" w:eastAsia="宋体" w:cs="宋体"/>
          <w:color w:val="000000" w:themeColor="text1"/>
          <w:spacing w:val="-48"/>
          <w:sz w:val="21"/>
          <w:szCs w:val="21"/>
          <w:u w:val="none" w:color="auto"/>
          <w14:textFill>
            <w14:solidFill>
              <w14:schemeClr w14:val="tx1"/>
            </w14:solidFill>
          </w14:textFill>
        </w:rPr>
        <w:t xml:space="preserve"> </w:t>
      </w:r>
      <w:r>
        <w:rPr>
          <w:rFonts w:hint="eastAsia" w:eastAsia="宋体" w:cs="Times New Roman"/>
          <w:b/>
          <w:bCs/>
          <w:color w:val="000000" w:themeColor="text1"/>
          <w:spacing w:val="-2"/>
          <w:sz w:val="21"/>
          <w:szCs w:val="21"/>
          <w:u w:val="none" w:color="auto"/>
          <w:lang w:val="en-US" w:eastAsia="zh-CN"/>
          <w14:textFill>
            <w14:solidFill>
              <w14:schemeClr w14:val="tx1"/>
            </w14:solidFill>
          </w14:textFill>
        </w:rPr>
        <w:t>2-1</w:t>
      </w:r>
      <w:r>
        <w:rPr>
          <w:rFonts w:ascii="Times New Roman" w:hAnsi="Times New Roman" w:eastAsia="Times New Roman" w:cs="Times New Roman"/>
          <w:b/>
          <w:bCs/>
          <w:color w:val="000000" w:themeColor="text1"/>
          <w:spacing w:val="-2"/>
          <w:sz w:val="21"/>
          <w:szCs w:val="21"/>
          <w:u w:val="none" w:color="auto"/>
          <w14:textFill>
            <w14:solidFill>
              <w14:schemeClr w14:val="tx1"/>
            </w14:solidFill>
          </w14:textFill>
        </w:rPr>
        <w:t xml:space="preserve">    </w:t>
      </w:r>
      <w:r>
        <w:rPr>
          <w:rFonts w:ascii="宋体" w:hAnsi="宋体" w:eastAsia="宋体" w:cs="宋体"/>
          <w:b/>
          <w:bCs/>
          <w:color w:val="000000" w:themeColor="text1"/>
          <w:spacing w:val="-2"/>
          <w:sz w:val="21"/>
          <w:szCs w:val="21"/>
          <w:u w:val="none" w:color="auto"/>
          <w14:textFill>
            <w14:solidFill>
              <w14:schemeClr w14:val="tx1"/>
            </w14:solidFill>
          </w14:textFill>
        </w:rPr>
        <w:t>环境空气质量部分指标标准限值</w:t>
      </w:r>
    </w:p>
    <w:tbl>
      <w:tblPr>
        <w:tblStyle w:val="108"/>
        <w:tblW w:w="4997" w:type="pct"/>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49"/>
        <w:gridCol w:w="793"/>
        <w:gridCol w:w="1700"/>
        <w:gridCol w:w="1473"/>
        <w:gridCol w:w="1134"/>
        <w:gridCol w:w="1061"/>
        <w:gridCol w:w="2156"/>
      </w:tblGrid>
      <w:tr w14:paraId="5DA52B1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3" w:type="pct"/>
            <w:vMerge w:val="restart"/>
            <w:tcBorders>
              <w:tl2br w:val="nil"/>
              <w:tr2bl w:val="nil"/>
            </w:tcBorders>
            <w:vAlign w:val="center"/>
          </w:tcPr>
          <w:p w14:paraId="0E8D7A07">
            <w:pPr>
              <w:pStyle w:val="119"/>
              <w:spacing w:before="79" w:line="226"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评价因子</w:t>
            </w:r>
          </w:p>
        </w:tc>
        <w:tc>
          <w:tcPr>
            <w:tcW w:w="437" w:type="pct"/>
            <w:vMerge w:val="restart"/>
            <w:tcBorders>
              <w:tl2br w:val="nil"/>
              <w:tr2bl w:val="nil"/>
            </w:tcBorders>
            <w:vAlign w:val="center"/>
          </w:tcPr>
          <w:p w14:paraId="589365A4">
            <w:pPr>
              <w:pStyle w:val="119"/>
              <w:spacing w:before="79"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单位</w:t>
            </w:r>
          </w:p>
        </w:tc>
        <w:tc>
          <w:tcPr>
            <w:tcW w:w="937" w:type="pct"/>
            <w:vMerge w:val="restart"/>
            <w:tcBorders>
              <w:tl2br w:val="nil"/>
              <w:tr2bl w:val="nil"/>
            </w:tcBorders>
            <w:vAlign w:val="center"/>
          </w:tcPr>
          <w:p w14:paraId="0E0E4DB6">
            <w:pPr>
              <w:pStyle w:val="119"/>
              <w:spacing w:before="79"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平均时段</w:t>
            </w:r>
          </w:p>
        </w:tc>
        <w:tc>
          <w:tcPr>
            <w:tcW w:w="2022" w:type="pct"/>
            <w:gridSpan w:val="3"/>
            <w:tcBorders>
              <w:tl2br w:val="nil"/>
              <w:tr2bl w:val="nil"/>
            </w:tcBorders>
            <w:vAlign w:val="center"/>
          </w:tcPr>
          <w:p w14:paraId="5C95DCA9">
            <w:pPr>
              <w:pStyle w:val="119"/>
              <w:spacing w:before="78"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标准限值</w:t>
            </w:r>
          </w:p>
        </w:tc>
        <w:tc>
          <w:tcPr>
            <w:tcW w:w="1188" w:type="pct"/>
            <w:vMerge w:val="restart"/>
            <w:tcBorders>
              <w:tl2br w:val="nil"/>
              <w:tr2bl w:val="nil"/>
            </w:tcBorders>
            <w:vAlign w:val="center"/>
          </w:tcPr>
          <w:p w14:paraId="047FC871">
            <w:pPr>
              <w:pStyle w:val="119"/>
              <w:spacing w:before="78"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p>
          <w:p w14:paraId="4B7F5291">
            <w:pPr>
              <w:pStyle w:val="119"/>
              <w:spacing w:before="78"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标准来源</w:t>
            </w:r>
          </w:p>
        </w:tc>
      </w:tr>
      <w:tr w14:paraId="78D7A34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3" w:type="pct"/>
            <w:vMerge w:val="continue"/>
            <w:tcBorders>
              <w:tl2br w:val="nil"/>
              <w:tr2bl w:val="nil"/>
            </w:tcBorders>
            <w:vAlign w:val="center"/>
          </w:tcPr>
          <w:p w14:paraId="639ADA45">
            <w:pPr>
              <w:pStyle w:val="119"/>
              <w:spacing w:before="79" w:line="226"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p>
        </w:tc>
        <w:tc>
          <w:tcPr>
            <w:tcW w:w="437" w:type="pct"/>
            <w:vMerge w:val="continue"/>
            <w:tcBorders>
              <w:tl2br w:val="nil"/>
              <w:tr2bl w:val="nil"/>
            </w:tcBorders>
            <w:vAlign w:val="center"/>
          </w:tcPr>
          <w:p w14:paraId="5584200B">
            <w:pPr>
              <w:pStyle w:val="119"/>
              <w:spacing w:before="79" w:line="228" w:lineRule="auto"/>
              <w:ind w:left="232"/>
              <w:jc w:val="center"/>
              <w:rPr>
                <w:rFonts w:hint="eastAsia" w:ascii="宋体" w:hAnsi="宋体" w:eastAsia="宋体" w:cs="宋体"/>
                <w:color w:val="000000" w:themeColor="text1"/>
                <w:spacing w:val="3"/>
                <w:sz w:val="18"/>
                <w:szCs w:val="18"/>
                <w:u w:val="none" w:color="auto"/>
                <w14:textFill>
                  <w14:solidFill>
                    <w14:schemeClr w14:val="tx1"/>
                  </w14:solidFill>
                </w14:textFill>
              </w:rPr>
            </w:pPr>
          </w:p>
        </w:tc>
        <w:tc>
          <w:tcPr>
            <w:tcW w:w="937" w:type="pct"/>
            <w:vMerge w:val="continue"/>
            <w:tcBorders>
              <w:tl2br w:val="nil"/>
              <w:tr2bl w:val="nil"/>
            </w:tcBorders>
            <w:vAlign w:val="center"/>
          </w:tcPr>
          <w:p w14:paraId="7CC0006C">
            <w:pPr>
              <w:pStyle w:val="119"/>
              <w:spacing w:before="79"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p>
        </w:tc>
        <w:tc>
          <w:tcPr>
            <w:tcW w:w="812" w:type="pct"/>
            <w:vMerge w:val="restart"/>
            <w:tcBorders>
              <w:tl2br w:val="nil"/>
              <w:tr2bl w:val="nil"/>
            </w:tcBorders>
            <w:vAlign w:val="center"/>
          </w:tcPr>
          <w:p w14:paraId="08A2E9D9">
            <w:pPr>
              <w:pStyle w:val="119"/>
              <w:spacing w:before="78"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9"/>
                <w:sz w:val="18"/>
                <w:szCs w:val="18"/>
                <w:u w:val="none" w:color="auto"/>
                <w14:textFill>
                  <w14:solidFill>
                    <w14:schemeClr w14:val="tx1"/>
                  </w14:solidFill>
                </w14:textFill>
              </w:rPr>
              <w:t>3095—2012《环境空气质量标准》中</w:t>
            </w:r>
            <w:r>
              <w:rPr>
                <w:rFonts w:hint="eastAsia" w:ascii="宋体" w:hAnsi="宋体" w:eastAsia="宋体" w:cs="宋体"/>
                <w:color w:val="000000" w:themeColor="text1"/>
                <w:spacing w:val="6"/>
                <w:sz w:val="18"/>
                <w:szCs w:val="18"/>
                <w:u w:val="none" w:color="auto"/>
                <w14:textFill>
                  <w14:solidFill>
                    <w14:schemeClr w14:val="tx1"/>
                  </w14:solidFill>
                </w14:textFill>
              </w:rPr>
              <w:t>二级标准</w:t>
            </w:r>
          </w:p>
        </w:tc>
        <w:tc>
          <w:tcPr>
            <w:tcW w:w="1210" w:type="pct"/>
            <w:gridSpan w:val="2"/>
            <w:tcBorders>
              <w:tl2br w:val="nil"/>
              <w:tr2bl w:val="nil"/>
            </w:tcBorders>
            <w:vAlign w:val="center"/>
          </w:tcPr>
          <w:p w14:paraId="78310158">
            <w:pPr>
              <w:pStyle w:val="119"/>
              <w:spacing w:before="78"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GB</w:t>
            </w:r>
            <w:r>
              <w:rPr>
                <w:rFonts w:hint="eastAsia" w:ascii="宋体" w:hAnsi="宋体" w:eastAsia="宋体" w:cs="宋体"/>
                <w:color w:val="000000" w:themeColor="text1"/>
                <w:spacing w:val="9"/>
                <w:sz w:val="18"/>
                <w:szCs w:val="18"/>
                <w:u w:val="none" w:color="auto"/>
                <w14:textFill>
                  <w14:solidFill>
                    <w14:schemeClr w14:val="tx1"/>
                  </w14:solidFill>
                </w14:textFill>
              </w:rPr>
              <w:t>3095—20</w:t>
            </w:r>
            <w:r>
              <w:rPr>
                <w:rFonts w:hint="eastAsia" w:ascii="宋体" w:hAnsi="宋体" w:eastAsia="宋体" w:cs="宋体"/>
                <w:color w:val="000000" w:themeColor="text1"/>
                <w:spacing w:val="9"/>
                <w:sz w:val="18"/>
                <w:szCs w:val="18"/>
                <w:u w:val="none" w:color="auto"/>
                <w:lang w:val="en-US" w:eastAsia="zh-CN"/>
                <w14:textFill>
                  <w14:solidFill>
                    <w14:schemeClr w14:val="tx1"/>
                  </w14:solidFill>
                </w14:textFill>
              </w:rPr>
              <w:t>26</w:t>
            </w:r>
            <w:r>
              <w:rPr>
                <w:rFonts w:hint="eastAsia" w:ascii="宋体" w:hAnsi="宋体" w:eastAsia="宋体" w:cs="宋体"/>
                <w:color w:val="000000" w:themeColor="text1"/>
                <w:spacing w:val="9"/>
                <w:sz w:val="18"/>
                <w:szCs w:val="18"/>
                <w:u w:val="none" w:color="auto"/>
                <w14:textFill>
                  <w14:solidFill>
                    <w14:schemeClr w14:val="tx1"/>
                  </w14:solidFill>
                </w14:textFill>
              </w:rPr>
              <w:t>《环境空气质量标准》中</w:t>
            </w:r>
            <w:r>
              <w:rPr>
                <w:rFonts w:hint="eastAsia" w:ascii="宋体" w:hAnsi="宋体" w:eastAsia="宋体" w:cs="宋体"/>
                <w:color w:val="000000" w:themeColor="text1"/>
                <w:spacing w:val="6"/>
                <w:sz w:val="18"/>
                <w:szCs w:val="18"/>
                <w:u w:val="none" w:color="auto"/>
                <w14:textFill>
                  <w14:solidFill>
                    <w14:schemeClr w14:val="tx1"/>
                  </w14:solidFill>
                </w14:textFill>
              </w:rPr>
              <w:t>二级标准</w:t>
            </w:r>
          </w:p>
        </w:tc>
        <w:tc>
          <w:tcPr>
            <w:tcW w:w="1188" w:type="pct"/>
            <w:vMerge w:val="continue"/>
            <w:tcBorders>
              <w:tl2br w:val="nil"/>
              <w:tr2bl w:val="nil"/>
            </w:tcBorders>
            <w:vAlign w:val="center"/>
          </w:tcPr>
          <w:p w14:paraId="727F761D">
            <w:pPr>
              <w:pStyle w:val="119"/>
              <w:spacing w:before="78" w:line="228" w:lineRule="auto"/>
              <w:ind w:left="1557"/>
              <w:jc w:val="center"/>
              <w:rPr>
                <w:rFonts w:hint="eastAsia" w:ascii="宋体" w:hAnsi="宋体" w:eastAsia="宋体" w:cs="宋体"/>
                <w:color w:val="000000" w:themeColor="text1"/>
                <w:spacing w:val="7"/>
                <w:sz w:val="18"/>
                <w:szCs w:val="18"/>
                <w:u w:val="none" w:color="auto"/>
                <w14:textFill>
                  <w14:solidFill>
                    <w14:schemeClr w14:val="tx1"/>
                  </w14:solidFill>
                </w14:textFill>
              </w:rPr>
            </w:pPr>
          </w:p>
        </w:tc>
      </w:tr>
      <w:tr w14:paraId="3E5366C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3" w:type="pct"/>
            <w:vMerge w:val="continue"/>
            <w:tcBorders>
              <w:tl2br w:val="nil"/>
              <w:tr2bl w:val="nil"/>
            </w:tcBorders>
            <w:vAlign w:val="center"/>
          </w:tcPr>
          <w:p w14:paraId="083288B2">
            <w:pPr>
              <w:pStyle w:val="119"/>
              <w:spacing w:before="79" w:line="226"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p>
        </w:tc>
        <w:tc>
          <w:tcPr>
            <w:tcW w:w="437" w:type="pct"/>
            <w:vMerge w:val="continue"/>
            <w:tcBorders>
              <w:tl2br w:val="nil"/>
              <w:tr2bl w:val="nil"/>
            </w:tcBorders>
            <w:vAlign w:val="center"/>
          </w:tcPr>
          <w:p w14:paraId="41286948">
            <w:pPr>
              <w:pStyle w:val="119"/>
              <w:spacing w:before="79" w:line="228" w:lineRule="auto"/>
              <w:ind w:left="232"/>
              <w:jc w:val="center"/>
              <w:rPr>
                <w:rFonts w:hint="eastAsia" w:ascii="宋体" w:hAnsi="宋体" w:eastAsia="宋体" w:cs="宋体"/>
                <w:color w:val="000000" w:themeColor="text1"/>
                <w:spacing w:val="3"/>
                <w:sz w:val="18"/>
                <w:szCs w:val="18"/>
                <w:u w:val="none" w:color="auto"/>
                <w14:textFill>
                  <w14:solidFill>
                    <w14:schemeClr w14:val="tx1"/>
                  </w14:solidFill>
                </w14:textFill>
              </w:rPr>
            </w:pPr>
          </w:p>
        </w:tc>
        <w:tc>
          <w:tcPr>
            <w:tcW w:w="937" w:type="pct"/>
            <w:vMerge w:val="continue"/>
            <w:tcBorders>
              <w:tl2br w:val="nil"/>
              <w:tr2bl w:val="nil"/>
            </w:tcBorders>
            <w:vAlign w:val="center"/>
          </w:tcPr>
          <w:p w14:paraId="5C7866C2">
            <w:pPr>
              <w:pStyle w:val="119"/>
              <w:spacing w:before="79"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p>
        </w:tc>
        <w:tc>
          <w:tcPr>
            <w:tcW w:w="812" w:type="pct"/>
            <w:vMerge w:val="continue"/>
            <w:tcBorders>
              <w:tl2br w:val="nil"/>
              <w:tr2bl w:val="nil"/>
            </w:tcBorders>
            <w:vAlign w:val="center"/>
          </w:tcPr>
          <w:p w14:paraId="521B5D4C">
            <w:pPr>
              <w:pStyle w:val="119"/>
              <w:spacing w:before="78"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625" w:type="pct"/>
            <w:tcBorders>
              <w:tl2br w:val="nil"/>
              <w:tr2bl w:val="nil"/>
            </w:tcBorders>
            <w:vAlign w:val="center"/>
          </w:tcPr>
          <w:p w14:paraId="5CC14F6E">
            <w:pPr>
              <w:pStyle w:val="119"/>
              <w:spacing w:before="78" w:line="228"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过</w:t>
            </w:r>
            <w:r>
              <w:rPr>
                <w:rFonts w:hint="eastAsia" w:cs="宋体"/>
                <w:color w:val="000000" w:themeColor="text1"/>
                <w:sz w:val="18"/>
                <w:szCs w:val="18"/>
                <w:u w:val="none" w:color="auto"/>
                <w:lang w:val="en-US" w:eastAsia="zh-CN"/>
                <w14:textFill>
                  <w14:solidFill>
                    <w14:schemeClr w14:val="tx1"/>
                  </w14:solidFill>
                </w14:textFill>
              </w:rPr>
              <w:t>渡</w:t>
            </w:r>
            <w:r>
              <w:rPr>
                <w:rFonts w:hint="eastAsia" w:ascii="宋体" w:hAnsi="宋体" w:eastAsia="宋体" w:cs="宋体"/>
                <w:color w:val="000000" w:themeColor="text1"/>
                <w:sz w:val="18"/>
                <w:szCs w:val="18"/>
                <w:u w:val="none" w:color="auto"/>
                <w:lang w:val="en-US" w:eastAsia="zh-CN"/>
                <w14:textFill>
                  <w14:solidFill>
                    <w14:schemeClr w14:val="tx1"/>
                  </w14:solidFill>
                </w14:textFill>
              </w:rPr>
              <w:t>期</w:t>
            </w:r>
          </w:p>
        </w:tc>
        <w:tc>
          <w:tcPr>
            <w:tcW w:w="585" w:type="pct"/>
            <w:tcBorders>
              <w:tl2br w:val="nil"/>
              <w:tr2bl w:val="nil"/>
            </w:tcBorders>
            <w:vAlign w:val="center"/>
          </w:tcPr>
          <w:p w14:paraId="02A28702">
            <w:pPr>
              <w:pStyle w:val="119"/>
              <w:spacing w:before="78" w:line="228"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全面执行</w:t>
            </w:r>
          </w:p>
        </w:tc>
        <w:tc>
          <w:tcPr>
            <w:tcW w:w="1188" w:type="pct"/>
            <w:vMerge w:val="restart"/>
            <w:tcBorders>
              <w:tl2br w:val="nil"/>
              <w:tr2bl w:val="nil"/>
            </w:tcBorders>
            <w:vAlign w:val="center"/>
          </w:tcPr>
          <w:p w14:paraId="14C8CED4">
            <w:pPr>
              <w:spacing w:line="249"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4D2A6403">
            <w:pPr>
              <w:spacing w:line="24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《环境空气质量标准</w:t>
            </w:r>
          </w:p>
          <w:p w14:paraId="29905E69">
            <w:pPr>
              <w:spacing w:line="249"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4B8700B2">
            <w:pPr>
              <w:spacing w:line="249"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26414F9C">
            <w:pPr>
              <w:spacing w:line="249"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3DBE794C">
            <w:pPr>
              <w:spacing w:line="250"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738B58A8">
            <w:pPr>
              <w:spacing w:line="250"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7C3DB8E5">
            <w:pPr>
              <w:spacing w:line="250"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6D35B2E0">
            <w:pPr>
              <w:spacing w:line="250"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0811CB5F">
            <w:pPr>
              <w:spacing w:line="250"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3CA71099">
            <w:pPr>
              <w:spacing w:line="250" w:lineRule="auto"/>
              <w:jc w:val="center"/>
              <w:rPr>
                <w:rFonts w:hint="eastAsia" w:ascii="宋体" w:hAnsi="宋体" w:eastAsia="宋体" w:cs="宋体"/>
                <w:color w:val="000000" w:themeColor="text1"/>
                <w:sz w:val="18"/>
                <w:szCs w:val="18"/>
                <w:u w:val="none" w:color="auto"/>
                <w14:textFill>
                  <w14:solidFill>
                    <w14:schemeClr w14:val="tx1"/>
                  </w14:solidFill>
                </w14:textFill>
              </w:rPr>
            </w:pPr>
          </w:p>
          <w:p w14:paraId="64033015">
            <w:pPr>
              <w:pStyle w:val="119"/>
              <w:spacing w:before="65" w:line="221" w:lineRule="auto"/>
              <w:ind w:left="149"/>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p>
        </w:tc>
      </w:tr>
      <w:tr w14:paraId="634B822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3" w:type="pct"/>
            <w:vMerge w:val="restart"/>
            <w:tcBorders>
              <w:tl2br w:val="nil"/>
              <w:tr2bl w:val="nil"/>
            </w:tcBorders>
            <w:vAlign w:val="center"/>
          </w:tcPr>
          <w:p w14:paraId="6D9ACCB2">
            <w:pPr>
              <w:pStyle w:val="119"/>
              <w:spacing w:before="79" w:line="226" w:lineRule="auto"/>
              <w:jc w:val="center"/>
              <w:rPr>
                <w:rFonts w:hint="eastAsia" w:ascii="宋体" w:hAnsi="宋体" w:eastAsia="宋体" w:cs="宋体"/>
                <w:b w:val="0"/>
                <w:bCs w:val="0"/>
                <w:color w:val="000000" w:themeColor="text1"/>
                <w:spacing w:val="7"/>
                <w:sz w:val="18"/>
                <w:szCs w:val="18"/>
                <w:u w:val="none" w:color="auto"/>
                <w:lang w:val="en-US" w:eastAsia="zh-CN"/>
                <w14:textFill>
                  <w14:solidFill>
                    <w14:schemeClr w14:val="tx1"/>
                  </w14:solidFill>
                </w14:textFill>
              </w:rPr>
            </w:pPr>
            <w:r>
              <w:rPr>
                <w:rFonts w:hint="eastAsia" w:ascii="宋体" w:hAnsi="宋体" w:eastAsia="宋体" w:cs="宋体"/>
                <w:b w:val="0"/>
                <w:bCs w:val="0"/>
                <w:color w:val="000000" w:themeColor="text1"/>
                <w:spacing w:val="7"/>
                <w:sz w:val="18"/>
                <w:szCs w:val="18"/>
                <w:u w:val="none" w:color="auto"/>
                <w:lang w:val="en-US" w:eastAsia="zh-CN"/>
                <w14:textFill>
                  <w14:solidFill>
                    <w14:schemeClr w14:val="tx1"/>
                  </w14:solidFill>
                </w14:textFill>
              </w:rPr>
              <w:t>TSP</w:t>
            </w:r>
          </w:p>
        </w:tc>
        <w:tc>
          <w:tcPr>
            <w:tcW w:w="437" w:type="pct"/>
            <w:vMerge w:val="restart"/>
            <w:tcBorders>
              <w:tl2br w:val="nil"/>
              <w:tr2bl w:val="nil"/>
            </w:tcBorders>
            <w:vAlign w:val="center"/>
          </w:tcPr>
          <w:p w14:paraId="08F99B54">
            <w:pPr>
              <w:spacing w:before="79" w:line="22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78C1B8C7">
            <w:pPr>
              <w:rPr>
                <w:rFonts w:hint="eastAsia"/>
                <w:color w:val="000000" w:themeColor="text1"/>
                <w:lang w:val="en-US" w:eastAsia="zh-CN"/>
                <w14:textFill>
                  <w14:solidFill>
                    <w14:schemeClr w14:val="tx1"/>
                  </w14:solidFill>
                </w14:textFill>
              </w:rPr>
            </w:pPr>
          </w:p>
        </w:tc>
        <w:tc>
          <w:tcPr>
            <w:tcW w:w="937" w:type="pct"/>
            <w:tcBorders>
              <w:tl2br w:val="nil"/>
              <w:tr2bl w:val="nil"/>
            </w:tcBorders>
            <w:vAlign w:val="center"/>
          </w:tcPr>
          <w:p w14:paraId="0D8FD055">
            <w:pPr>
              <w:pStyle w:val="119"/>
              <w:spacing w:before="79"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年平均</w:t>
            </w:r>
          </w:p>
        </w:tc>
        <w:tc>
          <w:tcPr>
            <w:tcW w:w="812" w:type="pct"/>
            <w:tcBorders>
              <w:tl2br w:val="nil"/>
              <w:tr2bl w:val="nil"/>
            </w:tcBorders>
            <w:vAlign w:val="center"/>
          </w:tcPr>
          <w:p w14:paraId="1EBACF25">
            <w:pPr>
              <w:pStyle w:val="119"/>
              <w:spacing w:before="78" w:line="228" w:lineRule="auto"/>
              <w:jc w:val="cente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200</w:t>
            </w:r>
          </w:p>
        </w:tc>
        <w:tc>
          <w:tcPr>
            <w:tcW w:w="625" w:type="pct"/>
            <w:tcBorders>
              <w:tl2br w:val="nil"/>
              <w:tr2bl w:val="nil"/>
            </w:tcBorders>
            <w:vAlign w:val="center"/>
          </w:tcPr>
          <w:p w14:paraId="1934C235">
            <w:pPr>
              <w:pStyle w:val="119"/>
              <w:spacing w:before="78" w:line="228" w:lineRule="auto"/>
              <w:jc w:val="cente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200</w:t>
            </w:r>
          </w:p>
        </w:tc>
        <w:tc>
          <w:tcPr>
            <w:tcW w:w="585" w:type="pct"/>
            <w:tcBorders>
              <w:tl2br w:val="nil"/>
              <w:tr2bl w:val="nil"/>
            </w:tcBorders>
            <w:vAlign w:val="center"/>
          </w:tcPr>
          <w:p w14:paraId="363AFF20">
            <w:pPr>
              <w:pStyle w:val="119"/>
              <w:spacing w:before="78" w:line="228" w:lineRule="auto"/>
              <w:jc w:val="cente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200</w:t>
            </w:r>
          </w:p>
        </w:tc>
        <w:tc>
          <w:tcPr>
            <w:tcW w:w="1188" w:type="pct"/>
            <w:vMerge w:val="continue"/>
            <w:tcBorders>
              <w:tl2br w:val="nil"/>
              <w:tr2bl w:val="nil"/>
            </w:tcBorders>
            <w:vAlign w:val="center"/>
          </w:tcPr>
          <w:p w14:paraId="709177C3">
            <w:pPr>
              <w:pStyle w:val="119"/>
              <w:spacing w:before="65" w:line="221" w:lineRule="auto"/>
              <w:ind w:left="149"/>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p>
        </w:tc>
      </w:tr>
      <w:tr w14:paraId="7435E2C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3" w:type="pct"/>
            <w:vMerge w:val="continue"/>
            <w:tcBorders>
              <w:tl2br w:val="nil"/>
              <w:tr2bl w:val="nil"/>
            </w:tcBorders>
            <w:vAlign w:val="center"/>
          </w:tcPr>
          <w:p w14:paraId="42BB27D9">
            <w:pPr>
              <w:pStyle w:val="119"/>
              <w:spacing w:before="79" w:line="226" w:lineRule="auto"/>
              <w:ind w:left="307"/>
              <w:jc w:val="center"/>
              <w:rPr>
                <w:rFonts w:hint="eastAsia" w:ascii="宋体" w:hAnsi="宋体" w:eastAsia="宋体" w:cs="宋体"/>
                <w:b w:val="0"/>
                <w:bCs w:val="0"/>
                <w:color w:val="000000" w:themeColor="text1"/>
                <w:spacing w:val="7"/>
                <w:sz w:val="18"/>
                <w:szCs w:val="18"/>
                <w:u w:val="none" w:color="auto"/>
                <w14:textFill>
                  <w14:solidFill>
                    <w14:schemeClr w14:val="tx1"/>
                  </w14:solidFill>
                </w14:textFill>
              </w:rPr>
            </w:pPr>
          </w:p>
        </w:tc>
        <w:tc>
          <w:tcPr>
            <w:tcW w:w="437" w:type="pct"/>
            <w:vMerge w:val="continue"/>
            <w:tcBorders>
              <w:tl2br w:val="nil"/>
              <w:tr2bl w:val="nil"/>
            </w:tcBorders>
            <w:vAlign w:val="center"/>
          </w:tcPr>
          <w:p w14:paraId="5BD99F2A">
            <w:pPr>
              <w:pStyle w:val="119"/>
              <w:spacing w:before="79" w:line="228" w:lineRule="auto"/>
              <w:ind w:left="232"/>
              <w:jc w:val="center"/>
              <w:rPr>
                <w:rFonts w:hint="eastAsia" w:ascii="宋体" w:hAnsi="宋体" w:eastAsia="宋体" w:cs="宋体"/>
                <w:color w:val="000000" w:themeColor="text1"/>
                <w:spacing w:val="3"/>
                <w:sz w:val="18"/>
                <w:szCs w:val="18"/>
                <w:u w:val="none" w:color="auto"/>
                <w14:textFill>
                  <w14:solidFill>
                    <w14:schemeClr w14:val="tx1"/>
                  </w14:solidFill>
                </w14:textFill>
              </w:rPr>
            </w:pPr>
          </w:p>
        </w:tc>
        <w:tc>
          <w:tcPr>
            <w:tcW w:w="937" w:type="pct"/>
            <w:tcBorders>
              <w:tl2br w:val="nil"/>
              <w:tr2bl w:val="nil"/>
            </w:tcBorders>
            <w:vAlign w:val="center"/>
          </w:tcPr>
          <w:p w14:paraId="223B757E">
            <w:pPr>
              <w:pStyle w:val="119"/>
              <w:spacing w:before="79"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24小时平均</w:t>
            </w:r>
          </w:p>
        </w:tc>
        <w:tc>
          <w:tcPr>
            <w:tcW w:w="812" w:type="pct"/>
            <w:tcBorders>
              <w:tl2br w:val="nil"/>
              <w:tr2bl w:val="nil"/>
            </w:tcBorders>
            <w:vAlign w:val="center"/>
          </w:tcPr>
          <w:p w14:paraId="659CB5C4">
            <w:pPr>
              <w:pStyle w:val="119"/>
              <w:spacing w:before="78" w:line="228" w:lineRule="auto"/>
              <w:jc w:val="cente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300</w:t>
            </w:r>
          </w:p>
        </w:tc>
        <w:tc>
          <w:tcPr>
            <w:tcW w:w="625" w:type="pct"/>
            <w:tcBorders>
              <w:tl2br w:val="nil"/>
              <w:tr2bl w:val="nil"/>
            </w:tcBorders>
            <w:vAlign w:val="center"/>
          </w:tcPr>
          <w:p w14:paraId="615927B2">
            <w:pPr>
              <w:pStyle w:val="119"/>
              <w:spacing w:before="78" w:line="228" w:lineRule="auto"/>
              <w:jc w:val="cente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300</w:t>
            </w:r>
          </w:p>
        </w:tc>
        <w:tc>
          <w:tcPr>
            <w:tcW w:w="585" w:type="pct"/>
            <w:tcBorders>
              <w:tl2br w:val="nil"/>
              <w:tr2bl w:val="nil"/>
            </w:tcBorders>
            <w:vAlign w:val="center"/>
          </w:tcPr>
          <w:p w14:paraId="68FD19B5">
            <w:pPr>
              <w:pStyle w:val="119"/>
              <w:spacing w:before="78" w:line="228" w:lineRule="auto"/>
              <w:jc w:val="cente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7"/>
                <w:sz w:val="18"/>
                <w:szCs w:val="18"/>
                <w:u w:val="none" w:color="auto"/>
                <w:lang w:val="en-US" w:eastAsia="zh-CN"/>
                <w14:textFill>
                  <w14:solidFill>
                    <w14:schemeClr w14:val="tx1"/>
                  </w14:solidFill>
                </w14:textFill>
              </w:rPr>
              <w:t>300</w:t>
            </w:r>
          </w:p>
        </w:tc>
        <w:tc>
          <w:tcPr>
            <w:tcW w:w="1188" w:type="pct"/>
            <w:vMerge w:val="continue"/>
            <w:tcBorders>
              <w:tl2br w:val="nil"/>
              <w:tr2bl w:val="nil"/>
            </w:tcBorders>
            <w:vAlign w:val="center"/>
          </w:tcPr>
          <w:p w14:paraId="01FF9044">
            <w:pPr>
              <w:pStyle w:val="119"/>
              <w:spacing w:before="78" w:line="228" w:lineRule="auto"/>
              <w:ind w:left="1557"/>
              <w:jc w:val="center"/>
              <w:rPr>
                <w:rFonts w:hint="eastAsia" w:ascii="宋体" w:hAnsi="宋体" w:eastAsia="宋体" w:cs="宋体"/>
                <w:color w:val="000000" w:themeColor="text1"/>
                <w:spacing w:val="7"/>
                <w:sz w:val="18"/>
                <w:szCs w:val="18"/>
                <w:u w:val="none" w:color="auto"/>
                <w14:textFill>
                  <w14:solidFill>
                    <w14:schemeClr w14:val="tx1"/>
                  </w14:solidFill>
                </w14:textFill>
              </w:rPr>
            </w:pPr>
          </w:p>
        </w:tc>
      </w:tr>
      <w:tr w14:paraId="7CAD26E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13" w:type="pct"/>
            <w:vMerge w:val="restart"/>
            <w:tcBorders>
              <w:tl2br w:val="nil"/>
              <w:tr2bl w:val="nil"/>
            </w:tcBorders>
            <w:vAlign w:val="center"/>
          </w:tcPr>
          <w:p w14:paraId="0464AF5D">
            <w:pPr>
              <w:spacing w:before="58" w:line="202" w:lineRule="auto"/>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r>
              <w:rPr>
                <w:rFonts w:hint="eastAsia" w:ascii="宋体" w:hAnsi="宋体" w:eastAsia="宋体" w:cs="宋体"/>
                <w:b w:val="0"/>
                <w:bCs w:val="0"/>
                <w:color w:val="000000" w:themeColor="text1"/>
                <w:sz w:val="18"/>
                <w:szCs w:val="18"/>
                <w:u w:val="none" w:color="auto"/>
                <w14:textFill>
                  <w14:solidFill>
                    <w14:schemeClr w14:val="tx1"/>
                  </w14:solidFill>
                </w14:textFill>
              </w:rPr>
              <w:t>SO</w:t>
            </w:r>
            <w:r>
              <w:rPr>
                <w:rFonts w:hint="eastAsia" w:ascii="宋体" w:hAnsi="宋体" w:eastAsia="宋体" w:cs="宋体"/>
                <w:b w:val="0"/>
                <w:bCs w:val="0"/>
                <w:color w:val="000000" w:themeColor="text1"/>
                <w:spacing w:val="3"/>
                <w:position w:val="-1"/>
                <w:sz w:val="18"/>
                <w:szCs w:val="18"/>
                <w:u w:val="none" w:color="auto"/>
                <w14:textFill>
                  <w14:solidFill>
                    <w14:schemeClr w14:val="tx1"/>
                  </w14:solidFill>
                </w14:textFill>
              </w:rPr>
              <w:t>2</w:t>
            </w:r>
          </w:p>
        </w:tc>
        <w:tc>
          <w:tcPr>
            <w:tcW w:w="437" w:type="pct"/>
            <w:vMerge w:val="restart"/>
            <w:tcBorders>
              <w:tl2br w:val="nil"/>
              <w:tr2bl w:val="nil"/>
            </w:tcBorders>
            <w:vAlign w:val="center"/>
          </w:tcPr>
          <w:p w14:paraId="6B4F5C1D">
            <w:pPr>
              <w:spacing w:before="58" w:line="21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02D8F014">
            <w:pPr>
              <w:rPr>
                <w:rFonts w:hint="eastAsia"/>
                <w:color w:val="000000" w:themeColor="text1"/>
                <w14:textFill>
                  <w14:solidFill>
                    <w14:schemeClr w14:val="tx1"/>
                  </w14:solidFill>
                </w14:textFill>
              </w:rPr>
            </w:pPr>
          </w:p>
        </w:tc>
        <w:tc>
          <w:tcPr>
            <w:tcW w:w="937" w:type="pct"/>
            <w:tcBorders>
              <w:tl2br w:val="nil"/>
              <w:tr2bl w:val="nil"/>
            </w:tcBorders>
            <w:vAlign w:val="center"/>
          </w:tcPr>
          <w:p w14:paraId="57826630">
            <w:pPr>
              <w:pStyle w:val="119"/>
              <w:spacing w:before="47"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年平均</w:t>
            </w:r>
          </w:p>
        </w:tc>
        <w:tc>
          <w:tcPr>
            <w:tcW w:w="812" w:type="pct"/>
            <w:tcBorders>
              <w:tl2br w:val="nil"/>
              <w:tr2bl w:val="nil"/>
            </w:tcBorders>
            <w:vAlign w:val="center"/>
          </w:tcPr>
          <w:p w14:paraId="488C4574">
            <w:pPr>
              <w:spacing w:before="83"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60</w:t>
            </w:r>
          </w:p>
        </w:tc>
        <w:tc>
          <w:tcPr>
            <w:tcW w:w="625" w:type="pct"/>
            <w:tcBorders>
              <w:tl2br w:val="nil"/>
              <w:tr2bl w:val="nil"/>
            </w:tcBorders>
            <w:vAlign w:val="center"/>
          </w:tcPr>
          <w:p w14:paraId="077BD89D">
            <w:pPr>
              <w:spacing w:before="83" w:line="195"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50</w:t>
            </w:r>
          </w:p>
        </w:tc>
        <w:tc>
          <w:tcPr>
            <w:tcW w:w="585" w:type="pct"/>
            <w:tcBorders>
              <w:tl2br w:val="nil"/>
              <w:tr2bl w:val="nil"/>
            </w:tcBorders>
            <w:vAlign w:val="center"/>
          </w:tcPr>
          <w:p w14:paraId="39EE38F9">
            <w:pPr>
              <w:spacing w:before="83"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20</w:t>
            </w:r>
          </w:p>
        </w:tc>
        <w:tc>
          <w:tcPr>
            <w:tcW w:w="1188" w:type="pct"/>
            <w:vMerge w:val="continue"/>
            <w:tcBorders>
              <w:tl2br w:val="nil"/>
              <w:tr2bl w:val="nil"/>
            </w:tcBorders>
            <w:vAlign w:val="center"/>
          </w:tcPr>
          <w:p w14:paraId="3491A746">
            <w:pPr>
              <w:pStyle w:val="119"/>
              <w:spacing w:before="65" w:line="221" w:lineRule="auto"/>
              <w:ind w:left="149"/>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p>
        </w:tc>
      </w:tr>
      <w:tr w14:paraId="34CB262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13" w:type="pct"/>
            <w:vMerge w:val="continue"/>
            <w:tcBorders>
              <w:tl2br w:val="nil"/>
              <w:tr2bl w:val="nil"/>
            </w:tcBorders>
            <w:vAlign w:val="center"/>
          </w:tcPr>
          <w:p w14:paraId="203306E7">
            <w:pPr>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74BE7327">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5FE9F206">
            <w:pPr>
              <w:pStyle w:val="119"/>
              <w:spacing w:before="50"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24小时平均</w:t>
            </w:r>
          </w:p>
        </w:tc>
        <w:tc>
          <w:tcPr>
            <w:tcW w:w="812" w:type="pct"/>
            <w:tcBorders>
              <w:tl2br w:val="nil"/>
              <w:tr2bl w:val="nil"/>
            </w:tcBorders>
            <w:vAlign w:val="center"/>
          </w:tcPr>
          <w:p w14:paraId="71E32BCB">
            <w:pPr>
              <w:spacing w:before="86"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150</w:t>
            </w:r>
          </w:p>
        </w:tc>
        <w:tc>
          <w:tcPr>
            <w:tcW w:w="625" w:type="pct"/>
            <w:tcBorders>
              <w:tl2br w:val="nil"/>
              <w:tr2bl w:val="nil"/>
            </w:tcBorders>
            <w:vAlign w:val="center"/>
          </w:tcPr>
          <w:p w14:paraId="65054E08">
            <w:pPr>
              <w:spacing w:before="86" w:line="195" w:lineRule="auto"/>
              <w:jc w:val="center"/>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120</w:t>
            </w:r>
          </w:p>
        </w:tc>
        <w:tc>
          <w:tcPr>
            <w:tcW w:w="585" w:type="pct"/>
            <w:tcBorders>
              <w:tl2br w:val="nil"/>
              <w:tr2bl w:val="nil"/>
            </w:tcBorders>
            <w:vAlign w:val="center"/>
          </w:tcPr>
          <w:p w14:paraId="7349B44C">
            <w:pPr>
              <w:spacing w:before="86" w:line="19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50</w:t>
            </w:r>
          </w:p>
        </w:tc>
        <w:tc>
          <w:tcPr>
            <w:tcW w:w="1188" w:type="pct"/>
            <w:vMerge w:val="continue"/>
            <w:tcBorders>
              <w:tl2br w:val="nil"/>
              <w:tr2bl w:val="nil"/>
            </w:tcBorders>
            <w:vAlign w:val="center"/>
          </w:tcPr>
          <w:p w14:paraId="1F4D1739">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5FA9892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17B4F474">
            <w:pPr>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5CE0FBF5">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3F98DCD3">
            <w:pPr>
              <w:pStyle w:val="119"/>
              <w:spacing w:before="50"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1</w:t>
            </w:r>
            <w:r>
              <w:rPr>
                <w:rFonts w:hint="eastAsia" w:ascii="宋体" w:hAnsi="宋体" w:eastAsia="宋体" w:cs="宋体"/>
                <w:color w:val="000000" w:themeColor="text1"/>
                <w:spacing w:val="20"/>
                <w:w w:val="101"/>
                <w:sz w:val="18"/>
                <w:szCs w:val="18"/>
                <w:u w:val="none" w:color="auto"/>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小时平均</w:t>
            </w:r>
          </w:p>
        </w:tc>
        <w:tc>
          <w:tcPr>
            <w:tcW w:w="812" w:type="pct"/>
            <w:tcBorders>
              <w:tl2br w:val="nil"/>
              <w:tr2bl w:val="nil"/>
            </w:tcBorders>
            <w:vAlign w:val="center"/>
          </w:tcPr>
          <w:p w14:paraId="40CF44EF">
            <w:pPr>
              <w:spacing w:before="86"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500</w:t>
            </w:r>
          </w:p>
        </w:tc>
        <w:tc>
          <w:tcPr>
            <w:tcW w:w="625" w:type="pct"/>
            <w:tcBorders>
              <w:tl2br w:val="nil"/>
              <w:tr2bl w:val="nil"/>
            </w:tcBorders>
            <w:vAlign w:val="center"/>
          </w:tcPr>
          <w:p w14:paraId="0B8B32B8">
            <w:pPr>
              <w:spacing w:before="86" w:line="195" w:lineRule="auto"/>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400</w:t>
            </w:r>
          </w:p>
        </w:tc>
        <w:tc>
          <w:tcPr>
            <w:tcW w:w="585" w:type="pct"/>
            <w:tcBorders>
              <w:tl2br w:val="nil"/>
              <w:tr2bl w:val="nil"/>
            </w:tcBorders>
            <w:vAlign w:val="center"/>
          </w:tcPr>
          <w:p w14:paraId="4F5752BF">
            <w:pPr>
              <w:spacing w:before="86" w:line="195" w:lineRule="auto"/>
              <w:jc w:val="cente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150</w:t>
            </w:r>
          </w:p>
        </w:tc>
        <w:tc>
          <w:tcPr>
            <w:tcW w:w="1188" w:type="pct"/>
            <w:vMerge w:val="continue"/>
            <w:tcBorders>
              <w:tl2br w:val="nil"/>
              <w:tr2bl w:val="nil"/>
            </w:tcBorders>
            <w:vAlign w:val="center"/>
          </w:tcPr>
          <w:p w14:paraId="5D63A3F7">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25B87BC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79484BBC">
            <w:pPr>
              <w:spacing w:before="58" w:line="202" w:lineRule="auto"/>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r>
              <w:rPr>
                <w:rFonts w:hint="eastAsia" w:ascii="宋体" w:hAnsi="宋体" w:eastAsia="宋体" w:cs="宋体"/>
                <w:b w:val="0"/>
                <w:bCs w:val="0"/>
                <w:color w:val="000000" w:themeColor="text1"/>
                <w:spacing w:val="6"/>
                <w:sz w:val="18"/>
                <w:szCs w:val="18"/>
                <w:u w:val="none" w:color="auto"/>
                <w14:textFill>
                  <w14:solidFill>
                    <w14:schemeClr w14:val="tx1"/>
                  </w14:solidFill>
                </w14:textFill>
              </w:rPr>
              <w:t>NO</w:t>
            </w:r>
            <w:r>
              <w:rPr>
                <w:rFonts w:hint="eastAsia" w:ascii="宋体" w:hAnsi="宋体" w:eastAsia="宋体" w:cs="宋体"/>
                <w:b w:val="0"/>
                <w:bCs w:val="0"/>
                <w:color w:val="000000" w:themeColor="text1"/>
                <w:spacing w:val="6"/>
                <w:position w:val="-1"/>
                <w:sz w:val="18"/>
                <w:szCs w:val="18"/>
                <w:u w:val="none" w:color="auto"/>
                <w14:textFill>
                  <w14:solidFill>
                    <w14:schemeClr w14:val="tx1"/>
                  </w14:solidFill>
                </w14:textFill>
              </w:rPr>
              <w:t>2</w:t>
            </w:r>
          </w:p>
        </w:tc>
        <w:tc>
          <w:tcPr>
            <w:tcW w:w="437" w:type="pct"/>
            <w:vMerge w:val="restart"/>
            <w:tcBorders>
              <w:tl2br w:val="nil"/>
              <w:tr2bl w:val="nil"/>
            </w:tcBorders>
            <w:vAlign w:val="center"/>
          </w:tcPr>
          <w:p w14:paraId="41FCC170">
            <w:pPr>
              <w:spacing w:before="57" w:line="21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55730E62">
            <w:pPr>
              <w:rPr>
                <w:rFonts w:hint="eastAsia"/>
                <w:color w:val="000000" w:themeColor="text1"/>
                <w14:textFill>
                  <w14:solidFill>
                    <w14:schemeClr w14:val="tx1"/>
                  </w14:solidFill>
                </w14:textFill>
              </w:rPr>
            </w:pPr>
          </w:p>
        </w:tc>
        <w:tc>
          <w:tcPr>
            <w:tcW w:w="937" w:type="pct"/>
            <w:tcBorders>
              <w:tl2br w:val="nil"/>
              <w:tr2bl w:val="nil"/>
            </w:tcBorders>
            <w:vAlign w:val="center"/>
          </w:tcPr>
          <w:p w14:paraId="328FC98D">
            <w:pPr>
              <w:pStyle w:val="119"/>
              <w:spacing w:before="51"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年平均</w:t>
            </w:r>
          </w:p>
        </w:tc>
        <w:tc>
          <w:tcPr>
            <w:tcW w:w="812" w:type="pct"/>
            <w:tcBorders>
              <w:tl2br w:val="nil"/>
              <w:tr2bl w:val="nil"/>
            </w:tcBorders>
            <w:vAlign w:val="center"/>
          </w:tcPr>
          <w:p w14:paraId="7DE74EC8">
            <w:pPr>
              <w:spacing w:before="87" w:line="195" w:lineRule="auto"/>
              <w:jc w:val="center"/>
              <w:rPr>
                <w:rFonts w:hint="eastAsia" w:ascii="宋体" w:hAnsi="宋体" w:eastAsia="宋体" w:cs="宋体"/>
                <w:color w:val="000000" w:themeColor="text1"/>
                <w:sz w:val="18"/>
                <w:szCs w:val="18"/>
                <w:highlight w:val="none"/>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highlight w:val="none"/>
                <w:u w:val="none" w:color="auto"/>
                <w14:textFill>
                  <w14:solidFill>
                    <w14:schemeClr w14:val="tx1"/>
                  </w14:solidFill>
                </w14:textFill>
              </w:rPr>
              <w:t>40</w:t>
            </w:r>
          </w:p>
        </w:tc>
        <w:tc>
          <w:tcPr>
            <w:tcW w:w="625" w:type="pct"/>
            <w:tcBorders>
              <w:tl2br w:val="nil"/>
              <w:tr2bl w:val="nil"/>
            </w:tcBorders>
            <w:vAlign w:val="center"/>
          </w:tcPr>
          <w:p w14:paraId="27E66835">
            <w:pPr>
              <w:spacing w:before="87" w:line="195" w:lineRule="auto"/>
              <w:jc w:val="center"/>
              <w:rPr>
                <w:rFonts w:hint="eastAsia" w:ascii="宋体" w:hAnsi="宋体" w:eastAsia="宋体" w:cs="宋体"/>
                <w:color w:val="000000" w:themeColor="text1"/>
                <w:spacing w:val="3"/>
                <w:sz w:val="18"/>
                <w:szCs w:val="18"/>
                <w:u w:val="none" w:color="auto"/>
                <w:lang w:val="en-US"/>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40</w:t>
            </w:r>
          </w:p>
        </w:tc>
        <w:tc>
          <w:tcPr>
            <w:tcW w:w="585" w:type="pct"/>
            <w:tcBorders>
              <w:tl2br w:val="nil"/>
              <w:tr2bl w:val="nil"/>
            </w:tcBorders>
            <w:vAlign w:val="center"/>
          </w:tcPr>
          <w:p w14:paraId="1DFD90E7">
            <w:pPr>
              <w:spacing w:before="87" w:line="19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30</w:t>
            </w:r>
          </w:p>
        </w:tc>
        <w:tc>
          <w:tcPr>
            <w:tcW w:w="1188" w:type="pct"/>
            <w:vMerge w:val="continue"/>
            <w:tcBorders>
              <w:tl2br w:val="nil"/>
              <w:tr2bl w:val="nil"/>
            </w:tcBorders>
            <w:vAlign w:val="center"/>
          </w:tcPr>
          <w:p w14:paraId="1CD9C3BD">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0D4D423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42C03B8C">
            <w:pPr>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4D69B304">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4E10D3FB">
            <w:pPr>
              <w:pStyle w:val="119"/>
              <w:spacing w:before="53"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24</w:t>
            </w:r>
            <w:r>
              <w:rPr>
                <w:rFonts w:hint="eastAsia" w:ascii="宋体" w:hAnsi="宋体" w:eastAsia="宋体" w:cs="宋体"/>
                <w:color w:val="000000" w:themeColor="text1"/>
                <w:spacing w:val="22"/>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小时平均</w:t>
            </w:r>
          </w:p>
        </w:tc>
        <w:tc>
          <w:tcPr>
            <w:tcW w:w="812" w:type="pct"/>
            <w:tcBorders>
              <w:tl2br w:val="nil"/>
              <w:tr2bl w:val="nil"/>
            </w:tcBorders>
            <w:vAlign w:val="center"/>
          </w:tcPr>
          <w:p w14:paraId="03347685">
            <w:pPr>
              <w:spacing w:before="89" w:line="195" w:lineRule="auto"/>
              <w:jc w:val="center"/>
              <w:rPr>
                <w:rFonts w:hint="eastAsia" w:ascii="宋体" w:hAnsi="宋体" w:eastAsia="宋体" w:cs="宋体"/>
                <w:color w:val="000000" w:themeColor="text1"/>
                <w:sz w:val="18"/>
                <w:szCs w:val="18"/>
                <w:highlight w:val="none"/>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highlight w:val="none"/>
                <w:u w:val="none" w:color="auto"/>
                <w14:textFill>
                  <w14:solidFill>
                    <w14:schemeClr w14:val="tx1"/>
                  </w14:solidFill>
                </w14:textFill>
              </w:rPr>
              <w:t>80</w:t>
            </w:r>
          </w:p>
        </w:tc>
        <w:tc>
          <w:tcPr>
            <w:tcW w:w="625" w:type="pct"/>
            <w:tcBorders>
              <w:tl2br w:val="nil"/>
              <w:tr2bl w:val="nil"/>
            </w:tcBorders>
            <w:vAlign w:val="center"/>
          </w:tcPr>
          <w:p w14:paraId="36A779BD">
            <w:pPr>
              <w:spacing w:before="89" w:line="195" w:lineRule="auto"/>
              <w:jc w:val="center"/>
              <w:rPr>
                <w:rFonts w:hint="eastAsia" w:ascii="宋体" w:hAnsi="宋体" w:eastAsia="宋体" w:cs="宋体"/>
                <w:color w:val="000000" w:themeColor="text1"/>
                <w:spacing w:val="-2"/>
                <w:sz w:val="18"/>
                <w:szCs w:val="18"/>
                <w:u w:val="none" w:color="auto"/>
                <w:lang w:val="en-US"/>
                <w14:textFill>
                  <w14:solidFill>
                    <w14:schemeClr w14:val="tx1"/>
                  </w14:solidFill>
                </w14:textFill>
              </w:rPr>
            </w:pP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80</w:t>
            </w:r>
          </w:p>
        </w:tc>
        <w:tc>
          <w:tcPr>
            <w:tcW w:w="585" w:type="pct"/>
            <w:tcBorders>
              <w:tl2br w:val="nil"/>
              <w:tr2bl w:val="nil"/>
            </w:tcBorders>
            <w:vAlign w:val="center"/>
          </w:tcPr>
          <w:p w14:paraId="692E6AE4">
            <w:pPr>
              <w:spacing w:before="89" w:line="195" w:lineRule="auto"/>
              <w:jc w:val="cente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50</w:t>
            </w:r>
          </w:p>
        </w:tc>
        <w:tc>
          <w:tcPr>
            <w:tcW w:w="1188" w:type="pct"/>
            <w:vMerge w:val="continue"/>
            <w:tcBorders>
              <w:tl2br w:val="nil"/>
              <w:tr2bl w:val="nil"/>
            </w:tcBorders>
            <w:vAlign w:val="center"/>
          </w:tcPr>
          <w:p w14:paraId="6CFA4B19">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2BC5084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37237150">
            <w:pPr>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14DD84FF">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25A2613D">
            <w:pPr>
              <w:pStyle w:val="119"/>
              <w:spacing w:before="55"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1</w:t>
            </w:r>
            <w:r>
              <w:rPr>
                <w:rFonts w:hint="eastAsia" w:ascii="宋体" w:hAnsi="宋体" w:eastAsia="宋体" w:cs="宋体"/>
                <w:color w:val="000000" w:themeColor="text1"/>
                <w:spacing w:val="20"/>
                <w:w w:val="101"/>
                <w:sz w:val="18"/>
                <w:szCs w:val="18"/>
                <w:u w:val="none" w:color="auto"/>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小时平均</w:t>
            </w:r>
          </w:p>
        </w:tc>
        <w:tc>
          <w:tcPr>
            <w:tcW w:w="812" w:type="pct"/>
            <w:tcBorders>
              <w:tl2br w:val="nil"/>
              <w:tr2bl w:val="nil"/>
            </w:tcBorders>
            <w:vAlign w:val="center"/>
          </w:tcPr>
          <w:p w14:paraId="2B0F4991">
            <w:pPr>
              <w:spacing w:before="90" w:line="195" w:lineRule="auto"/>
              <w:jc w:val="center"/>
              <w:rPr>
                <w:rFonts w:hint="eastAsia" w:ascii="宋体" w:hAnsi="宋体" w:eastAsia="宋体" w:cs="宋体"/>
                <w:color w:val="000000" w:themeColor="text1"/>
                <w:sz w:val="18"/>
                <w:szCs w:val="18"/>
                <w:highlight w:val="none"/>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highlight w:val="none"/>
                <w:u w:val="none" w:color="auto"/>
                <w14:textFill>
                  <w14:solidFill>
                    <w14:schemeClr w14:val="tx1"/>
                  </w14:solidFill>
                </w14:textFill>
              </w:rPr>
              <w:t>200</w:t>
            </w:r>
          </w:p>
        </w:tc>
        <w:tc>
          <w:tcPr>
            <w:tcW w:w="625" w:type="pct"/>
            <w:tcBorders>
              <w:tl2br w:val="nil"/>
              <w:tr2bl w:val="nil"/>
            </w:tcBorders>
            <w:vAlign w:val="center"/>
          </w:tcPr>
          <w:p w14:paraId="4E2CA798">
            <w:pPr>
              <w:spacing w:before="90" w:line="195" w:lineRule="auto"/>
              <w:jc w:val="center"/>
              <w:rPr>
                <w:rFonts w:hint="eastAsia" w:ascii="宋体" w:hAnsi="宋体" w:eastAsia="宋体" w:cs="宋体"/>
                <w:color w:val="000000" w:themeColor="text1"/>
                <w:spacing w:val="3"/>
                <w:sz w:val="18"/>
                <w:szCs w:val="18"/>
                <w:u w:val="none" w:color="auto"/>
                <w:lang w:val="en-US"/>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200</w:t>
            </w:r>
          </w:p>
        </w:tc>
        <w:tc>
          <w:tcPr>
            <w:tcW w:w="585" w:type="pct"/>
            <w:tcBorders>
              <w:tl2br w:val="nil"/>
              <w:tr2bl w:val="nil"/>
            </w:tcBorders>
            <w:vAlign w:val="center"/>
          </w:tcPr>
          <w:p w14:paraId="1B15669A">
            <w:pPr>
              <w:spacing w:before="90" w:line="19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200</w:t>
            </w:r>
          </w:p>
        </w:tc>
        <w:tc>
          <w:tcPr>
            <w:tcW w:w="1188" w:type="pct"/>
            <w:vMerge w:val="continue"/>
            <w:tcBorders>
              <w:tl2br w:val="nil"/>
              <w:tr2bl w:val="nil"/>
            </w:tcBorders>
            <w:vAlign w:val="center"/>
          </w:tcPr>
          <w:p w14:paraId="67D891E4">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2F10B89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66523FF8">
            <w:pPr>
              <w:spacing w:before="255" w:line="195" w:lineRule="auto"/>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r>
              <w:rPr>
                <w:rFonts w:hint="eastAsia" w:ascii="宋体" w:hAnsi="宋体" w:eastAsia="宋体" w:cs="宋体"/>
                <w:b w:val="0"/>
                <w:bCs w:val="0"/>
                <w:color w:val="000000" w:themeColor="text1"/>
                <w:spacing w:val="2"/>
                <w:sz w:val="18"/>
                <w:szCs w:val="18"/>
                <w:u w:val="none" w:color="auto"/>
                <w14:textFill>
                  <w14:solidFill>
                    <w14:schemeClr w14:val="tx1"/>
                  </w14:solidFill>
                </w14:textFill>
              </w:rPr>
              <w:t>CO</w:t>
            </w:r>
          </w:p>
        </w:tc>
        <w:tc>
          <w:tcPr>
            <w:tcW w:w="437" w:type="pct"/>
            <w:vMerge w:val="restart"/>
            <w:tcBorders>
              <w:tl2br w:val="nil"/>
              <w:tr2bl w:val="nil"/>
            </w:tcBorders>
            <w:vAlign w:val="center"/>
          </w:tcPr>
          <w:p w14:paraId="5EBB159F">
            <w:pPr>
              <w:spacing w:before="234" w:line="21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2BCE21F0">
            <w:pPr>
              <w:rPr>
                <w:rFonts w:hint="eastAsia"/>
                <w:color w:val="000000" w:themeColor="text1"/>
                <w14:textFill>
                  <w14:solidFill>
                    <w14:schemeClr w14:val="tx1"/>
                  </w14:solidFill>
                </w14:textFill>
              </w:rPr>
            </w:pPr>
          </w:p>
        </w:tc>
        <w:tc>
          <w:tcPr>
            <w:tcW w:w="937" w:type="pct"/>
            <w:tcBorders>
              <w:tl2br w:val="nil"/>
              <w:tr2bl w:val="nil"/>
            </w:tcBorders>
            <w:vAlign w:val="center"/>
          </w:tcPr>
          <w:p w14:paraId="2BE82DB5">
            <w:pPr>
              <w:pStyle w:val="119"/>
              <w:spacing w:before="56"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24</w:t>
            </w:r>
            <w:r>
              <w:rPr>
                <w:rFonts w:hint="eastAsia" w:ascii="宋体" w:hAnsi="宋体" w:eastAsia="宋体" w:cs="宋体"/>
                <w:color w:val="000000" w:themeColor="text1"/>
                <w:spacing w:val="22"/>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小时平均</w:t>
            </w:r>
          </w:p>
        </w:tc>
        <w:tc>
          <w:tcPr>
            <w:tcW w:w="812" w:type="pct"/>
            <w:tcBorders>
              <w:tl2br w:val="nil"/>
              <w:tr2bl w:val="nil"/>
            </w:tcBorders>
            <w:vAlign w:val="center"/>
          </w:tcPr>
          <w:p w14:paraId="72DA392C">
            <w:pPr>
              <w:spacing w:before="92"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4</w:t>
            </w:r>
          </w:p>
        </w:tc>
        <w:tc>
          <w:tcPr>
            <w:tcW w:w="625" w:type="pct"/>
            <w:tcBorders>
              <w:tl2br w:val="nil"/>
              <w:tr2bl w:val="nil"/>
            </w:tcBorders>
            <w:vAlign w:val="center"/>
          </w:tcPr>
          <w:p w14:paraId="6A21CAE1">
            <w:pPr>
              <w:spacing w:before="92" w:line="195" w:lineRule="auto"/>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4</w:t>
            </w:r>
          </w:p>
        </w:tc>
        <w:tc>
          <w:tcPr>
            <w:tcW w:w="585" w:type="pct"/>
            <w:tcBorders>
              <w:tl2br w:val="nil"/>
              <w:tr2bl w:val="nil"/>
            </w:tcBorders>
            <w:vAlign w:val="center"/>
          </w:tcPr>
          <w:p w14:paraId="4A751752">
            <w:pPr>
              <w:spacing w:before="92" w:line="195" w:lineRule="auto"/>
              <w:jc w:val="cente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4</w:t>
            </w:r>
          </w:p>
        </w:tc>
        <w:tc>
          <w:tcPr>
            <w:tcW w:w="1188" w:type="pct"/>
            <w:vMerge w:val="continue"/>
            <w:tcBorders>
              <w:tl2br w:val="nil"/>
              <w:tr2bl w:val="nil"/>
            </w:tcBorders>
            <w:vAlign w:val="center"/>
          </w:tcPr>
          <w:p w14:paraId="0A549811">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26D7ABF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7618DBF6">
            <w:pPr>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666FC427">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26C85D27">
            <w:pPr>
              <w:pStyle w:val="119"/>
              <w:spacing w:before="57"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1</w:t>
            </w:r>
            <w:r>
              <w:rPr>
                <w:rFonts w:hint="eastAsia" w:ascii="宋体" w:hAnsi="宋体" w:eastAsia="宋体" w:cs="宋体"/>
                <w:color w:val="000000" w:themeColor="text1"/>
                <w:spacing w:val="20"/>
                <w:w w:val="101"/>
                <w:sz w:val="18"/>
                <w:szCs w:val="18"/>
                <w:u w:val="none" w:color="auto"/>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小时平均</w:t>
            </w:r>
          </w:p>
        </w:tc>
        <w:tc>
          <w:tcPr>
            <w:tcW w:w="812" w:type="pct"/>
            <w:tcBorders>
              <w:tl2br w:val="nil"/>
              <w:tr2bl w:val="nil"/>
            </w:tcBorders>
            <w:vAlign w:val="center"/>
          </w:tcPr>
          <w:p w14:paraId="57868719">
            <w:pPr>
              <w:spacing w:before="93"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8"/>
                <w:sz w:val="18"/>
                <w:szCs w:val="18"/>
                <w:u w:val="none" w:color="auto"/>
                <w14:textFill>
                  <w14:solidFill>
                    <w14:schemeClr w14:val="tx1"/>
                  </w14:solidFill>
                </w14:textFill>
              </w:rPr>
              <w:t>10</w:t>
            </w:r>
          </w:p>
        </w:tc>
        <w:tc>
          <w:tcPr>
            <w:tcW w:w="625" w:type="pct"/>
            <w:tcBorders>
              <w:tl2br w:val="nil"/>
              <w:tr2bl w:val="nil"/>
            </w:tcBorders>
            <w:vAlign w:val="center"/>
          </w:tcPr>
          <w:p w14:paraId="4DA6035C">
            <w:pPr>
              <w:spacing w:before="93" w:line="195" w:lineRule="auto"/>
              <w:jc w:val="center"/>
              <w:rPr>
                <w:rFonts w:hint="eastAsia" w:ascii="宋体" w:hAnsi="宋体" w:eastAsia="宋体" w:cs="宋体"/>
                <w:color w:val="000000" w:themeColor="text1"/>
                <w:spacing w:val="-8"/>
                <w:sz w:val="18"/>
                <w:szCs w:val="18"/>
                <w:u w:val="none" w:color="auto"/>
                <w14:textFill>
                  <w14:solidFill>
                    <w14:schemeClr w14:val="tx1"/>
                  </w14:solidFill>
                </w14:textFill>
              </w:rPr>
            </w:pPr>
            <w:r>
              <w:rPr>
                <w:rFonts w:hint="eastAsia" w:ascii="宋体" w:hAnsi="宋体" w:eastAsia="宋体" w:cs="宋体"/>
                <w:color w:val="000000" w:themeColor="text1"/>
                <w:spacing w:val="-8"/>
                <w:sz w:val="18"/>
                <w:szCs w:val="18"/>
                <w:u w:val="none" w:color="auto"/>
                <w:lang w:val="en-US" w:eastAsia="zh-CN"/>
                <w14:textFill>
                  <w14:solidFill>
                    <w14:schemeClr w14:val="tx1"/>
                  </w14:solidFill>
                </w14:textFill>
              </w:rPr>
              <w:t>10</w:t>
            </w:r>
          </w:p>
        </w:tc>
        <w:tc>
          <w:tcPr>
            <w:tcW w:w="585" w:type="pct"/>
            <w:tcBorders>
              <w:tl2br w:val="nil"/>
              <w:tr2bl w:val="nil"/>
            </w:tcBorders>
            <w:vAlign w:val="center"/>
          </w:tcPr>
          <w:p w14:paraId="232C82DB">
            <w:pPr>
              <w:spacing w:before="93" w:line="195" w:lineRule="auto"/>
              <w:jc w:val="center"/>
              <w:rPr>
                <w:rFonts w:hint="eastAsia" w:ascii="宋体" w:hAnsi="宋体" w:eastAsia="宋体" w:cs="宋体"/>
                <w:color w:val="000000" w:themeColor="text1"/>
                <w:spacing w:val="-8"/>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8"/>
                <w:sz w:val="18"/>
                <w:szCs w:val="18"/>
                <w:u w:val="none" w:color="auto"/>
                <w:lang w:val="en-US" w:eastAsia="zh-CN"/>
                <w14:textFill>
                  <w14:solidFill>
                    <w14:schemeClr w14:val="tx1"/>
                  </w14:solidFill>
                </w14:textFill>
              </w:rPr>
              <w:t>10</w:t>
            </w:r>
          </w:p>
        </w:tc>
        <w:tc>
          <w:tcPr>
            <w:tcW w:w="1188" w:type="pct"/>
            <w:vMerge w:val="continue"/>
            <w:tcBorders>
              <w:tl2br w:val="nil"/>
              <w:tr2bl w:val="nil"/>
            </w:tcBorders>
            <w:vAlign w:val="center"/>
          </w:tcPr>
          <w:p w14:paraId="3B338FFB">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28577CE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22122D1D">
            <w:pPr>
              <w:spacing w:before="258" w:line="199" w:lineRule="auto"/>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r>
              <w:rPr>
                <w:rFonts w:hint="eastAsia" w:ascii="宋体" w:hAnsi="宋体" w:eastAsia="宋体" w:cs="宋体"/>
                <w:b w:val="0"/>
                <w:bCs w:val="0"/>
                <w:color w:val="000000" w:themeColor="text1"/>
                <w:sz w:val="18"/>
                <w:szCs w:val="18"/>
                <w:u w:val="none" w:color="auto"/>
                <w14:textFill>
                  <w14:solidFill>
                    <w14:schemeClr w14:val="tx1"/>
                  </w14:solidFill>
                </w14:textFill>
              </w:rPr>
              <w:t>PM</w:t>
            </w:r>
            <w:r>
              <w:rPr>
                <w:rFonts w:hint="eastAsia" w:ascii="宋体" w:hAnsi="宋体" w:eastAsia="宋体" w:cs="宋体"/>
                <w:b w:val="0"/>
                <w:bCs w:val="0"/>
                <w:color w:val="000000" w:themeColor="text1"/>
                <w:spacing w:val="8"/>
                <w:position w:val="-1"/>
                <w:sz w:val="18"/>
                <w:szCs w:val="18"/>
                <w:u w:val="none" w:color="auto"/>
                <w14:textFill>
                  <w14:solidFill>
                    <w14:schemeClr w14:val="tx1"/>
                  </w14:solidFill>
                </w14:textFill>
              </w:rPr>
              <w:t>10</w:t>
            </w:r>
          </w:p>
        </w:tc>
        <w:tc>
          <w:tcPr>
            <w:tcW w:w="437" w:type="pct"/>
            <w:vMerge w:val="restart"/>
            <w:tcBorders>
              <w:tl2br w:val="nil"/>
              <w:tr2bl w:val="nil"/>
            </w:tcBorders>
            <w:vAlign w:val="center"/>
          </w:tcPr>
          <w:p w14:paraId="19BC3E70">
            <w:pPr>
              <w:spacing w:before="238" w:line="215"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2D78F122">
            <w:pPr>
              <w:rPr>
                <w:rFonts w:hint="eastAsia"/>
                <w:color w:val="000000" w:themeColor="text1"/>
                <w14:textFill>
                  <w14:solidFill>
                    <w14:schemeClr w14:val="tx1"/>
                  </w14:solidFill>
                </w14:textFill>
              </w:rPr>
            </w:pPr>
          </w:p>
        </w:tc>
        <w:tc>
          <w:tcPr>
            <w:tcW w:w="937" w:type="pct"/>
            <w:tcBorders>
              <w:tl2br w:val="nil"/>
              <w:tr2bl w:val="nil"/>
            </w:tcBorders>
            <w:vAlign w:val="center"/>
          </w:tcPr>
          <w:p w14:paraId="630B132D">
            <w:pPr>
              <w:pStyle w:val="119"/>
              <w:spacing w:before="56"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年平均</w:t>
            </w:r>
          </w:p>
        </w:tc>
        <w:tc>
          <w:tcPr>
            <w:tcW w:w="812" w:type="pct"/>
            <w:tcBorders>
              <w:tl2br w:val="nil"/>
              <w:tr2bl w:val="nil"/>
            </w:tcBorders>
            <w:vAlign w:val="center"/>
          </w:tcPr>
          <w:p w14:paraId="202D3FC2">
            <w:pPr>
              <w:spacing w:before="92"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70</w:t>
            </w:r>
          </w:p>
        </w:tc>
        <w:tc>
          <w:tcPr>
            <w:tcW w:w="625" w:type="pct"/>
            <w:tcBorders>
              <w:tl2br w:val="nil"/>
              <w:tr2bl w:val="nil"/>
            </w:tcBorders>
            <w:vAlign w:val="center"/>
          </w:tcPr>
          <w:p w14:paraId="288A1C52">
            <w:pPr>
              <w:spacing w:before="92" w:line="195" w:lineRule="auto"/>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60</w:t>
            </w:r>
          </w:p>
        </w:tc>
        <w:tc>
          <w:tcPr>
            <w:tcW w:w="585" w:type="pct"/>
            <w:tcBorders>
              <w:tl2br w:val="nil"/>
              <w:tr2bl w:val="nil"/>
            </w:tcBorders>
            <w:vAlign w:val="center"/>
          </w:tcPr>
          <w:p w14:paraId="34304980">
            <w:pPr>
              <w:spacing w:before="92" w:line="195" w:lineRule="auto"/>
              <w:jc w:val="cente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50</w:t>
            </w:r>
          </w:p>
        </w:tc>
        <w:tc>
          <w:tcPr>
            <w:tcW w:w="1188" w:type="pct"/>
            <w:vMerge w:val="continue"/>
            <w:tcBorders>
              <w:tl2br w:val="nil"/>
              <w:tr2bl w:val="nil"/>
            </w:tcBorders>
            <w:vAlign w:val="center"/>
          </w:tcPr>
          <w:p w14:paraId="6FF70F1F">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5CB8C30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13" w:type="pct"/>
            <w:vMerge w:val="continue"/>
            <w:tcBorders>
              <w:tl2br w:val="nil"/>
              <w:tr2bl w:val="nil"/>
            </w:tcBorders>
            <w:vAlign w:val="center"/>
          </w:tcPr>
          <w:p w14:paraId="411AF223">
            <w:pPr>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7BD0AB36">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75D925A9">
            <w:pPr>
              <w:pStyle w:val="119"/>
              <w:spacing w:before="58"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24</w:t>
            </w:r>
            <w:r>
              <w:rPr>
                <w:rFonts w:hint="eastAsia" w:ascii="宋体" w:hAnsi="宋体" w:eastAsia="宋体" w:cs="宋体"/>
                <w:color w:val="000000" w:themeColor="text1"/>
                <w:spacing w:val="22"/>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小时平均</w:t>
            </w:r>
          </w:p>
        </w:tc>
        <w:tc>
          <w:tcPr>
            <w:tcW w:w="812" w:type="pct"/>
            <w:tcBorders>
              <w:tl2br w:val="nil"/>
              <w:tr2bl w:val="nil"/>
            </w:tcBorders>
            <w:vAlign w:val="center"/>
          </w:tcPr>
          <w:p w14:paraId="25349581">
            <w:pPr>
              <w:spacing w:before="93"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150</w:t>
            </w:r>
          </w:p>
        </w:tc>
        <w:tc>
          <w:tcPr>
            <w:tcW w:w="625" w:type="pct"/>
            <w:tcBorders>
              <w:tl2br w:val="nil"/>
              <w:tr2bl w:val="nil"/>
            </w:tcBorders>
            <w:vAlign w:val="center"/>
          </w:tcPr>
          <w:p w14:paraId="5945A90F">
            <w:pPr>
              <w:spacing w:before="93" w:line="195" w:lineRule="auto"/>
              <w:jc w:val="center"/>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120</w:t>
            </w:r>
          </w:p>
        </w:tc>
        <w:tc>
          <w:tcPr>
            <w:tcW w:w="585" w:type="pct"/>
            <w:tcBorders>
              <w:tl2br w:val="nil"/>
              <w:tr2bl w:val="nil"/>
            </w:tcBorders>
            <w:vAlign w:val="center"/>
          </w:tcPr>
          <w:p w14:paraId="4BB2EFD9">
            <w:pPr>
              <w:spacing w:before="93" w:line="19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100</w:t>
            </w:r>
          </w:p>
        </w:tc>
        <w:tc>
          <w:tcPr>
            <w:tcW w:w="1188" w:type="pct"/>
            <w:vMerge w:val="continue"/>
            <w:tcBorders>
              <w:tl2br w:val="nil"/>
              <w:tr2bl w:val="nil"/>
            </w:tcBorders>
            <w:vAlign w:val="center"/>
          </w:tcPr>
          <w:p w14:paraId="145D7B83">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3992166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5B86B6BF">
            <w:pPr>
              <w:spacing w:before="261" w:line="199" w:lineRule="auto"/>
              <w:jc w:val="center"/>
              <w:rPr>
                <w:rFonts w:hint="eastAsia" w:ascii="宋体" w:hAnsi="宋体" w:eastAsia="宋体" w:cs="宋体"/>
                <w:b w:val="0"/>
                <w:bCs w:val="0"/>
                <w:color w:val="000000" w:themeColor="text1"/>
                <w:sz w:val="18"/>
                <w:szCs w:val="18"/>
                <w:u w:val="none" w:color="auto"/>
                <w14:textFill>
                  <w14:solidFill>
                    <w14:schemeClr w14:val="tx1"/>
                  </w14:solidFill>
                </w14:textFill>
              </w:rPr>
            </w:pPr>
            <w:r>
              <w:rPr>
                <w:rFonts w:hint="eastAsia" w:ascii="宋体" w:hAnsi="宋体" w:eastAsia="宋体" w:cs="宋体"/>
                <w:b w:val="0"/>
                <w:bCs w:val="0"/>
                <w:color w:val="000000" w:themeColor="text1"/>
                <w:position w:val="1"/>
                <w:sz w:val="18"/>
                <w:szCs w:val="18"/>
                <w:u w:val="none" w:color="auto"/>
                <w14:textFill>
                  <w14:solidFill>
                    <w14:schemeClr w14:val="tx1"/>
                  </w14:solidFill>
                </w14:textFill>
              </w:rPr>
              <w:t>PM</w:t>
            </w:r>
            <w:r>
              <w:rPr>
                <w:rFonts w:hint="eastAsia" w:ascii="宋体" w:hAnsi="宋体" w:eastAsia="宋体" w:cs="宋体"/>
                <w:b w:val="0"/>
                <w:bCs w:val="0"/>
                <w:color w:val="000000" w:themeColor="text1"/>
                <w:spacing w:val="6"/>
                <w:sz w:val="18"/>
                <w:szCs w:val="18"/>
                <w:u w:val="none" w:color="auto"/>
                <w14:textFill>
                  <w14:solidFill>
                    <w14:schemeClr w14:val="tx1"/>
                  </w14:solidFill>
                </w14:textFill>
              </w:rPr>
              <w:t>2.5</w:t>
            </w:r>
          </w:p>
        </w:tc>
        <w:tc>
          <w:tcPr>
            <w:tcW w:w="437" w:type="pct"/>
            <w:vMerge w:val="restart"/>
            <w:tcBorders>
              <w:tl2br w:val="nil"/>
              <w:tr2bl w:val="nil"/>
            </w:tcBorders>
            <w:vAlign w:val="center"/>
          </w:tcPr>
          <w:p w14:paraId="51AA029B">
            <w:pPr>
              <w:spacing w:before="238" w:line="21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366CBDFD">
            <w:pPr>
              <w:rPr>
                <w:rFonts w:hint="eastAsia"/>
                <w:color w:val="000000" w:themeColor="text1"/>
                <w14:textFill>
                  <w14:solidFill>
                    <w14:schemeClr w14:val="tx1"/>
                  </w14:solidFill>
                </w14:textFill>
              </w:rPr>
            </w:pPr>
          </w:p>
        </w:tc>
        <w:tc>
          <w:tcPr>
            <w:tcW w:w="937" w:type="pct"/>
            <w:tcBorders>
              <w:tl2br w:val="nil"/>
              <w:tr2bl w:val="nil"/>
            </w:tcBorders>
            <w:vAlign w:val="center"/>
          </w:tcPr>
          <w:p w14:paraId="7CBAF58C">
            <w:pPr>
              <w:pStyle w:val="119"/>
              <w:spacing w:before="59" w:line="227"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年平均</w:t>
            </w:r>
          </w:p>
        </w:tc>
        <w:tc>
          <w:tcPr>
            <w:tcW w:w="812" w:type="pct"/>
            <w:tcBorders>
              <w:tl2br w:val="nil"/>
              <w:tr2bl w:val="nil"/>
            </w:tcBorders>
            <w:vAlign w:val="center"/>
          </w:tcPr>
          <w:p w14:paraId="75EC930F">
            <w:pPr>
              <w:spacing w:before="95"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35</w:t>
            </w:r>
          </w:p>
        </w:tc>
        <w:tc>
          <w:tcPr>
            <w:tcW w:w="625" w:type="pct"/>
            <w:tcBorders>
              <w:tl2br w:val="nil"/>
              <w:tr2bl w:val="nil"/>
            </w:tcBorders>
            <w:vAlign w:val="center"/>
          </w:tcPr>
          <w:p w14:paraId="1BC4AEDB">
            <w:pPr>
              <w:spacing w:before="95" w:line="195"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30</w:t>
            </w:r>
          </w:p>
        </w:tc>
        <w:tc>
          <w:tcPr>
            <w:tcW w:w="585" w:type="pct"/>
            <w:tcBorders>
              <w:tl2br w:val="nil"/>
              <w:tr2bl w:val="nil"/>
            </w:tcBorders>
            <w:vAlign w:val="center"/>
          </w:tcPr>
          <w:p w14:paraId="09969377">
            <w:pPr>
              <w:spacing w:before="95"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25</w:t>
            </w:r>
          </w:p>
        </w:tc>
        <w:tc>
          <w:tcPr>
            <w:tcW w:w="1188" w:type="pct"/>
            <w:vMerge w:val="continue"/>
            <w:tcBorders>
              <w:tl2br w:val="nil"/>
              <w:tr2bl w:val="nil"/>
            </w:tcBorders>
            <w:vAlign w:val="center"/>
          </w:tcPr>
          <w:p w14:paraId="7C057E61">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6FCD0C9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59AACD35">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6AB03854">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4C23DB28">
            <w:pPr>
              <w:pStyle w:val="119"/>
              <w:spacing w:before="60" w:line="226"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24</w:t>
            </w:r>
            <w:r>
              <w:rPr>
                <w:rFonts w:hint="eastAsia" w:ascii="宋体" w:hAnsi="宋体" w:eastAsia="宋体" w:cs="宋体"/>
                <w:color w:val="000000" w:themeColor="text1"/>
                <w:spacing w:val="22"/>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小时平均</w:t>
            </w:r>
          </w:p>
        </w:tc>
        <w:tc>
          <w:tcPr>
            <w:tcW w:w="812" w:type="pct"/>
            <w:tcBorders>
              <w:tl2br w:val="nil"/>
              <w:tr2bl w:val="nil"/>
            </w:tcBorders>
            <w:vAlign w:val="center"/>
          </w:tcPr>
          <w:p w14:paraId="237925D9">
            <w:pPr>
              <w:spacing w:before="99" w:line="192"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75</w:t>
            </w:r>
          </w:p>
        </w:tc>
        <w:tc>
          <w:tcPr>
            <w:tcW w:w="625" w:type="pct"/>
            <w:tcBorders>
              <w:tl2br w:val="nil"/>
              <w:tr2bl w:val="nil"/>
            </w:tcBorders>
            <w:vAlign w:val="center"/>
          </w:tcPr>
          <w:p w14:paraId="0D025F7E">
            <w:pPr>
              <w:spacing w:before="99" w:line="192" w:lineRule="auto"/>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60</w:t>
            </w:r>
          </w:p>
        </w:tc>
        <w:tc>
          <w:tcPr>
            <w:tcW w:w="585" w:type="pct"/>
            <w:tcBorders>
              <w:tl2br w:val="nil"/>
              <w:tr2bl w:val="nil"/>
            </w:tcBorders>
            <w:vAlign w:val="center"/>
          </w:tcPr>
          <w:p w14:paraId="1332E6A8">
            <w:pPr>
              <w:spacing w:before="99" w:line="192" w:lineRule="auto"/>
              <w:jc w:val="cente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50</w:t>
            </w:r>
          </w:p>
        </w:tc>
        <w:tc>
          <w:tcPr>
            <w:tcW w:w="1188" w:type="pct"/>
            <w:vMerge w:val="continue"/>
            <w:tcBorders>
              <w:tl2br w:val="nil"/>
              <w:tr2bl w:val="nil"/>
            </w:tcBorders>
            <w:vAlign w:val="center"/>
          </w:tcPr>
          <w:p w14:paraId="23CEBE49">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4AD8EE5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2641B99F">
            <w:pPr>
              <w:spacing w:before="261" w:line="202"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O</w:t>
            </w:r>
            <w:r>
              <w:rPr>
                <w:rFonts w:hint="eastAsia" w:ascii="宋体" w:hAnsi="宋体" w:eastAsia="宋体" w:cs="宋体"/>
                <w:color w:val="000000" w:themeColor="text1"/>
                <w:spacing w:val="1"/>
                <w:position w:val="-1"/>
                <w:sz w:val="18"/>
                <w:szCs w:val="18"/>
                <w:u w:val="none" w:color="auto"/>
                <w14:textFill>
                  <w14:solidFill>
                    <w14:schemeClr w14:val="tx1"/>
                  </w14:solidFill>
                </w14:textFill>
              </w:rPr>
              <w:t>3</w:t>
            </w:r>
          </w:p>
        </w:tc>
        <w:tc>
          <w:tcPr>
            <w:tcW w:w="437" w:type="pct"/>
            <w:vMerge w:val="restart"/>
            <w:tcBorders>
              <w:tl2br w:val="nil"/>
              <w:tr2bl w:val="nil"/>
            </w:tcBorders>
            <w:vAlign w:val="center"/>
          </w:tcPr>
          <w:p w14:paraId="724804B9">
            <w:pPr>
              <w:spacing w:before="240" w:line="21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475162F9">
            <w:pPr>
              <w:rPr>
                <w:rFonts w:hint="eastAsia"/>
                <w:color w:val="000000" w:themeColor="text1"/>
                <w14:textFill>
                  <w14:solidFill>
                    <w14:schemeClr w14:val="tx1"/>
                  </w14:solidFill>
                </w14:textFill>
              </w:rPr>
            </w:pPr>
          </w:p>
        </w:tc>
        <w:tc>
          <w:tcPr>
            <w:tcW w:w="937" w:type="pct"/>
            <w:tcBorders>
              <w:tl2br w:val="nil"/>
              <w:tr2bl w:val="nil"/>
            </w:tcBorders>
            <w:vAlign w:val="center"/>
          </w:tcPr>
          <w:p w14:paraId="4173ABEA">
            <w:pPr>
              <w:pStyle w:val="119"/>
              <w:spacing w:before="62" w:line="224"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日最大</w:t>
            </w:r>
            <w:r>
              <w:rPr>
                <w:rFonts w:hint="eastAsia" w:ascii="宋体" w:hAnsi="宋体" w:eastAsia="宋体" w:cs="宋体"/>
                <w:color w:val="000000" w:themeColor="text1"/>
                <w:spacing w:val="-29"/>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2"/>
                <w:sz w:val="18"/>
                <w:szCs w:val="18"/>
                <w:u w:val="none" w:color="auto"/>
                <w14:textFill>
                  <w14:solidFill>
                    <w14:schemeClr w14:val="tx1"/>
                  </w14:solidFill>
                </w14:textFill>
              </w:rPr>
              <w:t>8h</w:t>
            </w:r>
            <w:r>
              <w:rPr>
                <w:rFonts w:hint="eastAsia" w:ascii="宋体" w:hAnsi="宋体" w:eastAsia="宋体" w:cs="宋体"/>
                <w:color w:val="000000" w:themeColor="text1"/>
                <w:spacing w:val="11"/>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2"/>
                <w:sz w:val="18"/>
                <w:szCs w:val="18"/>
                <w:u w:val="none" w:color="auto"/>
                <w14:textFill>
                  <w14:solidFill>
                    <w14:schemeClr w14:val="tx1"/>
                  </w14:solidFill>
                </w14:textFill>
              </w:rPr>
              <w:t>平均</w:t>
            </w:r>
          </w:p>
        </w:tc>
        <w:tc>
          <w:tcPr>
            <w:tcW w:w="812" w:type="pct"/>
            <w:tcBorders>
              <w:tl2br w:val="nil"/>
              <w:tr2bl w:val="nil"/>
            </w:tcBorders>
            <w:vAlign w:val="center"/>
          </w:tcPr>
          <w:p w14:paraId="64294A41">
            <w:pPr>
              <w:spacing w:before="97"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160</w:t>
            </w:r>
          </w:p>
        </w:tc>
        <w:tc>
          <w:tcPr>
            <w:tcW w:w="625" w:type="pct"/>
            <w:tcBorders>
              <w:tl2br w:val="nil"/>
              <w:tr2bl w:val="nil"/>
            </w:tcBorders>
            <w:vAlign w:val="center"/>
          </w:tcPr>
          <w:p w14:paraId="076643F7">
            <w:pPr>
              <w:spacing w:before="97" w:line="195" w:lineRule="auto"/>
              <w:jc w:val="center"/>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160</w:t>
            </w:r>
          </w:p>
        </w:tc>
        <w:tc>
          <w:tcPr>
            <w:tcW w:w="585" w:type="pct"/>
            <w:tcBorders>
              <w:tl2br w:val="nil"/>
              <w:tr2bl w:val="nil"/>
            </w:tcBorders>
            <w:vAlign w:val="center"/>
          </w:tcPr>
          <w:p w14:paraId="4D53DB3F">
            <w:pPr>
              <w:spacing w:before="97" w:line="19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160</w:t>
            </w:r>
          </w:p>
        </w:tc>
        <w:tc>
          <w:tcPr>
            <w:tcW w:w="1188" w:type="pct"/>
            <w:vMerge w:val="continue"/>
            <w:tcBorders>
              <w:tl2br w:val="nil"/>
              <w:tr2bl w:val="nil"/>
            </w:tcBorders>
            <w:vAlign w:val="center"/>
          </w:tcPr>
          <w:p w14:paraId="7DB1FBFE">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304A0F6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69B3A5A0">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0FFCA088">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4386DEC9">
            <w:pPr>
              <w:pStyle w:val="119"/>
              <w:spacing w:before="63" w:line="223"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1</w:t>
            </w:r>
            <w:r>
              <w:rPr>
                <w:rFonts w:hint="eastAsia" w:ascii="宋体" w:hAnsi="宋体" w:eastAsia="宋体" w:cs="宋体"/>
                <w:color w:val="000000" w:themeColor="text1"/>
                <w:spacing w:val="20"/>
                <w:w w:val="101"/>
                <w:sz w:val="18"/>
                <w:szCs w:val="18"/>
                <w:u w:val="none" w:color="auto"/>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小时平均</w:t>
            </w:r>
          </w:p>
        </w:tc>
        <w:tc>
          <w:tcPr>
            <w:tcW w:w="812" w:type="pct"/>
            <w:tcBorders>
              <w:tl2br w:val="nil"/>
              <w:tr2bl w:val="nil"/>
            </w:tcBorders>
            <w:vAlign w:val="center"/>
          </w:tcPr>
          <w:p w14:paraId="283E511B">
            <w:pPr>
              <w:spacing w:before="99"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200</w:t>
            </w:r>
          </w:p>
        </w:tc>
        <w:tc>
          <w:tcPr>
            <w:tcW w:w="625" w:type="pct"/>
            <w:tcBorders>
              <w:tl2br w:val="nil"/>
              <w:tr2bl w:val="nil"/>
            </w:tcBorders>
            <w:vAlign w:val="center"/>
          </w:tcPr>
          <w:p w14:paraId="5C67E1B7">
            <w:pPr>
              <w:spacing w:before="99" w:line="195" w:lineRule="auto"/>
              <w:jc w:val="center"/>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200</w:t>
            </w:r>
          </w:p>
        </w:tc>
        <w:tc>
          <w:tcPr>
            <w:tcW w:w="585" w:type="pct"/>
            <w:tcBorders>
              <w:tl2br w:val="nil"/>
              <w:tr2bl w:val="nil"/>
            </w:tcBorders>
            <w:vAlign w:val="center"/>
          </w:tcPr>
          <w:p w14:paraId="6129B033">
            <w:pPr>
              <w:spacing w:before="99" w:line="19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200</w:t>
            </w:r>
          </w:p>
        </w:tc>
        <w:tc>
          <w:tcPr>
            <w:tcW w:w="1188" w:type="pct"/>
            <w:vMerge w:val="continue"/>
            <w:tcBorders>
              <w:tl2br w:val="nil"/>
              <w:tr2bl w:val="nil"/>
            </w:tcBorders>
            <w:vAlign w:val="center"/>
          </w:tcPr>
          <w:p w14:paraId="22F8F22C">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62E23B5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68B924C7">
            <w:pPr>
              <w:spacing w:before="58" w:line="195"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NOx</w:t>
            </w:r>
          </w:p>
        </w:tc>
        <w:tc>
          <w:tcPr>
            <w:tcW w:w="437" w:type="pct"/>
            <w:vMerge w:val="restart"/>
            <w:tcBorders>
              <w:tl2br w:val="nil"/>
              <w:tr2bl w:val="nil"/>
            </w:tcBorders>
            <w:vAlign w:val="center"/>
          </w:tcPr>
          <w:p w14:paraId="5572B442">
            <w:pPr>
              <w:spacing w:before="58" w:line="21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1AF3EED0">
            <w:pPr>
              <w:rPr>
                <w:rFonts w:hint="eastAsia"/>
                <w:color w:val="000000" w:themeColor="text1"/>
                <w14:textFill>
                  <w14:solidFill>
                    <w14:schemeClr w14:val="tx1"/>
                  </w14:solidFill>
                </w14:textFill>
              </w:rPr>
            </w:pPr>
          </w:p>
        </w:tc>
        <w:tc>
          <w:tcPr>
            <w:tcW w:w="937" w:type="pct"/>
            <w:tcBorders>
              <w:tl2br w:val="nil"/>
              <w:tr2bl w:val="nil"/>
            </w:tcBorders>
            <w:vAlign w:val="center"/>
          </w:tcPr>
          <w:p w14:paraId="3EE98E0D">
            <w:pPr>
              <w:pStyle w:val="119"/>
              <w:spacing w:before="62" w:line="224"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年平均</w:t>
            </w:r>
          </w:p>
        </w:tc>
        <w:tc>
          <w:tcPr>
            <w:tcW w:w="812" w:type="pct"/>
            <w:tcBorders>
              <w:tl2br w:val="nil"/>
              <w:tr2bl w:val="nil"/>
            </w:tcBorders>
            <w:vAlign w:val="center"/>
          </w:tcPr>
          <w:p w14:paraId="31A5B7E1">
            <w:pPr>
              <w:spacing w:before="98"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50</w:t>
            </w:r>
          </w:p>
        </w:tc>
        <w:tc>
          <w:tcPr>
            <w:tcW w:w="625" w:type="pct"/>
            <w:tcBorders>
              <w:tl2br w:val="nil"/>
              <w:tr2bl w:val="nil"/>
            </w:tcBorders>
            <w:vAlign w:val="center"/>
          </w:tcPr>
          <w:p w14:paraId="531EF141">
            <w:pPr>
              <w:spacing w:before="98" w:line="195" w:lineRule="auto"/>
              <w:jc w:val="center"/>
              <w:rPr>
                <w:rFonts w:hint="default" w:ascii="宋体" w:hAnsi="宋体" w:eastAsia="宋体" w:cs="宋体"/>
                <w:color w:val="000000" w:themeColor="text1"/>
                <w:sz w:val="18"/>
                <w:szCs w:val="18"/>
                <w:highlight w:val="none"/>
                <w:u w:val="none" w:color="auto"/>
                <w:lang w:val="en-US" w:eastAsia="zh-CN"/>
                <w14:textFill>
                  <w14:solidFill>
                    <w14:schemeClr w14:val="tx1"/>
                  </w14:solidFill>
                </w14:textFill>
              </w:rPr>
            </w:pPr>
            <w:r>
              <w:rPr>
                <w:rFonts w:hint="eastAsia" w:ascii="宋体" w:hAnsi="宋体" w:cs="宋体"/>
                <w:color w:val="000000" w:themeColor="text1"/>
                <w:sz w:val="18"/>
                <w:szCs w:val="18"/>
                <w:highlight w:val="none"/>
                <w:u w:val="none" w:color="auto"/>
                <w:lang w:val="en-US" w:eastAsia="zh-CN"/>
                <w14:textFill>
                  <w14:solidFill>
                    <w14:schemeClr w14:val="tx1"/>
                  </w14:solidFill>
                </w14:textFill>
              </w:rPr>
              <w:t>40</w:t>
            </w:r>
          </w:p>
        </w:tc>
        <w:tc>
          <w:tcPr>
            <w:tcW w:w="585" w:type="pct"/>
            <w:tcBorders>
              <w:tl2br w:val="nil"/>
              <w:tr2bl w:val="nil"/>
            </w:tcBorders>
            <w:vAlign w:val="center"/>
          </w:tcPr>
          <w:p w14:paraId="003279C8">
            <w:pPr>
              <w:spacing w:before="98"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40</w:t>
            </w:r>
          </w:p>
        </w:tc>
        <w:tc>
          <w:tcPr>
            <w:tcW w:w="1188" w:type="pct"/>
            <w:vMerge w:val="continue"/>
            <w:tcBorders>
              <w:tl2br w:val="nil"/>
              <w:tr2bl w:val="nil"/>
            </w:tcBorders>
            <w:vAlign w:val="center"/>
          </w:tcPr>
          <w:p w14:paraId="21B1480C">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3121720E">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13" w:type="pct"/>
            <w:vMerge w:val="continue"/>
            <w:tcBorders>
              <w:tl2br w:val="nil"/>
              <w:tr2bl w:val="nil"/>
            </w:tcBorders>
            <w:vAlign w:val="center"/>
          </w:tcPr>
          <w:p w14:paraId="615FF51B">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7B3D1289">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5346B955">
            <w:pPr>
              <w:pStyle w:val="119"/>
              <w:spacing w:before="30" w:line="18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24</w:t>
            </w:r>
            <w:r>
              <w:rPr>
                <w:rFonts w:hint="eastAsia" w:ascii="宋体" w:hAnsi="宋体" w:eastAsia="宋体" w:cs="宋体"/>
                <w:color w:val="000000" w:themeColor="text1"/>
                <w:spacing w:val="22"/>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4"/>
                <w:sz w:val="18"/>
                <w:szCs w:val="18"/>
                <w:u w:val="none" w:color="auto"/>
                <w14:textFill>
                  <w14:solidFill>
                    <w14:schemeClr w14:val="tx1"/>
                  </w14:solidFill>
                </w14:textFill>
              </w:rPr>
              <w:t>小时平均</w:t>
            </w:r>
          </w:p>
        </w:tc>
        <w:tc>
          <w:tcPr>
            <w:tcW w:w="812" w:type="pct"/>
            <w:tcBorders>
              <w:tl2br w:val="nil"/>
              <w:tr2bl w:val="nil"/>
            </w:tcBorders>
            <w:vAlign w:val="center"/>
          </w:tcPr>
          <w:p w14:paraId="7443C005">
            <w:pPr>
              <w:spacing w:before="66" w:line="17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100</w:t>
            </w:r>
          </w:p>
        </w:tc>
        <w:tc>
          <w:tcPr>
            <w:tcW w:w="625" w:type="pct"/>
            <w:tcBorders>
              <w:tl2br w:val="nil"/>
              <w:tr2bl w:val="nil"/>
            </w:tcBorders>
            <w:vAlign w:val="center"/>
          </w:tcPr>
          <w:p w14:paraId="51C95926">
            <w:pPr>
              <w:spacing w:before="66" w:line="175" w:lineRule="auto"/>
              <w:jc w:val="center"/>
              <w:rPr>
                <w:rFonts w:hint="default" w:ascii="宋体" w:hAnsi="宋体" w:eastAsia="宋体" w:cs="宋体"/>
                <w:color w:val="000000" w:themeColor="text1"/>
                <w:spacing w:val="-3"/>
                <w:sz w:val="18"/>
                <w:szCs w:val="18"/>
                <w:highlight w:val="none"/>
                <w:u w:val="none" w:color="auto"/>
                <w:lang w:val="en-US" w:eastAsia="zh-CN"/>
                <w14:textFill>
                  <w14:solidFill>
                    <w14:schemeClr w14:val="tx1"/>
                  </w14:solidFill>
                </w14:textFill>
              </w:rPr>
            </w:pPr>
            <w:r>
              <w:rPr>
                <w:rFonts w:hint="eastAsia" w:ascii="宋体" w:hAnsi="宋体" w:cs="宋体"/>
                <w:color w:val="000000" w:themeColor="text1"/>
                <w:spacing w:val="-3"/>
                <w:sz w:val="18"/>
                <w:szCs w:val="18"/>
                <w:highlight w:val="none"/>
                <w:u w:val="none" w:color="auto"/>
                <w:lang w:val="en-US" w:eastAsia="zh-CN"/>
                <w14:textFill>
                  <w14:solidFill>
                    <w14:schemeClr w14:val="tx1"/>
                  </w14:solidFill>
                </w14:textFill>
              </w:rPr>
              <w:t>70</w:t>
            </w:r>
          </w:p>
        </w:tc>
        <w:tc>
          <w:tcPr>
            <w:tcW w:w="585" w:type="pct"/>
            <w:tcBorders>
              <w:tl2br w:val="nil"/>
              <w:tr2bl w:val="nil"/>
            </w:tcBorders>
            <w:vAlign w:val="center"/>
          </w:tcPr>
          <w:p w14:paraId="6DFD0F0E">
            <w:pPr>
              <w:spacing w:before="66" w:line="17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70</w:t>
            </w:r>
          </w:p>
        </w:tc>
        <w:tc>
          <w:tcPr>
            <w:tcW w:w="1188" w:type="pct"/>
            <w:vMerge w:val="continue"/>
            <w:tcBorders>
              <w:tl2br w:val="nil"/>
              <w:tr2bl w:val="nil"/>
            </w:tcBorders>
            <w:vAlign w:val="center"/>
          </w:tcPr>
          <w:p w14:paraId="35932291">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6F21EF5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570E582B">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35FD02C5">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62808752">
            <w:pPr>
              <w:pStyle w:val="119"/>
              <w:spacing w:before="64" w:line="222"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1</w:t>
            </w:r>
            <w:r>
              <w:rPr>
                <w:rFonts w:hint="eastAsia" w:ascii="宋体" w:hAnsi="宋体" w:eastAsia="宋体" w:cs="宋体"/>
                <w:color w:val="000000" w:themeColor="text1"/>
                <w:spacing w:val="20"/>
                <w:w w:val="101"/>
                <w:sz w:val="18"/>
                <w:szCs w:val="18"/>
                <w:u w:val="none" w:color="auto"/>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小时平均</w:t>
            </w:r>
          </w:p>
        </w:tc>
        <w:tc>
          <w:tcPr>
            <w:tcW w:w="812" w:type="pct"/>
            <w:tcBorders>
              <w:tl2br w:val="nil"/>
              <w:tr2bl w:val="nil"/>
            </w:tcBorders>
            <w:vAlign w:val="center"/>
          </w:tcPr>
          <w:p w14:paraId="55F05A55">
            <w:pPr>
              <w:spacing w:before="100"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250</w:t>
            </w:r>
          </w:p>
        </w:tc>
        <w:tc>
          <w:tcPr>
            <w:tcW w:w="625" w:type="pct"/>
            <w:tcBorders>
              <w:tl2br w:val="nil"/>
              <w:tr2bl w:val="nil"/>
            </w:tcBorders>
            <w:vAlign w:val="center"/>
          </w:tcPr>
          <w:p w14:paraId="21FF7293">
            <w:pPr>
              <w:spacing w:before="100" w:line="195" w:lineRule="auto"/>
              <w:jc w:val="center"/>
              <w:rPr>
                <w:rFonts w:hint="default" w:ascii="宋体" w:hAnsi="宋体" w:eastAsia="宋体" w:cs="宋体"/>
                <w:color w:val="000000" w:themeColor="text1"/>
                <w:spacing w:val="3"/>
                <w:sz w:val="18"/>
                <w:szCs w:val="18"/>
                <w:highlight w:val="none"/>
                <w:u w:val="none" w:color="auto"/>
                <w:lang w:val="en-US" w:eastAsia="zh-CN"/>
                <w14:textFill>
                  <w14:solidFill>
                    <w14:schemeClr w14:val="tx1"/>
                  </w14:solidFill>
                </w14:textFill>
              </w:rPr>
            </w:pPr>
            <w:r>
              <w:rPr>
                <w:rFonts w:hint="eastAsia" w:ascii="宋体" w:hAnsi="宋体" w:cs="宋体"/>
                <w:color w:val="000000" w:themeColor="text1"/>
                <w:spacing w:val="3"/>
                <w:sz w:val="18"/>
                <w:szCs w:val="18"/>
                <w:highlight w:val="none"/>
                <w:u w:val="none" w:color="auto"/>
                <w:lang w:val="en-US" w:eastAsia="zh-CN"/>
                <w14:textFill>
                  <w14:solidFill>
                    <w14:schemeClr w14:val="tx1"/>
                  </w14:solidFill>
                </w14:textFill>
              </w:rPr>
              <w:t>250</w:t>
            </w:r>
          </w:p>
        </w:tc>
        <w:tc>
          <w:tcPr>
            <w:tcW w:w="585" w:type="pct"/>
            <w:tcBorders>
              <w:tl2br w:val="nil"/>
              <w:tr2bl w:val="nil"/>
            </w:tcBorders>
            <w:vAlign w:val="center"/>
          </w:tcPr>
          <w:p w14:paraId="7BFAD8AC">
            <w:pPr>
              <w:spacing w:before="100" w:line="195" w:lineRule="auto"/>
              <w:jc w:val="cente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3"/>
                <w:sz w:val="18"/>
                <w:szCs w:val="18"/>
                <w:u w:val="none" w:color="auto"/>
                <w:lang w:val="en-US" w:eastAsia="zh-CN"/>
                <w14:textFill>
                  <w14:solidFill>
                    <w14:schemeClr w14:val="tx1"/>
                  </w14:solidFill>
                </w14:textFill>
              </w:rPr>
              <w:t>250</w:t>
            </w:r>
          </w:p>
        </w:tc>
        <w:tc>
          <w:tcPr>
            <w:tcW w:w="1188" w:type="pct"/>
            <w:vMerge w:val="continue"/>
            <w:tcBorders>
              <w:tl2br w:val="nil"/>
              <w:tr2bl w:val="nil"/>
            </w:tcBorders>
            <w:vAlign w:val="center"/>
          </w:tcPr>
          <w:p w14:paraId="0B04C5DC">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116D5BA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6429FFBF">
            <w:pPr>
              <w:spacing w:before="260" w:line="19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Pb</w:t>
            </w:r>
          </w:p>
        </w:tc>
        <w:tc>
          <w:tcPr>
            <w:tcW w:w="437" w:type="pct"/>
            <w:vMerge w:val="restart"/>
            <w:tcBorders>
              <w:tl2br w:val="nil"/>
              <w:tr2bl w:val="nil"/>
            </w:tcBorders>
            <w:vAlign w:val="center"/>
          </w:tcPr>
          <w:p w14:paraId="09659C68">
            <w:pPr>
              <w:spacing w:before="244" w:line="218" w:lineRule="auto"/>
              <w:jc w:val="cente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p w14:paraId="70B0E1C4">
            <w:pPr>
              <w:rPr>
                <w:rFonts w:hint="eastAsia"/>
                <w:color w:val="000000" w:themeColor="text1"/>
                <w14:textFill>
                  <w14:solidFill>
                    <w14:schemeClr w14:val="tx1"/>
                  </w14:solidFill>
                </w14:textFill>
              </w:rPr>
            </w:pPr>
          </w:p>
        </w:tc>
        <w:tc>
          <w:tcPr>
            <w:tcW w:w="937" w:type="pct"/>
            <w:tcBorders>
              <w:tl2br w:val="nil"/>
              <w:tr2bl w:val="nil"/>
            </w:tcBorders>
            <w:vAlign w:val="center"/>
          </w:tcPr>
          <w:p w14:paraId="00AFDD9D">
            <w:pPr>
              <w:pStyle w:val="119"/>
              <w:spacing w:before="65" w:line="221"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年平均</w:t>
            </w:r>
          </w:p>
        </w:tc>
        <w:tc>
          <w:tcPr>
            <w:tcW w:w="812" w:type="pct"/>
            <w:tcBorders>
              <w:tl2br w:val="nil"/>
              <w:tr2bl w:val="nil"/>
            </w:tcBorders>
            <w:vAlign w:val="center"/>
          </w:tcPr>
          <w:p w14:paraId="193AB071">
            <w:pPr>
              <w:spacing w:before="101"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0.5</w:t>
            </w:r>
          </w:p>
        </w:tc>
        <w:tc>
          <w:tcPr>
            <w:tcW w:w="625" w:type="pct"/>
            <w:tcBorders>
              <w:tl2br w:val="nil"/>
              <w:tr2bl w:val="nil"/>
            </w:tcBorders>
            <w:vAlign w:val="center"/>
          </w:tcPr>
          <w:p w14:paraId="7FFA2BC9">
            <w:pPr>
              <w:spacing w:before="101" w:line="195" w:lineRule="auto"/>
              <w:jc w:val="center"/>
              <w:rPr>
                <w:rFonts w:hint="eastAsia" w:ascii="宋体" w:hAnsi="宋体" w:eastAsia="宋体" w:cs="宋体"/>
                <w:color w:val="000000" w:themeColor="text1"/>
                <w:spacing w:val="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0.5</w:t>
            </w:r>
          </w:p>
        </w:tc>
        <w:tc>
          <w:tcPr>
            <w:tcW w:w="585" w:type="pct"/>
            <w:tcBorders>
              <w:tl2br w:val="nil"/>
              <w:tr2bl w:val="nil"/>
            </w:tcBorders>
            <w:vAlign w:val="center"/>
          </w:tcPr>
          <w:p w14:paraId="6FBE8569">
            <w:pPr>
              <w:spacing w:before="101" w:line="195" w:lineRule="auto"/>
              <w:jc w:val="cente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1"/>
                <w:sz w:val="18"/>
                <w:szCs w:val="18"/>
                <w:u w:val="none" w:color="auto"/>
                <w:lang w:val="en-US" w:eastAsia="zh-CN"/>
                <w14:textFill>
                  <w14:solidFill>
                    <w14:schemeClr w14:val="tx1"/>
                  </w14:solidFill>
                </w14:textFill>
              </w:rPr>
              <w:t>0.5</w:t>
            </w:r>
          </w:p>
        </w:tc>
        <w:tc>
          <w:tcPr>
            <w:tcW w:w="1188" w:type="pct"/>
            <w:vMerge w:val="continue"/>
            <w:tcBorders>
              <w:tl2br w:val="nil"/>
              <w:tr2bl w:val="nil"/>
            </w:tcBorders>
            <w:vAlign w:val="center"/>
          </w:tcPr>
          <w:p w14:paraId="0ACDE317">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61C545E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continue"/>
            <w:tcBorders>
              <w:tl2br w:val="nil"/>
              <w:tr2bl w:val="nil"/>
            </w:tcBorders>
            <w:vAlign w:val="center"/>
          </w:tcPr>
          <w:p w14:paraId="3366920D">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46350F7A">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26BEDD7F">
            <w:pPr>
              <w:pStyle w:val="119"/>
              <w:spacing w:before="66" w:line="220"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季平均</w:t>
            </w:r>
          </w:p>
        </w:tc>
        <w:tc>
          <w:tcPr>
            <w:tcW w:w="812" w:type="pct"/>
            <w:tcBorders>
              <w:tl2br w:val="nil"/>
              <w:tr2bl w:val="nil"/>
            </w:tcBorders>
            <w:vAlign w:val="center"/>
          </w:tcPr>
          <w:p w14:paraId="4EA7893A">
            <w:pPr>
              <w:spacing w:before="103"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1</w:t>
            </w:r>
          </w:p>
        </w:tc>
        <w:tc>
          <w:tcPr>
            <w:tcW w:w="625" w:type="pct"/>
            <w:tcBorders>
              <w:tl2br w:val="nil"/>
              <w:tr2bl w:val="nil"/>
            </w:tcBorders>
            <w:vAlign w:val="center"/>
          </w:tcPr>
          <w:p w14:paraId="4D4682A6">
            <w:pPr>
              <w:spacing w:before="103"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1</w:t>
            </w:r>
          </w:p>
        </w:tc>
        <w:tc>
          <w:tcPr>
            <w:tcW w:w="585" w:type="pct"/>
            <w:tcBorders>
              <w:tl2br w:val="nil"/>
              <w:tr2bl w:val="nil"/>
            </w:tcBorders>
            <w:vAlign w:val="center"/>
          </w:tcPr>
          <w:p w14:paraId="429688F3">
            <w:pPr>
              <w:spacing w:before="103" w:line="195" w:lineRule="auto"/>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1</w:t>
            </w:r>
          </w:p>
        </w:tc>
        <w:tc>
          <w:tcPr>
            <w:tcW w:w="1188" w:type="pct"/>
            <w:vMerge w:val="continue"/>
            <w:tcBorders>
              <w:tl2br w:val="nil"/>
              <w:tr2bl w:val="nil"/>
            </w:tcBorders>
            <w:vAlign w:val="center"/>
          </w:tcPr>
          <w:p w14:paraId="53951365">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4E100F6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13" w:type="pct"/>
            <w:vMerge w:val="restart"/>
            <w:tcBorders>
              <w:tl2br w:val="nil"/>
              <w:tr2bl w:val="nil"/>
            </w:tcBorders>
            <w:vAlign w:val="center"/>
          </w:tcPr>
          <w:p w14:paraId="287805A2">
            <w:pPr>
              <w:pStyle w:val="119"/>
              <w:spacing w:before="234" w:line="22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5"/>
                <w:sz w:val="18"/>
                <w:szCs w:val="18"/>
                <w:u w:val="none" w:color="auto"/>
                <w14:textFill>
                  <w14:solidFill>
                    <w14:schemeClr w14:val="tx1"/>
                  </w14:solidFill>
                </w14:textFill>
              </w:rPr>
              <w:t>硫酸</w:t>
            </w:r>
          </w:p>
        </w:tc>
        <w:tc>
          <w:tcPr>
            <w:tcW w:w="437" w:type="pct"/>
            <w:vMerge w:val="restart"/>
            <w:tcBorders>
              <w:tl2br w:val="nil"/>
              <w:tr2bl w:val="nil"/>
            </w:tcBorders>
            <w:vAlign w:val="center"/>
          </w:tcPr>
          <w:p w14:paraId="2C36D118">
            <w:pPr>
              <w:spacing w:before="249" w:line="218" w:lineRule="auto"/>
              <w:jc w:val="center"/>
              <w:rPr>
                <w:rFonts w:hint="eastAsia"/>
                <w:color w:val="000000" w:themeColor="text1"/>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tc>
        <w:tc>
          <w:tcPr>
            <w:tcW w:w="937" w:type="pct"/>
            <w:tcBorders>
              <w:tl2br w:val="nil"/>
              <w:tr2bl w:val="nil"/>
            </w:tcBorders>
            <w:vAlign w:val="center"/>
          </w:tcPr>
          <w:p w14:paraId="546ECEAF">
            <w:pPr>
              <w:pStyle w:val="119"/>
              <w:spacing w:before="71" w:line="216"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1</w:t>
            </w:r>
            <w:r>
              <w:rPr>
                <w:rFonts w:hint="eastAsia" w:ascii="宋体" w:hAnsi="宋体" w:eastAsia="宋体" w:cs="宋体"/>
                <w:color w:val="000000" w:themeColor="text1"/>
                <w:spacing w:val="20"/>
                <w:w w:val="101"/>
                <w:sz w:val="18"/>
                <w:szCs w:val="18"/>
                <w:u w:val="none" w:color="auto"/>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小时平均</w:t>
            </w:r>
          </w:p>
        </w:tc>
        <w:tc>
          <w:tcPr>
            <w:tcW w:w="2022" w:type="pct"/>
            <w:gridSpan w:val="3"/>
            <w:tcBorders>
              <w:tl2br w:val="nil"/>
              <w:tr2bl w:val="nil"/>
            </w:tcBorders>
            <w:vAlign w:val="center"/>
          </w:tcPr>
          <w:p w14:paraId="5238E239">
            <w:pPr>
              <w:spacing w:before="106" w:line="195" w:lineRule="auto"/>
              <w:ind w:left="430"/>
              <w:jc w:val="center"/>
              <w:rPr>
                <w:rFonts w:hint="eastAsia" w:ascii="宋体" w:hAnsi="宋体" w:eastAsia="宋体" w:cs="宋体"/>
                <w:color w:val="000000" w:themeColor="text1"/>
                <w:spacing w:val="2"/>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300</w:t>
            </w:r>
          </w:p>
        </w:tc>
        <w:tc>
          <w:tcPr>
            <w:tcW w:w="1188" w:type="pct"/>
            <w:vMerge w:val="restart"/>
            <w:tcBorders>
              <w:tl2br w:val="nil"/>
              <w:tr2bl w:val="nil"/>
            </w:tcBorders>
            <w:vAlign w:val="center"/>
          </w:tcPr>
          <w:p w14:paraId="47362118">
            <w:pPr>
              <w:pStyle w:val="119"/>
              <w:spacing w:before="97" w:line="226"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HJ</w:t>
            </w:r>
            <w:r>
              <w:rPr>
                <w:rFonts w:hint="eastAsia" w:ascii="宋体" w:hAnsi="宋体" w:eastAsia="宋体" w:cs="宋体"/>
                <w:color w:val="000000" w:themeColor="text1"/>
                <w:spacing w:val="8"/>
                <w:sz w:val="18"/>
                <w:szCs w:val="18"/>
                <w:u w:val="none" w:color="auto"/>
                <w14:textFill>
                  <w14:solidFill>
                    <w14:schemeClr w14:val="tx1"/>
                  </w14:solidFill>
                </w14:textFill>
              </w:rPr>
              <w:t>2.2—2018《环境影响评价导则（大气</w:t>
            </w:r>
            <w:r>
              <w:rPr>
                <w:rFonts w:hint="eastAsia" w:ascii="宋体" w:hAnsi="宋体" w:eastAsia="宋体" w:cs="宋体"/>
                <w:color w:val="000000" w:themeColor="text1"/>
                <w:spacing w:val="7"/>
                <w:sz w:val="18"/>
                <w:szCs w:val="18"/>
                <w:u w:val="none" w:color="auto"/>
                <w14:textFill>
                  <w14:solidFill>
                    <w14:schemeClr w14:val="tx1"/>
                  </w14:solidFill>
                </w14:textFill>
              </w:rPr>
              <w:t>环境）》中附录</w:t>
            </w:r>
            <w:r>
              <w:rPr>
                <w:rFonts w:hint="eastAsia" w:ascii="宋体" w:hAnsi="宋体" w:eastAsia="宋体" w:cs="宋体"/>
                <w:color w:val="000000" w:themeColor="text1"/>
                <w:spacing w:val="-35"/>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7"/>
                <w:sz w:val="18"/>
                <w:szCs w:val="18"/>
                <w:u w:val="none" w:color="auto"/>
                <w14:textFill>
                  <w14:solidFill>
                    <w14:schemeClr w14:val="tx1"/>
                  </w14:solidFill>
                </w14:textFill>
              </w:rPr>
              <w:t>D</w:t>
            </w:r>
          </w:p>
        </w:tc>
      </w:tr>
      <w:tr w14:paraId="6FFF1A6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13" w:type="pct"/>
            <w:vMerge w:val="continue"/>
            <w:tcBorders>
              <w:tl2br w:val="nil"/>
              <w:tr2bl w:val="nil"/>
            </w:tcBorders>
            <w:vAlign w:val="center"/>
          </w:tcPr>
          <w:p w14:paraId="3E9A334A">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437" w:type="pct"/>
            <w:vMerge w:val="continue"/>
            <w:tcBorders>
              <w:tl2br w:val="nil"/>
              <w:tr2bl w:val="nil"/>
            </w:tcBorders>
            <w:vAlign w:val="center"/>
          </w:tcPr>
          <w:p w14:paraId="3CC31444">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937" w:type="pct"/>
            <w:tcBorders>
              <w:tl2br w:val="nil"/>
              <w:tr2bl w:val="nil"/>
            </w:tcBorders>
            <w:vAlign w:val="center"/>
          </w:tcPr>
          <w:p w14:paraId="4B079683">
            <w:pPr>
              <w:pStyle w:val="119"/>
              <w:spacing w:before="71"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日均值</w:t>
            </w:r>
          </w:p>
        </w:tc>
        <w:tc>
          <w:tcPr>
            <w:tcW w:w="2022" w:type="pct"/>
            <w:gridSpan w:val="3"/>
            <w:tcBorders>
              <w:tl2br w:val="nil"/>
              <w:tr2bl w:val="nil"/>
            </w:tcBorders>
            <w:vAlign w:val="center"/>
          </w:tcPr>
          <w:p w14:paraId="5B43277E">
            <w:pPr>
              <w:spacing w:before="108" w:line="195" w:lineRule="auto"/>
              <w:ind w:left="446"/>
              <w:jc w:val="center"/>
              <w:rPr>
                <w:rFonts w:hint="eastAsia" w:ascii="宋体" w:hAnsi="宋体" w:eastAsia="宋体" w:cs="宋体"/>
                <w:color w:val="000000" w:themeColor="text1"/>
                <w:spacing w:val="-3"/>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100</w:t>
            </w:r>
          </w:p>
        </w:tc>
        <w:tc>
          <w:tcPr>
            <w:tcW w:w="1188" w:type="pct"/>
            <w:vMerge w:val="continue"/>
            <w:tcBorders>
              <w:tl2br w:val="nil"/>
              <w:tr2bl w:val="nil"/>
            </w:tcBorders>
            <w:vAlign w:val="center"/>
          </w:tcPr>
          <w:p w14:paraId="74ADC7CA">
            <w:pPr>
              <w:jc w:val="center"/>
              <w:rPr>
                <w:rFonts w:hint="eastAsia" w:ascii="宋体" w:hAnsi="宋体" w:eastAsia="宋体" w:cs="宋体"/>
                <w:color w:val="000000" w:themeColor="text1"/>
                <w:sz w:val="18"/>
                <w:szCs w:val="18"/>
                <w:u w:val="none" w:color="auto"/>
                <w14:textFill>
                  <w14:solidFill>
                    <w14:schemeClr w14:val="tx1"/>
                  </w14:solidFill>
                </w14:textFill>
              </w:rPr>
            </w:pPr>
          </w:p>
        </w:tc>
      </w:tr>
      <w:tr w14:paraId="44DC9BF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13" w:type="pct"/>
            <w:tcBorders>
              <w:tl2br w:val="nil"/>
              <w:tr2bl w:val="nil"/>
            </w:tcBorders>
            <w:vAlign w:val="center"/>
          </w:tcPr>
          <w:p w14:paraId="05D1DECE">
            <w:pPr>
              <w:pStyle w:val="119"/>
              <w:spacing w:before="56" w:line="228" w:lineRule="auto"/>
              <w:jc w:val="both"/>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非甲烷总烃</w:t>
            </w:r>
          </w:p>
        </w:tc>
        <w:tc>
          <w:tcPr>
            <w:tcW w:w="437" w:type="pct"/>
            <w:tcBorders>
              <w:tl2br w:val="nil"/>
              <w:tr2bl w:val="nil"/>
            </w:tcBorders>
            <w:vAlign w:val="center"/>
          </w:tcPr>
          <w:p w14:paraId="69E3191D">
            <w:pPr>
              <w:spacing w:before="71" w:line="21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µg/m</w:t>
            </w:r>
            <w:r>
              <w:rPr>
                <w:rFonts w:hint="eastAsia" w:ascii="宋体" w:hAnsi="宋体" w:eastAsia="宋体" w:cs="宋体"/>
                <w:color w:val="000000" w:themeColor="text1"/>
                <w:spacing w:val="2"/>
                <w:sz w:val="18"/>
                <w:szCs w:val="18"/>
                <w:u w:val="none" w:color="auto"/>
                <w:vertAlign w:val="superscript"/>
                <w:lang w:val="en-US" w:eastAsia="zh-CN"/>
                <w14:textFill>
                  <w14:solidFill>
                    <w14:schemeClr w14:val="tx1"/>
                  </w14:solidFill>
                </w14:textFill>
              </w:rPr>
              <w:t>3</w:t>
            </w:r>
          </w:p>
        </w:tc>
        <w:tc>
          <w:tcPr>
            <w:tcW w:w="937" w:type="pct"/>
            <w:tcBorders>
              <w:tl2br w:val="nil"/>
              <w:tr2bl w:val="nil"/>
            </w:tcBorders>
            <w:vAlign w:val="center"/>
          </w:tcPr>
          <w:p w14:paraId="72B88E2A">
            <w:pPr>
              <w:spacing w:before="181" w:line="8" w:lineRule="exact"/>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499110</wp:posOffset>
                      </wp:positionH>
                      <wp:positionV relativeFrom="paragraph">
                        <wp:posOffset>27940</wp:posOffset>
                      </wp:positionV>
                      <wp:extent cx="158115" cy="17907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58115" cy="179070"/>
                              </a:xfrm>
                              <a:prstGeom prst="rect">
                                <a:avLst/>
                              </a:prstGeom>
                              <a:noFill/>
                              <a:ln>
                                <a:noFill/>
                              </a:ln>
                            </wps:spPr>
                            <wps:txbx>
                              <w:txbxContent>
                                <w:p w14:paraId="66F85BD9">
                                  <w:pPr>
                                    <w:tabs>
                                      <w:tab w:val="left" w:pos="227"/>
                                    </w:tabs>
                                    <w:spacing w:before="20"/>
                                    <w:ind w:left="20"/>
                                    <w:rPr>
                                      <w:rFonts w:ascii="Arial"/>
                                      <w:sz w:val="21"/>
                                    </w:rPr>
                                  </w:pPr>
                                  <w:r>
                                    <w:rPr>
                                      <w:rFonts w:ascii="Arial" w:hAnsi="Arial" w:eastAsia="Arial" w:cs="Arial"/>
                                      <w:sz w:val="21"/>
                                      <w:szCs w:val="21"/>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39.3pt;margin-top:2.2pt;height:14.1pt;width:12.45pt;z-index:251726848;mso-width-relative:page;mso-height-relative:page;" filled="f" stroked="f" coordsize="21600,21600" o:gfxdata="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c7PpvWAAAABwEAAA8AAAAAAAAAAQAgAAAAIgAAAGRycy9kb3ducmV2LnhtbFBLAQIU&#10;ABQAAAAIAIdO4kDf7DEpvAEAAHUDAAAOAAAAAAAAAAEAIAAAACUBAABkcnMvZTJvRG9jLnhtbFBL&#10;BQYAAAAABgAGAFkBAABTBQAAAAA=&#10;">
                      <v:fill on="f" focussize="0,0"/>
                      <v:stroke on="f"/>
                      <v:imagedata o:title=""/>
                      <o:lock v:ext="edit" aspectratio="f"/>
                      <v:textbox inset="0mm,0mm,0mm,0mm">
                        <w:txbxContent>
                          <w:p w14:paraId="66F85BD9">
                            <w:pPr>
                              <w:tabs>
                                <w:tab w:val="left" w:pos="227"/>
                              </w:tabs>
                              <w:spacing w:before="20"/>
                              <w:ind w:left="20"/>
                              <w:rPr>
                                <w:rFonts w:ascii="Arial"/>
                                <w:sz w:val="21"/>
                              </w:rPr>
                            </w:pPr>
                            <w:r>
                              <w:rPr>
                                <w:rFonts w:ascii="Arial" w:hAnsi="Arial" w:eastAsia="Arial" w:cs="Arial"/>
                                <w:sz w:val="21"/>
                                <w:szCs w:val="21"/>
                                <w:u w:val="single" w:color="auto"/>
                              </w:rPr>
                              <w:tab/>
                            </w:r>
                          </w:p>
                        </w:txbxContent>
                      </v:textbox>
                    </v:shape>
                  </w:pict>
                </mc:Fallback>
              </mc:AlternateContent>
            </w:r>
            <w:r>
              <w:rPr>
                <w:rFonts w:hint="eastAsia" w:ascii="宋体" w:hAnsi="宋体" w:eastAsia="宋体" w:cs="宋体"/>
                <w:color w:val="000000" w:themeColor="text1"/>
                <w:spacing w:val="12"/>
                <w:position w:val="-5"/>
                <w:sz w:val="18"/>
                <w:szCs w:val="18"/>
                <w:u w:val="none" w:color="auto"/>
                <w14:textFill>
                  <w14:solidFill>
                    <w14:schemeClr w14:val="tx1"/>
                  </w14:solidFill>
                </w14:textFill>
              </w:rPr>
              <w:t>—</w:t>
            </w:r>
          </w:p>
        </w:tc>
        <w:tc>
          <w:tcPr>
            <w:tcW w:w="2022" w:type="pct"/>
            <w:gridSpan w:val="3"/>
            <w:tcBorders>
              <w:tl2br w:val="nil"/>
              <w:tr2bl w:val="nil"/>
            </w:tcBorders>
            <w:vAlign w:val="center"/>
          </w:tcPr>
          <w:p w14:paraId="49FC1239">
            <w:pPr>
              <w:pStyle w:val="119"/>
              <w:spacing w:before="56" w:line="228" w:lineRule="auto"/>
              <w:jc w:val="center"/>
              <w:rPr>
                <w:rFonts w:hint="eastAsia" w:ascii="宋体" w:hAnsi="宋体" w:eastAsia="宋体" w:cs="宋体"/>
                <w:color w:val="000000" w:themeColor="text1"/>
                <w:spacing w:val="9"/>
                <w:sz w:val="18"/>
                <w:szCs w:val="18"/>
                <w:u w:val="none" w:color="auto"/>
                <w14:textFill>
                  <w14:solidFill>
                    <w14:schemeClr w14:val="tx1"/>
                  </w14:solidFill>
                </w14:textFill>
              </w:rPr>
            </w:pPr>
            <w:r>
              <w:rPr>
                <w:rFonts w:hint="eastAsia" w:ascii="宋体" w:hAnsi="宋体" w:eastAsia="宋体" w:cs="宋体"/>
                <w:color w:val="000000" w:themeColor="text1"/>
                <w:spacing w:val="4"/>
                <w:sz w:val="18"/>
                <w:szCs w:val="18"/>
                <w:u w:val="none" w:color="auto"/>
                <w14:textFill>
                  <w14:solidFill>
                    <w14:schemeClr w14:val="tx1"/>
                  </w14:solidFill>
                </w14:textFill>
              </w:rPr>
              <w:t>2000</w:t>
            </w:r>
          </w:p>
        </w:tc>
        <w:tc>
          <w:tcPr>
            <w:tcW w:w="1188" w:type="pct"/>
            <w:tcBorders>
              <w:tl2br w:val="nil"/>
              <w:tr2bl w:val="nil"/>
            </w:tcBorders>
            <w:vAlign w:val="center"/>
          </w:tcPr>
          <w:p w14:paraId="11981CCA">
            <w:pPr>
              <w:pStyle w:val="119"/>
              <w:spacing w:before="56" w:line="228" w:lineRule="auto"/>
              <w:jc w:val="center"/>
              <w:rPr>
                <w:rFonts w:hint="eastAsia" w:ascii="宋体" w:hAnsi="宋体" w:eastAsia="宋体" w:cs="宋体"/>
                <w:color w:val="000000" w:themeColor="text1"/>
                <w:spacing w:val="9"/>
                <w:sz w:val="18"/>
                <w:szCs w:val="18"/>
                <w:u w:val="none" w:color="auto"/>
                <w14:textFill>
                  <w14:solidFill>
                    <w14:schemeClr w14:val="tx1"/>
                  </w14:solidFill>
                </w14:textFill>
              </w:rPr>
            </w:pPr>
            <w:r>
              <w:rPr>
                <w:rFonts w:hint="eastAsia" w:ascii="宋体" w:hAnsi="宋体" w:eastAsia="宋体" w:cs="宋体"/>
                <w:color w:val="000000" w:themeColor="text1"/>
                <w:spacing w:val="9"/>
                <w:sz w:val="18"/>
                <w:szCs w:val="18"/>
                <w:u w:val="none" w:color="auto"/>
                <w14:textFill>
                  <w14:solidFill>
                    <w14:schemeClr w14:val="tx1"/>
                  </w14:solidFill>
                </w14:textFill>
              </w:rPr>
              <w:t>大气污染物综合排放标准详解</w:t>
            </w:r>
          </w:p>
        </w:tc>
      </w:tr>
    </w:tbl>
    <w:p w14:paraId="7C3558C2">
      <w:pPr>
        <w:keepNext w:val="0"/>
        <w:keepLines w:val="0"/>
        <w:pageBreakBefore w:val="0"/>
        <w:widowControl w:val="0"/>
        <w:kinsoku/>
        <w:wordWrap/>
        <w:overflowPunct/>
        <w:topLinePunct w:val="0"/>
        <w:autoSpaceDE/>
        <w:autoSpaceDN w:val="0"/>
        <w:bidi w:val="0"/>
        <w:adjustRightInd/>
        <w:snapToGrid w:val="0"/>
        <w:spacing w:line="500" w:lineRule="exact"/>
        <w:ind w:right="0" w:rightChars="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污染物排放标准</w:t>
      </w:r>
    </w:p>
    <w:p w14:paraId="761FF585">
      <w:pPr>
        <w:spacing w:before="181" w:line="359" w:lineRule="auto"/>
        <w:ind w:left="112" w:right="314" w:firstLine="488"/>
        <w:rPr>
          <w:rFonts w:ascii="宋体" w:hAnsi="宋体" w:eastAsia="宋体" w:cs="宋体"/>
          <w:color w:val="000000" w:themeColor="text1"/>
          <w:sz w:val="24"/>
          <w:szCs w:val="24"/>
          <w:u w:val="none" w:color="auto"/>
          <w14:textFill>
            <w14:solidFill>
              <w14:schemeClr w14:val="tx1"/>
            </w14:solidFill>
          </w14:textFill>
        </w:rPr>
      </w:pPr>
      <w:r>
        <w:rPr>
          <w:rFonts w:ascii="宋体" w:hAnsi="宋体" w:eastAsia="宋体" w:cs="宋体"/>
          <w:color w:val="000000" w:themeColor="text1"/>
          <w:spacing w:val="2"/>
          <w:sz w:val="24"/>
          <w:szCs w:val="24"/>
          <w:u w:val="none" w:color="auto"/>
          <w14:textFill>
            <w14:solidFill>
              <w14:schemeClr w14:val="tx1"/>
            </w14:solidFill>
          </w14:textFill>
        </w:rPr>
        <w:t>非甲烷总烃和切割粉尘排放执行</w:t>
      </w:r>
      <w:r>
        <w:rPr>
          <w:rFonts w:ascii="宋体" w:hAnsi="宋体" w:eastAsia="宋体" w:cs="宋体"/>
          <w:color w:val="000000" w:themeColor="text1"/>
          <w:spacing w:val="-49"/>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z w:val="24"/>
          <w:szCs w:val="24"/>
          <w:u w:val="none" w:color="auto"/>
          <w14:textFill>
            <w14:solidFill>
              <w14:schemeClr w14:val="tx1"/>
            </w14:solidFill>
          </w14:textFill>
        </w:rPr>
        <w:t>GB</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16297-1996</w:t>
      </w:r>
      <w:r>
        <w:rPr>
          <w:rFonts w:ascii="宋体" w:hAnsi="宋体" w:eastAsia="宋体" w:cs="宋体"/>
          <w:color w:val="000000" w:themeColor="text1"/>
          <w:spacing w:val="2"/>
          <w:sz w:val="24"/>
          <w:szCs w:val="24"/>
          <w:u w:val="none" w:color="auto"/>
          <w14:textFill>
            <w14:solidFill>
              <w14:schemeClr w14:val="tx1"/>
            </w14:solidFill>
          </w14:textFill>
        </w:rPr>
        <w:t>《大气</w:t>
      </w:r>
      <w:r>
        <w:rPr>
          <w:rFonts w:ascii="宋体" w:hAnsi="宋体" w:eastAsia="宋体" w:cs="宋体"/>
          <w:color w:val="000000" w:themeColor="text1"/>
          <w:spacing w:val="1"/>
          <w:sz w:val="24"/>
          <w:szCs w:val="24"/>
          <w:u w:val="none" w:color="auto"/>
          <w14:textFill>
            <w14:solidFill>
              <w14:schemeClr w14:val="tx1"/>
            </w14:solidFill>
          </w14:textFill>
        </w:rPr>
        <w:t>污染物综合排放标准》中</w:t>
      </w:r>
      <w:r>
        <w:rPr>
          <w:rFonts w:ascii="宋体" w:hAnsi="宋体" w:eastAsia="宋体" w:cs="宋体"/>
          <w:color w:val="000000" w:themeColor="text1"/>
          <w:spacing w:val="-1"/>
          <w:sz w:val="24"/>
          <w:szCs w:val="24"/>
          <w:u w:val="none" w:color="auto"/>
          <w14:textFill>
            <w14:solidFill>
              <w14:schemeClr w14:val="tx1"/>
            </w14:solidFill>
          </w14:textFill>
        </w:rPr>
        <w:t>二级标准及无组织排放标准要求，本项目废气主要为破损的废铅酸蓄电池</w:t>
      </w:r>
      <w:r>
        <w:rPr>
          <w:rFonts w:ascii="宋体" w:hAnsi="宋体" w:eastAsia="宋体" w:cs="宋体"/>
          <w:color w:val="000000" w:themeColor="text1"/>
          <w:spacing w:val="-2"/>
          <w:sz w:val="24"/>
          <w:szCs w:val="24"/>
          <w:u w:val="none" w:color="auto"/>
          <w14:textFill>
            <w14:solidFill>
              <w14:schemeClr w14:val="tx1"/>
            </w14:solidFill>
          </w14:textFill>
        </w:rPr>
        <w:t>电解液会挥</w:t>
      </w:r>
      <w:r>
        <w:rPr>
          <w:rFonts w:ascii="宋体" w:hAnsi="宋体" w:eastAsia="宋体" w:cs="宋体"/>
          <w:color w:val="000000" w:themeColor="text1"/>
          <w:spacing w:val="-1"/>
          <w:sz w:val="24"/>
          <w:szCs w:val="24"/>
          <w:u w:val="none" w:color="auto"/>
          <w14:textFill>
            <w14:solidFill>
              <w14:schemeClr w14:val="tx1"/>
            </w14:solidFill>
          </w14:textFill>
        </w:rPr>
        <w:t>发出少量的硫酸雾废气及微量的铅尘废气，</w:t>
      </w:r>
      <w:r>
        <w:rPr>
          <w:rFonts w:ascii="宋体" w:hAnsi="宋体" w:eastAsia="宋体" w:cs="宋体"/>
          <w:color w:val="000000" w:themeColor="text1"/>
          <w:spacing w:val="-2"/>
          <w:sz w:val="24"/>
          <w:szCs w:val="24"/>
          <w:u w:val="none" w:color="auto"/>
          <w14:textFill>
            <w14:solidFill>
              <w14:schemeClr w14:val="tx1"/>
            </w14:solidFill>
          </w14:textFill>
        </w:rPr>
        <w:t>以无组织形式排放，执行《大气污染物综合排</w:t>
      </w:r>
      <w:r>
        <w:rPr>
          <w:rFonts w:ascii="宋体" w:hAnsi="宋体" w:eastAsia="宋体" w:cs="宋体"/>
          <w:color w:val="000000" w:themeColor="text1"/>
          <w:sz w:val="24"/>
          <w:szCs w:val="24"/>
          <w:u w:val="none" w:color="auto"/>
          <w14:textFill>
            <w14:solidFill>
              <w14:schemeClr w14:val="tx1"/>
            </w14:solidFill>
          </w14:textFill>
        </w:rPr>
        <w:t>放标准》（</w:t>
      </w:r>
      <w:r>
        <w:rPr>
          <w:rFonts w:ascii="Times New Roman" w:hAnsi="Times New Roman" w:eastAsia="Times New Roman" w:cs="Times New Roman"/>
          <w:color w:val="000000" w:themeColor="text1"/>
          <w:sz w:val="24"/>
          <w:szCs w:val="24"/>
          <w:u w:val="none" w:color="auto"/>
          <w14:textFill>
            <w14:solidFill>
              <w14:schemeClr w14:val="tx1"/>
            </w14:solidFill>
          </w14:textFill>
        </w:rPr>
        <w:t>GB16297-1996</w:t>
      </w:r>
      <w:r>
        <w:rPr>
          <w:rFonts w:ascii="宋体" w:hAnsi="宋体" w:eastAsia="宋体" w:cs="宋体"/>
          <w:color w:val="000000" w:themeColor="text1"/>
          <w:sz w:val="24"/>
          <w:szCs w:val="24"/>
          <w:u w:val="none" w:color="auto"/>
          <w14:textFill>
            <w14:solidFill>
              <w14:schemeClr w14:val="tx1"/>
            </w14:solidFill>
          </w14:textFill>
        </w:rPr>
        <w:t>）中无</w:t>
      </w:r>
      <w:r>
        <w:rPr>
          <w:rFonts w:ascii="宋体" w:hAnsi="宋体" w:eastAsia="宋体" w:cs="宋体"/>
          <w:color w:val="000000" w:themeColor="text1"/>
          <w:spacing w:val="-1"/>
          <w:sz w:val="24"/>
          <w:szCs w:val="24"/>
          <w:u w:val="none" w:color="auto"/>
          <w14:textFill>
            <w14:solidFill>
              <w14:schemeClr w14:val="tx1"/>
            </w14:solidFill>
          </w14:textFill>
        </w:rPr>
        <w:t>组织监控浓度限值要求，详见表</w:t>
      </w:r>
      <w:r>
        <w:rPr>
          <w:rFonts w:ascii="宋体" w:hAnsi="宋体" w:eastAsia="宋体" w:cs="宋体"/>
          <w:color w:val="000000" w:themeColor="text1"/>
          <w:spacing w:val="-50"/>
          <w:sz w:val="24"/>
          <w:szCs w:val="24"/>
          <w:u w:val="none" w:color="auto"/>
          <w14:textFill>
            <w14:solidFill>
              <w14:schemeClr w14:val="tx1"/>
            </w14:solidFill>
          </w14:textFill>
        </w:rPr>
        <w:t xml:space="preserve"> </w:t>
      </w:r>
      <w:r>
        <w:rPr>
          <w:rFonts w:hint="eastAsia" w:eastAsia="宋体" w:cs="Times New Roman"/>
          <w:color w:val="000000" w:themeColor="text1"/>
          <w:spacing w:val="-1"/>
          <w:sz w:val="24"/>
          <w:szCs w:val="24"/>
          <w:u w:val="none" w:color="auto"/>
          <w:lang w:val="en-US" w:eastAsia="zh-CN"/>
          <w14:textFill>
            <w14:solidFill>
              <w14:schemeClr w14:val="tx1"/>
            </w14:solidFill>
          </w14:textFill>
        </w:rPr>
        <w:t>2-2</w:t>
      </w:r>
      <w:r>
        <w:rPr>
          <w:rFonts w:ascii="宋体" w:hAnsi="宋体" w:eastAsia="宋体" w:cs="宋体"/>
          <w:color w:val="000000" w:themeColor="text1"/>
          <w:spacing w:val="-1"/>
          <w:sz w:val="24"/>
          <w:szCs w:val="24"/>
          <w:u w:val="none" w:color="auto"/>
          <w14:textFill>
            <w14:solidFill>
              <w14:schemeClr w14:val="tx1"/>
            </w14:solidFill>
          </w14:textFill>
        </w:rPr>
        <w:t>。</w:t>
      </w:r>
    </w:p>
    <w:p w14:paraId="6965F5A3">
      <w:pPr>
        <w:spacing w:line="220" w:lineRule="auto"/>
        <w:ind w:left="2490"/>
        <w:rPr>
          <w:color w:val="000000" w:themeColor="text1"/>
          <w:sz w:val="21"/>
          <w:szCs w:val="21"/>
          <w:u w:val="none" w:color="auto"/>
          <w14:textFill>
            <w14:solidFill>
              <w14:schemeClr w14:val="tx1"/>
            </w14:solidFill>
          </w14:textFill>
        </w:rPr>
      </w:pPr>
      <w:r>
        <w:rPr>
          <w:rFonts w:ascii="宋体" w:hAnsi="宋体" w:eastAsia="宋体" w:cs="宋体"/>
          <w:b/>
          <w:bCs/>
          <w:color w:val="000000" w:themeColor="text1"/>
          <w:spacing w:val="-2"/>
          <w:sz w:val="21"/>
          <w:szCs w:val="21"/>
          <w:u w:val="none" w:color="auto"/>
          <w14:textFill>
            <w14:solidFill>
              <w14:schemeClr w14:val="tx1"/>
            </w14:solidFill>
          </w14:textFill>
        </w:rPr>
        <w:t>表</w:t>
      </w:r>
      <w:r>
        <w:rPr>
          <w:rFonts w:hint="eastAsia" w:eastAsia="宋体" w:cs="Times New Roman"/>
          <w:b/>
          <w:bCs/>
          <w:color w:val="000000" w:themeColor="text1"/>
          <w:spacing w:val="-2"/>
          <w:sz w:val="21"/>
          <w:szCs w:val="21"/>
          <w:u w:val="none" w:color="auto"/>
          <w:lang w:val="en-US" w:eastAsia="zh-CN"/>
          <w14:textFill>
            <w14:solidFill>
              <w14:schemeClr w14:val="tx1"/>
            </w14:solidFill>
          </w14:textFill>
        </w:rPr>
        <w:t>2-2</w:t>
      </w:r>
      <w:r>
        <w:rPr>
          <w:rFonts w:ascii="Times New Roman" w:hAnsi="Times New Roman" w:eastAsia="Times New Roman" w:cs="Times New Roman"/>
          <w:b/>
          <w:bCs/>
          <w:color w:val="000000" w:themeColor="text1"/>
          <w:spacing w:val="-2"/>
          <w:sz w:val="21"/>
          <w:szCs w:val="21"/>
          <w:u w:val="none" w:color="auto"/>
          <w14:textFill>
            <w14:solidFill>
              <w14:schemeClr w14:val="tx1"/>
            </w14:solidFill>
          </w14:textFill>
        </w:rPr>
        <w:t xml:space="preserve">  </w:t>
      </w:r>
      <w:r>
        <w:rPr>
          <w:rFonts w:ascii="宋体" w:hAnsi="宋体" w:eastAsia="宋体" w:cs="宋体"/>
          <w:b/>
          <w:bCs/>
          <w:color w:val="000000" w:themeColor="text1"/>
          <w:spacing w:val="-2"/>
          <w:sz w:val="21"/>
          <w:szCs w:val="21"/>
          <w:u w:val="none" w:color="auto"/>
          <w14:textFill>
            <w14:solidFill>
              <w14:schemeClr w14:val="tx1"/>
            </w14:solidFill>
          </w14:textFill>
        </w:rPr>
        <w:t>大气污染物综合排放标准（摘录）</w:t>
      </w:r>
    </w:p>
    <w:tbl>
      <w:tblPr>
        <w:tblStyle w:val="108"/>
        <w:tblW w:w="9055" w:type="dxa"/>
        <w:tblInd w:w="1"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314"/>
        <w:gridCol w:w="904"/>
        <w:gridCol w:w="2541"/>
        <w:gridCol w:w="1283"/>
        <w:gridCol w:w="1282"/>
        <w:gridCol w:w="1731"/>
      </w:tblGrid>
      <w:tr w14:paraId="6D2CF04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14" w:type="dxa"/>
            <w:tcBorders>
              <w:tl2br w:val="nil"/>
              <w:tr2bl w:val="nil"/>
            </w:tcBorders>
            <w:vAlign w:val="top"/>
          </w:tcPr>
          <w:p w14:paraId="293E14A0">
            <w:pPr>
              <w:pStyle w:val="119"/>
              <w:spacing w:before="35" w:line="233" w:lineRule="auto"/>
              <w:ind w:left="482" w:right="119" w:hanging="352"/>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6"/>
                <w:sz w:val="21"/>
                <w:szCs w:val="21"/>
                <w:u w:val="none" w:color="auto"/>
                <w14:textFill>
                  <w14:solidFill>
                    <w14:schemeClr w14:val="tx1"/>
                  </w14:solidFill>
                </w14:textFill>
              </w:rPr>
              <w:t>污染物项</w:t>
            </w: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目</w:t>
            </w:r>
          </w:p>
        </w:tc>
        <w:tc>
          <w:tcPr>
            <w:tcW w:w="3445" w:type="dxa"/>
            <w:gridSpan w:val="2"/>
            <w:tcBorders>
              <w:tl2br w:val="nil"/>
              <w:tr2bl w:val="nil"/>
            </w:tcBorders>
            <w:vAlign w:val="top"/>
          </w:tcPr>
          <w:p w14:paraId="12036FA9">
            <w:pPr>
              <w:pStyle w:val="119"/>
              <w:spacing w:before="171" w:line="228" w:lineRule="auto"/>
              <w:ind w:left="1425"/>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标准等级</w:t>
            </w:r>
          </w:p>
        </w:tc>
        <w:tc>
          <w:tcPr>
            <w:tcW w:w="1283" w:type="dxa"/>
            <w:tcBorders>
              <w:tl2br w:val="nil"/>
              <w:tr2bl w:val="nil"/>
            </w:tcBorders>
            <w:vAlign w:val="top"/>
          </w:tcPr>
          <w:p w14:paraId="34F7E5AE">
            <w:pPr>
              <w:pStyle w:val="119"/>
              <w:spacing w:before="172" w:line="228" w:lineRule="auto"/>
              <w:ind w:left="348"/>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3"/>
                <w:sz w:val="21"/>
                <w:szCs w:val="21"/>
                <w:u w:val="none" w:color="auto"/>
                <w14:textFill>
                  <w14:solidFill>
                    <w14:schemeClr w14:val="tx1"/>
                  </w14:solidFill>
                </w14:textFill>
              </w:rPr>
              <w:t>单位</w:t>
            </w:r>
          </w:p>
        </w:tc>
        <w:tc>
          <w:tcPr>
            <w:tcW w:w="1282" w:type="dxa"/>
            <w:tcBorders>
              <w:tl2br w:val="nil"/>
              <w:tr2bl w:val="nil"/>
            </w:tcBorders>
            <w:vAlign w:val="top"/>
          </w:tcPr>
          <w:p w14:paraId="17130025">
            <w:pPr>
              <w:pStyle w:val="119"/>
              <w:spacing w:before="171" w:line="228" w:lineRule="auto"/>
              <w:ind w:left="542"/>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3"/>
                <w:sz w:val="21"/>
                <w:szCs w:val="21"/>
                <w:u w:val="none" w:color="auto"/>
                <w14:textFill>
                  <w14:solidFill>
                    <w14:schemeClr w14:val="tx1"/>
                  </w14:solidFill>
                </w14:textFill>
              </w:rPr>
              <w:t>限值</w:t>
            </w:r>
          </w:p>
        </w:tc>
        <w:tc>
          <w:tcPr>
            <w:tcW w:w="1731" w:type="dxa"/>
            <w:tcBorders>
              <w:tl2br w:val="nil"/>
              <w:tr2bl w:val="nil"/>
            </w:tcBorders>
            <w:vAlign w:val="top"/>
          </w:tcPr>
          <w:p w14:paraId="7BC1C605">
            <w:pPr>
              <w:pStyle w:val="119"/>
              <w:spacing w:before="172" w:line="228" w:lineRule="auto"/>
              <w:ind w:left="45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标准名称</w:t>
            </w:r>
          </w:p>
        </w:tc>
      </w:tr>
      <w:tr w14:paraId="0174B08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314" w:type="dxa"/>
            <w:tcBorders>
              <w:tl2br w:val="nil"/>
              <w:tr2bl w:val="nil"/>
            </w:tcBorders>
            <w:vAlign w:val="top"/>
          </w:tcPr>
          <w:p w14:paraId="3C023ED3">
            <w:pPr>
              <w:pStyle w:val="119"/>
              <w:spacing w:before="65" w:line="228" w:lineRule="auto"/>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颗粒物</w:t>
            </w:r>
          </w:p>
        </w:tc>
        <w:tc>
          <w:tcPr>
            <w:tcW w:w="3445" w:type="dxa"/>
            <w:gridSpan w:val="2"/>
            <w:tcBorders>
              <w:tl2br w:val="nil"/>
              <w:tr2bl w:val="nil"/>
            </w:tcBorders>
            <w:vAlign w:val="top"/>
          </w:tcPr>
          <w:p w14:paraId="2592B96C">
            <w:pPr>
              <w:pStyle w:val="119"/>
              <w:spacing w:before="41" w:line="206" w:lineRule="auto"/>
              <w:ind w:left="69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9"/>
                <w:sz w:val="21"/>
                <w:szCs w:val="21"/>
                <w:u w:val="none" w:color="auto"/>
                <w14:textFill>
                  <w14:solidFill>
                    <w14:schemeClr w14:val="tx1"/>
                  </w14:solidFill>
                </w14:textFill>
              </w:rPr>
              <w:t>无组织排放监控浓度限值</w:t>
            </w:r>
          </w:p>
        </w:tc>
        <w:tc>
          <w:tcPr>
            <w:tcW w:w="1283" w:type="dxa"/>
            <w:tcBorders>
              <w:tl2br w:val="nil"/>
              <w:tr2bl w:val="nil"/>
            </w:tcBorders>
            <w:vAlign w:val="top"/>
          </w:tcPr>
          <w:p w14:paraId="7CA6977A">
            <w:pPr>
              <w:spacing w:before="58" w:line="216" w:lineRule="auto"/>
              <w:ind w:left="27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mg</w:t>
            </w: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/m³</w:t>
            </w:r>
          </w:p>
        </w:tc>
        <w:tc>
          <w:tcPr>
            <w:tcW w:w="1282" w:type="dxa"/>
            <w:tcBorders>
              <w:tl2br w:val="nil"/>
              <w:tr2bl w:val="nil"/>
            </w:tcBorders>
            <w:vAlign w:val="top"/>
          </w:tcPr>
          <w:p w14:paraId="4799A90A">
            <w:pPr>
              <w:spacing w:before="77" w:line="195" w:lineRule="auto"/>
              <w:ind w:left="623"/>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4"/>
                <w:sz w:val="21"/>
                <w:szCs w:val="21"/>
                <w:u w:val="none" w:color="auto"/>
                <w14:textFill>
                  <w14:solidFill>
                    <w14:schemeClr w14:val="tx1"/>
                  </w14:solidFill>
                </w14:textFill>
              </w:rPr>
              <w:t>1.0</w:t>
            </w:r>
          </w:p>
        </w:tc>
        <w:tc>
          <w:tcPr>
            <w:tcW w:w="1731" w:type="dxa"/>
            <w:vMerge w:val="restart"/>
            <w:tcBorders>
              <w:tl2br w:val="nil"/>
              <w:tr2bl w:val="nil"/>
            </w:tcBorders>
            <w:vAlign w:val="top"/>
          </w:tcPr>
          <w:p w14:paraId="4EB7228B">
            <w:pPr>
              <w:spacing w:line="288" w:lineRule="auto"/>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p w14:paraId="1B245921">
            <w:pPr>
              <w:spacing w:line="288" w:lineRule="auto"/>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p w14:paraId="0EEB91E8">
            <w:pPr>
              <w:spacing w:line="288" w:lineRule="auto"/>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p w14:paraId="165757F0">
            <w:pPr>
              <w:spacing w:before="57" w:line="195" w:lineRule="auto"/>
              <w:ind w:left="217"/>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GB</w:t>
            </w:r>
            <w:r>
              <w:rPr>
                <w:rFonts w:hint="eastAsia" w:asciiTheme="majorEastAsia" w:hAnsiTheme="majorEastAsia" w:eastAsiaTheme="majorEastAsia" w:cstheme="majorEastAsia"/>
                <w:color w:val="000000" w:themeColor="text1"/>
                <w:spacing w:val="5"/>
                <w:sz w:val="21"/>
                <w:szCs w:val="21"/>
                <w:u w:val="none" w:color="auto"/>
                <w14:textFill>
                  <w14:solidFill>
                    <w14:schemeClr w14:val="tx1"/>
                  </w14:solidFill>
                </w14:textFill>
              </w:rPr>
              <w:t>16297-1996</w:t>
            </w:r>
          </w:p>
          <w:p w14:paraId="38D46236">
            <w:pPr>
              <w:pStyle w:val="119"/>
              <w:tabs>
                <w:tab w:val="left" w:pos="241"/>
              </w:tabs>
              <w:spacing w:before="34" w:line="228" w:lineRule="auto"/>
              <w:ind w:left="128"/>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ab/>
            </w: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《大气污染物综</w:t>
            </w:r>
          </w:p>
          <w:p w14:paraId="061239A0">
            <w:pPr>
              <w:pStyle w:val="119"/>
              <w:spacing w:before="24" w:line="228" w:lineRule="auto"/>
              <w:ind w:left="243"/>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8"/>
                <w:sz w:val="21"/>
                <w:szCs w:val="21"/>
                <w:u w:val="none" w:color="auto"/>
                <w14:textFill>
                  <w14:solidFill>
                    <w14:schemeClr w14:val="tx1"/>
                  </w14:solidFill>
                </w14:textFill>
              </w:rPr>
              <w:t>合排放标准》</w:t>
            </w:r>
          </w:p>
        </w:tc>
      </w:tr>
      <w:tr w14:paraId="0CD71F6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314" w:type="dxa"/>
            <w:vMerge w:val="restart"/>
            <w:tcBorders>
              <w:tl2br w:val="nil"/>
              <w:tr2bl w:val="nil"/>
            </w:tcBorders>
            <w:vAlign w:val="top"/>
          </w:tcPr>
          <w:p w14:paraId="1FCB5385">
            <w:pPr>
              <w:spacing w:line="266" w:lineRule="auto"/>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p w14:paraId="672C011F">
            <w:pPr>
              <w:pStyle w:val="119"/>
              <w:spacing w:before="65" w:line="252" w:lineRule="auto"/>
              <w:ind w:right="119"/>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6"/>
                <w:sz w:val="21"/>
                <w:szCs w:val="21"/>
                <w:u w:val="none" w:color="auto"/>
                <w14:textFill>
                  <w14:solidFill>
                    <w14:schemeClr w14:val="tx1"/>
                  </w14:solidFill>
                </w14:textFill>
              </w:rPr>
              <w:t>非甲烷总</w:t>
            </w: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烃</w:t>
            </w:r>
          </w:p>
        </w:tc>
        <w:tc>
          <w:tcPr>
            <w:tcW w:w="904" w:type="dxa"/>
            <w:vMerge w:val="restart"/>
            <w:tcBorders>
              <w:tl2br w:val="nil"/>
              <w:tr2bl w:val="nil"/>
            </w:tcBorders>
            <w:vAlign w:val="top"/>
          </w:tcPr>
          <w:p w14:paraId="6F841E95">
            <w:pPr>
              <w:pStyle w:val="119"/>
              <w:spacing w:before="55" w:line="228" w:lineRule="auto"/>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6"/>
                <w:sz w:val="21"/>
                <w:szCs w:val="21"/>
                <w:u w:val="none" w:color="auto"/>
                <w14:textFill>
                  <w14:solidFill>
                    <w14:schemeClr w14:val="tx1"/>
                  </w14:solidFill>
                </w14:textFill>
              </w:rPr>
              <w:t>二级标准</w:t>
            </w:r>
            <w:r>
              <w:rPr>
                <w:rFonts w:hint="eastAsia" w:asciiTheme="majorEastAsia" w:hAnsiTheme="majorEastAsia" w:eastAsiaTheme="majorEastAsia" w:cstheme="majorEastAsia"/>
                <w:color w:val="000000" w:themeColor="text1"/>
                <w:spacing w:val="-30"/>
                <w:sz w:val="21"/>
                <w:szCs w:val="21"/>
                <w:u w:val="none" w:color="auto"/>
                <w14:textFill>
                  <w14:solidFill>
                    <w14:schemeClr w14:val="tx1"/>
                  </w14:solidFill>
                </w14:textFill>
              </w:rPr>
              <w:t>（有组</w:t>
            </w:r>
            <w:r>
              <w:rPr>
                <w:rFonts w:hint="eastAsia" w:asciiTheme="majorEastAsia" w:hAnsiTheme="majorEastAsia" w:eastAsiaTheme="majorEastAsia" w:cstheme="majorEastAsia"/>
                <w:color w:val="000000" w:themeColor="text1"/>
                <w:spacing w:val="4"/>
                <w:sz w:val="21"/>
                <w:szCs w:val="21"/>
                <w:u w:val="none" w:color="auto"/>
                <w14:textFill>
                  <w14:solidFill>
                    <w14:schemeClr w14:val="tx1"/>
                  </w14:solidFill>
                </w14:textFill>
              </w:rPr>
              <w:t>织）</w:t>
            </w:r>
          </w:p>
        </w:tc>
        <w:tc>
          <w:tcPr>
            <w:tcW w:w="2541" w:type="dxa"/>
            <w:tcBorders>
              <w:tl2br w:val="nil"/>
              <w:tr2bl w:val="nil"/>
            </w:tcBorders>
            <w:vAlign w:val="top"/>
          </w:tcPr>
          <w:p w14:paraId="5674EC16">
            <w:pPr>
              <w:pStyle w:val="119"/>
              <w:spacing w:before="45" w:line="203" w:lineRule="auto"/>
              <w:ind w:left="437"/>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8"/>
                <w:sz w:val="21"/>
                <w:szCs w:val="21"/>
                <w:u w:val="none" w:color="auto"/>
                <w14:textFill>
                  <w14:solidFill>
                    <w14:schemeClr w14:val="tx1"/>
                  </w14:solidFill>
                </w14:textFill>
              </w:rPr>
              <w:t>最高允许排放速率</w:t>
            </w:r>
          </w:p>
        </w:tc>
        <w:tc>
          <w:tcPr>
            <w:tcW w:w="1283" w:type="dxa"/>
            <w:tcBorders>
              <w:tl2br w:val="nil"/>
              <w:tr2bl w:val="nil"/>
            </w:tcBorders>
            <w:vAlign w:val="top"/>
          </w:tcPr>
          <w:p w14:paraId="4325B29F">
            <w:pPr>
              <w:spacing w:before="77" w:line="196" w:lineRule="auto"/>
              <w:ind w:left="362"/>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kg</w:t>
            </w:r>
            <w:r>
              <w:rPr>
                <w:rFonts w:hint="eastAsia" w:asciiTheme="majorEastAsia" w:hAnsiTheme="majorEastAsia" w:eastAsiaTheme="majorEastAsia" w:cstheme="majorEastAsia"/>
                <w:color w:val="000000" w:themeColor="text1"/>
                <w:spacing w:val="6"/>
                <w:sz w:val="21"/>
                <w:szCs w:val="21"/>
                <w:u w:val="none" w:color="auto"/>
                <w14:textFill>
                  <w14:solidFill>
                    <w14:schemeClr w14:val="tx1"/>
                  </w14:solidFill>
                </w14:textFill>
              </w:rPr>
              <w:t>/h</w:t>
            </w:r>
          </w:p>
        </w:tc>
        <w:tc>
          <w:tcPr>
            <w:tcW w:w="1282" w:type="dxa"/>
            <w:tcBorders>
              <w:tl2br w:val="nil"/>
              <w:tr2bl w:val="nil"/>
            </w:tcBorders>
            <w:vAlign w:val="top"/>
          </w:tcPr>
          <w:p w14:paraId="743B5EC0">
            <w:pPr>
              <w:spacing w:before="81" w:line="192" w:lineRule="auto"/>
              <w:ind w:left="649"/>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8"/>
                <w:sz w:val="21"/>
                <w:szCs w:val="21"/>
                <w:u w:val="none" w:color="auto"/>
                <w14:textFill>
                  <w14:solidFill>
                    <w14:schemeClr w14:val="tx1"/>
                  </w14:solidFill>
                </w14:textFill>
              </w:rPr>
              <w:t>10</w:t>
            </w:r>
          </w:p>
        </w:tc>
        <w:tc>
          <w:tcPr>
            <w:tcW w:w="1731" w:type="dxa"/>
            <w:vMerge w:val="continue"/>
            <w:tcBorders>
              <w:tl2br w:val="nil"/>
              <w:tr2bl w:val="nil"/>
            </w:tcBorders>
            <w:vAlign w:val="top"/>
          </w:tcPr>
          <w:p w14:paraId="249183A0">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r>
      <w:tr w14:paraId="0E837EB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14" w:type="dxa"/>
            <w:vMerge w:val="continue"/>
            <w:tcBorders>
              <w:tl2br w:val="nil"/>
              <w:tr2bl w:val="nil"/>
            </w:tcBorders>
            <w:vAlign w:val="top"/>
          </w:tcPr>
          <w:p w14:paraId="65B53018">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c>
          <w:tcPr>
            <w:tcW w:w="904" w:type="dxa"/>
            <w:vMerge w:val="continue"/>
            <w:tcBorders>
              <w:tl2br w:val="nil"/>
              <w:tr2bl w:val="nil"/>
            </w:tcBorders>
            <w:vAlign w:val="top"/>
          </w:tcPr>
          <w:p w14:paraId="3C3B695B">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c>
          <w:tcPr>
            <w:tcW w:w="2541" w:type="dxa"/>
            <w:tcBorders>
              <w:tl2br w:val="nil"/>
              <w:tr2bl w:val="nil"/>
            </w:tcBorders>
            <w:vAlign w:val="top"/>
          </w:tcPr>
          <w:p w14:paraId="19268C90">
            <w:pPr>
              <w:pStyle w:val="119"/>
              <w:spacing w:before="48" w:line="201" w:lineRule="auto"/>
              <w:ind w:left="437"/>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8"/>
                <w:sz w:val="21"/>
                <w:szCs w:val="21"/>
                <w:u w:val="none" w:color="auto"/>
                <w14:textFill>
                  <w14:solidFill>
                    <w14:schemeClr w14:val="tx1"/>
                  </w14:solidFill>
                </w14:textFill>
              </w:rPr>
              <w:t>最高允许排放浓度</w:t>
            </w:r>
          </w:p>
        </w:tc>
        <w:tc>
          <w:tcPr>
            <w:tcW w:w="1283" w:type="dxa"/>
            <w:tcBorders>
              <w:tl2br w:val="nil"/>
              <w:tr2bl w:val="nil"/>
            </w:tcBorders>
            <w:vAlign w:val="top"/>
          </w:tcPr>
          <w:p w14:paraId="40F31B61">
            <w:pPr>
              <w:spacing w:before="63" w:line="211" w:lineRule="auto"/>
              <w:ind w:left="27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mg</w:t>
            </w: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/m³</w:t>
            </w:r>
          </w:p>
        </w:tc>
        <w:tc>
          <w:tcPr>
            <w:tcW w:w="1282" w:type="dxa"/>
            <w:tcBorders>
              <w:tl2br w:val="nil"/>
              <w:tr2bl w:val="nil"/>
            </w:tcBorders>
            <w:vAlign w:val="top"/>
          </w:tcPr>
          <w:p w14:paraId="40AE3B8A">
            <w:pPr>
              <w:spacing w:before="84" w:line="189" w:lineRule="auto"/>
              <w:ind w:left="596"/>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3"/>
                <w:sz w:val="21"/>
                <w:szCs w:val="21"/>
                <w:u w:val="none" w:color="auto"/>
                <w14:textFill>
                  <w14:solidFill>
                    <w14:schemeClr w14:val="tx1"/>
                  </w14:solidFill>
                </w14:textFill>
              </w:rPr>
              <w:t>120</w:t>
            </w:r>
          </w:p>
        </w:tc>
        <w:tc>
          <w:tcPr>
            <w:tcW w:w="1731" w:type="dxa"/>
            <w:vMerge w:val="continue"/>
            <w:tcBorders>
              <w:tl2br w:val="nil"/>
              <w:tr2bl w:val="nil"/>
            </w:tcBorders>
            <w:vAlign w:val="top"/>
          </w:tcPr>
          <w:p w14:paraId="20C836B0">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r>
      <w:tr w14:paraId="1306033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1314" w:type="dxa"/>
            <w:vMerge w:val="continue"/>
            <w:tcBorders>
              <w:tl2br w:val="nil"/>
              <w:tr2bl w:val="nil"/>
            </w:tcBorders>
            <w:vAlign w:val="top"/>
          </w:tcPr>
          <w:p w14:paraId="064BD5C1">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c>
          <w:tcPr>
            <w:tcW w:w="904" w:type="dxa"/>
            <w:vMerge w:val="continue"/>
            <w:tcBorders>
              <w:tl2br w:val="nil"/>
              <w:tr2bl w:val="nil"/>
            </w:tcBorders>
            <w:vAlign w:val="top"/>
          </w:tcPr>
          <w:p w14:paraId="77F4C634">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c>
          <w:tcPr>
            <w:tcW w:w="2541" w:type="dxa"/>
            <w:tcBorders>
              <w:tl2br w:val="nil"/>
              <w:tr2bl w:val="nil"/>
            </w:tcBorders>
            <w:vAlign w:val="top"/>
          </w:tcPr>
          <w:p w14:paraId="59D94324">
            <w:pPr>
              <w:pStyle w:val="119"/>
              <w:spacing w:before="47" w:line="182" w:lineRule="auto"/>
              <w:ind w:left="749"/>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8"/>
                <w:sz w:val="21"/>
                <w:szCs w:val="21"/>
                <w:u w:val="none" w:color="auto"/>
                <w14:textFill>
                  <w14:solidFill>
                    <w14:schemeClr w14:val="tx1"/>
                  </w14:solidFill>
                </w14:textFill>
              </w:rPr>
              <w:t>排气筒高度</w:t>
            </w:r>
          </w:p>
        </w:tc>
        <w:tc>
          <w:tcPr>
            <w:tcW w:w="1283" w:type="dxa"/>
            <w:tcBorders>
              <w:tl2br w:val="nil"/>
              <w:tr2bl w:val="nil"/>
            </w:tcBorders>
            <w:vAlign w:val="top"/>
          </w:tcPr>
          <w:p w14:paraId="3E9D7993">
            <w:pPr>
              <w:spacing w:before="129" w:line="116" w:lineRule="exact"/>
              <w:ind w:left="467"/>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5"/>
                <w:position w:val="-1"/>
                <w:sz w:val="21"/>
                <w:szCs w:val="21"/>
                <w:u w:val="none" w:color="auto"/>
                <w14:textFill>
                  <w14:solidFill>
                    <w14:schemeClr w14:val="tx1"/>
                  </w14:solidFill>
                </w14:textFill>
              </w:rPr>
              <w:t>m</w:t>
            </w:r>
          </w:p>
        </w:tc>
        <w:tc>
          <w:tcPr>
            <w:tcW w:w="1282" w:type="dxa"/>
            <w:tcBorders>
              <w:tl2br w:val="nil"/>
              <w:tr2bl w:val="nil"/>
            </w:tcBorders>
            <w:vAlign w:val="top"/>
          </w:tcPr>
          <w:p w14:paraId="2907F1AA">
            <w:pPr>
              <w:spacing w:before="84" w:line="168" w:lineRule="auto"/>
              <w:ind w:left="649"/>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8"/>
                <w:sz w:val="21"/>
                <w:szCs w:val="21"/>
                <w:u w:val="none" w:color="auto"/>
                <w14:textFill>
                  <w14:solidFill>
                    <w14:schemeClr w14:val="tx1"/>
                  </w14:solidFill>
                </w14:textFill>
              </w:rPr>
              <w:t>15</w:t>
            </w:r>
          </w:p>
        </w:tc>
        <w:tc>
          <w:tcPr>
            <w:tcW w:w="1731" w:type="dxa"/>
            <w:vMerge w:val="continue"/>
            <w:tcBorders>
              <w:tl2br w:val="nil"/>
              <w:tr2bl w:val="nil"/>
            </w:tcBorders>
            <w:vAlign w:val="top"/>
          </w:tcPr>
          <w:p w14:paraId="75CEC70F">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r>
      <w:tr w14:paraId="5E20F7A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314" w:type="dxa"/>
            <w:vMerge w:val="continue"/>
            <w:tcBorders>
              <w:tl2br w:val="nil"/>
              <w:tr2bl w:val="nil"/>
            </w:tcBorders>
            <w:vAlign w:val="top"/>
          </w:tcPr>
          <w:p w14:paraId="7C337C0F">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c>
          <w:tcPr>
            <w:tcW w:w="3445" w:type="dxa"/>
            <w:gridSpan w:val="2"/>
            <w:tcBorders>
              <w:tl2br w:val="nil"/>
              <w:tr2bl w:val="nil"/>
            </w:tcBorders>
            <w:vAlign w:val="top"/>
          </w:tcPr>
          <w:p w14:paraId="53161057">
            <w:pPr>
              <w:pStyle w:val="119"/>
              <w:spacing w:before="71" w:line="198" w:lineRule="auto"/>
              <w:ind w:left="69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9"/>
                <w:sz w:val="21"/>
                <w:szCs w:val="21"/>
                <w:u w:val="none" w:color="auto"/>
                <w14:textFill>
                  <w14:solidFill>
                    <w14:schemeClr w14:val="tx1"/>
                  </w14:solidFill>
                </w14:textFill>
              </w:rPr>
              <w:t>无组织排放监控浓度限值</w:t>
            </w:r>
          </w:p>
        </w:tc>
        <w:tc>
          <w:tcPr>
            <w:tcW w:w="1283" w:type="dxa"/>
            <w:tcBorders>
              <w:tl2br w:val="nil"/>
              <w:tr2bl w:val="nil"/>
            </w:tcBorders>
            <w:vAlign w:val="top"/>
          </w:tcPr>
          <w:p w14:paraId="3B64F50A">
            <w:pPr>
              <w:spacing w:before="87" w:line="207" w:lineRule="auto"/>
              <w:ind w:left="27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mg</w:t>
            </w: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/m³</w:t>
            </w:r>
          </w:p>
        </w:tc>
        <w:tc>
          <w:tcPr>
            <w:tcW w:w="1282" w:type="dxa"/>
            <w:tcBorders>
              <w:tl2br w:val="nil"/>
              <w:tr2bl w:val="nil"/>
            </w:tcBorders>
            <w:vAlign w:val="top"/>
          </w:tcPr>
          <w:p w14:paraId="4EF281C8">
            <w:pPr>
              <w:spacing w:before="107" w:line="186" w:lineRule="auto"/>
              <w:ind w:left="602"/>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3"/>
                <w:sz w:val="21"/>
                <w:szCs w:val="21"/>
                <w:u w:val="none" w:color="auto"/>
                <w14:textFill>
                  <w14:solidFill>
                    <w14:schemeClr w14:val="tx1"/>
                  </w14:solidFill>
                </w14:textFill>
              </w:rPr>
              <w:t>4.0</w:t>
            </w:r>
          </w:p>
        </w:tc>
        <w:tc>
          <w:tcPr>
            <w:tcW w:w="1731" w:type="dxa"/>
            <w:vMerge w:val="continue"/>
            <w:tcBorders>
              <w:tl2br w:val="nil"/>
              <w:tr2bl w:val="nil"/>
            </w:tcBorders>
            <w:vAlign w:val="top"/>
          </w:tcPr>
          <w:p w14:paraId="604D5FC0">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r>
      <w:tr w14:paraId="16D84F9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314" w:type="dxa"/>
            <w:tcBorders>
              <w:tl2br w:val="nil"/>
              <w:tr2bl w:val="nil"/>
            </w:tcBorders>
            <w:vAlign w:val="top"/>
          </w:tcPr>
          <w:p w14:paraId="0EAF8356">
            <w:pPr>
              <w:pStyle w:val="119"/>
              <w:spacing w:before="53" w:line="195" w:lineRule="auto"/>
              <w:ind w:left="23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硫酸雾</w:t>
            </w:r>
          </w:p>
        </w:tc>
        <w:tc>
          <w:tcPr>
            <w:tcW w:w="3445" w:type="dxa"/>
            <w:gridSpan w:val="2"/>
            <w:vMerge w:val="restart"/>
            <w:tcBorders>
              <w:tl2br w:val="nil"/>
              <w:tr2bl w:val="nil"/>
            </w:tcBorders>
            <w:vAlign w:val="top"/>
          </w:tcPr>
          <w:p w14:paraId="3B5E2DC2">
            <w:pPr>
              <w:pStyle w:val="119"/>
              <w:spacing w:before="177" w:line="228" w:lineRule="auto"/>
              <w:ind w:left="69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9"/>
                <w:sz w:val="21"/>
                <w:szCs w:val="21"/>
                <w:u w:val="none" w:color="auto"/>
                <w14:textFill>
                  <w14:solidFill>
                    <w14:schemeClr w14:val="tx1"/>
                  </w14:solidFill>
                </w14:textFill>
              </w:rPr>
              <w:t>无组织排放监控浓度限值</w:t>
            </w:r>
          </w:p>
        </w:tc>
        <w:tc>
          <w:tcPr>
            <w:tcW w:w="1283" w:type="dxa"/>
            <w:vMerge w:val="restart"/>
            <w:tcBorders>
              <w:tl2br w:val="nil"/>
              <w:tr2bl w:val="nil"/>
            </w:tcBorders>
            <w:vAlign w:val="top"/>
          </w:tcPr>
          <w:p w14:paraId="6F1CF2D9">
            <w:pPr>
              <w:spacing w:before="210" w:line="201" w:lineRule="auto"/>
              <w:ind w:left="273"/>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t>mg</w:t>
            </w:r>
            <w:r>
              <w:rPr>
                <w:rFonts w:hint="eastAsia" w:asciiTheme="majorEastAsia" w:hAnsiTheme="majorEastAsia" w:eastAsiaTheme="majorEastAsia" w:cstheme="majorEastAsia"/>
                <w:color w:val="000000" w:themeColor="text1"/>
                <w:spacing w:val="7"/>
                <w:sz w:val="21"/>
                <w:szCs w:val="21"/>
                <w:u w:val="none" w:color="auto"/>
                <w14:textFill>
                  <w14:solidFill>
                    <w14:schemeClr w14:val="tx1"/>
                  </w14:solidFill>
                </w14:textFill>
              </w:rPr>
              <w:t>/m³</w:t>
            </w:r>
          </w:p>
        </w:tc>
        <w:tc>
          <w:tcPr>
            <w:tcW w:w="1282" w:type="dxa"/>
            <w:tcBorders>
              <w:tl2br w:val="nil"/>
              <w:tr2bl w:val="nil"/>
            </w:tcBorders>
            <w:vAlign w:val="top"/>
          </w:tcPr>
          <w:p w14:paraId="1A407457">
            <w:pPr>
              <w:spacing w:before="89" w:line="183" w:lineRule="auto"/>
              <w:ind w:left="623"/>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4"/>
                <w:sz w:val="21"/>
                <w:szCs w:val="21"/>
                <w:u w:val="none" w:color="auto"/>
                <w14:textFill>
                  <w14:solidFill>
                    <w14:schemeClr w14:val="tx1"/>
                  </w14:solidFill>
                </w14:textFill>
              </w:rPr>
              <w:t>1.2</w:t>
            </w:r>
          </w:p>
        </w:tc>
        <w:tc>
          <w:tcPr>
            <w:tcW w:w="1731" w:type="dxa"/>
            <w:vMerge w:val="continue"/>
            <w:tcBorders>
              <w:tl2br w:val="nil"/>
              <w:tr2bl w:val="nil"/>
            </w:tcBorders>
            <w:vAlign w:val="top"/>
          </w:tcPr>
          <w:p w14:paraId="5F9DE812">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r>
      <w:tr w14:paraId="712A4336">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314" w:type="dxa"/>
            <w:tcBorders>
              <w:tl2br w:val="nil"/>
              <w:tr2bl w:val="nil"/>
            </w:tcBorders>
            <w:vAlign w:val="top"/>
          </w:tcPr>
          <w:p w14:paraId="700FE8C2">
            <w:pPr>
              <w:spacing w:before="72" w:line="194" w:lineRule="auto"/>
              <w:ind w:left="431"/>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2"/>
                <w:sz w:val="21"/>
                <w:szCs w:val="21"/>
                <w:u w:val="none" w:color="auto"/>
                <w14:textFill>
                  <w14:solidFill>
                    <w14:schemeClr w14:val="tx1"/>
                  </w14:solidFill>
                </w14:textFill>
              </w:rPr>
              <w:t>Pb</w:t>
            </w:r>
          </w:p>
        </w:tc>
        <w:tc>
          <w:tcPr>
            <w:tcW w:w="3445" w:type="dxa"/>
            <w:gridSpan w:val="2"/>
            <w:vMerge w:val="continue"/>
            <w:tcBorders>
              <w:tl2br w:val="nil"/>
              <w:tr2bl w:val="nil"/>
            </w:tcBorders>
            <w:vAlign w:val="top"/>
          </w:tcPr>
          <w:p w14:paraId="1E4F164F">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c>
          <w:tcPr>
            <w:tcW w:w="1283" w:type="dxa"/>
            <w:vMerge w:val="continue"/>
            <w:tcBorders>
              <w:tl2br w:val="nil"/>
              <w:tr2bl w:val="nil"/>
            </w:tcBorders>
            <w:vAlign w:val="top"/>
          </w:tcPr>
          <w:p w14:paraId="133051C1">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c>
          <w:tcPr>
            <w:tcW w:w="1282" w:type="dxa"/>
            <w:tcBorders>
              <w:tl2br w:val="nil"/>
              <w:tr2bl w:val="nil"/>
            </w:tcBorders>
            <w:vAlign w:val="top"/>
          </w:tcPr>
          <w:p w14:paraId="63E01D85">
            <w:pPr>
              <w:spacing w:before="75" w:line="190" w:lineRule="auto"/>
              <w:ind w:left="500"/>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3"/>
                <w:sz w:val="21"/>
                <w:szCs w:val="21"/>
                <w:u w:val="none" w:color="auto"/>
                <w14:textFill>
                  <w14:solidFill>
                    <w14:schemeClr w14:val="tx1"/>
                  </w14:solidFill>
                </w14:textFill>
              </w:rPr>
              <w:t>0.006</w:t>
            </w:r>
          </w:p>
        </w:tc>
        <w:tc>
          <w:tcPr>
            <w:tcW w:w="1731" w:type="dxa"/>
            <w:vMerge w:val="continue"/>
            <w:tcBorders>
              <w:tl2br w:val="nil"/>
              <w:tr2bl w:val="nil"/>
            </w:tcBorders>
            <w:vAlign w:val="top"/>
          </w:tcPr>
          <w:p w14:paraId="4C96702A">
            <w:pPr>
              <w:rPr>
                <w:rFonts w:hint="eastAsia" w:asciiTheme="majorEastAsia" w:hAnsiTheme="majorEastAsia" w:eastAsiaTheme="majorEastAsia" w:cstheme="majorEastAsia"/>
                <w:color w:val="000000" w:themeColor="text1"/>
                <w:sz w:val="21"/>
                <w:szCs w:val="21"/>
                <w:u w:val="none" w:color="auto"/>
                <w14:textFill>
                  <w14:solidFill>
                    <w14:schemeClr w14:val="tx1"/>
                  </w14:solidFill>
                </w14:textFill>
              </w:rPr>
            </w:pPr>
          </w:p>
        </w:tc>
      </w:tr>
    </w:tbl>
    <w:p w14:paraId="1C1B6DEC">
      <w:pPr>
        <w:spacing w:before="36" w:line="359" w:lineRule="auto"/>
        <w:ind w:left="140" w:right="209" w:firstLine="459"/>
        <w:rPr>
          <w:rFonts w:hint="eastAsia" w:asciiTheme="majorEastAsia" w:hAnsiTheme="majorEastAsia" w:eastAsiaTheme="majorEastAsia" w:cstheme="majorEastAsia"/>
          <w:color w:val="000000" w:themeColor="text1"/>
          <w:sz w:val="24"/>
          <w:szCs w:val="24"/>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2"/>
          <w:sz w:val="24"/>
          <w:szCs w:val="24"/>
          <w:u w:val="none" w:color="auto"/>
          <w14:textFill>
            <w14:solidFill>
              <w14:schemeClr w14:val="tx1"/>
            </w14:solidFill>
          </w14:textFill>
        </w:rPr>
        <w:t>无组织非甲烷总烃同时执行</w:t>
      </w:r>
      <w:r>
        <w:rPr>
          <w:rFonts w:hint="eastAsia" w:asciiTheme="majorEastAsia" w:hAnsiTheme="majorEastAsia" w:eastAsiaTheme="majorEastAsia" w:cstheme="majorEastAsia"/>
          <w:color w:val="000000" w:themeColor="text1"/>
          <w:spacing w:val="-34"/>
          <w:sz w:val="24"/>
          <w:szCs w:val="24"/>
          <w:u w:val="none" w:color="auto"/>
          <w14:textFill>
            <w14:solidFill>
              <w14:schemeClr w14:val="tx1"/>
            </w14:solidFill>
          </w14:textFill>
        </w:rPr>
        <w:t xml:space="preserve"> </w:t>
      </w:r>
      <w:r>
        <w:rPr>
          <w:rFonts w:hint="eastAsia" w:asciiTheme="majorEastAsia" w:hAnsiTheme="majorEastAsia" w:eastAsiaTheme="majorEastAsia" w:cstheme="majorEastAsia"/>
          <w:color w:val="000000" w:themeColor="text1"/>
          <w:spacing w:val="-2"/>
          <w:sz w:val="24"/>
          <w:szCs w:val="24"/>
          <w:u w:val="none" w:color="auto"/>
          <w14:textFill>
            <w14:solidFill>
              <w14:schemeClr w14:val="tx1"/>
            </w14:solidFill>
          </w14:textFill>
        </w:rPr>
        <w:t>GB37822-2019《挥发性有机物无组织排放控制标准》</w:t>
      </w:r>
      <w:r>
        <w:rPr>
          <w:rFonts w:hint="eastAsia" w:asciiTheme="majorEastAsia" w:hAnsiTheme="majorEastAsia" w:eastAsiaTheme="majorEastAsia" w:cstheme="majorEastAsia"/>
          <w:color w:val="000000" w:themeColor="text1"/>
          <w:sz w:val="24"/>
          <w:szCs w:val="24"/>
          <w:u w:val="none" w:color="auto"/>
          <w14:textFill>
            <w14:solidFill>
              <w14:schemeClr w14:val="tx1"/>
            </w14:solidFill>
          </w14:textFill>
        </w:rPr>
        <w:t>中企业厂区内VOCs 无组织排放限值，详见表</w:t>
      </w:r>
      <w:r>
        <w:rPr>
          <w:rFonts w:hint="eastAsia" w:asciiTheme="majorEastAsia" w:hAnsiTheme="majorEastAsia" w:eastAsiaTheme="majorEastAsia" w:cstheme="majorEastAsia"/>
          <w:color w:val="000000" w:themeColor="text1"/>
          <w:spacing w:val="-32"/>
          <w:sz w:val="24"/>
          <w:szCs w:val="24"/>
          <w:u w:val="none" w:color="auto"/>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4"/>
          <w:u w:val="none" w:color="auto"/>
          <w:lang w:val="en-US" w:eastAsia="zh-CN"/>
          <w14:textFill>
            <w14:solidFill>
              <w14:schemeClr w14:val="tx1"/>
            </w14:solidFill>
          </w14:textFill>
        </w:rPr>
        <w:t>2-3</w:t>
      </w:r>
      <w:r>
        <w:rPr>
          <w:rFonts w:hint="eastAsia" w:asciiTheme="majorEastAsia" w:hAnsiTheme="majorEastAsia" w:eastAsiaTheme="majorEastAsia" w:cstheme="majorEastAsia"/>
          <w:color w:val="000000" w:themeColor="text1"/>
          <w:spacing w:val="-1"/>
          <w:sz w:val="24"/>
          <w:szCs w:val="24"/>
          <w:u w:val="none" w:color="auto"/>
          <w14:textFill>
            <w14:solidFill>
              <w14:schemeClr w14:val="tx1"/>
            </w14:solidFill>
          </w14:textFill>
        </w:rPr>
        <w:t>。</w:t>
      </w:r>
    </w:p>
    <w:p w14:paraId="04A7507E">
      <w:pPr>
        <w:spacing w:line="219" w:lineRule="auto"/>
        <w:ind w:left="2329"/>
        <w:rPr>
          <w:color w:val="000000" w:themeColor="text1"/>
          <w:u w:val="none" w:color="auto"/>
          <w14:textFill>
            <w14:solidFill>
              <w14:schemeClr w14:val="tx1"/>
            </w14:solidFill>
          </w14:textFill>
        </w:rPr>
      </w:pPr>
      <w:r>
        <w:rPr>
          <w:rFonts w:ascii="宋体" w:hAnsi="宋体" w:eastAsia="宋体" w:cs="宋体"/>
          <w:b/>
          <w:bCs/>
          <w:color w:val="000000" w:themeColor="text1"/>
          <w:sz w:val="21"/>
          <w:szCs w:val="21"/>
          <w:u w:val="none" w:color="auto"/>
          <w14:textFill>
            <w14:solidFill>
              <w14:schemeClr w14:val="tx1"/>
            </w14:solidFill>
          </w14:textFill>
        </w:rPr>
        <w:t>表</w:t>
      </w:r>
      <w:r>
        <w:rPr>
          <w:rFonts w:ascii="宋体" w:hAnsi="宋体" w:eastAsia="宋体" w:cs="宋体"/>
          <w:color w:val="000000" w:themeColor="text1"/>
          <w:spacing w:val="-33"/>
          <w:sz w:val="21"/>
          <w:szCs w:val="21"/>
          <w:u w:val="none" w:color="auto"/>
          <w14:textFill>
            <w14:solidFill>
              <w14:schemeClr w14:val="tx1"/>
            </w14:solidFill>
          </w14:textFill>
        </w:rPr>
        <w:t xml:space="preserve"> </w:t>
      </w:r>
      <w:r>
        <w:rPr>
          <w:rFonts w:hint="eastAsia" w:eastAsia="宋体" w:cs="Times New Roman"/>
          <w:b/>
          <w:bCs/>
          <w:color w:val="000000" w:themeColor="text1"/>
          <w:sz w:val="21"/>
          <w:szCs w:val="21"/>
          <w:u w:val="none" w:color="auto"/>
          <w:lang w:val="en-US" w:eastAsia="zh-CN"/>
          <w14:textFill>
            <w14:solidFill>
              <w14:schemeClr w14:val="tx1"/>
            </w14:solidFill>
          </w14:textFill>
        </w:rPr>
        <w:t>2-3</w:t>
      </w:r>
      <w:r>
        <w:rPr>
          <w:rFonts w:ascii="Times New Roman" w:hAnsi="Times New Roman" w:eastAsia="Times New Roman" w:cs="Times New Roman"/>
          <w:b/>
          <w:bCs/>
          <w:color w:val="000000" w:themeColor="text1"/>
          <w:sz w:val="21"/>
          <w:szCs w:val="21"/>
          <w:u w:val="none" w:color="auto"/>
          <w14:textFill>
            <w14:solidFill>
              <w14:schemeClr w14:val="tx1"/>
            </w14:solidFill>
          </w14:textFill>
        </w:rPr>
        <w:t xml:space="preserve">    </w:t>
      </w:r>
      <w:r>
        <w:rPr>
          <w:rFonts w:ascii="宋体" w:hAnsi="宋体" w:eastAsia="宋体" w:cs="宋体"/>
          <w:b/>
          <w:bCs/>
          <w:color w:val="000000" w:themeColor="text1"/>
          <w:sz w:val="21"/>
          <w:szCs w:val="21"/>
          <w:u w:val="none" w:color="auto"/>
          <w14:textFill>
            <w14:solidFill>
              <w14:schemeClr w14:val="tx1"/>
            </w14:solidFill>
          </w14:textFill>
        </w:rPr>
        <w:t>厂区内</w:t>
      </w:r>
      <w:r>
        <w:rPr>
          <w:rFonts w:ascii="Times New Roman" w:hAnsi="Times New Roman" w:eastAsia="Times New Roman" w:cs="Times New Roman"/>
          <w:b/>
          <w:bCs/>
          <w:color w:val="000000" w:themeColor="text1"/>
          <w:sz w:val="21"/>
          <w:szCs w:val="21"/>
          <w:u w:val="none" w:color="auto"/>
          <w14:textFill>
            <w14:solidFill>
              <w14:schemeClr w14:val="tx1"/>
            </w14:solidFill>
          </w14:textFill>
        </w:rPr>
        <w:t xml:space="preserve">VOCs </w:t>
      </w:r>
      <w:r>
        <w:rPr>
          <w:rFonts w:ascii="宋体" w:hAnsi="宋体" w:eastAsia="宋体" w:cs="宋体"/>
          <w:b/>
          <w:bCs/>
          <w:color w:val="000000" w:themeColor="text1"/>
          <w:sz w:val="21"/>
          <w:szCs w:val="21"/>
          <w:u w:val="none" w:color="auto"/>
          <w14:textFill>
            <w14:solidFill>
              <w14:schemeClr w14:val="tx1"/>
            </w14:solidFill>
          </w14:textFill>
        </w:rPr>
        <w:t>无组织特别排放限值</w:t>
      </w:r>
    </w:p>
    <w:tbl>
      <w:tblPr>
        <w:tblStyle w:val="108"/>
        <w:tblW w:w="905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2"/>
        <w:gridCol w:w="1174"/>
        <w:gridCol w:w="2969"/>
        <w:gridCol w:w="3470"/>
      </w:tblGrid>
      <w:tr w14:paraId="12570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442" w:type="dxa"/>
            <w:tcBorders>
              <w:top w:val="single" w:color="000000" w:sz="10" w:space="0"/>
              <w:left w:val="nil"/>
            </w:tcBorders>
            <w:vAlign w:val="center"/>
          </w:tcPr>
          <w:p w14:paraId="4A24E1DE">
            <w:pPr>
              <w:pStyle w:val="119"/>
              <w:spacing w:before="56" w:line="228" w:lineRule="auto"/>
              <w:jc w:val="center"/>
              <w:rPr>
                <w:color w:val="000000" w:themeColor="text1"/>
                <w:u w:val="none" w:color="auto"/>
                <w14:textFill>
                  <w14:solidFill>
                    <w14:schemeClr w14:val="tx1"/>
                  </w14:solidFill>
                </w14:textFill>
              </w:rPr>
            </w:pPr>
            <w:r>
              <w:rPr>
                <w:color w:val="000000" w:themeColor="text1"/>
                <w:spacing w:val="7"/>
                <w:u w:val="none" w:color="auto"/>
                <w14:textFill>
                  <w14:solidFill>
                    <w14:schemeClr w14:val="tx1"/>
                  </w14:solidFill>
                </w14:textFill>
              </w:rPr>
              <w:t>污染物项目</w:t>
            </w:r>
          </w:p>
        </w:tc>
        <w:tc>
          <w:tcPr>
            <w:tcW w:w="1174" w:type="dxa"/>
            <w:tcBorders>
              <w:top w:val="single" w:color="000000" w:sz="10" w:space="0"/>
            </w:tcBorders>
            <w:vAlign w:val="center"/>
          </w:tcPr>
          <w:p w14:paraId="4F8A1854">
            <w:pPr>
              <w:pStyle w:val="119"/>
              <w:spacing w:before="56" w:line="228" w:lineRule="auto"/>
              <w:ind w:left="171"/>
              <w:jc w:val="center"/>
              <w:rPr>
                <w:color w:val="000000" w:themeColor="text1"/>
                <w:u w:val="none" w:color="auto"/>
                <w14:textFill>
                  <w14:solidFill>
                    <w14:schemeClr w14:val="tx1"/>
                  </w14:solidFill>
                </w14:textFill>
              </w:rPr>
            </w:pPr>
            <w:r>
              <w:rPr>
                <w:color w:val="000000" w:themeColor="text1"/>
                <w:spacing w:val="7"/>
                <w:u w:val="none" w:color="auto"/>
                <w14:textFill>
                  <w14:solidFill>
                    <w14:schemeClr w14:val="tx1"/>
                  </w14:solidFill>
                </w14:textFill>
              </w:rPr>
              <w:t>排放限值</w:t>
            </w:r>
          </w:p>
        </w:tc>
        <w:tc>
          <w:tcPr>
            <w:tcW w:w="2969" w:type="dxa"/>
            <w:tcBorders>
              <w:top w:val="single" w:color="000000" w:sz="10" w:space="0"/>
            </w:tcBorders>
            <w:vAlign w:val="center"/>
          </w:tcPr>
          <w:p w14:paraId="331485E4">
            <w:pPr>
              <w:pStyle w:val="119"/>
              <w:spacing w:before="56" w:line="228" w:lineRule="auto"/>
              <w:jc w:val="center"/>
              <w:rPr>
                <w:color w:val="000000" w:themeColor="text1"/>
                <w:u w:val="none" w:color="auto"/>
                <w14:textFill>
                  <w14:solidFill>
                    <w14:schemeClr w14:val="tx1"/>
                  </w14:solidFill>
                </w14:textFill>
              </w:rPr>
            </w:pPr>
            <w:r>
              <w:rPr>
                <w:color w:val="000000" w:themeColor="text1"/>
                <w:spacing w:val="3"/>
                <w:u w:val="none" w:color="auto"/>
                <w14:textFill>
                  <w14:solidFill>
                    <w14:schemeClr w14:val="tx1"/>
                  </w14:solidFill>
                </w14:textFill>
              </w:rPr>
              <w:t>限值含义</w:t>
            </w:r>
          </w:p>
        </w:tc>
        <w:tc>
          <w:tcPr>
            <w:tcW w:w="3470" w:type="dxa"/>
            <w:tcBorders>
              <w:top w:val="single" w:color="000000" w:sz="10" w:space="0"/>
              <w:right w:val="nil"/>
            </w:tcBorders>
            <w:vAlign w:val="center"/>
          </w:tcPr>
          <w:p w14:paraId="67A0DD20">
            <w:pPr>
              <w:pStyle w:val="119"/>
              <w:spacing w:before="56" w:line="228" w:lineRule="auto"/>
              <w:jc w:val="center"/>
              <w:rPr>
                <w:color w:val="000000" w:themeColor="text1"/>
                <w:u w:val="none" w:color="auto"/>
                <w14:textFill>
                  <w14:solidFill>
                    <w14:schemeClr w14:val="tx1"/>
                  </w14:solidFill>
                </w14:textFill>
              </w:rPr>
            </w:pPr>
            <w:r>
              <w:rPr>
                <w:color w:val="000000" w:themeColor="text1"/>
                <w:spacing w:val="8"/>
                <w:u w:val="none" w:color="auto"/>
                <w14:textFill>
                  <w14:solidFill>
                    <w14:schemeClr w14:val="tx1"/>
                  </w14:solidFill>
                </w14:textFill>
              </w:rPr>
              <w:t>标准名称及级别</w:t>
            </w:r>
          </w:p>
        </w:tc>
      </w:tr>
      <w:tr w14:paraId="57B27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442" w:type="dxa"/>
            <w:vMerge w:val="restart"/>
            <w:tcBorders>
              <w:left w:val="nil"/>
              <w:bottom w:val="nil"/>
            </w:tcBorders>
            <w:vAlign w:val="center"/>
          </w:tcPr>
          <w:p w14:paraId="0A1E74D4">
            <w:pPr>
              <w:spacing w:before="248" w:line="195" w:lineRule="auto"/>
              <w:jc w:val="center"/>
              <w:rPr>
                <w:rFonts w:ascii="Times New Roman" w:hAnsi="Times New Roman" w:eastAsia="Times New Roman" w:cs="Times New Roman"/>
                <w:color w:val="000000" w:themeColor="text1"/>
                <w:sz w:val="20"/>
                <w:szCs w:val="20"/>
                <w:u w:val="none" w:color="auto"/>
                <w14:textFill>
                  <w14:solidFill>
                    <w14:schemeClr w14:val="tx1"/>
                  </w14:solidFill>
                </w14:textFill>
              </w:rPr>
            </w:pPr>
            <w:r>
              <w:rPr>
                <w:rFonts w:ascii="Times New Roman" w:hAnsi="Times New Roman" w:eastAsia="Times New Roman" w:cs="Times New Roman"/>
                <w:color w:val="000000" w:themeColor="text1"/>
                <w:spacing w:val="7"/>
                <w:sz w:val="20"/>
                <w:szCs w:val="20"/>
                <w:u w:val="none" w:color="auto"/>
                <w14:textFill>
                  <w14:solidFill>
                    <w14:schemeClr w14:val="tx1"/>
                  </w14:solidFill>
                </w14:textFill>
              </w:rPr>
              <w:t>NMHC</w:t>
            </w:r>
          </w:p>
        </w:tc>
        <w:tc>
          <w:tcPr>
            <w:tcW w:w="1174" w:type="dxa"/>
            <w:vAlign w:val="center"/>
          </w:tcPr>
          <w:p w14:paraId="5F5BCD9F">
            <w:pPr>
              <w:spacing w:before="60" w:line="218" w:lineRule="auto"/>
              <w:jc w:val="center"/>
              <w:rPr>
                <w:rFonts w:ascii="Times New Roman" w:hAnsi="Times New Roman" w:eastAsia="Times New Roman" w:cs="Times New Roman"/>
                <w:color w:val="000000" w:themeColor="text1"/>
                <w:sz w:val="13"/>
                <w:szCs w:val="13"/>
                <w:u w:val="none" w:color="auto"/>
                <w14:textFill>
                  <w14:solidFill>
                    <w14:schemeClr w14:val="tx1"/>
                  </w14:solidFill>
                </w14:textFill>
              </w:rPr>
            </w:pPr>
            <w:r>
              <w:rPr>
                <w:rFonts w:ascii="Times New Roman" w:hAnsi="Times New Roman" w:eastAsia="Times New Roman" w:cs="Times New Roman"/>
                <w:color w:val="000000" w:themeColor="text1"/>
                <w:spacing w:val="2"/>
                <w:sz w:val="20"/>
                <w:szCs w:val="20"/>
                <w:u w:val="none" w:color="auto"/>
                <w14:textFill>
                  <w14:solidFill>
                    <w14:schemeClr w14:val="tx1"/>
                  </w14:solidFill>
                </w14:textFill>
              </w:rPr>
              <w:t>10</w:t>
            </w:r>
            <w:r>
              <w:rPr>
                <w:rFonts w:ascii="Times New Roman" w:hAnsi="Times New Roman" w:eastAsia="Times New Roman" w:cs="Times New Roman"/>
                <w:color w:val="000000" w:themeColor="text1"/>
                <w:sz w:val="20"/>
                <w:szCs w:val="20"/>
                <w:u w:val="none" w:color="auto"/>
                <w14:textFill>
                  <w14:solidFill>
                    <w14:schemeClr w14:val="tx1"/>
                  </w14:solidFill>
                </w14:textFill>
              </w:rPr>
              <w:t>mg</w:t>
            </w:r>
            <w:r>
              <w:rPr>
                <w:rFonts w:ascii="Times New Roman" w:hAnsi="Times New Roman" w:eastAsia="Times New Roman" w:cs="Times New Roman"/>
                <w:color w:val="000000" w:themeColor="text1"/>
                <w:spacing w:val="2"/>
                <w:sz w:val="20"/>
                <w:szCs w:val="20"/>
                <w:u w:val="none" w:color="auto"/>
                <w14:textFill>
                  <w14:solidFill>
                    <w14:schemeClr w14:val="tx1"/>
                  </w14:solidFill>
                </w14:textFill>
              </w:rPr>
              <w:t>/m</w:t>
            </w:r>
            <w:r>
              <w:rPr>
                <w:rFonts w:ascii="Times New Roman" w:hAnsi="Times New Roman" w:eastAsia="Times New Roman" w:cs="Times New Roman"/>
                <w:color w:val="000000" w:themeColor="text1"/>
                <w:spacing w:val="2"/>
                <w:position w:val="6"/>
                <w:sz w:val="13"/>
                <w:szCs w:val="13"/>
                <w:u w:val="none" w:color="auto"/>
                <w14:textFill>
                  <w14:solidFill>
                    <w14:schemeClr w14:val="tx1"/>
                  </w14:solidFill>
                </w14:textFill>
              </w:rPr>
              <w:t>3</w:t>
            </w:r>
          </w:p>
        </w:tc>
        <w:tc>
          <w:tcPr>
            <w:tcW w:w="2969" w:type="dxa"/>
            <w:vAlign w:val="center"/>
          </w:tcPr>
          <w:p w14:paraId="73B49D6C">
            <w:pPr>
              <w:pStyle w:val="119"/>
              <w:spacing w:before="41" w:line="228" w:lineRule="auto"/>
              <w:jc w:val="center"/>
              <w:rPr>
                <w:color w:val="000000" w:themeColor="text1"/>
                <w:u w:val="none" w:color="auto"/>
                <w14:textFill>
                  <w14:solidFill>
                    <w14:schemeClr w14:val="tx1"/>
                  </w14:solidFill>
                </w14:textFill>
              </w:rPr>
            </w:pPr>
            <w:r>
              <w:rPr>
                <w:color w:val="000000" w:themeColor="text1"/>
                <w:spacing w:val="5"/>
                <w:u w:val="none" w:color="auto"/>
                <w14:textFill>
                  <w14:solidFill>
                    <w14:schemeClr w14:val="tx1"/>
                  </w14:solidFill>
                </w14:textFill>
              </w:rPr>
              <w:t>监控点处</w:t>
            </w:r>
            <w:r>
              <w:rPr>
                <w:color w:val="000000" w:themeColor="text1"/>
                <w:spacing w:val="-17"/>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5"/>
                <w:u w:val="none" w:color="auto"/>
                <w14:textFill>
                  <w14:solidFill>
                    <w14:schemeClr w14:val="tx1"/>
                  </w14:solidFill>
                </w14:textFill>
              </w:rPr>
              <w:t xml:space="preserve">1h </w:t>
            </w:r>
            <w:r>
              <w:rPr>
                <w:color w:val="000000" w:themeColor="text1"/>
                <w:spacing w:val="5"/>
                <w:u w:val="none" w:color="auto"/>
                <w14:textFill>
                  <w14:solidFill>
                    <w14:schemeClr w14:val="tx1"/>
                  </w14:solidFill>
                </w14:textFill>
              </w:rPr>
              <w:t>平均浓度值</w:t>
            </w:r>
          </w:p>
        </w:tc>
        <w:tc>
          <w:tcPr>
            <w:tcW w:w="3470" w:type="dxa"/>
            <w:vMerge w:val="restart"/>
            <w:tcBorders>
              <w:bottom w:val="nil"/>
              <w:right w:val="nil"/>
            </w:tcBorders>
            <w:vAlign w:val="center"/>
          </w:tcPr>
          <w:p w14:paraId="514B4EB1">
            <w:pPr>
              <w:pStyle w:val="119"/>
              <w:spacing w:before="45" w:line="287" w:lineRule="auto"/>
              <w:ind w:right="138"/>
              <w:jc w:val="center"/>
              <w:rPr>
                <w:color w:val="000000" w:themeColor="text1"/>
                <w:u w:val="none" w:color="auto"/>
                <w14:textFill>
                  <w14:solidFill>
                    <w14:schemeClr w14:val="tx1"/>
                  </w14:solidFill>
                </w14:textFill>
              </w:rPr>
            </w:pPr>
            <w:r>
              <w:rPr>
                <w:rFonts w:ascii="Times New Roman" w:hAnsi="Times New Roman" w:eastAsia="Times New Roman" w:cs="Times New Roman"/>
                <w:color w:val="000000" w:themeColor="text1"/>
                <w:u w:val="none" w:color="auto"/>
                <w14:textFill>
                  <w14:solidFill>
                    <w14:schemeClr w14:val="tx1"/>
                  </w14:solidFill>
                </w14:textFill>
              </w:rPr>
              <w:t>GB</w:t>
            </w:r>
            <w:r>
              <w:rPr>
                <w:rFonts w:ascii="Times New Roman" w:hAnsi="Times New Roman" w:eastAsia="Times New Roman" w:cs="Times New Roman"/>
                <w:color w:val="000000" w:themeColor="text1"/>
                <w:spacing w:val="7"/>
                <w:u w:val="none" w:color="auto"/>
                <w14:textFill>
                  <w14:solidFill>
                    <w14:schemeClr w14:val="tx1"/>
                  </w14:solidFill>
                </w14:textFill>
              </w:rPr>
              <w:t>37822-2019</w:t>
            </w:r>
            <w:r>
              <w:rPr>
                <w:color w:val="000000" w:themeColor="text1"/>
                <w:spacing w:val="7"/>
                <w:u w:val="none" w:color="auto"/>
                <w14:textFill>
                  <w14:solidFill>
                    <w14:schemeClr w14:val="tx1"/>
                  </w14:solidFill>
                </w14:textFill>
              </w:rPr>
              <w:t>《挥发性有机物无组</w:t>
            </w:r>
            <w:r>
              <w:rPr>
                <w:color w:val="000000" w:themeColor="text1"/>
                <w:spacing w:val="9"/>
                <w:u w:val="none" w:color="auto"/>
                <w14:textFill>
                  <w14:solidFill>
                    <w14:schemeClr w14:val="tx1"/>
                  </w14:solidFill>
                </w14:textFill>
              </w:rPr>
              <w:t>织排放控制标准》中排放限值</w:t>
            </w:r>
          </w:p>
        </w:tc>
      </w:tr>
      <w:tr w14:paraId="28221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442" w:type="dxa"/>
            <w:vMerge w:val="continue"/>
            <w:tcBorders>
              <w:top w:val="nil"/>
              <w:left w:val="nil"/>
              <w:bottom w:val="single" w:color="000000" w:sz="10" w:space="0"/>
            </w:tcBorders>
            <w:vAlign w:val="center"/>
          </w:tcPr>
          <w:p w14:paraId="48BF6F8C">
            <w:pPr>
              <w:jc w:val="center"/>
              <w:rPr>
                <w:rFonts w:ascii="Arial"/>
                <w:color w:val="000000" w:themeColor="text1"/>
                <w:sz w:val="21"/>
                <w:u w:val="none" w:color="auto"/>
                <w14:textFill>
                  <w14:solidFill>
                    <w14:schemeClr w14:val="tx1"/>
                  </w14:solidFill>
                </w14:textFill>
              </w:rPr>
            </w:pPr>
          </w:p>
        </w:tc>
        <w:tc>
          <w:tcPr>
            <w:tcW w:w="1174" w:type="dxa"/>
            <w:tcBorders>
              <w:bottom w:val="single" w:color="000000" w:sz="10" w:space="0"/>
            </w:tcBorders>
            <w:vAlign w:val="center"/>
          </w:tcPr>
          <w:p w14:paraId="56C19871">
            <w:pPr>
              <w:spacing w:before="70" w:line="215" w:lineRule="auto"/>
              <w:jc w:val="center"/>
              <w:rPr>
                <w:rFonts w:ascii="Times New Roman" w:hAnsi="Times New Roman" w:eastAsia="Times New Roman" w:cs="Times New Roman"/>
                <w:color w:val="000000" w:themeColor="text1"/>
                <w:sz w:val="13"/>
                <w:szCs w:val="13"/>
                <w:u w:val="none" w:color="auto"/>
                <w14:textFill>
                  <w14:solidFill>
                    <w14:schemeClr w14:val="tx1"/>
                  </w14:solidFill>
                </w14:textFill>
              </w:rPr>
            </w:pPr>
            <w:r>
              <w:rPr>
                <w:rFonts w:ascii="Times New Roman" w:hAnsi="Times New Roman" w:eastAsia="Times New Roman" w:cs="Times New Roman"/>
                <w:color w:val="000000" w:themeColor="text1"/>
                <w:spacing w:val="5"/>
                <w:sz w:val="20"/>
                <w:szCs w:val="20"/>
                <w:u w:val="none" w:color="auto"/>
                <w14:textFill>
                  <w14:solidFill>
                    <w14:schemeClr w14:val="tx1"/>
                  </w14:solidFill>
                </w14:textFill>
              </w:rPr>
              <w:t>30</w:t>
            </w:r>
            <w:r>
              <w:rPr>
                <w:rFonts w:ascii="Times New Roman" w:hAnsi="Times New Roman" w:eastAsia="Times New Roman" w:cs="Times New Roman"/>
                <w:color w:val="000000" w:themeColor="text1"/>
                <w:sz w:val="20"/>
                <w:szCs w:val="20"/>
                <w:u w:val="none" w:color="auto"/>
                <w14:textFill>
                  <w14:solidFill>
                    <w14:schemeClr w14:val="tx1"/>
                  </w14:solidFill>
                </w14:textFill>
              </w:rPr>
              <w:t>mg</w:t>
            </w:r>
            <w:r>
              <w:rPr>
                <w:rFonts w:ascii="Times New Roman" w:hAnsi="Times New Roman" w:eastAsia="Times New Roman" w:cs="Times New Roman"/>
                <w:color w:val="000000" w:themeColor="text1"/>
                <w:spacing w:val="5"/>
                <w:sz w:val="20"/>
                <w:szCs w:val="20"/>
                <w:u w:val="none" w:color="auto"/>
                <w14:textFill>
                  <w14:solidFill>
                    <w14:schemeClr w14:val="tx1"/>
                  </w14:solidFill>
                </w14:textFill>
              </w:rPr>
              <w:t>/m</w:t>
            </w:r>
            <w:r>
              <w:rPr>
                <w:rFonts w:ascii="Times New Roman" w:hAnsi="Times New Roman" w:eastAsia="Times New Roman" w:cs="Times New Roman"/>
                <w:color w:val="000000" w:themeColor="text1"/>
                <w:spacing w:val="5"/>
                <w:position w:val="6"/>
                <w:sz w:val="13"/>
                <w:szCs w:val="13"/>
                <w:u w:val="none" w:color="auto"/>
                <w14:textFill>
                  <w14:solidFill>
                    <w14:schemeClr w14:val="tx1"/>
                  </w14:solidFill>
                </w14:textFill>
              </w:rPr>
              <w:t>3</w:t>
            </w:r>
          </w:p>
        </w:tc>
        <w:tc>
          <w:tcPr>
            <w:tcW w:w="2969" w:type="dxa"/>
            <w:tcBorders>
              <w:bottom w:val="single" w:color="000000" w:sz="10" w:space="0"/>
            </w:tcBorders>
            <w:vAlign w:val="center"/>
          </w:tcPr>
          <w:p w14:paraId="37DF1BD3">
            <w:pPr>
              <w:pStyle w:val="119"/>
              <w:spacing w:before="48" w:line="228" w:lineRule="auto"/>
              <w:jc w:val="center"/>
              <w:rPr>
                <w:color w:val="000000" w:themeColor="text1"/>
                <w:u w:val="none" w:color="auto"/>
                <w14:textFill>
                  <w14:solidFill>
                    <w14:schemeClr w14:val="tx1"/>
                  </w14:solidFill>
                </w14:textFill>
              </w:rPr>
            </w:pPr>
            <w:r>
              <w:rPr>
                <w:color w:val="000000" w:themeColor="text1"/>
                <w:spacing w:val="9"/>
                <w:u w:val="none" w:color="auto"/>
                <w14:textFill>
                  <w14:solidFill>
                    <w14:schemeClr w14:val="tx1"/>
                  </w14:solidFill>
                </w14:textFill>
              </w:rPr>
              <w:t>监控点处任意一次浓度值</w:t>
            </w:r>
          </w:p>
        </w:tc>
        <w:tc>
          <w:tcPr>
            <w:tcW w:w="3470" w:type="dxa"/>
            <w:vMerge w:val="continue"/>
            <w:tcBorders>
              <w:top w:val="nil"/>
              <w:bottom w:val="single" w:color="000000" w:sz="10" w:space="0"/>
              <w:right w:val="nil"/>
            </w:tcBorders>
            <w:vAlign w:val="center"/>
          </w:tcPr>
          <w:p w14:paraId="76D16032">
            <w:pPr>
              <w:jc w:val="center"/>
              <w:rPr>
                <w:rFonts w:ascii="Arial"/>
                <w:color w:val="000000" w:themeColor="text1"/>
                <w:sz w:val="21"/>
                <w:u w:val="none" w:color="auto"/>
                <w14:textFill>
                  <w14:solidFill>
                    <w14:schemeClr w14:val="tx1"/>
                  </w14:solidFill>
                </w14:textFill>
              </w:rPr>
            </w:pPr>
          </w:p>
        </w:tc>
      </w:tr>
    </w:tbl>
    <w:p w14:paraId="2E6EBC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46EFD6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74D3E2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4EFCE2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627B17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08814E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72C798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1754AD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12ECF2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lang w:val="en-US" w:eastAsia="zh-CN"/>
          <w14:textFill>
            <w14:solidFill>
              <w14:schemeClr w14:val="tx1"/>
            </w14:solidFill>
          </w14:textFill>
        </w:rPr>
      </w:pPr>
    </w:p>
    <w:p w14:paraId="05FFB1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 xml:space="preserve"> </w:t>
      </w:r>
      <w:r>
        <w:rPr>
          <w:rFonts w:hint="eastAsia"/>
          <w:b/>
          <w:bCs/>
          <w:color w:val="000000" w:themeColor="text1"/>
          <w:sz w:val="24"/>
          <w:szCs w:val="24"/>
          <w:lang w:val="en-US" w:eastAsia="zh-CN"/>
          <w14:textFill>
            <w14:solidFill>
              <w14:schemeClr w14:val="tx1"/>
            </w14:solidFill>
          </w14:textFill>
        </w:rPr>
        <w:t>大气</w:t>
      </w:r>
      <w:r>
        <w:rPr>
          <w:rFonts w:hint="eastAsia"/>
          <w:b/>
          <w:bCs/>
          <w:color w:val="000000" w:themeColor="text1"/>
          <w:sz w:val="24"/>
          <w:szCs w:val="24"/>
          <w14:textFill>
            <w14:solidFill>
              <w14:schemeClr w14:val="tx1"/>
            </w14:solidFill>
          </w14:textFill>
        </w:rPr>
        <w:t>评价工作等级及范围</w:t>
      </w:r>
    </w:p>
    <w:p w14:paraId="55BB0D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.1 评价工作等级</w:t>
      </w:r>
    </w:p>
    <w:p w14:paraId="297E21CB">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t>(1)工作等级的确定方法</w:t>
      </w:r>
    </w:p>
    <w:p w14:paraId="093E5560">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t>根据《环境影响评价技术导则大气环境》(HJ2.2-2018)中5.3小节工作等级的确定方法，结合项目工程分析结果，选择正常排放的主要污染物及排放参数，采用附录A推荐模型中的AERSCREEN模式计算项目污染源的最大环境影响，然后按评价工作分级判据进行分级。</w:t>
      </w:r>
    </w:p>
    <w:p w14:paraId="64E13F0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t>①Pmax及 D10%的确定依据 HJ2.2-2018，最大地面浓度占标率Pi定义如下</w:t>
      </w:r>
    </w:p>
    <w:p w14:paraId="5C19049C">
      <w:pPr>
        <w:pStyle w:val="33"/>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1272540" cy="412750"/>
            <wp:effectExtent l="0" t="0" r="10160" b="6350"/>
            <wp:docPr id="1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pic:cNvPicPr>
                      <a:picLocks noChangeAspect="1"/>
                    </pic:cNvPicPr>
                  </pic:nvPicPr>
                  <pic:blipFill>
                    <a:blip r:embed="rId33"/>
                    <a:stretch>
                      <a:fillRect/>
                    </a:stretch>
                  </pic:blipFill>
                  <pic:spPr>
                    <a:xfrm>
                      <a:off x="0" y="0"/>
                      <a:ext cx="1272540" cy="412750"/>
                    </a:xfrm>
                    <a:prstGeom prst="rect">
                      <a:avLst/>
                    </a:prstGeom>
                    <a:noFill/>
                    <a:ln>
                      <a:noFill/>
                    </a:ln>
                  </pic:spPr>
                </pic:pic>
              </a:graphicData>
            </a:graphic>
          </wp:inline>
        </w:drawing>
      </w:r>
    </w:p>
    <w:p w14:paraId="522010CC">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P</w:t>
      </w:r>
      <w:r>
        <w:rPr>
          <w:rFonts w:hint="eastAsia" w:ascii="Times New Roman" w:hAnsi="Times New Roman" w:eastAsia="宋体" w:cs="Times New Roman"/>
          <w:bCs/>
          <w:caps w:val="0"/>
          <w:color w:val="000000" w:themeColor="text1"/>
          <w:sz w:val="24"/>
          <w:szCs w:val="24"/>
          <w:highlight w:val="none"/>
          <w:u w:val="none" w:color="auto"/>
          <w:vertAlign w:val="subscript"/>
          <w:lang w:val="en-US" w:eastAsia="zh-CN"/>
          <w14:textFill>
            <w14:solidFill>
              <w14:schemeClr w14:val="tx1"/>
            </w14:solidFill>
          </w14:textFill>
        </w:rPr>
        <w:t>i</w:t>
      </w: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-第i个污染物的最大地面空气质量浓度占标率，%;</w:t>
      </w:r>
    </w:p>
    <w:p w14:paraId="57A0DCAE">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C</w:t>
      </w:r>
      <w:r>
        <w:rPr>
          <w:rFonts w:hint="eastAsia" w:ascii="Times New Roman" w:hAnsi="Times New Roman" w:eastAsia="宋体" w:cs="Times New Roman"/>
          <w:bCs/>
          <w:caps w:val="0"/>
          <w:color w:val="000000" w:themeColor="text1"/>
          <w:sz w:val="24"/>
          <w:szCs w:val="24"/>
          <w:highlight w:val="none"/>
          <w:u w:val="none" w:color="auto"/>
          <w:vertAlign w:val="subscript"/>
          <w:lang w:val="en-US" w:eastAsia="zh-CN"/>
          <w14:textFill>
            <w14:solidFill>
              <w14:schemeClr w14:val="tx1"/>
            </w14:solidFill>
          </w14:textFill>
        </w:rPr>
        <w:t>i</w:t>
      </w: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--采用估算模型计算出的第i个污染物的最大1h地面空气质量浓度ug/m</w:t>
      </w:r>
      <w:r>
        <w:rPr>
          <w:rFonts w:hint="eastAsia" w:ascii="Times New Roman" w:hAnsi="Times New Roman" w:eastAsia="宋体" w:cs="Times New Roman"/>
          <w:bCs/>
          <w:caps w:val="0"/>
          <w:color w:val="000000" w:themeColor="text1"/>
          <w:sz w:val="24"/>
          <w:szCs w:val="24"/>
          <w:highlight w:val="none"/>
          <w:u w:val="none" w:color="auto"/>
          <w:vertAlign w:val="superscript"/>
          <w:lang w:val="en-US" w:eastAsia="zh-CN"/>
          <w14:textFill>
            <w14:solidFill>
              <w14:schemeClr w14:val="tx1"/>
            </w14:solidFill>
          </w14:textFill>
        </w:rPr>
        <w:t>3</w:t>
      </w: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w:t>
      </w:r>
    </w:p>
    <w:p w14:paraId="4A1AC20D">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Coi--第i个污染物的环境空气质量浓度标准，ug/m</w:t>
      </w:r>
      <w:r>
        <w:rPr>
          <w:rFonts w:hint="eastAsia" w:ascii="Times New Roman" w:hAnsi="Times New Roman" w:eastAsia="宋体" w:cs="Times New Roman"/>
          <w:bCs/>
          <w:caps w:val="0"/>
          <w:color w:val="000000" w:themeColor="text1"/>
          <w:sz w:val="24"/>
          <w:szCs w:val="24"/>
          <w:highlight w:val="none"/>
          <w:u w:val="none" w:color="auto"/>
          <w:vertAlign w:val="superscript"/>
          <w:lang w:val="en-US" w:eastAsia="zh-CN"/>
          <w14:textFill>
            <w14:solidFill>
              <w14:schemeClr w14:val="tx1"/>
            </w14:solidFill>
          </w14:textFill>
        </w:rPr>
        <w:t>3</w:t>
      </w: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w:t>
      </w:r>
    </w:p>
    <w:p w14:paraId="628A4353">
      <w:pPr>
        <w:keepNext w:val="0"/>
        <w:keepLines w:val="0"/>
        <w:pageBreakBefore w:val="0"/>
        <w:widowControl w:val="0"/>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②评价等级判别</w:t>
      </w:r>
    </w:p>
    <w:p w14:paraId="5151287D">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依据 HJ2.2-2018，评价等级按表3-1的分级判据进行划分。</w:t>
      </w:r>
    </w:p>
    <w:p w14:paraId="7A4599B0">
      <w:pPr>
        <w:adjustRightInd w:val="0"/>
        <w:snapToGrid w:val="0"/>
        <w:spacing w:line="500" w:lineRule="exact"/>
        <w:jc w:val="center"/>
        <w:rPr>
          <w:rFonts w:hint="default" w:ascii="Times New Roman" w:hAnsi="Times New Roman" w:eastAsia="宋体"/>
          <w:b/>
          <w:caps w:val="0"/>
          <w:color w:val="000000" w:themeColor="text1"/>
          <w:szCs w:val="21"/>
          <w:highlight w:val="none"/>
          <w:u w:val="none" w:color="auto"/>
          <w14:textFill>
            <w14:solidFill>
              <w14:schemeClr w14:val="tx1"/>
            </w14:solidFill>
          </w14:textFill>
        </w:rPr>
      </w:pPr>
      <w:r>
        <w:rPr>
          <w:rFonts w:hint="eastAsia" w:ascii="Times New Roman" w:hAnsi="Times New Roman" w:eastAsia="宋体"/>
          <w:b/>
          <w:caps w:val="0"/>
          <w:color w:val="000000" w:themeColor="text1"/>
          <w:szCs w:val="21"/>
          <w:highlight w:val="none"/>
          <w:u w:val="none" w:color="auto"/>
          <w14:textFill>
            <w14:solidFill>
              <w14:schemeClr w14:val="tx1"/>
            </w14:solidFill>
          </w14:textFill>
        </w:rPr>
        <w:t>表</w:t>
      </w:r>
      <w:r>
        <w:rPr>
          <w:rFonts w:hint="eastAsia" w:ascii="Times New Roman" w:hAnsi="Times New Roman" w:eastAsia="宋体"/>
          <w:b/>
          <w:caps w:val="0"/>
          <w:color w:val="000000" w:themeColor="text1"/>
          <w:szCs w:val="21"/>
          <w:highlight w:val="none"/>
          <w:u w:val="none" w:color="auto"/>
          <w:lang w:val="en-US" w:eastAsia="zh-CN"/>
          <w14:textFill>
            <w14:solidFill>
              <w14:schemeClr w14:val="tx1"/>
            </w14:solidFill>
          </w14:textFill>
        </w:rPr>
        <w:t>3-1</w:t>
      </w:r>
      <w:r>
        <w:rPr>
          <w:rFonts w:hint="eastAsia" w:ascii="Times New Roman" w:hAnsi="Times New Roman" w:eastAsia="宋体"/>
          <w:b/>
          <w:caps w:val="0"/>
          <w:color w:val="000000" w:themeColor="text1"/>
          <w:szCs w:val="21"/>
          <w:highlight w:val="none"/>
          <w:u w:val="none" w:color="auto"/>
          <w14:textFill>
            <w14:solidFill>
              <w14:schemeClr w14:val="tx1"/>
            </w14:solidFill>
          </w14:textFill>
        </w:rPr>
        <w:t xml:space="preserve">   </w:t>
      </w:r>
      <w:r>
        <w:rPr>
          <w:rFonts w:hint="eastAsia" w:ascii="Times New Roman" w:hAnsi="Times New Roman" w:eastAsia="宋体"/>
          <w:b/>
          <w:caps w:val="0"/>
          <w:color w:val="000000" w:themeColor="text1"/>
          <w:szCs w:val="21"/>
          <w:highlight w:val="none"/>
          <w:u w:val="none" w:color="auto"/>
          <w:lang w:val="en-US" w:eastAsia="zh-CN"/>
          <w14:textFill>
            <w14:solidFill>
              <w14:schemeClr w14:val="tx1"/>
            </w14:solidFill>
          </w14:textFill>
        </w:rPr>
        <w:t>环境空气评价等级判别表</w:t>
      </w:r>
    </w:p>
    <w:tbl>
      <w:tblPr>
        <w:tblStyle w:val="25"/>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285"/>
        <w:gridCol w:w="5795"/>
      </w:tblGrid>
      <w:tr w14:paraId="2385DB9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3285" w:type="dxa"/>
            <w:tcBorders>
              <w:tl2br w:val="nil"/>
              <w:tr2bl w:val="nil"/>
            </w:tcBorders>
            <w:noWrap w:val="0"/>
            <w:vAlign w:val="center"/>
          </w:tcPr>
          <w:p w14:paraId="02F7A947">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评价工作等级</w:t>
            </w:r>
          </w:p>
        </w:tc>
        <w:tc>
          <w:tcPr>
            <w:tcW w:w="5795" w:type="dxa"/>
            <w:tcBorders>
              <w:tl2br w:val="nil"/>
              <w:tr2bl w:val="nil"/>
            </w:tcBorders>
            <w:noWrap w:val="0"/>
            <w:vAlign w:val="center"/>
          </w:tcPr>
          <w:p w14:paraId="61740429">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评价工作分级判据</w:t>
            </w:r>
          </w:p>
        </w:tc>
      </w:tr>
      <w:tr w14:paraId="239679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3285" w:type="dxa"/>
            <w:tcBorders>
              <w:tl2br w:val="nil"/>
              <w:tr2bl w:val="nil"/>
            </w:tcBorders>
            <w:noWrap w:val="0"/>
            <w:vAlign w:val="center"/>
          </w:tcPr>
          <w:p w14:paraId="37196DAD">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一级</w:t>
            </w:r>
            <w:r>
              <w:rPr>
                <w:rFonts w:hint="eastAsia" w:ascii="Times New Roman" w:hAnsi="Times New Roman" w:eastAsia="宋体" w:cs="宋体"/>
                <w:caps w:val="0"/>
                <w:color w:val="000000" w:themeColor="text1"/>
                <w:sz w:val="21"/>
                <w:szCs w:val="21"/>
                <w:highlight w:val="none"/>
                <w:u w:val="none" w:color="auto"/>
                <w:lang w:val="en-US" w:eastAsia="zh-CN"/>
                <w14:textFill>
                  <w14:solidFill>
                    <w14:schemeClr w14:val="tx1"/>
                  </w14:solidFill>
                </w14:textFill>
              </w:rPr>
              <w:t>评价</w:t>
            </w:r>
          </w:p>
        </w:tc>
        <w:tc>
          <w:tcPr>
            <w:tcW w:w="5795" w:type="dxa"/>
            <w:tcBorders>
              <w:tl2br w:val="nil"/>
              <w:tr2bl w:val="nil"/>
            </w:tcBorders>
            <w:noWrap w:val="0"/>
            <w:vAlign w:val="center"/>
          </w:tcPr>
          <w:p w14:paraId="702423BA">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w:t>
            </w:r>
            <w:r>
              <w:rPr>
                <w:rFonts w:hint="eastAsia" w:ascii="Times New Roman" w:hAnsi="Times New Roman" w:eastAsia="宋体" w:cs="宋体"/>
                <w:caps w:val="0"/>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0%</w:t>
            </w:r>
          </w:p>
        </w:tc>
      </w:tr>
      <w:tr w14:paraId="684D7A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3285" w:type="dxa"/>
            <w:tcBorders>
              <w:tl2br w:val="nil"/>
              <w:tr2bl w:val="nil"/>
            </w:tcBorders>
            <w:noWrap w:val="0"/>
            <w:vAlign w:val="center"/>
          </w:tcPr>
          <w:p w14:paraId="28B706E5">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二级</w:t>
            </w:r>
            <w:r>
              <w:rPr>
                <w:rFonts w:hint="eastAsia" w:ascii="Times New Roman" w:hAnsi="Times New Roman" w:eastAsia="宋体" w:cs="宋体"/>
                <w:caps w:val="0"/>
                <w:color w:val="000000" w:themeColor="text1"/>
                <w:sz w:val="21"/>
                <w:szCs w:val="21"/>
                <w:highlight w:val="none"/>
                <w:u w:val="none" w:color="auto"/>
                <w:lang w:val="en-US" w:eastAsia="zh-CN"/>
                <w14:textFill>
                  <w14:solidFill>
                    <w14:schemeClr w14:val="tx1"/>
                  </w14:solidFill>
                </w14:textFill>
              </w:rPr>
              <w:t>评价</w:t>
            </w:r>
          </w:p>
        </w:tc>
        <w:tc>
          <w:tcPr>
            <w:tcW w:w="5795" w:type="dxa"/>
            <w:tcBorders>
              <w:tl2br w:val="nil"/>
              <w:tr2bl w:val="nil"/>
            </w:tcBorders>
            <w:noWrap w:val="0"/>
            <w:vAlign w:val="center"/>
          </w:tcPr>
          <w:p w14:paraId="45E1895E">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≤Pmax＜10%</w:t>
            </w:r>
          </w:p>
        </w:tc>
      </w:tr>
      <w:tr w14:paraId="3D70759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3285" w:type="dxa"/>
            <w:tcBorders>
              <w:tl2br w:val="nil"/>
              <w:tr2bl w:val="nil"/>
            </w:tcBorders>
            <w:noWrap w:val="0"/>
            <w:vAlign w:val="center"/>
          </w:tcPr>
          <w:p w14:paraId="50401EFF">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三级</w:t>
            </w:r>
            <w:r>
              <w:rPr>
                <w:rFonts w:hint="eastAsia" w:ascii="Times New Roman" w:hAnsi="Times New Roman" w:eastAsia="宋体" w:cs="宋体"/>
                <w:caps w:val="0"/>
                <w:color w:val="000000" w:themeColor="text1"/>
                <w:sz w:val="21"/>
                <w:szCs w:val="21"/>
                <w:highlight w:val="none"/>
                <w:u w:val="none" w:color="auto"/>
                <w:lang w:val="en-US" w:eastAsia="zh-CN"/>
                <w14:textFill>
                  <w14:solidFill>
                    <w14:schemeClr w14:val="tx1"/>
                  </w14:solidFill>
                </w14:textFill>
              </w:rPr>
              <w:t>评价</w:t>
            </w:r>
          </w:p>
        </w:tc>
        <w:tc>
          <w:tcPr>
            <w:tcW w:w="5795" w:type="dxa"/>
            <w:tcBorders>
              <w:tl2br w:val="nil"/>
              <w:tr2bl w:val="nil"/>
            </w:tcBorders>
            <w:noWrap w:val="0"/>
            <w:vAlign w:val="center"/>
          </w:tcPr>
          <w:p w14:paraId="12EEA9A8">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w:t>
            </w:r>
            <w:r>
              <w:rPr>
                <w:rFonts w:hint="eastAsia" w:ascii="Times New Roman" w:hAnsi="Times New Roman" w:eastAsia="宋体" w:cs="宋体"/>
                <w:caps w:val="0"/>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w:t>
            </w:r>
          </w:p>
        </w:tc>
      </w:tr>
    </w:tbl>
    <w:p w14:paraId="13F1808A">
      <w:pPr>
        <w:pStyle w:val="33"/>
        <w:ind w:firstLine="48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(2)污染源参数</w:t>
      </w:r>
    </w:p>
    <w:p w14:paraId="225F27FD">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u w:val="none" w:color="auto"/>
          <w:lang w:val="en-US" w:eastAsia="zh-CN"/>
          <w14:textFill>
            <w14:solidFill>
              <w14:schemeClr w14:val="tx1"/>
            </w14:solidFill>
          </w14:textFill>
        </w:rPr>
        <w:t>项目主要废气污染源排放参数见下表。</w:t>
      </w:r>
    </w:p>
    <w:p w14:paraId="67D0E0C1">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color w:val="000000" w:themeColor="text1"/>
          <w:u w:val="none" w:color="auto"/>
          <w:lang w:val="en-US"/>
          <w14:textFill>
            <w14:solidFill>
              <w14:schemeClr w14:val="tx1"/>
            </w14:solidFill>
          </w14:textFill>
        </w:rPr>
      </w:pPr>
      <w:r>
        <w:rPr>
          <w:rFonts w:hint="eastAsia" w:ascii="Times New Roman" w:hAnsi="Times New Roman" w:eastAsia="宋体" w:cs="Times New Roman"/>
          <w:b/>
          <w:caps w:val="0"/>
          <w:color w:val="000000" w:themeColor="text1"/>
          <w:szCs w:val="21"/>
          <w:highlight w:val="none"/>
          <w:u w:val="none" w:color="auto"/>
          <w14:textFill>
            <w14:solidFill>
              <w14:schemeClr w14:val="tx1"/>
            </w14:solidFill>
          </w14:textFill>
        </w:rPr>
        <w:t>表</w:t>
      </w:r>
      <w:r>
        <w:rPr>
          <w:rFonts w:hint="eastAsia" w:ascii="Times New Roman" w:hAnsi="Times New Roman" w:eastAsia="宋体" w:cs="Times New Roman"/>
          <w:b/>
          <w:caps w:val="0"/>
          <w:color w:val="000000" w:themeColor="text1"/>
          <w:szCs w:val="21"/>
          <w:highlight w:val="none"/>
          <w:u w:val="none" w:color="auto"/>
          <w:lang w:val="en-US" w:eastAsia="zh-CN"/>
          <w14:textFill>
            <w14:solidFill>
              <w14:schemeClr w14:val="tx1"/>
            </w14:solidFill>
          </w14:textFill>
        </w:rPr>
        <w:t>3-2</w:t>
      </w:r>
      <w:r>
        <w:rPr>
          <w:rFonts w:hint="eastAsia" w:ascii="宋体" w:hAnsi="宋体" w:cs="宋体"/>
          <w:b/>
          <w:bCs/>
          <w:color w:val="000000" w:themeColor="text1"/>
          <w:szCs w:val="21"/>
          <w:u w:val="none" w:color="auto"/>
          <w14:textFill>
            <w14:solidFill>
              <w14:schemeClr w14:val="tx1"/>
            </w14:solidFill>
          </w14:textFill>
        </w:rPr>
        <w:t xml:space="preserve"> </w:t>
      </w:r>
      <w:r>
        <w:rPr>
          <w:rFonts w:hint="eastAsia" w:ascii="宋体" w:hAnsi="宋体" w:cs="宋体"/>
          <w:b/>
          <w:bCs/>
          <w:color w:val="000000" w:themeColor="text1"/>
          <w:szCs w:val="21"/>
          <w:u w:val="none" w:color="auto"/>
          <w:lang w:val="en-US" w:eastAsia="zh-CN"/>
          <w14:textFill>
            <w14:solidFill>
              <w14:schemeClr w14:val="tx1"/>
            </w14:solidFill>
          </w14:textFill>
        </w:rPr>
        <w:t xml:space="preserve"> </w:t>
      </w:r>
      <w:r>
        <w:rPr>
          <w:rFonts w:hint="eastAsia" w:ascii="宋体" w:hAnsi="宋体" w:cs="宋体"/>
          <w:b/>
          <w:bCs/>
          <w:color w:val="000000" w:themeColor="text1"/>
          <w:szCs w:val="21"/>
          <w:u w:val="none" w:color="auto"/>
          <w14:textFill>
            <w14:solidFill>
              <w14:schemeClr w14:val="tx1"/>
            </w14:solidFill>
          </w14:textFill>
        </w:rPr>
        <w:t>主要废气污染源参数一览表(点源)</w:t>
      </w:r>
    </w:p>
    <w:tbl>
      <w:tblPr>
        <w:tblStyle w:val="25"/>
        <w:tblW w:w="4996"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406"/>
        <w:gridCol w:w="1337"/>
        <w:gridCol w:w="750"/>
        <w:gridCol w:w="587"/>
        <w:gridCol w:w="641"/>
        <w:gridCol w:w="739"/>
        <w:gridCol w:w="665"/>
        <w:gridCol w:w="643"/>
        <w:gridCol w:w="1901"/>
      </w:tblGrid>
      <w:tr w14:paraId="179E66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29" w:type="pct"/>
            <w:vMerge w:val="restart"/>
            <w:tcBorders>
              <w:tl2br w:val="nil"/>
              <w:tr2bl w:val="nil"/>
            </w:tcBorders>
            <w:noWrap w:val="0"/>
            <w:vAlign w:val="center"/>
          </w:tcPr>
          <w:p w14:paraId="75BAE4FB">
            <w:pPr>
              <w:spacing w:line="300" w:lineRule="exact"/>
              <w:jc w:val="center"/>
              <w:rPr>
                <w:rFonts w:hint="eastAsia" w:ascii="宋体" w:hAnsi="宋体" w:eastAsia="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名称</w:t>
            </w:r>
          </w:p>
        </w:tc>
        <w:tc>
          <w:tcPr>
            <w:tcW w:w="1477" w:type="pct"/>
            <w:gridSpan w:val="2"/>
            <w:vMerge w:val="restart"/>
            <w:tcBorders>
              <w:tl2br w:val="nil"/>
              <w:tr2bl w:val="nil"/>
            </w:tcBorders>
            <w:noWrap w:val="0"/>
            <w:vAlign w:val="center"/>
          </w:tcPr>
          <w:p w14:paraId="0F1B398C">
            <w:pPr>
              <w:spacing w:line="300" w:lineRule="exact"/>
              <w:jc w:val="center"/>
              <w:rPr>
                <w:rFonts w:hint="default" w:ascii="宋体" w:hAnsi="宋体" w:eastAsia="宋体"/>
                <w:color w:val="000000" w:themeColor="text1"/>
                <w:spacing w:val="-20"/>
                <w:sz w:val="18"/>
                <w:szCs w:val="18"/>
                <w:highlight w:val="none"/>
                <w:u w:val="none" w:color="auto"/>
                <w:lang w:val="en-US" w:eastAsia="zh-CN"/>
                <w14:textFill>
                  <w14:solidFill>
                    <w14:schemeClr w14:val="tx1"/>
                  </w14:solidFill>
                </w14:textFill>
              </w:rPr>
            </w:pP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排气筒底部中心坐标/m</w:t>
            </w:r>
          </w:p>
        </w:tc>
        <w:tc>
          <w:tcPr>
            <w:tcW w:w="404" w:type="pct"/>
            <w:vMerge w:val="restart"/>
            <w:tcBorders>
              <w:tl2br w:val="nil"/>
              <w:tr2bl w:val="nil"/>
            </w:tcBorders>
            <w:noWrap w:val="0"/>
            <w:vAlign w:val="center"/>
          </w:tcPr>
          <w:p w14:paraId="0EA46D42">
            <w:pPr>
              <w:spacing w:line="300" w:lineRule="exact"/>
              <w:jc w:val="center"/>
              <w:rPr>
                <w:rFonts w:hint="default" w:ascii="宋体" w:hAnsi="宋体" w:eastAsia="宋体"/>
                <w:color w:val="000000" w:themeColor="text1"/>
                <w:spacing w:val="-20"/>
                <w:sz w:val="18"/>
                <w:szCs w:val="18"/>
                <w:highlight w:val="none"/>
                <w:u w:val="none" w:color="auto"/>
                <w:lang w:val="en-US" w:eastAsia="zh-CN"/>
                <w14:textFill>
                  <w14:solidFill>
                    <w14:schemeClr w14:val="tx1"/>
                  </w14:solidFill>
                </w14:textFill>
              </w:rPr>
            </w:pPr>
            <w:r>
              <w:rPr>
                <w:rFonts w:ascii="宋体" w:hAnsi="宋体"/>
                <w:color w:val="000000" w:themeColor="text1"/>
                <w:spacing w:val="-20"/>
                <w:sz w:val="18"/>
                <w:szCs w:val="18"/>
                <w:highlight w:val="none"/>
                <w:u w:val="none" w:color="auto"/>
                <w14:textFill>
                  <w14:solidFill>
                    <w14:schemeClr w14:val="tx1"/>
                  </w14:solidFill>
                </w14:textFill>
              </w:rPr>
              <w:t>排气筒</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底部海拔</w:t>
            </w:r>
            <w:r>
              <w:rPr>
                <w:rFonts w:ascii="宋体" w:hAnsi="宋体"/>
                <w:color w:val="000000" w:themeColor="text1"/>
                <w:spacing w:val="-20"/>
                <w:sz w:val="18"/>
                <w:szCs w:val="18"/>
                <w:highlight w:val="none"/>
                <w:u w:val="none" w:color="auto"/>
                <w14:textFill>
                  <w14:solidFill>
                    <w14:schemeClr w14:val="tx1"/>
                  </w14:solidFill>
                </w14:textFill>
              </w:rPr>
              <w:t>高度</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/m</w:t>
            </w:r>
          </w:p>
        </w:tc>
        <w:tc>
          <w:tcPr>
            <w:tcW w:w="316" w:type="pct"/>
            <w:vMerge w:val="restart"/>
            <w:tcBorders>
              <w:tl2br w:val="nil"/>
              <w:tr2bl w:val="nil"/>
            </w:tcBorders>
            <w:noWrap w:val="0"/>
            <w:vAlign w:val="center"/>
          </w:tcPr>
          <w:p w14:paraId="4101EC6F">
            <w:pPr>
              <w:spacing w:line="300" w:lineRule="exact"/>
              <w:jc w:val="center"/>
              <w:rPr>
                <w:rFonts w:hint="eastAsia" w:ascii="宋体" w:hAnsi="宋体"/>
                <w:color w:val="000000" w:themeColor="text1"/>
                <w:spacing w:val="-20"/>
                <w:sz w:val="18"/>
                <w:szCs w:val="18"/>
                <w:u w:val="none" w:color="auto"/>
                <w14:textFill>
                  <w14:solidFill>
                    <w14:schemeClr w14:val="tx1"/>
                  </w14:solidFill>
                </w14:textFill>
              </w:rPr>
            </w:pPr>
            <w:r>
              <w:rPr>
                <w:rFonts w:ascii="宋体" w:hAnsi="宋体"/>
                <w:color w:val="000000" w:themeColor="text1"/>
                <w:spacing w:val="-20"/>
                <w:sz w:val="18"/>
                <w:szCs w:val="18"/>
                <w:u w:val="none" w:color="auto"/>
                <w14:textFill>
                  <w14:solidFill>
                    <w14:schemeClr w14:val="tx1"/>
                  </w14:solidFill>
                </w14:textFill>
              </w:rPr>
              <w:t>排气筒</w:t>
            </w:r>
          </w:p>
          <w:p w14:paraId="517CEF19">
            <w:pPr>
              <w:spacing w:line="300" w:lineRule="exact"/>
              <w:jc w:val="center"/>
              <w:rPr>
                <w:rFonts w:hint="default" w:ascii="宋体" w:hAnsi="宋体" w:eastAsia="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高度/m</w:t>
            </w:r>
          </w:p>
        </w:tc>
        <w:tc>
          <w:tcPr>
            <w:tcW w:w="345" w:type="pct"/>
            <w:vMerge w:val="restart"/>
            <w:tcBorders>
              <w:tl2br w:val="nil"/>
              <w:tr2bl w:val="nil"/>
            </w:tcBorders>
            <w:noWrap w:val="0"/>
            <w:vAlign w:val="center"/>
          </w:tcPr>
          <w:p w14:paraId="274F02CD">
            <w:pPr>
              <w:spacing w:line="300" w:lineRule="exact"/>
              <w:jc w:val="center"/>
              <w:rPr>
                <w:rFonts w:hint="eastAsia" w:ascii="宋体" w:hAnsi="宋体"/>
                <w:color w:val="000000" w:themeColor="text1"/>
                <w:spacing w:val="-20"/>
                <w:sz w:val="18"/>
                <w:szCs w:val="18"/>
                <w:u w:val="none" w:color="auto"/>
                <w14:textFill>
                  <w14:solidFill>
                    <w14:schemeClr w14:val="tx1"/>
                  </w14:solidFill>
                </w14:textFill>
              </w:rPr>
            </w:pPr>
            <w:r>
              <w:rPr>
                <w:rFonts w:ascii="宋体" w:hAnsi="宋体"/>
                <w:color w:val="000000" w:themeColor="text1"/>
                <w:spacing w:val="-20"/>
                <w:sz w:val="18"/>
                <w:szCs w:val="18"/>
                <w:u w:val="none" w:color="auto"/>
                <w14:textFill>
                  <w14:solidFill>
                    <w14:schemeClr w14:val="tx1"/>
                  </w14:solidFill>
                </w14:textFill>
              </w:rPr>
              <w:t>排气筒</w:t>
            </w:r>
          </w:p>
          <w:p w14:paraId="369FCE8A">
            <w:pPr>
              <w:spacing w:line="300" w:lineRule="exact"/>
              <w:jc w:val="center"/>
              <w:rPr>
                <w:rFonts w:ascii="宋体" w:hAnsi="宋体"/>
                <w:color w:val="000000" w:themeColor="text1"/>
                <w:spacing w:val="-20"/>
                <w:sz w:val="18"/>
                <w:szCs w:val="18"/>
                <w:u w:val="none" w:color="auto"/>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出口</w:t>
            </w:r>
            <w:r>
              <w:rPr>
                <w:rFonts w:ascii="宋体" w:hAnsi="宋体"/>
                <w:color w:val="000000" w:themeColor="text1"/>
                <w:spacing w:val="-20"/>
                <w:sz w:val="18"/>
                <w:szCs w:val="18"/>
                <w:u w:val="none" w:color="auto"/>
                <w14:textFill>
                  <w14:solidFill>
                    <w14:schemeClr w14:val="tx1"/>
                  </w14:solidFill>
                </w14:textFill>
              </w:rPr>
              <w:t>内径</w:t>
            </w:r>
            <w:r>
              <w:rPr>
                <w:rFonts w:hint="eastAsia" w:ascii="宋体" w:hAnsi="宋体"/>
                <w:color w:val="000000" w:themeColor="text1"/>
                <w:spacing w:val="-20"/>
                <w:sz w:val="18"/>
                <w:szCs w:val="18"/>
                <w:u w:val="none" w:color="auto"/>
                <w:lang w:val="en-US" w:eastAsia="zh-CN"/>
                <w14:textFill>
                  <w14:solidFill>
                    <w14:schemeClr w14:val="tx1"/>
                  </w14:solidFill>
                </w14:textFill>
              </w:rPr>
              <w:t>/m</w:t>
            </w:r>
          </w:p>
        </w:tc>
        <w:tc>
          <w:tcPr>
            <w:tcW w:w="398" w:type="pct"/>
            <w:vMerge w:val="restart"/>
            <w:tcBorders>
              <w:tl2br w:val="nil"/>
              <w:tr2bl w:val="nil"/>
            </w:tcBorders>
            <w:noWrap w:val="0"/>
            <w:vAlign w:val="center"/>
          </w:tcPr>
          <w:p w14:paraId="74BFD0F3">
            <w:pPr>
              <w:spacing w:line="300" w:lineRule="exact"/>
              <w:jc w:val="center"/>
              <w:rPr>
                <w:rFonts w:hint="default" w:ascii="宋体" w:hAnsi="宋体" w:eastAsia="宋体"/>
                <w:color w:val="000000" w:themeColor="text1"/>
                <w:spacing w:val="-20"/>
                <w:sz w:val="18"/>
                <w:szCs w:val="18"/>
                <w:highlight w:val="none"/>
                <w:u w:val="none" w:color="auto"/>
                <w:lang w:val="en-US" w:eastAsia="zh-CN"/>
                <w14:textFill>
                  <w14:solidFill>
                    <w14:schemeClr w14:val="tx1"/>
                  </w14:solidFill>
                </w14:textFill>
              </w:rPr>
            </w:pPr>
            <w:r>
              <w:rPr>
                <w:rFonts w:ascii="宋体" w:hAnsi="宋体"/>
                <w:color w:val="000000" w:themeColor="text1"/>
                <w:spacing w:val="-20"/>
                <w:sz w:val="18"/>
                <w:szCs w:val="18"/>
                <w:highlight w:val="none"/>
                <w:u w:val="none" w:color="auto"/>
                <w14:textFill>
                  <w14:solidFill>
                    <w14:schemeClr w14:val="tx1"/>
                  </w14:solidFill>
                </w14:textFill>
              </w:rPr>
              <w:t>烟气</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流速/（m/s）</w:t>
            </w:r>
          </w:p>
        </w:tc>
        <w:tc>
          <w:tcPr>
            <w:tcW w:w="358" w:type="pct"/>
            <w:vMerge w:val="restart"/>
            <w:tcBorders>
              <w:tl2br w:val="nil"/>
              <w:tr2bl w:val="nil"/>
            </w:tcBorders>
            <w:noWrap w:val="0"/>
            <w:vAlign w:val="center"/>
          </w:tcPr>
          <w:p w14:paraId="376325F5">
            <w:pPr>
              <w:spacing w:line="300" w:lineRule="exact"/>
              <w:jc w:val="center"/>
              <w:rPr>
                <w:rFonts w:ascii="宋体" w:hAnsi="宋体"/>
                <w:color w:val="000000" w:themeColor="text1"/>
                <w:spacing w:val="-20"/>
                <w:sz w:val="18"/>
                <w:szCs w:val="18"/>
                <w:u w:val="none" w:color="auto"/>
                <w14:textFill>
                  <w14:solidFill>
                    <w14:schemeClr w14:val="tx1"/>
                  </w14:solidFill>
                </w14:textFill>
              </w:rPr>
            </w:pPr>
            <w:r>
              <w:rPr>
                <w:rFonts w:ascii="宋体" w:hAnsi="宋体"/>
                <w:color w:val="000000" w:themeColor="text1"/>
                <w:spacing w:val="-20"/>
                <w:sz w:val="18"/>
                <w:szCs w:val="18"/>
                <w:u w:val="none" w:color="auto"/>
                <w14:textFill>
                  <w14:solidFill>
                    <w14:schemeClr w14:val="tx1"/>
                  </w14:solidFill>
                </w14:textFill>
              </w:rPr>
              <w:t>烟气</w:t>
            </w:r>
          </w:p>
          <w:p w14:paraId="55FBE447">
            <w:pPr>
              <w:spacing w:line="300" w:lineRule="exact"/>
              <w:jc w:val="center"/>
              <w:rPr>
                <w:rFonts w:hint="eastAsia" w:ascii="宋体" w:hAnsi="宋体" w:eastAsia="宋体"/>
                <w:color w:val="000000" w:themeColor="text1"/>
                <w:spacing w:val="-20"/>
                <w:sz w:val="18"/>
                <w:szCs w:val="18"/>
                <w:u w:val="none" w:color="auto"/>
                <w:lang w:val="en-US" w:eastAsia="zh-CN"/>
                <w14:textFill>
                  <w14:solidFill>
                    <w14:schemeClr w14:val="tx1"/>
                  </w14:solidFill>
                </w14:textFill>
              </w:rPr>
            </w:pPr>
            <w:r>
              <w:rPr>
                <w:rFonts w:ascii="宋体" w:hAnsi="宋体"/>
                <w:color w:val="000000" w:themeColor="text1"/>
                <w:spacing w:val="-20"/>
                <w:sz w:val="18"/>
                <w:szCs w:val="18"/>
                <w:u w:val="none" w:color="auto"/>
                <w14:textFill>
                  <w14:solidFill>
                    <w14:schemeClr w14:val="tx1"/>
                  </w14:solidFill>
                </w14:textFill>
              </w:rPr>
              <w:t>温度</w:t>
            </w:r>
            <w:r>
              <w:rPr>
                <w:rFonts w:hint="eastAsia" w:ascii="宋体" w:hAnsi="宋体"/>
                <w:color w:val="000000" w:themeColor="text1"/>
                <w:spacing w:val="-20"/>
                <w:sz w:val="18"/>
                <w:szCs w:val="18"/>
                <w:u w:val="none" w:color="auto"/>
                <w:lang w:val="en-US" w:eastAsia="zh-CN"/>
                <w14:textFill>
                  <w14:solidFill>
                    <w14:schemeClr w14:val="tx1"/>
                  </w14:solidFill>
                </w14:textFill>
              </w:rPr>
              <w:t>/</w:t>
            </w:r>
            <w:r>
              <w:rPr>
                <w:rFonts w:hint="eastAsia" w:ascii="宋体" w:hAnsi="宋体" w:eastAsia="宋体" w:cs="宋体"/>
                <w:color w:val="000000" w:themeColor="text1"/>
                <w:spacing w:val="-20"/>
                <w:sz w:val="18"/>
                <w:szCs w:val="18"/>
                <w:u w:val="none" w:color="auto"/>
                <w:lang w:val="en-US" w:eastAsia="zh-CN"/>
                <w14:textFill>
                  <w14:solidFill>
                    <w14:schemeClr w14:val="tx1"/>
                  </w14:solidFill>
                </w14:textFill>
              </w:rPr>
              <w:t>℃</w:t>
            </w:r>
          </w:p>
        </w:tc>
        <w:tc>
          <w:tcPr>
            <w:tcW w:w="346" w:type="pct"/>
            <w:vMerge w:val="restart"/>
            <w:tcBorders>
              <w:tl2br w:val="nil"/>
              <w:tr2bl w:val="nil"/>
            </w:tcBorders>
            <w:noWrap w:val="0"/>
            <w:vAlign w:val="center"/>
          </w:tcPr>
          <w:p w14:paraId="33C70AE1">
            <w:pPr>
              <w:spacing w:line="300" w:lineRule="exact"/>
              <w:jc w:val="center"/>
              <w:rPr>
                <w:rFonts w:hint="eastAsia" w:ascii="宋体" w:hAnsi="宋体"/>
                <w:color w:val="000000" w:themeColor="text1"/>
                <w:spacing w:val="-20"/>
                <w:sz w:val="18"/>
                <w:szCs w:val="18"/>
                <w:u w:val="none" w:color="auto"/>
                <w14:textFill>
                  <w14:solidFill>
                    <w14:schemeClr w14:val="tx1"/>
                  </w14:solidFill>
                </w14:textFill>
              </w:rPr>
            </w:pPr>
            <w:r>
              <w:rPr>
                <w:rFonts w:ascii="宋体" w:hAnsi="宋体"/>
                <w:color w:val="000000" w:themeColor="text1"/>
                <w:spacing w:val="-20"/>
                <w:sz w:val="18"/>
                <w:szCs w:val="18"/>
                <w:u w:val="none" w:color="auto"/>
                <w14:textFill>
                  <w14:solidFill>
                    <w14:schemeClr w14:val="tx1"/>
                  </w14:solidFill>
                </w14:textFill>
              </w:rPr>
              <w:t>排放</w:t>
            </w:r>
          </w:p>
          <w:p w14:paraId="1D688820">
            <w:pPr>
              <w:spacing w:line="300" w:lineRule="exact"/>
              <w:jc w:val="center"/>
              <w:rPr>
                <w:rFonts w:ascii="宋体" w:hAnsi="宋体"/>
                <w:color w:val="000000" w:themeColor="text1"/>
                <w:spacing w:val="-20"/>
                <w:sz w:val="18"/>
                <w:szCs w:val="18"/>
                <w:u w:val="none" w:color="auto"/>
                <w14:textFill>
                  <w14:solidFill>
                    <w14:schemeClr w14:val="tx1"/>
                  </w14:solidFill>
                </w14:textFill>
              </w:rPr>
            </w:pPr>
            <w:r>
              <w:rPr>
                <w:rFonts w:ascii="宋体" w:hAnsi="宋体"/>
                <w:color w:val="000000" w:themeColor="text1"/>
                <w:spacing w:val="-20"/>
                <w:sz w:val="18"/>
                <w:szCs w:val="18"/>
                <w:u w:val="none" w:color="auto"/>
                <w14:textFill>
                  <w14:solidFill>
                    <w14:schemeClr w14:val="tx1"/>
                  </w14:solidFill>
                </w14:textFill>
              </w:rPr>
              <w:t>工况</w:t>
            </w:r>
          </w:p>
        </w:tc>
        <w:tc>
          <w:tcPr>
            <w:tcW w:w="1023" w:type="pct"/>
            <w:tcBorders>
              <w:tl2br w:val="nil"/>
              <w:tr2bl w:val="nil"/>
            </w:tcBorders>
            <w:noWrap w:val="0"/>
            <w:vAlign w:val="center"/>
          </w:tcPr>
          <w:p w14:paraId="5A5ED242">
            <w:pPr>
              <w:spacing w:line="300" w:lineRule="exact"/>
              <w:jc w:val="center"/>
              <w:rPr>
                <w:rFonts w:hint="default" w:ascii="宋体" w:hAnsi="宋体" w:eastAsia="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污染物排放速</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率/(g/s)</w:t>
            </w:r>
          </w:p>
        </w:tc>
      </w:tr>
      <w:tr w14:paraId="35043B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9" w:type="pct"/>
            <w:vMerge w:val="continue"/>
            <w:tcBorders>
              <w:tl2br w:val="nil"/>
              <w:tr2bl w:val="nil"/>
            </w:tcBorders>
            <w:noWrap w:val="0"/>
            <w:vAlign w:val="center"/>
          </w:tcPr>
          <w:p w14:paraId="3F543B06">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1477" w:type="pct"/>
            <w:gridSpan w:val="2"/>
            <w:vMerge w:val="continue"/>
            <w:tcBorders>
              <w:tl2br w:val="nil"/>
              <w:tr2bl w:val="nil"/>
            </w:tcBorders>
            <w:noWrap w:val="0"/>
            <w:vAlign w:val="center"/>
          </w:tcPr>
          <w:p w14:paraId="6F30B12F">
            <w:pPr>
              <w:spacing w:line="300" w:lineRule="exact"/>
              <w:jc w:val="center"/>
              <w:rPr>
                <w:rFonts w:ascii="宋体" w:hAnsi="宋体"/>
                <w:color w:val="000000" w:themeColor="text1"/>
                <w:spacing w:val="-20"/>
                <w:sz w:val="18"/>
                <w:szCs w:val="18"/>
                <w:highlight w:val="none"/>
                <w:u w:val="none" w:color="auto"/>
                <w14:textFill>
                  <w14:solidFill>
                    <w14:schemeClr w14:val="tx1"/>
                  </w14:solidFill>
                </w14:textFill>
              </w:rPr>
            </w:pPr>
          </w:p>
        </w:tc>
        <w:tc>
          <w:tcPr>
            <w:tcW w:w="404" w:type="pct"/>
            <w:vMerge w:val="continue"/>
            <w:tcBorders>
              <w:tl2br w:val="nil"/>
              <w:tr2bl w:val="nil"/>
            </w:tcBorders>
            <w:noWrap w:val="0"/>
            <w:vAlign w:val="center"/>
          </w:tcPr>
          <w:p w14:paraId="7E393DDD">
            <w:pPr>
              <w:adjustRightInd w:val="0"/>
              <w:snapToGrid w:val="0"/>
              <w:spacing w:line="300" w:lineRule="exact"/>
              <w:jc w:val="center"/>
              <w:rPr>
                <w:rFonts w:ascii="宋体" w:hAnsi="宋体"/>
                <w:color w:val="000000" w:themeColor="text1"/>
                <w:spacing w:val="-20"/>
                <w:sz w:val="18"/>
                <w:szCs w:val="18"/>
                <w:highlight w:val="none"/>
                <w:u w:val="none" w:color="auto"/>
                <w14:textFill>
                  <w14:solidFill>
                    <w14:schemeClr w14:val="tx1"/>
                  </w14:solidFill>
                </w14:textFill>
              </w:rPr>
            </w:pPr>
          </w:p>
        </w:tc>
        <w:tc>
          <w:tcPr>
            <w:tcW w:w="316" w:type="pct"/>
            <w:vMerge w:val="continue"/>
            <w:tcBorders>
              <w:tl2br w:val="nil"/>
              <w:tr2bl w:val="nil"/>
            </w:tcBorders>
            <w:noWrap w:val="0"/>
            <w:vAlign w:val="center"/>
          </w:tcPr>
          <w:p w14:paraId="36690EAA">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345" w:type="pct"/>
            <w:vMerge w:val="continue"/>
            <w:tcBorders>
              <w:tl2br w:val="nil"/>
              <w:tr2bl w:val="nil"/>
            </w:tcBorders>
            <w:noWrap w:val="0"/>
            <w:vAlign w:val="center"/>
          </w:tcPr>
          <w:p w14:paraId="03F23AF7">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398" w:type="pct"/>
            <w:vMerge w:val="continue"/>
            <w:tcBorders>
              <w:tl2br w:val="nil"/>
              <w:tr2bl w:val="nil"/>
            </w:tcBorders>
            <w:noWrap w:val="0"/>
            <w:vAlign w:val="center"/>
          </w:tcPr>
          <w:p w14:paraId="1B5FA259">
            <w:pPr>
              <w:spacing w:line="300" w:lineRule="exact"/>
              <w:jc w:val="center"/>
              <w:rPr>
                <w:rFonts w:ascii="宋体" w:hAnsi="宋体"/>
                <w:color w:val="000000" w:themeColor="text1"/>
                <w:spacing w:val="-20"/>
                <w:sz w:val="18"/>
                <w:szCs w:val="18"/>
                <w:highlight w:val="none"/>
                <w:u w:val="none" w:color="auto"/>
                <w14:textFill>
                  <w14:solidFill>
                    <w14:schemeClr w14:val="tx1"/>
                  </w14:solidFill>
                </w14:textFill>
              </w:rPr>
            </w:pPr>
          </w:p>
        </w:tc>
        <w:tc>
          <w:tcPr>
            <w:tcW w:w="358" w:type="pct"/>
            <w:vMerge w:val="continue"/>
            <w:tcBorders>
              <w:tl2br w:val="nil"/>
              <w:tr2bl w:val="nil"/>
            </w:tcBorders>
            <w:noWrap w:val="0"/>
            <w:vAlign w:val="center"/>
          </w:tcPr>
          <w:p w14:paraId="7B5891F6">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346" w:type="pct"/>
            <w:vMerge w:val="continue"/>
            <w:tcBorders>
              <w:tl2br w:val="nil"/>
              <w:tr2bl w:val="nil"/>
            </w:tcBorders>
            <w:noWrap w:val="0"/>
            <w:vAlign w:val="center"/>
          </w:tcPr>
          <w:p w14:paraId="03E43364">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1023" w:type="pct"/>
            <w:vMerge w:val="restart"/>
            <w:tcBorders>
              <w:tl2br w:val="nil"/>
              <w:tr2bl w:val="nil"/>
            </w:tcBorders>
            <w:noWrap w:val="0"/>
            <w:vAlign w:val="center"/>
          </w:tcPr>
          <w:p w14:paraId="5C22A19F">
            <w:pPr>
              <w:adjustRightInd w:val="0"/>
              <w:snapToGrid w:val="0"/>
              <w:spacing w:line="300" w:lineRule="exact"/>
              <w:jc w:val="center"/>
              <w:rPr>
                <w:rFonts w:hint="default" w:ascii="宋体" w:hAnsi="宋体" w:eastAsia="宋体"/>
                <w:color w:val="000000" w:themeColor="text1"/>
                <w:spacing w:val="-20"/>
                <w:sz w:val="18"/>
                <w:szCs w:val="18"/>
                <w:highlight w:val="none"/>
                <w:u w:val="none" w:color="auto"/>
                <w:lang w:val="en-US" w:eastAsia="zh-CN"/>
                <w14:textFill>
                  <w14:solidFill>
                    <w14:schemeClr w14:val="tx1"/>
                  </w14:solidFill>
                </w14:textFill>
              </w:rPr>
            </w:pP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非甲烷总烃</w:t>
            </w:r>
          </w:p>
        </w:tc>
      </w:tr>
      <w:tr w14:paraId="42FB0F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29" w:type="pct"/>
            <w:vMerge w:val="continue"/>
            <w:tcBorders>
              <w:tl2br w:val="nil"/>
              <w:tr2bl w:val="nil"/>
            </w:tcBorders>
            <w:noWrap w:val="0"/>
            <w:vAlign w:val="center"/>
          </w:tcPr>
          <w:p w14:paraId="5A27E683">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757" w:type="pct"/>
            <w:tcBorders>
              <w:tl2br w:val="nil"/>
              <w:tr2bl w:val="nil"/>
            </w:tcBorders>
            <w:noWrap w:val="0"/>
            <w:vAlign w:val="center"/>
          </w:tcPr>
          <w:p w14:paraId="46669D35">
            <w:pPr>
              <w:spacing w:line="300" w:lineRule="exact"/>
              <w:jc w:val="center"/>
              <w:rPr>
                <w:rFonts w:ascii="宋体" w:hAnsi="宋体"/>
                <w:color w:val="000000" w:themeColor="text1"/>
                <w:spacing w:val="-20"/>
                <w:sz w:val="18"/>
                <w:szCs w:val="18"/>
                <w:highlight w:val="none"/>
                <w:u w:val="none" w:color="auto"/>
                <w14:textFill>
                  <w14:solidFill>
                    <w14:schemeClr w14:val="tx1"/>
                  </w14:solidFill>
                </w14:textFill>
              </w:rPr>
            </w:pP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X</w:t>
            </w:r>
          </w:p>
        </w:tc>
        <w:tc>
          <w:tcPr>
            <w:tcW w:w="719" w:type="pct"/>
            <w:tcBorders>
              <w:tl2br w:val="nil"/>
              <w:tr2bl w:val="nil"/>
            </w:tcBorders>
            <w:noWrap w:val="0"/>
            <w:vAlign w:val="center"/>
          </w:tcPr>
          <w:p w14:paraId="158D95B5">
            <w:pPr>
              <w:spacing w:line="300" w:lineRule="exact"/>
              <w:jc w:val="center"/>
              <w:rPr>
                <w:rFonts w:ascii="宋体" w:hAnsi="宋体"/>
                <w:color w:val="000000" w:themeColor="text1"/>
                <w:spacing w:val="-20"/>
                <w:sz w:val="18"/>
                <w:szCs w:val="18"/>
                <w:highlight w:val="none"/>
                <w:u w:val="none" w:color="auto"/>
                <w14:textFill>
                  <w14:solidFill>
                    <w14:schemeClr w14:val="tx1"/>
                  </w14:solidFill>
                </w14:textFill>
              </w:rPr>
            </w:pP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Y</w:t>
            </w:r>
          </w:p>
        </w:tc>
        <w:tc>
          <w:tcPr>
            <w:tcW w:w="404" w:type="pct"/>
            <w:vMerge w:val="continue"/>
            <w:tcBorders>
              <w:tl2br w:val="nil"/>
              <w:tr2bl w:val="nil"/>
            </w:tcBorders>
            <w:noWrap w:val="0"/>
            <w:vAlign w:val="center"/>
          </w:tcPr>
          <w:p w14:paraId="081D4C81">
            <w:pPr>
              <w:adjustRightInd w:val="0"/>
              <w:snapToGrid w:val="0"/>
              <w:spacing w:line="300" w:lineRule="exact"/>
              <w:jc w:val="center"/>
              <w:rPr>
                <w:rFonts w:ascii="宋体" w:hAnsi="宋体"/>
                <w:color w:val="000000" w:themeColor="text1"/>
                <w:spacing w:val="-20"/>
                <w:sz w:val="18"/>
                <w:szCs w:val="18"/>
                <w:highlight w:val="none"/>
                <w:u w:val="none" w:color="auto"/>
                <w14:textFill>
                  <w14:solidFill>
                    <w14:schemeClr w14:val="tx1"/>
                  </w14:solidFill>
                </w14:textFill>
              </w:rPr>
            </w:pPr>
          </w:p>
        </w:tc>
        <w:tc>
          <w:tcPr>
            <w:tcW w:w="316" w:type="pct"/>
            <w:vMerge w:val="continue"/>
            <w:tcBorders>
              <w:tl2br w:val="nil"/>
              <w:tr2bl w:val="nil"/>
            </w:tcBorders>
            <w:noWrap w:val="0"/>
            <w:vAlign w:val="center"/>
          </w:tcPr>
          <w:p w14:paraId="47BE72DF">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345" w:type="pct"/>
            <w:vMerge w:val="continue"/>
            <w:tcBorders>
              <w:tl2br w:val="nil"/>
              <w:tr2bl w:val="nil"/>
            </w:tcBorders>
            <w:noWrap w:val="0"/>
            <w:vAlign w:val="center"/>
          </w:tcPr>
          <w:p w14:paraId="7B1E38BC">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398" w:type="pct"/>
            <w:vMerge w:val="continue"/>
            <w:tcBorders>
              <w:tl2br w:val="nil"/>
              <w:tr2bl w:val="nil"/>
            </w:tcBorders>
            <w:noWrap w:val="0"/>
            <w:vAlign w:val="center"/>
          </w:tcPr>
          <w:p w14:paraId="40E27887">
            <w:pPr>
              <w:spacing w:line="300" w:lineRule="exact"/>
              <w:jc w:val="center"/>
              <w:rPr>
                <w:rFonts w:ascii="宋体" w:hAnsi="宋体"/>
                <w:color w:val="000000" w:themeColor="text1"/>
                <w:spacing w:val="-20"/>
                <w:sz w:val="18"/>
                <w:szCs w:val="18"/>
                <w:highlight w:val="none"/>
                <w:u w:val="none" w:color="auto"/>
                <w14:textFill>
                  <w14:solidFill>
                    <w14:schemeClr w14:val="tx1"/>
                  </w14:solidFill>
                </w14:textFill>
              </w:rPr>
            </w:pPr>
          </w:p>
        </w:tc>
        <w:tc>
          <w:tcPr>
            <w:tcW w:w="358" w:type="pct"/>
            <w:vMerge w:val="continue"/>
            <w:tcBorders>
              <w:tl2br w:val="nil"/>
              <w:tr2bl w:val="nil"/>
            </w:tcBorders>
            <w:noWrap w:val="0"/>
            <w:vAlign w:val="center"/>
          </w:tcPr>
          <w:p w14:paraId="25729085">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346" w:type="pct"/>
            <w:vMerge w:val="continue"/>
            <w:tcBorders>
              <w:tl2br w:val="nil"/>
              <w:tr2bl w:val="nil"/>
            </w:tcBorders>
            <w:noWrap w:val="0"/>
            <w:vAlign w:val="center"/>
          </w:tcPr>
          <w:p w14:paraId="132D4AEE">
            <w:pPr>
              <w:spacing w:line="300" w:lineRule="exact"/>
              <w:jc w:val="center"/>
              <w:rPr>
                <w:rFonts w:ascii="宋体" w:hAnsi="宋体"/>
                <w:color w:val="000000" w:themeColor="text1"/>
                <w:spacing w:val="-20"/>
                <w:sz w:val="18"/>
                <w:szCs w:val="18"/>
                <w:u w:val="none" w:color="auto"/>
                <w14:textFill>
                  <w14:solidFill>
                    <w14:schemeClr w14:val="tx1"/>
                  </w14:solidFill>
                </w14:textFill>
              </w:rPr>
            </w:pPr>
          </w:p>
        </w:tc>
        <w:tc>
          <w:tcPr>
            <w:tcW w:w="1023" w:type="pct"/>
            <w:vMerge w:val="continue"/>
            <w:tcBorders>
              <w:tl2br w:val="nil"/>
              <w:tr2bl w:val="nil"/>
            </w:tcBorders>
            <w:noWrap w:val="0"/>
            <w:vAlign w:val="center"/>
          </w:tcPr>
          <w:p w14:paraId="4426724A">
            <w:pPr>
              <w:adjustRightInd w:val="0"/>
              <w:snapToGrid w:val="0"/>
              <w:spacing w:line="300" w:lineRule="exact"/>
              <w:jc w:val="center"/>
              <w:rPr>
                <w:rFonts w:ascii="宋体" w:hAnsi="宋体"/>
                <w:color w:val="000000" w:themeColor="text1"/>
                <w:spacing w:val="-20"/>
                <w:sz w:val="18"/>
                <w:szCs w:val="18"/>
                <w:u w:val="none" w:color="auto"/>
                <w14:textFill>
                  <w14:solidFill>
                    <w14:schemeClr w14:val="tx1"/>
                  </w14:solidFill>
                </w14:textFill>
              </w:rPr>
            </w:pPr>
          </w:p>
        </w:tc>
      </w:tr>
      <w:tr w14:paraId="037D2C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29" w:type="pct"/>
            <w:tcBorders>
              <w:tl2br w:val="nil"/>
              <w:tr2bl w:val="nil"/>
            </w:tcBorders>
            <w:noWrap w:val="0"/>
            <w:vAlign w:val="center"/>
          </w:tcPr>
          <w:p w14:paraId="37F9EDED">
            <w:pPr>
              <w:spacing w:line="300" w:lineRule="exact"/>
              <w:jc w:val="center"/>
              <w:rPr>
                <w:rFonts w:hint="default" w:ascii="宋体" w:hAnsi="宋体" w:eastAsia="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DA001</w:t>
            </w:r>
          </w:p>
        </w:tc>
        <w:tc>
          <w:tcPr>
            <w:tcW w:w="757" w:type="pct"/>
            <w:tcBorders>
              <w:tl2br w:val="nil"/>
              <w:tr2bl w:val="nil"/>
            </w:tcBorders>
            <w:noWrap w:val="0"/>
            <w:vAlign w:val="center"/>
          </w:tcPr>
          <w:p w14:paraId="7A9CB0F8">
            <w:pPr>
              <w:spacing w:line="300" w:lineRule="exact"/>
              <w:jc w:val="center"/>
              <w:rPr>
                <w:rFonts w:ascii="宋体" w:hAnsi="宋体"/>
                <w:color w:val="000000" w:themeColor="text1"/>
                <w:spacing w:val="-20"/>
                <w:sz w:val="18"/>
                <w:szCs w:val="18"/>
                <w:highlight w:val="yellow"/>
                <w:u w:val="none" w:color="auto"/>
                <w14:textFill>
                  <w14:solidFill>
                    <w14:schemeClr w14:val="tx1"/>
                  </w14:solidFill>
                </w14:textFill>
              </w:rPr>
            </w:pPr>
            <w:r>
              <w:rPr>
                <w:rFonts w:hint="eastAsia" w:ascii="宋体" w:hAnsi="宋体"/>
                <w:color w:val="000000" w:themeColor="text1"/>
                <w:spacing w:val="-20"/>
                <w:sz w:val="18"/>
                <w:szCs w:val="18"/>
                <w:highlight w:val="none"/>
                <w:u w:val="none" w:color="auto"/>
                <w14:textFill>
                  <w14:solidFill>
                    <w14:schemeClr w14:val="tx1"/>
                  </w14:solidFill>
                </w14:textFill>
              </w:rPr>
              <w:t>124°2</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0</w:t>
            </w:r>
            <w:r>
              <w:rPr>
                <w:rFonts w:hint="eastAsia" w:ascii="宋体" w:hAnsi="宋体"/>
                <w:color w:val="000000" w:themeColor="text1"/>
                <w:spacing w:val="-20"/>
                <w:sz w:val="18"/>
                <w:szCs w:val="18"/>
                <w:highlight w:val="none"/>
                <w:u w:val="none" w:color="auto"/>
                <w14:textFill>
                  <w14:solidFill>
                    <w14:schemeClr w14:val="tx1"/>
                  </w14:solidFill>
                </w14:textFill>
              </w:rPr>
              <w:t>′</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54.256</w:t>
            </w:r>
            <w:r>
              <w:rPr>
                <w:rFonts w:hint="eastAsia" w:ascii="宋体" w:hAnsi="宋体"/>
                <w:color w:val="000000" w:themeColor="text1"/>
                <w:spacing w:val="-20"/>
                <w:sz w:val="18"/>
                <w:szCs w:val="18"/>
                <w:highlight w:val="none"/>
                <w:u w:val="none" w:color="auto"/>
                <w14:textFill>
                  <w14:solidFill>
                    <w14:schemeClr w14:val="tx1"/>
                  </w14:solidFill>
                </w14:textFill>
              </w:rPr>
              <w:t>″</w:t>
            </w:r>
          </w:p>
        </w:tc>
        <w:tc>
          <w:tcPr>
            <w:tcW w:w="719" w:type="pct"/>
            <w:tcBorders>
              <w:tl2br w:val="nil"/>
              <w:tr2bl w:val="nil"/>
            </w:tcBorders>
            <w:noWrap w:val="0"/>
            <w:vAlign w:val="center"/>
          </w:tcPr>
          <w:p w14:paraId="7A267ECE">
            <w:pPr>
              <w:spacing w:line="300" w:lineRule="exact"/>
              <w:jc w:val="center"/>
              <w:rPr>
                <w:rFonts w:ascii="宋体" w:hAnsi="宋体"/>
                <w:color w:val="000000" w:themeColor="text1"/>
                <w:spacing w:val="-20"/>
                <w:sz w:val="18"/>
                <w:szCs w:val="18"/>
                <w:highlight w:val="yellow"/>
                <w:u w:val="none" w:color="auto"/>
                <w14:textFill>
                  <w14:solidFill>
                    <w14:schemeClr w14:val="tx1"/>
                  </w14:solidFill>
                </w14:textFill>
              </w:rPr>
            </w:pPr>
            <w:r>
              <w:rPr>
                <w:rFonts w:hint="eastAsia" w:ascii="宋体" w:hAnsi="宋体"/>
                <w:color w:val="000000" w:themeColor="text1"/>
                <w:spacing w:val="-20"/>
                <w:sz w:val="18"/>
                <w:szCs w:val="18"/>
                <w:highlight w:val="none"/>
                <w:u w:val="none" w:color="auto"/>
                <w14:textFill>
                  <w14:solidFill>
                    <w14:schemeClr w14:val="tx1"/>
                  </w14:solidFill>
                </w14:textFill>
              </w:rPr>
              <w:t>43°1</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3</w:t>
            </w:r>
            <w:r>
              <w:rPr>
                <w:rFonts w:hint="eastAsia" w:ascii="宋体" w:hAnsi="宋体"/>
                <w:color w:val="000000" w:themeColor="text1"/>
                <w:spacing w:val="-20"/>
                <w:sz w:val="18"/>
                <w:szCs w:val="18"/>
                <w:highlight w:val="none"/>
                <w:u w:val="none" w:color="auto"/>
                <w14:textFill>
                  <w14:solidFill>
                    <w14:schemeClr w14:val="tx1"/>
                  </w14:solidFill>
                </w14:textFill>
              </w:rPr>
              <w:t>′</w:t>
            </w: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26.108</w:t>
            </w:r>
            <w:r>
              <w:rPr>
                <w:rFonts w:hint="eastAsia" w:ascii="宋体" w:hAnsi="宋体"/>
                <w:color w:val="000000" w:themeColor="text1"/>
                <w:spacing w:val="-20"/>
                <w:sz w:val="18"/>
                <w:szCs w:val="18"/>
                <w:highlight w:val="none"/>
                <w:u w:val="none" w:color="auto"/>
                <w14:textFill>
                  <w14:solidFill>
                    <w14:schemeClr w14:val="tx1"/>
                  </w14:solidFill>
                </w14:textFill>
              </w:rPr>
              <w:t>″</w:t>
            </w:r>
          </w:p>
        </w:tc>
        <w:tc>
          <w:tcPr>
            <w:tcW w:w="404" w:type="pct"/>
            <w:tcBorders>
              <w:tl2br w:val="nil"/>
              <w:tr2bl w:val="nil"/>
            </w:tcBorders>
            <w:noWrap w:val="0"/>
            <w:vAlign w:val="center"/>
          </w:tcPr>
          <w:p w14:paraId="015628D3">
            <w:pPr>
              <w:spacing w:line="300" w:lineRule="exact"/>
              <w:jc w:val="center"/>
              <w:rPr>
                <w:rFonts w:hint="default" w:ascii="宋体" w:hAnsi="宋体" w:eastAsia="宋体"/>
                <w:color w:val="000000" w:themeColor="text1"/>
                <w:spacing w:val="-20"/>
                <w:sz w:val="18"/>
                <w:szCs w:val="18"/>
                <w:highlight w:val="yellow"/>
                <w:u w:val="none" w:color="auto"/>
                <w:lang w:val="en-US" w:eastAsia="zh-CN"/>
                <w14:textFill>
                  <w14:solidFill>
                    <w14:schemeClr w14:val="tx1"/>
                  </w14:solidFill>
                </w14:textFill>
              </w:rPr>
            </w:pP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178</w:t>
            </w:r>
          </w:p>
        </w:tc>
        <w:tc>
          <w:tcPr>
            <w:tcW w:w="316" w:type="pct"/>
            <w:tcBorders>
              <w:tl2br w:val="nil"/>
              <w:tr2bl w:val="nil"/>
            </w:tcBorders>
            <w:noWrap w:val="0"/>
            <w:vAlign w:val="center"/>
          </w:tcPr>
          <w:p w14:paraId="24CD0FAA">
            <w:pPr>
              <w:spacing w:line="300" w:lineRule="exact"/>
              <w:jc w:val="center"/>
              <w:rPr>
                <w:rFonts w:hint="default" w:ascii="宋体" w:hAnsi="宋体" w:eastAsia="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15</w:t>
            </w:r>
          </w:p>
        </w:tc>
        <w:tc>
          <w:tcPr>
            <w:tcW w:w="345" w:type="pct"/>
            <w:tcBorders>
              <w:tl2br w:val="nil"/>
              <w:tr2bl w:val="nil"/>
            </w:tcBorders>
            <w:noWrap w:val="0"/>
            <w:vAlign w:val="center"/>
          </w:tcPr>
          <w:p w14:paraId="24255CA8">
            <w:pPr>
              <w:spacing w:line="300" w:lineRule="exact"/>
              <w:jc w:val="center"/>
              <w:rPr>
                <w:rFonts w:hint="eastAsia" w:ascii="宋体" w:hAnsi="宋体"/>
                <w:color w:val="000000" w:themeColor="text1"/>
                <w:spacing w:val="-20"/>
                <w:sz w:val="18"/>
                <w:szCs w:val="18"/>
                <w:u w:val="none" w:color="auto"/>
                <w14:textFill>
                  <w14:solidFill>
                    <w14:schemeClr w14:val="tx1"/>
                  </w14:solidFill>
                </w14:textFill>
              </w:rPr>
            </w:pPr>
            <w:r>
              <w:rPr>
                <w:rFonts w:hint="eastAsia" w:ascii="宋体" w:hAnsi="宋体"/>
                <w:color w:val="000000" w:themeColor="text1"/>
                <w:spacing w:val="-20"/>
                <w:sz w:val="18"/>
                <w:szCs w:val="18"/>
                <w:u w:val="none" w:color="auto"/>
                <w14:textFill>
                  <w14:solidFill>
                    <w14:schemeClr w14:val="tx1"/>
                  </w14:solidFill>
                </w14:textFill>
              </w:rPr>
              <w:t>0.3</w:t>
            </w:r>
          </w:p>
        </w:tc>
        <w:tc>
          <w:tcPr>
            <w:tcW w:w="398" w:type="pct"/>
            <w:tcBorders>
              <w:tl2br w:val="nil"/>
              <w:tr2bl w:val="nil"/>
            </w:tcBorders>
            <w:noWrap w:val="0"/>
            <w:vAlign w:val="center"/>
          </w:tcPr>
          <w:p w14:paraId="7F66E8CE">
            <w:pPr>
              <w:spacing w:line="300" w:lineRule="exact"/>
              <w:jc w:val="center"/>
              <w:rPr>
                <w:rFonts w:hint="default" w:ascii="宋体" w:hAnsi="宋体" w:eastAsia="宋体"/>
                <w:color w:val="000000" w:themeColor="text1"/>
                <w:spacing w:val="-20"/>
                <w:sz w:val="18"/>
                <w:szCs w:val="18"/>
                <w:highlight w:val="none"/>
                <w:u w:val="none" w:color="auto"/>
                <w:lang w:val="en-US" w:eastAsia="zh-CN"/>
                <w14:textFill>
                  <w14:solidFill>
                    <w14:schemeClr w14:val="tx1"/>
                  </w14:solidFill>
                </w14:textFill>
              </w:rPr>
            </w:pPr>
            <w:r>
              <w:rPr>
                <w:rFonts w:hint="eastAsia" w:ascii="宋体" w:hAnsi="宋体"/>
                <w:color w:val="000000" w:themeColor="text1"/>
                <w:spacing w:val="-20"/>
                <w:sz w:val="18"/>
                <w:szCs w:val="18"/>
                <w:highlight w:val="none"/>
                <w:u w:val="none" w:color="auto"/>
                <w:lang w:val="en-US" w:eastAsia="zh-CN"/>
                <w14:textFill>
                  <w14:solidFill>
                    <w14:schemeClr w14:val="tx1"/>
                  </w14:solidFill>
                </w14:textFill>
              </w:rPr>
              <w:t>11</w:t>
            </w:r>
          </w:p>
        </w:tc>
        <w:tc>
          <w:tcPr>
            <w:tcW w:w="358" w:type="pct"/>
            <w:tcBorders>
              <w:tl2br w:val="nil"/>
              <w:tr2bl w:val="nil"/>
            </w:tcBorders>
            <w:noWrap w:val="0"/>
            <w:vAlign w:val="center"/>
          </w:tcPr>
          <w:p w14:paraId="2DBDF890">
            <w:pPr>
              <w:spacing w:line="300" w:lineRule="exact"/>
              <w:jc w:val="center"/>
              <w:rPr>
                <w:rFonts w:hint="eastAsia" w:ascii="宋体" w:hAnsi="宋体" w:eastAsia="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14:textFill>
                  <w14:solidFill>
                    <w14:schemeClr w14:val="tx1"/>
                  </w14:solidFill>
                </w14:textFill>
              </w:rPr>
              <w:t>2</w:t>
            </w:r>
            <w:r>
              <w:rPr>
                <w:rFonts w:hint="eastAsia" w:ascii="宋体" w:hAnsi="宋体"/>
                <w:color w:val="000000" w:themeColor="text1"/>
                <w:spacing w:val="-20"/>
                <w:sz w:val="18"/>
                <w:szCs w:val="18"/>
                <w:u w:val="none" w:color="auto"/>
                <w:lang w:val="en-US" w:eastAsia="zh-CN"/>
                <w14:textFill>
                  <w14:solidFill>
                    <w14:schemeClr w14:val="tx1"/>
                  </w14:solidFill>
                </w14:textFill>
              </w:rPr>
              <w:t>0</w:t>
            </w:r>
          </w:p>
        </w:tc>
        <w:tc>
          <w:tcPr>
            <w:tcW w:w="346" w:type="pct"/>
            <w:tcBorders>
              <w:tl2br w:val="nil"/>
              <w:tr2bl w:val="nil"/>
            </w:tcBorders>
            <w:noWrap w:val="0"/>
            <w:vAlign w:val="center"/>
          </w:tcPr>
          <w:p w14:paraId="71D714BB">
            <w:pPr>
              <w:spacing w:line="300" w:lineRule="exact"/>
              <w:jc w:val="center"/>
              <w:rPr>
                <w:rFonts w:hint="eastAsia" w:ascii="宋体" w:hAnsi="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正常</w:t>
            </w:r>
          </w:p>
          <w:p w14:paraId="51D65386">
            <w:pPr>
              <w:spacing w:line="300" w:lineRule="exact"/>
              <w:jc w:val="center"/>
              <w:rPr>
                <w:rFonts w:hint="default" w:ascii="宋体" w:hAnsi="宋体" w:eastAsia="宋体"/>
                <w:color w:val="000000" w:themeColor="text1"/>
                <w:spacing w:val="-20"/>
                <w:sz w:val="18"/>
                <w:szCs w:val="18"/>
                <w:u w:val="none" w:color="auto"/>
                <w:lang w:val="en-US" w:eastAsia="zh-CN"/>
                <w14:textFill>
                  <w14:solidFill>
                    <w14:schemeClr w14:val="tx1"/>
                  </w14:solidFill>
                </w14:textFill>
              </w:rPr>
            </w:pPr>
            <w:r>
              <w:rPr>
                <w:rFonts w:hint="eastAsia" w:ascii="宋体" w:hAnsi="宋体"/>
                <w:color w:val="000000" w:themeColor="text1"/>
                <w:spacing w:val="-20"/>
                <w:sz w:val="18"/>
                <w:szCs w:val="18"/>
                <w:u w:val="none" w:color="auto"/>
                <w:lang w:val="en-US" w:eastAsia="zh-CN"/>
                <w14:textFill>
                  <w14:solidFill>
                    <w14:schemeClr w14:val="tx1"/>
                  </w14:solidFill>
                </w14:textFill>
              </w:rPr>
              <w:t>工况</w:t>
            </w:r>
          </w:p>
        </w:tc>
        <w:tc>
          <w:tcPr>
            <w:tcW w:w="1023" w:type="pct"/>
            <w:tcBorders>
              <w:tl2br w:val="nil"/>
              <w:tr2bl w:val="nil"/>
            </w:tcBorders>
            <w:noWrap w:val="0"/>
            <w:vAlign w:val="center"/>
          </w:tcPr>
          <w:p w14:paraId="2AC9A0D5">
            <w:pPr>
              <w:spacing w:line="300" w:lineRule="exact"/>
              <w:jc w:val="center"/>
              <w:rPr>
                <w:rFonts w:hint="default" w:ascii="Times New Roman" w:hAnsi="Times New Roman" w:eastAsia="宋体" w:cs="Times New Roman"/>
                <w:color w:val="000000" w:themeColor="text1"/>
                <w:spacing w:val="-20"/>
                <w:kern w:val="2"/>
                <w:sz w:val="18"/>
                <w:szCs w:val="18"/>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sz w:val="18"/>
                <w:szCs w:val="18"/>
                <w:highlight w:val="none"/>
                <w:u w:val="none" w:color="auto"/>
                <w:lang w:val="en-US" w:eastAsia="zh-CN"/>
                <w14:textFill>
                  <w14:solidFill>
                    <w14:schemeClr w14:val="tx1"/>
                  </w14:solidFill>
                </w14:textFill>
              </w:rPr>
              <w:t>7.5×10</w:t>
            </w:r>
            <w:r>
              <w:rPr>
                <w:rFonts w:hint="eastAsia" w:ascii="Times New Roman" w:hAnsi="Times New Roman" w:eastAsia="宋体" w:cs="Times New Roman"/>
                <w:color w:val="000000" w:themeColor="text1"/>
                <w:spacing w:val="-20"/>
                <w:sz w:val="18"/>
                <w:szCs w:val="18"/>
                <w:highlight w:val="none"/>
                <w:u w:val="none" w:color="auto"/>
                <w:vertAlign w:val="superscript"/>
                <w:lang w:val="en-US" w:eastAsia="zh-CN"/>
                <w14:textFill>
                  <w14:solidFill>
                    <w14:schemeClr w14:val="tx1"/>
                  </w14:solidFill>
                </w14:textFill>
              </w:rPr>
              <w:t>—</w:t>
            </w:r>
            <w:r>
              <w:rPr>
                <w:rFonts w:hint="eastAsia" w:cs="Times New Roman"/>
                <w:color w:val="000000" w:themeColor="text1"/>
                <w:spacing w:val="-20"/>
                <w:sz w:val="18"/>
                <w:szCs w:val="18"/>
                <w:highlight w:val="none"/>
                <w:u w:val="none" w:color="auto"/>
                <w:vertAlign w:val="superscript"/>
                <w:lang w:val="en-US" w:eastAsia="zh-CN"/>
                <w14:textFill>
                  <w14:solidFill>
                    <w14:schemeClr w14:val="tx1"/>
                  </w14:solidFill>
                </w14:textFill>
              </w:rPr>
              <w:t>3</w:t>
            </w:r>
          </w:p>
        </w:tc>
      </w:tr>
    </w:tbl>
    <w:p w14:paraId="589672BA">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b/>
          <w:caps w:val="0"/>
          <w:color w:val="000000" w:themeColor="text1"/>
          <w:szCs w:val="21"/>
          <w:highlight w:val="none"/>
          <w:u w:val="none" w:color="auto"/>
          <w14:textFill>
            <w14:solidFill>
              <w14:schemeClr w14:val="tx1"/>
            </w14:solidFill>
          </w14:textFill>
        </w:rPr>
        <w:t>表</w:t>
      </w:r>
      <w:r>
        <w:rPr>
          <w:rFonts w:hint="eastAsia" w:ascii="Times New Roman" w:hAnsi="Times New Roman" w:eastAsia="宋体" w:cs="Times New Roman"/>
          <w:b/>
          <w:caps w:val="0"/>
          <w:color w:val="000000" w:themeColor="text1"/>
          <w:szCs w:val="21"/>
          <w:highlight w:val="none"/>
          <w:u w:val="none" w:color="auto"/>
          <w:lang w:val="en-US" w:eastAsia="zh-CN"/>
          <w14:textFill>
            <w14:solidFill>
              <w14:schemeClr w14:val="tx1"/>
            </w14:solidFill>
          </w14:textFill>
        </w:rPr>
        <w:t>3-3</w:t>
      </w:r>
      <w:r>
        <w:rPr>
          <w:rFonts w:hint="eastAsia" w:ascii="Times New Roman" w:hAnsi="Times New Roman" w:eastAsia="宋体" w:cs="Times New Roman"/>
          <w:b/>
          <w:caps w:val="0"/>
          <w:color w:val="000000" w:themeColor="text1"/>
          <w:szCs w:val="21"/>
          <w:highlight w:val="none"/>
          <w:u w:val="none" w:color="auto"/>
          <w14:textFill>
            <w14:solidFill>
              <w14:schemeClr w14:val="tx1"/>
            </w14:solidFill>
          </w14:textFill>
        </w:rPr>
        <w:t xml:space="preserve"> </w:t>
      </w:r>
      <w:r>
        <w:rPr>
          <w:rFonts w:hint="eastAsia" w:ascii="宋体" w:hAnsi="宋体" w:cs="宋体"/>
          <w:b/>
          <w:bCs/>
          <w:color w:val="000000" w:themeColor="text1"/>
          <w:szCs w:val="21"/>
          <w:u w:val="none" w:color="auto"/>
          <w:lang w:val="en-US" w:eastAsia="zh-CN"/>
          <w14:textFill>
            <w14:solidFill>
              <w14:schemeClr w14:val="tx1"/>
            </w14:solidFill>
          </w14:textFill>
        </w:rPr>
        <w:t xml:space="preserve"> </w:t>
      </w:r>
      <w:r>
        <w:rPr>
          <w:rFonts w:ascii="宋体" w:hAnsi="宋体" w:eastAsia="宋体" w:cs="宋体"/>
          <w:b/>
          <w:bCs/>
          <w:color w:val="000000" w:themeColor="text1"/>
          <w:spacing w:val="-3"/>
          <w:sz w:val="24"/>
          <w:szCs w:val="24"/>
          <w:u w:val="none" w:color="auto"/>
          <w14:textFill>
            <w14:solidFill>
              <w14:schemeClr w14:val="tx1"/>
            </w14:solidFill>
          </w14:textFill>
        </w:rPr>
        <w:t>估算模型污染源（面源）参数取值表</w:t>
      </w:r>
    </w:p>
    <w:tbl>
      <w:tblPr>
        <w:tblStyle w:val="108"/>
        <w:tblW w:w="9131" w:type="dxa"/>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452"/>
        <w:gridCol w:w="947"/>
        <w:gridCol w:w="1018"/>
        <w:gridCol w:w="1147"/>
        <w:gridCol w:w="1316"/>
        <w:gridCol w:w="1018"/>
        <w:gridCol w:w="1493"/>
      </w:tblGrid>
      <w:tr w14:paraId="2164DCD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192" w:type="dxa"/>
            <w:gridSpan w:val="2"/>
            <w:tcBorders>
              <w:tl2br w:val="nil"/>
              <w:tr2bl w:val="nil"/>
            </w:tcBorders>
            <w:vAlign w:val="center"/>
          </w:tcPr>
          <w:p w14:paraId="3B01F21E">
            <w:pPr>
              <w:pStyle w:val="119"/>
              <w:spacing w:before="172" w:line="230" w:lineRule="auto"/>
              <w:ind w:left="918"/>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名称</w:t>
            </w:r>
          </w:p>
        </w:tc>
        <w:tc>
          <w:tcPr>
            <w:tcW w:w="947" w:type="dxa"/>
            <w:tcBorders>
              <w:tl2br w:val="nil"/>
              <w:tr2bl w:val="nil"/>
            </w:tcBorders>
            <w:vAlign w:val="center"/>
          </w:tcPr>
          <w:p w14:paraId="0571A720">
            <w:pPr>
              <w:pStyle w:val="119"/>
              <w:spacing w:before="35" w:line="22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面源</w:t>
            </w:r>
            <w:r>
              <w:rPr>
                <w:rFonts w:hint="eastAsia" w:ascii="宋体" w:hAnsi="宋体" w:eastAsia="宋体" w:cs="宋体"/>
                <w:color w:val="000000" w:themeColor="text1"/>
                <w:spacing w:val="6"/>
                <w:sz w:val="18"/>
                <w:szCs w:val="18"/>
                <w:u w:val="none" w:color="auto"/>
                <w:lang w:eastAsia="zh-CN"/>
                <w14:textFill>
                  <w14:solidFill>
                    <w14:schemeClr w14:val="tx1"/>
                  </w14:solidFill>
                </w14:textFill>
              </w:rPr>
              <w:t>、</w:t>
            </w:r>
            <w:r>
              <w:rPr>
                <w:rFonts w:hint="eastAsia" w:ascii="宋体" w:hAnsi="宋体" w:eastAsia="宋体" w:cs="宋体"/>
                <w:color w:val="000000" w:themeColor="text1"/>
                <w:spacing w:val="6"/>
                <w:sz w:val="18"/>
                <w:szCs w:val="18"/>
                <w:u w:val="none" w:color="auto"/>
                <w14:textFill>
                  <w14:solidFill>
                    <w14:schemeClr w14:val="tx1"/>
                  </w14:solidFill>
                </w14:textFill>
              </w:rPr>
              <w:t>长</w:t>
            </w:r>
            <w:r>
              <w:rPr>
                <w:rFonts w:hint="eastAsia" w:ascii="宋体" w:hAnsi="宋体" w:eastAsia="宋体" w:cs="宋体"/>
                <w:color w:val="000000" w:themeColor="text1"/>
                <w:spacing w:val="4"/>
                <w:sz w:val="18"/>
                <w:szCs w:val="18"/>
                <w:u w:val="none" w:color="auto"/>
                <w14:textFill>
                  <w14:solidFill>
                    <w14:schemeClr w14:val="tx1"/>
                  </w14:solidFill>
                </w14:textFill>
              </w:rPr>
              <w:t>度/m</w:t>
            </w:r>
          </w:p>
        </w:tc>
        <w:tc>
          <w:tcPr>
            <w:tcW w:w="1018" w:type="dxa"/>
            <w:tcBorders>
              <w:tl2br w:val="nil"/>
              <w:tr2bl w:val="nil"/>
            </w:tcBorders>
            <w:vAlign w:val="center"/>
          </w:tcPr>
          <w:p w14:paraId="62E45AB3">
            <w:pPr>
              <w:pStyle w:val="119"/>
              <w:spacing w:before="36"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面源</w:t>
            </w:r>
            <w:r>
              <w:rPr>
                <w:rFonts w:hint="eastAsia" w:ascii="宋体" w:hAnsi="宋体" w:eastAsia="宋体" w:cs="宋体"/>
                <w:color w:val="000000" w:themeColor="text1"/>
                <w:spacing w:val="6"/>
                <w:sz w:val="18"/>
                <w:szCs w:val="18"/>
                <w:u w:val="none" w:color="auto"/>
                <w:lang w:eastAsia="zh-CN"/>
                <w14:textFill>
                  <w14:solidFill>
                    <w14:schemeClr w14:val="tx1"/>
                  </w14:solidFill>
                </w14:textFill>
              </w:rPr>
              <w:t>、</w:t>
            </w:r>
            <w:r>
              <w:rPr>
                <w:rFonts w:hint="eastAsia" w:ascii="宋体" w:hAnsi="宋体" w:eastAsia="宋体" w:cs="宋体"/>
                <w:color w:val="000000" w:themeColor="text1"/>
                <w:spacing w:val="6"/>
                <w:sz w:val="18"/>
                <w:szCs w:val="18"/>
                <w:u w:val="none" w:color="auto"/>
                <w14:textFill>
                  <w14:solidFill>
                    <w14:schemeClr w14:val="tx1"/>
                  </w14:solidFill>
                </w14:textFill>
              </w:rPr>
              <w:t>宽</w:t>
            </w:r>
            <w:r>
              <w:rPr>
                <w:rFonts w:hint="eastAsia" w:ascii="宋体" w:hAnsi="宋体" w:eastAsia="宋体" w:cs="宋体"/>
                <w:color w:val="000000" w:themeColor="text1"/>
                <w:spacing w:val="3"/>
                <w:sz w:val="18"/>
                <w:szCs w:val="18"/>
                <w:u w:val="none" w:color="auto"/>
                <w14:textFill>
                  <w14:solidFill>
                    <w14:schemeClr w14:val="tx1"/>
                  </w14:solidFill>
                </w14:textFill>
              </w:rPr>
              <w:t>度/m</w:t>
            </w:r>
          </w:p>
        </w:tc>
        <w:tc>
          <w:tcPr>
            <w:tcW w:w="1147" w:type="dxa"/>
            <w:tcBorders>
              <w:tl2br w:val="nil"/>
              <w:tr2bl w:val="nil"/>
            </w:tcBorders>
            <w:vAlign w:val="center"/>
          </w:tcPr>
          <w:p w14:paraId="631BB454">
            <w:pPr>
              <w:pStyle w:val="119"/>
              <w:spacing w:before="35" w:line="22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与正北向</w:t>
            </w:r>
          </w:p>
          <w:p w14:paraId="016A1A81">
            <w:pPr>
              <w:pStyle w:val="119"/>
              <w:spacing w:before="25" w:line="211" w:lineRule="auto"/>
              <w:ind w:left="300"/>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夹角/°</w:t>
            </w:r>
          </w:p>
        </w:tc>
        <w:tc>
          <w:tcPr>
            <w:tcW w:w="1316" w:type="dxa"/>
            <w:tcBorders>
              <w:tl2br w:val="nil"/>
              <w:tr2bl w:val="nil"/>
            </w:tcBorders>
            <w:vAlign w:val="center"/>
          </w:tcPr>
          <w:p w14:paraId="54744B88">
            <w:pPr>
              <w:pStyle w:val="119"/>
              <w:spacing w:before="36" w:line="228" w:lineRule="auto"/>
              <w:jc w:val="center"/>
              <w:rPr>
                <w:rFonts w:hint="eastAsia" w:ascii="宋体" w:hAnsi="宋体" w:eastAsia="宋体" w:cs="宋体"/>
                <w:color w:val="000000" w:themeColor="text1"/>
                <w:spacing w:val="7"/>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面源有效</w:t>
            </w:r>
          </w:p>
          <w:p w14:paraId="64D99E1D">
            <w:pPr>
              <w:pStyle w:val="119"/>
              <w:spacing w:before="36" w:line="228"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排</w:t>
            </w:r>
            <w:r>
              <w:rPr>
                <w:rFonts w:hint="eastAsia" w:ascii="宋体" w:hAnsi="宋体" w:eastAsia="宋体" w:cs="宋体"/>
                <w:color w:val="000000" w:themeColor="text1"/>
                <w:spacing w:val="5"/>
                <w:sz w:val="18"/>
                <w:szCs w:val="18"/>
                <w:u w:val="none" w:color="auto"/>
                <w14:textFill>
                  <w14:solidFill>
                    <w14:schemeClr w14:val="tx1"/>
                  </w14:solidFill>
                </w14:textFill>
              </w:rPr>
              <w:t>放高度/m</w:t>
            </w:r>
          </w:p>
        </w:tc>
        <w:tc>
          <w:tcPr>
            <w:tcW w:w="1018" w:type="dxa"/>
            <w:tcBorders>
              <w:tl2br w:val="nil"/>
              <w:tr2bl w:val="nil"/>
            </w:tcBorders>
            <w:vAlign w:val="center"/>
          </w:tcPr>
          <w:p w14:paraId="32FCF0EC">
            <w:pPr>
              <w:pStyle w:val="119"/>
              <w:spacing w:before="35" w:line="232" w:lineRule="auto"/>
              <w:ind w:right="192"/>
              <w:jc w:val="center"/>
              <w:rPr>
                <w:rFonts w:hint="eastAsia" w:ascii="宋体" w:hAnsi="宋体" w:eastAsia="宋体" w:cs="宋体"/>
                <w:color w:val="000000" w:themeColor="text1"/>
                <w:spacing w:val="6"/>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排放</w:t>
            </w:r>
          </w:p>
          <w:p w14:paraId="6556DEAE">
            <w:pPr>
              <w:pStyle w:val="119"/>
              <w:spacing w:before="35" w:line="232" w:lineRule="auto"/>
              <w:ind w:right="192"/>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6"/>
                <w:sz w:val="18"/>
                <w:szCs w:val="18"/>
                <w:u w:val="none" w:color="auto"/>
                <w14:textFill>
                  <w14:solidFill>
                    <w14:schemeClr w14:val="tx1"/>
                  </w14:solidFill>
                </w14:textFill>
              </w:rPr>
              <w:t>工</w:t>
            </w:r>
            <w:r>
              <w:rPr>
                <w:rFonts w:hint="eastAsia" w:ascii="宋体" w:hAnsi="宋体" w:eastAsia="宋体" w:cs="宋体"/>
                <w:color w:val="000000" w:themeColor="text1"/>
                <w:sz w:val="18"/>
                <w:szCs w:val="18"/>
                <w:u w:val="none" w:color="auto"/>
                <w14:textFill>
                  <w14:solidFill>
                    <w14:schemeClr w14:val="tx1"/>
                  </w14:solidFill>
                </w14:textFill>
              </w:rPr>
              <w:t>况</w:t>
            </w:r>
          </w:p>
        </w:tc>
        <w:tc>
          <w:tcPr>
            <w:tcW w:w="1493" w:type="dxa"/>
            <w:tcBorders>
              <w:tl2br w:val="nil"/>
              <w:tr2bl w:val="nil"/>
            </w:tcBorders>
            <w:vAlign w:val="center"/>
          </w:tcPr>
          <w:p w14:paraId="741E3D57">
            <w:pPr>
              <w:pStyle w:val="119"/>
              <w:spacing w:before="35" w:line="232" w:lineRule="auto"/>
              <w:ind w:right="118"/>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污染物排放速</w:t>
            </w:r>
            <w:r>
              <w:rPr>
                <w:rFonts w:hint="eastAsia" w:ascii="宋体" w:hAnsi="宋体" w:eastAsia="宋体" w:cs="宋体"/>
                <w:color w:val="000000" w:themeColor="text1"/>
                <w:spacing w:val="4"/>
                <w:sz w:val="18"/>
                <w:szCs w:val="18"/>
                <w:u w:val="none" w:color="auto"/>
                <w14:textFill>
                  <w14:solidFill>
                    <w14:schemeClr w14:val="tx1"/>
                  </w14:solidFill>
                </w14:textFill>
              </w:rPr>
              <w:t>率</w:t>
            </w:r>
            <w:r>
              <w:rPr>
                <w:rFonts w:hint="eastAsia" w:ascii="宋体" w:hAnsi="宋体" w:eastAsia="宋体" w:cs="宋体"/>
                <w:color w:val="000000" w:themeColor="text1"/>
                <w:spacing w:val="-46"/>
                <w:sz w:val="18"/>
                <w:szCs w:val="18"/>
                <w:u w:val="none" w:color="auto"/>
                <w14:textFill>
                  <w14:solidFill>
                    <w14:schemeClr w14:val="tx1"/>
                  </w14:solidFill>
                </w14:textFill>
              </w:rPr>
              <w:t xml:space="preserve"> </w:t>
            </w:r>
            <w:r>
              <w:rPr>
                <w:rFonts w:hint="eastAsia" w:ascii="宋体" w:hAnsi="宋体" w:eastAsia="宋体" w:cs="宋体"/>
                <w:color w:val="000000" w:themeColor="text1"/>
                <w:sz w:val="18"/>
                <w:szCs w:val="18"/>
                <w:u w:val="none" w:color="auto"/>
                <w14:textFill>
                  <w14:solidFill>
                    <w14:schemeClr w14:val="tx1"/>
                  </w14:solidFill>
                </w14:textFill>
              </w:rPr>
              <w:t>kg</w:t>
            </w:r>
            <w:r>
              <w:rPr>
                <w:rFonts w:hint="eastAsia" w:ascii="宋体" w:hAnsi="宋体" w:eastAsia="宋体" w:cs="宋体"/>
                <w:color w:val="000000" w:themeColor="text1"/>
                <w:spacing w:val="4"/>
                <w:sz w:val="18"/>
                <w:szCs w:val="18"/>
                <w:u w:val="none" w:color="auto"/>
                <w14:textFill>
                  <w14:solidFill>
                    <w14:schemeClr w14:val="tx1"/>
                  </w14:solidFill>
                </w14:textFill>
              </w:rPr>
              <w:t>/h</w:t>
            </w:r>
          </w:p>
        </w:tc>
      </w:tr>
      <w:tr w14:paraId="6465264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40" w:type="dxa"/>
            <w:tcBorders>
              <w:tl2br w:val="nil"/>
              <w:tr2bl w:val="nil"/>
            </w:tcBorders>
            <w:vAlign w:val="center"/>
          </w:tcPr>
          <w:p w14:paraId="053C58D4">
            <w:pPr>
              <w:pStyle w:val="119"/>
              <w:spacing w:before="176" w:line="22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面源</w:t>
            </w:r>
            <w:r>
              <w:rPr>
                <w:rFonts w:hint="eastAsia" w:ascii="宋体" w:hAnsi="宋体" w:eastAsia="宋体" w:cs="宋体"/>
                <w:color w:val="000000" w:themeColor="text1"/>
                <w:spacing w:val="-19"/>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2"/>
                <w:sz w:val="18"/>
                <w:szCs w:val="18"/>
                <w:u w:val="none" w:color="auto"/>
                <w14:textFill>
                  <w14:solidFill>
                    <w14:schemeClr w14:val="tx1"/>
                  </w14:solidFill>
                </w14:textFill>
              </w:rPr>
              <w:t>1</w:t>
            </w:r>
          </w:p>
        </w:tc>
        <w:tc>
          <w:tcPr>
            <w:tcW w:w="1452" w:type="dxa"/>
            <w:tcBorders>
              <w:tl2br w:val="nil"/>
              <w:tr2bl w:val="nil"/>
            </w:tcBorders>
            <w:vAlign w:val="center"/>
          </w:tcPr>
          <w:p w14:paraId="7A926516">
            <w:pPr>
              <w:pStyle w:val="119"/>
              <w:spacing w:before="37" w:line="20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非甲烷总烃</w:t>
            </w:r>
          </w:p>
        </w:tc>
        <w:tc>
          <w:tcPr>
            <w:tcW w:w="947" w:type="dxa"/>
            <w:tcBorders>
              <w:tl2br w:val="nil"/>
              <w:tr2bl w:val="nil"/>
            </w:tcBorders>
            <w:vAlign w:val="center"/>
          </w:tcPr>
          <w:p w14:paraId="313869BB">
            <w:pPr>
              <w:spacing w:before="214" w:line="195" w:lineRule="auto"/>
              <w:jc w:val="center"/>
              <w:rPr>
                <w:rFonts w:hint="default"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106</w:t>
            </w:r>
          </w:p>
        </w:tc>
        <w:tc>
          <w:tcPr>
            <w:tcW w:w="1018" w:type="dxa"/>
            <w:tcBorders>
              <w:tl2br w:val="nil"/>
              <w:tr2bl w:val="nil"/>
            </w:tcBorders>
            <w:vAlign w:val="center"/>
          </w:tcPr>
          <w:p w14:paraId="4E57D9D0">
            <w:pPr>
              <w:spacing w:before="214" w:line="195" w:lineRule="auto"/>
              <w:jc w:val="center"/>
              <w:rPr>
                <w:rFonts w:hint="default"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28</w:t>
            </w:r>
          </w:p>
        </w:tc>
        <w:tc>
          <w:tcPr>
            <w:tcW w:w="1147" w:type="dxa"/>
            <w:tcBorders>
              <w:tl2br w:val="nil"/>
              <w:tr2bl w:val="nil"/>
            </w:tcBorders>
            <w:vAlign w:val="center"/>
          </w:tcPr>
          <w:p w14:paraId="1CA11AA6">
            <w:pPr>
              <w:spacing w:before="69" w:line="19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w:t>
            </w:r>
          </w:p>
        </w:tc>
        <w:tc>
          <w:tcPr>
            <w:tcW w:w="1316" w:type="dxa"/>
            <w:tcBorders>
              <w:tl2br w:val="nil"/>
              <w:tr2bl w:val="nil"/>
            </w:tcBorders>
            <w:vAlign w:val="center"/>
          </w:tcPr>
          <w:p w14:paraId="2CD05A3F">
            <w:pPr>
              <w:spacing w:before="214" w:line="195"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3.5</w:t>
            </w:r>
          </w:p>
        </w:tc>
        <w:tc>
          <w:tcPr>
            <w:tcW w:w="1018" w:type="dxa"/>
            <w:tcBorders>
              <w:tl2br w:val="nil"/>
              <w:tr2bl w:val="nil"/>
            </w:tcBorders>
            <w:vAlign w:val="center"/>
          </w:tcPr>
          <w:p w14:paraId="724DB7F1">
            <w:pPr>
              <w:pStyle w:val="119"/>
              <w:spacing w:before="37" w:line="20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正常</w:t>
            </w:r>
          </w:p>
        </w:tc>
        <w:tc>
          <w:tcPr>
            <w:tcW w:w="1493" w:type="dxa"/>
            <w:tcBorders>
              <w:tl2br w:val="nil"/>
              <w:tr2bl w:val="nil"/>
            </w:tcBorders>
            <w:vAlign w:val="center"/>
          </w:tcPr>
          <w:p w14:paraId="241FFCF5">
            <w:pPr>
              <w:spacing w:before="72" w:line="195"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0.0265</w:t>
            </w:r>
          </w:p>
        </w:tc>
      </w:tr>
      <w:tr w14:paraId="700C260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740" w:type="dxa"/>
            <w:tcBorders>
              <w:tl2br w:val="nil"/>
              <w:tr2bl w:val="nil"/>
            </w:tcBorders>
            <w:vAlign w:val="center"/>
          </w:tcPr>
          <w:p w14:paraId="10C9E486">
            <w:pPr>
              <w:jc w:val="center"/>
              <w:rPr>
                <w:rFonts w:hint="eastAsia"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面源2</w:t>
            </w:r>
          </w:p>
        </w:tc>
        <w:tc>
          <w:tcPr>
            <w:tcW w:w="1452" w:type="dxa"/>
            <w:tcBorders>
              <w:tl2br w:val="nil"/>
              <w:tr2bl w:val="nil"/>
            </w:tcBorders>
            <w:vAlign w:val="center"/>
          </w:tcPr>
          <w:p w14:paraId="18898A96">
            <w:pPr>
              <w:spacing w:before="77" w:line="180"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TSP</w:t>
            </w:r>
          </w:p>
        </w:tc>
        <w:tc>
          <w:tcPr>
            <w:tcW w:w="947" w:type="dxa"/>
            <w:tcBorders>
              <w:tl2br w:val="nil"/>
              <w:tr2bl w:val="nil"/>
            </w:tcBorders>
            <w:vAlign w:val="center"/>
          </w:tcPr>
          <w:p w14:paraId="035D42DD">
            <w:pPr>
              <w:jc w:val="center"/>
              <w:rPr>
                <w:rFonts w:hint="default"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60</w:t>
            </w:r>
          </w:p>
        </w:tc>
        <w:tc>
          <w:tcPr>
            <w:tcW w:w="1018" w:type="dxa"/>
            <w:tcBorders>
              <w:tl2br w:val="nil"/>
              <w:tr2bl w:val="nil"/>
            </w:tcBorders>
            <w:vAlign w:val="center"/>
          </w:tcPr>
          <w:p w14:paraId="377F38DC">
            <w:pPr>
              <w:jc w:val="center"/>
              <w:rPr>
                <w:rFonts w:hint="default"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28</w:t>
            </w:r>
          </w:p>
        </w:tc>
        <w:tc>
          <w:tcPr>
            <w:tcW w:w="1147" w:type="dxa"/>
            <w:tcBorders>
              <w:tl2br w:val="nil"/>
              <w:tr2bl w:val="nil"/>
            </w:tcBorders>
            <w:vAlign w:val="center"/>
          </w:tcPr>
          <w:p w14:paraId="4FDF8C42">
            <w:pPr>
              <w:spacing w:before="73" w:line="184"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w:t>
            </w:r>
          </w:p>
        </w:tc>
        <w:tc>
          <w:tcPr>
            <w:tcW w:w="1316" w:type="dxa"/>
            <w:tcBorders>
              <w:tl2br w:val="nil"/>
              <w:tr2bl w:val="nil"/>
            </w:tcBorders>
            <w:vAlign w:val="center"/>
          </w:tcPr>
          <w:p w14:paraId="3556FE22">
            <w:pPr>
              <w:jc w:val="center"/>
              <w:rPr>
                <w:rFonts w:hint="default"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z w:val="18"/>
                <w:szCs w:val="18"/>
                <w:u w:val="none" w:color="auto"/>
                <w:lang w:val="en-US" w:eastAsia="zh-CN"/>
                <w14:textFill>
                  <w14:solidFill>
                    <w14:schemeClr w14:val="tx1"/>
                  </w14:solidFill>
                </w14:textFill>
              </w:rPr>
              <w:t>3.5</w:t>
            </w:r>
          </w:p>
        </w:tc>
        <w:tc>
          <w:tcPr>
            <w:tcW w:w="1018" w:type="dxa"/>
            <w:tcBorders>
              <w:tl2br w:val="nil"/>
              <w:tr2bl w:val="nil"/>
            </w:tcBorders>
            <w:vAlign w:val="center"/>
          </w:tcPr>
          <w:p w14:paraId="16089709">
            <w:pPr>
              <w:pStyle w:val="119"/>
              <w:spacing w:before="40" w:line="193"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正常</w:t>
            </w:r>
          </w:p>
        </w:tc>
        <w:tc>
          <w:tcPr>
            <w:tcW w:w="1493" w:type="dxa"/>
            <w:tcBorders>
              <w:tl2br w:val="nil"/>
              <w:tr2bl w:val="nil"/>
            </w:tcBorders>
            <w:vAlign w:val="center"/>
          </w:tcPr>
          <w:p w14:paraId="13C7BED5">
            <w:pPr>
              <w:spacing w:before="77" w:line="180"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3"/>
                <w:sz w:val="18"/>
                <w:szCs w:val="18"/>
                <w:u w:val="none" w:color="auto"/>
                <w14:textFill>
                  <w14:solidFill>
                    <w14:schemeClr w14:val="tx1"/>
                  </w14:solidFill>
                </w14:textFill>
              </w:rPr>
              <w:t>0.0762</w:t>
            </w:r>
          </w:p>
        </w:tc>
      </w:tr>
      <w:tr w14:paraId="3C611FD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40" w:type="dxa"/>
            <w:vMerge w:val="restart"/>
            <w:tcBorders>
              <w:tl2br w:val="nil"/>
              <w:tr2bl w:val="nil"/>
            </w:tcBorders>
            <w:vAlign w:val="center"/>
          </w:tcPr>
          <w:p w14:paraId="6CC1C5B3">
            <w:pPr>
              <w:pStyle w:val="119"/>
              <w:spacing w:before="198" w:line="229" w:lineRule="auto"/>
              <w:jc w:val="center"/>
              <w:rPr>
                <w:rFonts w:hint="eastAsia" w:ascii="宋体" w:hAnsi="宋体" w:eastAsia="宋体" w:cs="宋体"/>
                <w:color w:val="000000" w:themeColor="text1"/>
                <w:sz w:val="18"/>
                <w:szCs w:val="18"/>
                <w:u w:val="none" w:color="auto"/>
                <w:lang w:eastAsia="zh-CN"/>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面源</w:t>
            </w:r>
            <w:r>
              <w:rPr>
                <w:rFonts w:hint="eastAsia" w:ascii="宋体" w:hAnsi="宋体" w:eastAsia="宋体" w:cs="宋体"/>
                <w:color w:val="000000" w:themeColor="text1"/>
                <w:spacing w:val="-39"/>
                <w:sz w:val="18"/>
                <w:szCs w:val="18"/>
                <w:u w:val="none" w:color="auto"/>
                <w14:textFill>
                  <w14:solidFill>
                    <w14:schemeClr w14:val="tx1"/>
                  </w14:solidFill>
                </w14:textFill>
              </w:rPr>
              <w:t xml:space="preserve"> </w:t>
            </w: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1</w:t>
            </w:r>
          </w:p>
        </w:tc>
        <w:tc>
          <w:tcPr>
            <w:tcW w:w="1452" w:type="dxa"/>
            <w:tcBorders>
              <w:tl2br w:val="nil"/>
              <w:tr2bl w:val="nil"/>
            </w:tcBorders>
            <w:vAlign w:val="center"/>
          </w:tcPr>
          <w:p w14:paraId="14B0E30A">
            <w:pPr>
              <w:pStyle w:val="119"/>
              <w:spacing w:before="59" w:line="206"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7"/>
                <w:sz w:val="18"/>
                <w:szCs w:val="18"/>
                <w:u w:val="none" w:color="auto"/>
                <w14:textFill>
                  <w14:solidFill>
                    <w14:schemeClr w14:val="tx1"/>
                  </w14:solidFill>
                </w14:textFill>
              </w:rPr>
              <w:t>硫酸雾</w:t>
            </w:r>
          </w:p>
        </w:tc>
        <w:tc>
          <w:tcPr>
            <w:tcW w:w="947" w:type="dxa"/>
            <w:vMerge w:val="restart"/>
            <w:tcBorders>
              <w:tl2br w:val="nil"/>
              <w:tr2bl w:val="nil"/>
            </w:tcBorders>
            <w:vAlign w:val="center"/>
          </w:tcPr>
          <w:p w14:paraId="42C49723">
            <w:pPr>
              <w:spacing w:before="234" w:line="195" w:lineRule="auto"/>
              <w:jc w:val="center"/>
              <w:rPr>
                <w:rFonts w:hint="default"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8"/>
                <w:sz w:val="18"/>
                <w:szCs w:val="18"/>
                <w:u w:val="none" w:color="auto"/>
                <w:lang w:val="en-US" w:eastAsia="zh-CN"/>
                <w14:textFill>
                  <w14:solidFill>
                    <w14:schemeClr w14:val="tx1"/>
                  </w14:solidFill>
                </w14:textFill>
              </w:rPr>
              <w:t>106</w:t>
            </w:r>
          </w:p>
        </w:tc>
        <w:tc>
          <w:tcPr>
            <w:tcW w:w="1018" w:type="dxa"/>
            <w:vMerge w:val="restart"/>
            <w:tcBorders>
              <w:tl2br w:val="nil"/>
              <w:tr2bl w:val="nil"/>
            </w:tcBorders>
            <w:vAlign w:val="center"/>
          </w:tcPr>
          <w:p w14:paraId="280B50E2">
            <w:pPr>
              <w:spacing w:before="234" w:line="195" w:lineRule="auto"/>
              <w:jc w:val="center"/>
              <w:rPr>
                <w:rFonts w:hint="default" w:ascii="宋体" w:hAnsi="宋体" w:eastAsia="宋体" w:cs="宋体"/>
                <w:color w:val="000000" w:themeColor="text1"/>
                <w:sz w:val="18"/>
                <w:szCs w:val="18"/>
                <w:u w:val="none" w:color="auto"/>
                <w:lang w:val="en-US" w:eastAsia="zh-CN"/>
                <w14:textFill>
                  <w14:solidFill>
                    <w14:schemeClr w14:val="tx1"/>
                  </w14:solidFill>
                </w14:textFill>
              </w:rPr>
            </w:pPr>
            <w:r>
              <w:rPr>
                <w:rFonts w:hint="eastAsia" w:ascii="宋体" w:hAnsi="宋体" w:eastAsia="宋体" w:cs="宋体"/>
                <w:color w:val="000000" w:themeColor="text1"/>
                <w:spacing w:val="2"/>
                <w:sz w:val="18"/>
                <w:szCs w:val="18"/>
                <w:u w:val="none" w:color="auto"/>
                <w:lang w:val="en-US" w:eastAsia="zh-CN"/>
                <w14:textFill>
                  <w14:solidFill>
                    <w14:schemeClr w14:val="tx1"/>
                  </w14:solidFill>
                </w14:textFill>
              </w:rPr>
              <w:t>28</w:t>
            </w:r>
          </w:p>
        </w:tc>
        <w:tc>
          <w:tcPr>
            <w:tcW w:w="1147" w:type="dxa"/>
            <w:tcBorders>
              <w:tl2br w:val="nil"/>
              <w:tr2bl w:val="nil"/>
            </w:tcBorders>
            <w:vAlign w:val="center"/>
          </w:tcPr>
          <w:p w14:paraId="47A13F3E">
            <w:pPr>
              <w:spacing w:before="91" w:line="19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w:t>
            </w:r>
          </w:p>
        </w:tc>
        <w:tc>
          <w:tcPr>
            <w:tcW w:w="1316" w:type="dxa"/>
            <w:vMerge w:val="restart"/>
            <w:tcBorders>
              <w:tl2br w:val="nil"/>
              <w:tr2bl w:val="nil"/>
            </w:tcBorders>
            <w:vAlign w:val="center"/>
          </w:tcPr>
          <w:p w14:paraId="619C2EEC">
            <w:pPr>
              <w:spacing w:before="234" w:line="195"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1"/>
                <w:sz w:val="18"/>
                <w:szCs w:val="18"/>
                <w:u w:val="none" w:color="auto"/>
                <w14:textFill>
                  <w14:solidFill>
                    <w14:schemeClr w14:val="tx1"/>
                  </w14:solidFill>
                </w14:textFill>
              </w:rPr>
              <w:t>3.5</w:t>
            </w:r>
          </w:p>
        </w:tc>
        <w:tc>
          <w:tcPr>
            <w:tcW w:w="1018" w:type="dxa"/>
            <w:tcBorders>
              <w:tl2br w:val="nil"/>
              <w:tr2bl w:val="nil"/>
            </w:tcBorders>
            <w:vAlign w:val="center"/>
          </w:tcPr>
          <w:p w14:paraId="075EE5D7">
            <w:pPr>
              <w:pStyle w:val="119"/>
              <w:spacing w:before="59" w:line="206"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正常</w:t>
            </w:r>
          </w:p>
        </w:tc>
        <w:tc>
          <w:tcPr>
            <w:tcW w:w="1493" w:type="dxa"/>
            <w:tcBorders>
              <w:tl2br w:val="nil"/>
              <w:tr2bl w:val="nil"/>
            </w:tcBorders>
            <w:vAlign w:val="center"/>
          </w:tcPr>
          <w:p w14:paraId="376BE9A4">
            <w:pPr>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0.0019</w:t>
            </w:r>
          </w:p>
        </w:tc>
      </w:tr>
      <w:tr w14:paraId="6569414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40" w:type="dxa"/>
            <w:vMerge w:val="continue"/>
            <w:tcBorders>
              <w:tl2br w:val="nil"/>
              <w:tr2bl w:val="nil"/>
            </w:tcBorders>
            <w:vAlign w:val="center"/>
          </w:tcPr>
          <w:p w14:paraId="037D2FA2">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1452" w:type="dxa"/>
            <w:tcBorders>
              <w:tl2br w:val="nil"/>
              <w:tr2bl w:val="nil"/>
            </w:tcBorders>
            <w:vAlign w:val="center"/>
          </w:tcPr>
          <w:p w14:paraId="7D17BE62">
            <w:pPr>
              <w:pStyle w:val="119"/>
              <w:spacing w:before="41" w:line="217"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z w:val="18"/>
                <w:szCs w:val="18"/>
                <w:u w:val="none" w:color="auto"/>
                <w14:textFill>
                  <w14:solidFill>
                    <w14:schemeClr w14:val="tx1"/>
                  </w14:solidFill>
                </w14:textFill>
              </w:rPr>
              <w:t>铅</w:t>
            </w:r>
          </w:p>
        </w:tc>
        <w:tc>
          <w:tcPr>
            <w:tcW w:w="947" w:type="dxa"/>
            <w:vMerge w:val="continue"/>
            <w:tcBorders>
              <w:tl2br w:val="nil"/>
              <w:tr2bl w:val="nil"/>
            </w:tcBorders>
            <w:vAlign w:val="center"/>
          </w:tcPr>
          <w:p w14:paraId="66AFC58F">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1018" w:type="dxa"/>
            <w:vMerge w:val="continue"/>
            <w:tcBorders>
              <w:tl2br w:val="nil"/>
              <w:tr2bl w:val="nil"/>
            </w:tcBorders>
            <w:vAlign w:val="center"/>
          </w:tcPr>
          <w:p w14:paraId="02649720">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1147" w:type="dxa"/>
            <w:tcBorders>
              <w:tl2br w:val="nil"/>
              <w:tr2bl w:val="nil"/>
            </w:tcBorders>
            <w:vAlign w:val="center"/>
          </w:tcPr>
          <w:p w14:paraId="5C1C893E">
            <w:pPr>
              <w:spacing w:before="74" w:line="199"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w:t>
            </w:r>
          </w:p>
        </w:tc>
        <w:tc>
          <w:tcPr>
            <w:tcW w:w="1316" w:type="dxa"/>
            <w:vMerge w:val="continue"/>
            <w:tcBorders>
              <w:tl2br w:val="nil"/>
              <w:tr2bl w:val="nil"/>
            </w:tcBorders>
            <w:vAlign w:val="center"/>
          </w:tcPr>
          <w:p w14:paraId="5E2C2489">
            <w:pPr>
              <w:jc w:val="center"/>
              <w:rPr>
                <w:rFonts w:hint="eastAsia" w:ascii="宋体" w:hAnsi="宋体" w:eastAsia="宋体" w:cs="宋体"/>
                <w:color w:val="000000" w:themeColor="text1"/>
                <w:sz w:val="18"/>
                <w:szCs w:val="18"/>
                <w:u w:val="none" w:color="auto"/>
                <w14:textFill>
                  <w14:solidFill>
                    <w14:schemeClr w14:val="tx1"/>
                  </w14:solidFill>
                </w14:textFill>
              </w:rPr>
            </w:pPr>
          </w:p>
        </w:tc>
        <w:tc>
          <w:tcPr>
            <w:tcW w:w="1018" w:type="dxa"/>
            <w:tcBorders>
              <w:tl2br w:val="nil"/>
              <w:tr2bl w:val="nil"/>
            </w:tcBorders>
            <w:vAlign w:val="center"/>
          </w:tcPr>
          <w:p w14:paraId="0009240C">
            <w:pPr>
              <w:pStyle w:val="119"/>
              <w:spacing w:before="41" w:line="217" w:lineRule="auto"/>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eastAsia="宋体" w:cs="宋体"/>
                <w:color w:val="000000" w:themeColor="text1"/>
                <w:spacing w:val="2"/>
                <w:sz w:val="18"/>
                <w:szCs w:val="18"/>
                <w:u w:val="none" w:color="auto"/>
                <w14:textFill>
                  <w14:solidFill>
                    <w14:schemeClr w14:val="tx1"/>
                  </w14:solidFill>
                </w14:textFill>
              </w:rPr>
              <w:t>正常</w:t>
            </w:r>
          </w:p>
        </w:tc>
        <w:tc>
          <w:tcPr>
            <w:tcW w:w="1493" w:type="dxa"/>
            <w:tcBorders>
              <w:tl2br w:val="nil"/>
              <w:tr2bl w:val="nil"/>
            </w:tcBorders>
            <w:vAlign w:val="center"/>
          </w:tcPr>
          <w:p w14:paraId="6611D4DD">
            <w:pPr>
              <w:jc w:val="center"/>
              <w:rPr>
                <w:rFonts w:hint="eastAsia" w:ascii="宋体" w:hAnsi="宋体" w:eastAsia="宋体" w:cs="宋体"/>
                <w:color w:val="000000" w:themeColor="text1"/>
                <w:sz w:val="18"/>
                <w:szCs w:val="18"/>
                <w:u w:val="none" w:color="auto"/>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0.06</w:t>
            </w:r>
            <w:r>
              <w:rPr>
                <w:rFonts w:hint="eastAsia" w:ascii="宋体" w:hAnsi="宋体" w:eastAsia="宋体" w:cs="宋体"/>
                <w:color w:val="000000" w:themeColor="text1"/>
                <w:sz w:val="18"/>
                <w:szCs w:val="18"/>
                <w14:textFill>
                  <w14:solidFill>
                    <w14:schemeClr w14:val="tx1"/>
                  </w14:solidFill>
                </w14:textFill>
              </w:rPr>
              <w:t>g/h</w:t>
            </w:r>
          </w:p>
        </w:tc>
      </w:tr>
    </w:tbl>
    <w:p w14:paraId="6A82CDF9">
      <w:pPr>
        <w:pStyle w:val="33"/>
        <w:keepNext w:val="0"/>
        <w:keepLines w:val="0"/>
        <w:pageBreakBefore w:val="0"/>
        <w:widowControl w:val="0"/>
        <w:kinsoku/>
        <w:wordWrap/>
        <w:overflowPunct/>
        <w:topLinePunct w:val="0"/>
        <w:bidi w:val="0"/>
        <w:spacing w:line="500" w:lineRule="exact"/>
        <w:ind w:firstLine="480" w:firstLineChars="200"/>
        <w:textAlignment w:val="auto"/>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估算模型参数 </w:t>
      </w:r>
    </w:p>
    <w:p w14:paraId="57D146A5">
      <w:pPr>
        <w:keepNext w:val="0"/>
        <w:keepLines w:val="0"/>
        <w:pageBreakBefore w:val="0"/>
        <w:widowControl w:val="0"/>
        <w:kinsoku/>
        <w:wordWrap/>
        <w:overflowPunct/>
        <w:topLinePunct w:val="0"/>
        <w:bidi w:val="0"/>
        <w:snapToGrid w:val="0"/>
        <w:spacing w:line="500" w:lineRule="exact"/>
        <w:jc w:val="center"/>
        <w:textAlignment w:val="auto"/>
        <w:rPr>
          <w:rFonts w:hint="eastAsia" w:eastAsia="宋体"/>
          <w:color w:val="000000" w:themeColor="text1"/>
          <w:u w:val="none" w:color="auto"/>
          <w:vertAlign w:val="baseline"/>
          <w:lang w:val="en-US" w:eastAsia="zh-CN"/>
          <w14:textFill>
            <w14:solidFill>
              <w14:schemeClr w14:val="tx1"/>
            </w14:solidFill>
          </w14:textFill>
        </w:rPr>
      </w:pPr>
      <w:r>
        <w:rPr>
          <w:rFonts w:hint="eastAsia" w:ascii="Times New Roman" w:hAnsi="Times New Roman" w:eastAsia="宋体" w:cs="Times New Roman"/>
          <w:b/>
          <w:caps w:val="0"/>
          <w:color w:val="000000" w:themeColor="text1"/>
          <w:szCs w:val="21"/>
          <w:highlight w:val="none"/>
          <w:u w:val="none" w:color="auto"/>
          <w14:textFill>
            <w14:solidFill>
              <w14:schemeClr w14:val="tx1"/>
            </w14:solidFill>
          </w14:textFill>
        </w:rPr>
        <w:t>表</w:t>
      </w:r>
      <w:r>
        <w:rPr>
          <w:rFonts w:hint="eastAsia" w:ascii="Times New Roman" w:hAnsi="Times New Roman" w:eastAsia="宋体" w:cs="Times New Roman"/>
          <w:b/>
          <w:caps w:val="0"/>
          <w:color w:val="000000" w:themeColor="text1"/>
          <w:szCs w:val="21"/>
          <w:highlight w:val="none"/>
          <w:u w:val="none" w:color="auto"/>
          <w:lang w:val="en-US" w:eastAsia="zh-CN"/>
          <w14:textFill>
            <w14:solidFill>
              <w14:schemeClr w14:val="tx1"/>
            </w14:solidFill>
          </w14:textFill>
        </w:rPr>
        <w:t xml:space="preserve">3-4 </w:t>
      </w:r>
      <w:r>
        <w:rPr>
          <w:rFonts w:hint="eastAsia" w:ascii="宋体" w:hAnsi="宋体" w:cs="宋体"/>
          <w:b/>
          <w:bCs/>
          <w:color w:val="000000" w:themeColor="text1"/>
          <w:szCs w:val="21"/>
          <w:u w:val="none" w:color="auto"/>
          <w14:textFill>
            <w14:solidFill>
              <w14:schemeClr w14:val="tx1"/>
            </w14:solidFill>
          </w14:textFill>
        </w:rPr>
        <w:t xml:space="preserve">  估算模</w:t>
      </w:r>
      <w:r>
        <w:rPr>
          <w:rFonts w:hint="eastAsia" w:ascii="宋体" w:hAnsi="宋体" w:cs="宋体"/>
          <w:b/>
          <w:bCs/>
          <w:color w:val="000000" w:themeColor="text1"/>
          <w:szCs w:val="21"/>
          <w:u w:val="none" w:color="auto"/>
          <w:lang w:val="en-US" w:eastAsia="zh-CN"/>
          <w14:textFill>
            <w14:solidFill>
              <w14:schemeClr w14:val="tx1"/>
            </w14:solidFill>
          </w14:textFill>
        </w:rPr>
        <w:t>型</w:t>
      </w:r>
      <w:r>
        <w:rPr>
          <w:rFonts w:hint="eastAsia" w:ascii="宋体" w:hAnsi="宋体" w:cs="宋体"/>
          <w:b/>
          <w:bCs/>
          <w:color w:val="000000" w:themeColor="text1"/>
          <w:szCs w:val="21"/>
          <w:u w:val="none" w:color="auto"/>
          <w14:textFill>
            <w14:solidFill>
              <w14:schemeClr w14:val="tx1"/>
            </w14:solidFill>
          </w14:textFill>
        </w:rPr>
        <w:t>参数</w:t>
      </w:r>
      <w:r>
        <w:rPr>
          <w:rFonts w:hint="eastAsia" w:ascii="宋体" w:hAnsi="宋体" w:cs="宋体"/>
          <w:b/>
          <w:bCs/>
          <w:color w:val="000000" w:themeColor="text1"/>
          <w:szCs w:val="21"/>
          <w:u w:val="none" w:color="auto"/>
          <w:lang w:val="en-US" w:eastAsia="zh-CN"/>
          <w14:textFill>
            <w14:solidFill>
              <w14:schemeClr w14:val="tx1"/>
            </w14:solidFill>
          </w14:textFill>
        </w:rPr>
        <w:t>表</w:t>
      </w:r>
    </w:p>
    <w:tbl>
      <w:tblPr>
        <w:tblStyle w:val="26"/>
        <w:tblW w:w="0" w:type="auto"/>
        <w:tblInd w:w="-1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63"/>
        <w:gridCol w:w="54"/>
        <w:gridCol w:w="5226"/>
        <w:gridCol w:w="2227"/>
      </w:tblGrid>
      <w:tr w14:paraId="45E0CD6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43" w:type="dxa"/>
            <w:gridSpan w:val="3"/>
            <w:tcBorders>
              <w:tl2br w:val="nil"/>
              <w:tr2bl w:val="nil"/>
            </w:tcBorders>
            <w:noWrap w:val="0"/>
            <w:vAlign w:val="top"/>
          </w:tcPr>
          <w:p w14:paraId="5C26A4D3">
            <w:pPr>
              <w:keepNext w:val="0"/>
              <w:keepLines w:val="0"/>
              <w:widowControl/>
              <w:suppressLineNumbers w:val="0"/>
              <w:jc w:val="left"/>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 xml:space="preserve">参数  </w:t>
            </w:r>
          </w:p>
        </w:tc>
        <w:tc>
          <w:tcPr>
            <w:tcW w:w="2227" w:type="dxa"/>
            <w:tcBorders>
              <w:tl2br w:val="nil"/>
              <w:tr2bl w:val="nil"/>
            </w:tcBorders>
            <w:noWrap w:val="0"/>
            <w:vAlign w:val="top"/>
          </w:tcPr>
          <w:p w14:paraId="52077087">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取值</w:t>
            </w:r>
          </w:p>
        </w:tc>
      </w:tr>
      <w:tr w14:paraId="47A1A8D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17" w:type="dxa"/>
            <w:gridSpan w:val="2"/>
            <w:vMerge w:val="restart"/>
            <w:tcBorders>
              <w:tl2br w:val="nil"/>
              <w:tr2bl w:val="nil"/>
            </w:tcBorders>
            <w:noWrap w:val="0"/>
            <w:vAlign w:val="top"/>
          </w:tcPr>
          <w:p w14:paraId="4574E0D5">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城市/农村选项</w:t>
            </w:r>
          </w:p>
        </w:tc>
        <w:tc>
          <w:tcPr>
            <w:tcW w:w="5226" w:type="dxa"/>
            <w:tcBorders>
              <w:tl2br w:val="nil"/>
              <w:tr2bl w:val="nil"/>
            </w:tcBorders>
            <w:noWrap w:val="0"/>
            <w:vAlign w:val="top"/>
          </w:tcPr>
          <w:p w14:paraId="32AEA0F2">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城市/农村</w:t>
            </w:r>
          </w:p>
        </w:tc>
        <w:tc>
          <w:tcPr>
            <w:tcW w:w="2227" w:type="dxa"/>
            <w:tcBorders>
              <w:tl2br w:val="nil"/>
              <w:tr2bl w:val="nil"/>
            </w:tcBorders>
            <w:noWrap w:val="0"/>
            <w:vAlign w:val="top"/>
          </w:tcPr>
          <w:p w14:paraId="0FA17B6F">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城市</w:t>
            </w:r>
          </w:p>
        </w:tc>
      </w:tr>
      <w:tr w14:paraId="280428B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17" w:type="dxa"/>
            <w:gridSpan w:val="2"/>
            <w:vMerge w:val="continue"/>
            <w:tcBorders>
              <w:tl2br w:val="nil"/>
              <w:tr2bl w:val="nil"/>
            </w:tcBorders>
            <w:noWrap w:val="0"/>
            <w:vAlign w:val="top"/>
          </w:tcPr>
          <w:p w14:paraId="19074583">
            <w:pPr>
              <w:snapToGrid w:val="0"/>
              <w:jc w:val="center"/>
              <w:rPr>
                <w:rFonts w:hint="eastAsia" w:eastAsia="宋体"/>
                <w:color w:val="000000" w:themeColor="text1"/>
                <w:u w:val="none" w:color="auto"/>
                <w:vertAlign w:val="baseline"/>
                <w:lang w:val="en-US" w:eastAsia="zh-CN"/>
                <w14:textFill>
                  <w14:solidFill>
                    <w14:schemeClr w14:val="tx1"/>
                  </w14:solidFill>
                </w14:textFill>
              </w:rPr>
            </w:pPr>
          </w:p>
        </w:tc>
        <w:tc>
          <w:tcPr>
            <w:tcW w:w="5226" w:type="dxa"/>
            <w:tcBorders>
              <w:tl2br w:val="nil"/>
              <w:tr2bl w:val="nil"/>
            </w:tcBorders>
            <w:noWrap w:val="0"/>
            <w:vAlign w:val="top"/>
          </w:tcPr>
          <w:p w14:paraId="14FB2062">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人口数（城市选项时）</w:t>
            </w:r>
          </w:p>
        </w:tc>
        <w:tc>
          <w:tcPr>
            <w:tcW w:w="2227" w:type="dxa"/>
            <w:tcBorders>
              <w:tl2br w:val="nil"/>
              <w:tr2bl w:val="nil"/>
            </w:tcBorders>
            <w:noWrap w:val="0"/>
            <w:vAlign w:val="top"/>
          </w:tcPr>
          <w:p w14:paraId="37B294D4">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w:t>
            </w:r>
          </w:p>
        </w:tc>
      </w:tr>
      <w:tr w14:paraId="352E65E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43" w:type="dxa"/>
            <w:gridSpan w:val="3"/>
            <w:tcBorders>
              <w:tl2br w:val="nil"/>
              <w:tr2bl w:val="nil"/>
            </w:tcBorders>
            <w:noWrap w:val="0"/>
            <w:vAlign w:val="top"/>
          </w:tcPr>
          <w:p w14:paraId="3B5CFA06">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最高环境温度/</w:t>
            </w:r>
            <w: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t>℃</w:t>
            </w:r>
          </w:p>
        </w:tc>
        <w:tc>
          <w:tcPr>
            <w:tcW w:w="2227" w:type="dxa"/>
            <w:tcBorders>
              <w:tl2br w:val="nil"/>
              <w:tr2bl w:val="nil"/>
            </w:tcBorders>
            <w:noWrap w:val="0"/>
            <w:vAlign w:val="top"/>
          </w:tcPr>
          <w:p w14:paraId="3E0D21ED">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36.1</w:t>
            </w:r>
          </w:p>
        </w:tc>
      </w:tr>
      <w:tr w14:paraId="475E115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43" w:type="dxa"/>
            <w:gridSpan w:val="3"/>
            <w:tcBorders>
              <w:tl2br w:val="nil"/>
              <w:tr2bl w:val="nil"/>
            </w:tcBorders>
            <w:noWrap w:val="0"/>
            <w:vAlign w:val="top"/>
          </w:tcPr>
          <w:p w14:paraId="0E8BEB82">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最低环境温度/</w:t>
            </w:r>
            <w: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 xml:space="preserve">  </w:t>
            </w:r>
          </w:p>
        </w:tc>
        <w:tc>
          <w:tcPr>
            <w:tcW w:w="2227" w:type="dxa"/>
            <w:tcBorders>
              <w:tl2br w:val="nil"/>
              <w:tr2bl w:val="nil"/>
            </w:tcBorders>
            <w:noWrap w:val="0"/>
            <w:vAlign w:val="top"/>
          </w:tcPr>
          <w:p w14:paraId="73BE2C43">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-32.5</w:t>
            </w:r>
          </w:p>
        </w:tc>
      </w:tr>
      <w:tr w14:paraId="452AD77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43" w:type="dxa"/>
            <w:gridSpan w:val="3"/>
            <w:tcBorders>
              <w:tl2br w:val="nil"/>
              <w:tr2bl w:val="nil"/>
            </w:tcBorders>
            <w:noWrap w:val="0"/>
            <w:vAlign w:val="top"/>
          </w:tcPr>
          <w:p w14:paraId="4456B5E4">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 xml:space="preserve">土地利用类型 </w:t>
            </w:r>
          </w:p>
        </w:tc>
        <w:tc>
          <w:tcPr>
            <w:tcW w:w="2227" w:type="dxa"/>
            <w:tcBorders>
              <w:tl2br w:val="nil"/>
              <w:tr2bl w:val="nil"/>
            </w:tcBorders>
            <w:noWrap w:val="0"/>
            <w:vAlign w:val="top"/>
          </w:tcPr>
          <w:p w14:paraId="39DF2FE8">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建设用地</w:t>
            </w:r>
          </w:p>
        </w:tc>
      </w:tr>
      <w:tr w14:paraId="3419686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43" w:type="dxa"/>
            <w:gridSpan w:val="3"/>
            <w:tcBorders>
              <w:tl2br w:val="nil"/>
              <w:tr2bl w:val="nil"/>
            </w:tcBorders>
            <w:noWrap w:val="0"/>
            <w:vAlign w:val="top"/>
          </w:tcPr>
          <w:p w14:paraId="3EA59AFF">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区域湿度条件</w:t>
            </w:r>
          </w:p>
        </w:tc>
        <w:tc>
          <w:tcPr>
            <w:tcW w:w="2227" w:type="dxa"/>
            <w:tcBorders>
              <w:tl2br w:val="nil"/>
              <w:tr2bl w:val="nil"/>
            </w:tcBorders>
            <w:noWrap w:val="0"/>
            <w:vAlign w:val="top"/>
          </w:tcPr>
          <w:p w14:paraId="7D6E8AE4">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中等湿度气候</w:t>
            </w:r>
          </w:p>
        </w:tc>
      </w:tr>
      <w:tr w14:paraId="40C721A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63" w:type="dxa"/>
            <w:vMerge w:val="restart"/>
            <w:tcBorders>
              <w:tl2br w:val="nil"/>
              <w:tr2bl w:val="nil"/>
            </w:tcBorders>
            <w:noWrap w:val="0"/>
            <w:vAlign w:val="top"/>
          </w:tcPr>
          <w:p w14:paraId="25B4C488">
            <w:pPr>
              <w:keepNext w:val="0"/>
              <w:keepLines w:val="0"/>
              <w:widowControl/>
              <w:suppressLineNumbers w:val="0"/>
              <w:jc w:val="left"/>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 xml:space="preserve">是否考虑地形 </w:t>
            </w:r>
          </w:p>
        </w:tc>
        <w:tc>
          <w:tcPr>
            <w:tcW w:w="5280" w:type="dxa"/>
            <w:gridSpan w:val="2"/>
            <w:tcBorders>
              <w:tl2br w:val="nil"/>
              <w:tr2bl w:val="nil"/>
            </w:tcBorders>
            <w:noWrap w:val="0"/>
            <w:vAlign w:val="top"/>
          </w:tcPr>
          <w:p w14:paraId="442FC4DC">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考虑地形</w:t>
            </w:r>
          </w:p>
        </w:tc>
        <w:tc>
          <w:tcPr>
            <w:tcW w:w="2227" w:type="dxa"/>
            <w:tcBorders>
              <w:tl2br w:val="nil"/>
              <w:tr2bl w:val="nil"/>
            </w:tcBorders>
            <w:noWrap w:val="0"/>
            <w:vAlign w:val="top"/>
          </w:tcPr>
          <w:p w14:paraId="741B3647">
            <w:pPr>
              <w:snapToGrid w:val="0"/>
              <w:jc w:val="center"/>
              <w:rPr>
                <w:rFonts w:hint="default" w:eastAsia="宋体"/>
                <w:color w:val="000000" w:themeColor="text1"/>
                <w:u w:val="none" w:color="auto"/>
                <w:vertAlign w:val="baseline"/>
                <w:lang w:val="en-US" w:eastAsia="zh-CN"/>
                <w14:textFill>
                  <w14:solidFill>
                    <w14:schemeClr w14:val="tx1"/>
                  </w14:solidFill>
                </w14:textFill>
              </w:rPr>
            </w:pPr>
            <w:r>
              <w:rPr>
                <w:rFonts w:hint="eastAsia"/>
                <w:color w:val="000000" w:themeColor="text1"/>
                <w:u w:val="none" w:color="auto"/>
                <w:vertAlign w:val="baseline"/>
                <w:lang w:val="en-US" w:eastAsia="zh-CN"/>
                <w14:textFill>
                  <w14:solidFill>
                    <w14:schemeClr w14:val="tx1"/>
                  </w14:solidFill>
                </w14:textFill>
              </w:rPr>
              <w:t>否</w:t>
            </w:r>
          </w:p>
        </w:tc>
      </w:tr>
      <w:tr w14:paraId="4F64974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63" w:type="dxa"/>
            <w:vMerge w:val="continue"/>
            <w:tcBorders>
              <w:tl2br w:val="nil"/>
              <w:tr2bl w:val="nil"/>
            </w:tcBorders>
            <w:noWrap w:val="0"/>
            <w:vAlign w:val="top"/>
          </w:tcPr>
          <w:p w14:paraId="082BB58E">
            <w:pPr>
              <w:snapToGrid w:val="0"/>
              <w:jc w:val="center"/>
              <w:rPr>
                <w:rFonts w:hint="eastAsia" w:eastAsia="宋体"/>
                <w:color w:val="000000" w:themeColor="text1"/>
                <w:u w:val="none" w:color="auto"/>
                <w:vertAlign w:val="baseline"/>
                <w:lang w:val="en-US" w:eastAsia="zh-CN"/>
                <w14:textFill>
                  <w14:solidFill>
                    <w14:schemeClr w14:val="tx1"/>
                  </w14:solidFill>
                </w14:textFill>
              </w:rPr>
            </w:pPr>
          </w:p>
        </w:tc>
        <w:tc>
          <w:tcPr>
            <w:tcW w:w="5280" w:type="dxa"/>
            <w:gridSpan w:val="2"/>
            <w:tcBorders>
              <w:tl2br w:val="nil"/>
              <w:tr2bl w:val="nil"/>
            </w:tcBorders>
            <w:noWrap w:val="0"/>
            <w:vAlign w:val="top"/>
          </w:tcPr>
          <w:p w14:paraId="5BD4119C">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 xml:space="preserve">地形数据分辨率/m </w:t>
            </w:r>
          </w:p>
        </w:tc>
        <w:tc>
          <w:tcPr>
            <w:tcW w:w="2227" w:type="dxa"/>
            <w:tcBorders>
              <w:tl2br w:val="nil"/>
              <w:tr2bl w:val="nil"/>
            </w:tcBorders>
            <w:noWrap w:val="0"/>
            <w:vAlign w:val="top"/>
          </w:tcPr>
          <w:p w14:paraId="2C38BF5B">
            <w:pPr>
              <w:snapToGrid w:val="0"/>
              <w:jc w:val="center"/>
              <w:rPr>
                <w:rFonts w:hint="default" w:eastAsia="宋体"/>
                <w:color w:val="000000" w:themeColor="text1"/>
                <w:u w:val="none" w:color="auto"/>
                <w:vertAlign w:val="baseline"/>
                <w:lang w:val="en-US" w:eastAsia="zh-CN"/>
                <w14:textFill>
                  <w14:solidFill>
                    <w14:schemeClr w14:val="tx1"/>
                  </w14:solidFill>
                </w14:textFill>
              </w:rPr>
            </w:pPr>
            <w:r>
              <w:rPr>
                <w:rFonts w:hint="eastAsia"/>
                <w:color w:val="000000" w:themeColor="text1"/>
                <w:u w:val="none" w:color="auto"/>
                <w:vertAlign w:val="baseline"/>
                <w:lang w:val="en-US" w:eastAsia="zh-CN"/>
                <w14:textFill>
                  <w14:solidFill>
                    <w14:schemeClr w14:val="tx1"/>
                  </w14:solidFill>
                </w14:textFill>
              </w:rPr>
              <w:t>90</w:t>
            </w:r>
          </w:p>
        </w:tc>
      </w:tr>
      <w:tr w14:paraId="251CB3E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PrEx>
        <w:tc>
          <w:tcPr>
            <w:tcW w:w="1563" w:type="dxa"/>
            <w:vMerge w:val="restart"/>
            <w:tcBorders>
              <w:tl2br w:val="nil"/>
              <w:tr2bl w:val="nil"/>
            </w:tcBorders>
            <w:noWrap w:val="0"/>
            <w:vAlign w:val="top"/>
          </w:tcPr>
          <w:p w14:paraId="02F9014E">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是否考虑海岸线熏烟</w:t>
            </w:r>
          </w:p>
        </w:tc>
        <w:tc>
          <w:tcPr>
            <w:tcW w:w="5280" w:type="dxa"/>
            <w:gridSpan w:val="2"/>
            <w:tcBorders>
              <w:tl2br w:val="nil"/>
              <w:tr2bl w:val="nil"/>
            </w:tcBorders>
            <w:noWrap w:val="0"/>
            <w:vAlign w:val="top"/>
          </w:tcPr>
          <w:p w14:paraId="3989F386">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考虑岸线熏烟</w:t>
            </w:r>
          </w:p>
        </w:tc>
        <w:tc>
          <w:tcPr>
            <w:tcW w:w="2227" w:type="dxa"/>
            <w:tcBorders>
              <w:tl2br w:val="nil"/>
              <w:tr2bl w:val="nil"/>
            </w:tcBorders>
            <w:noWrap w:val="0"/>
            <w:vAlign w:val="top"/>
          </w:tcPr>
          <w:p w14:paraId="1C6EC1FB">
            <w:pPr>
              <w:snapToGrid w:val="0"/>
              <w:jc w:val="center"/>
              <w:rPr>
                <w:rFonts w:hint="default" w:eastAsia="宋体"/>
                <w:color w:val="000000" w:themeColor="text1"/>
                <w:u w:val="none" w:color="auto"/>
                <w:vertAlign w:val="baseline"/>
                <w:lang w:val="en-US" w:eastAsia="zh-CN"/>
                <w14:textFill>
                  <w14:solidFill>
                    <w14:schemeClr w14:val="tx1"/>
                  </w14:solidFill>
                </w14:textFill>
              </w:rPr>
            </w:pPr>
            <w:r>
              <w:rPr>
                <w:rFonts w:hint="eastAsia"/>
                <w:color w:val="000000" w:themeColor="text1"/>
                <w:u w:val="none" w:color="auto"/>
                <w:vertAlign w:val="baseline"/>
                <w:lang w:val="en-US" w:eastAsia="zh-CN"/>
                <w14:textFill>
                  <w14:solidFill>
                    <w14:schemeClr w14:val="tx1"/>
                  </w14:solidFill>
                </w14:textFill>
              </w:rPr>
              <w:t>否</w:t>
            </w:r>
          </w:p>
        </w:tc>
      </w:tr>
      <w:tr w14:paraId="28A7583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63" w:type="dxa"/>
            <w:vMerge w:val="continue"/>
            <w:tcBorders>
              <w:tl2br w:val="nil"/>
              <w:tr2bl w:val="nil"/>
            </w:tcBorders>
            <w:noWrap w:val="0"/>
            <w:vAlign w:val="top"/>
          </w:tcPr>
          <w:p w14:paraId="4D17B5EA">
            <w:pPr>
              <w:snapToGrid w:val="0"/>
              <w:jc w:val="center"/>
              <w:rPr>
                <w:rFonts w:hint="eastAsia" w:eastAsia="宋体"/>
                <w:color w:val="000000" w:themeColor="text1"/>
                <w:u w:val="none" w:color="auto"/>
                <w:vertAlign w:val="baseline"/>
                <w:lang w:val="en-US" w:eastAsia="zh-CN"/>
                <w14:textFill>
                  <w14:solidFill>
                    <w14:schemeClr w14:val="tx1"/>
                  </w14:solidFill>
                </w14:textFill>
              </w:rPr>
            </w:pPr>
          </w:p>
        </w:tc>
        <w:tc>
          <w:tcPr>
            <w:tcW w:w="5280" w:type="dxa"/>
            <w:gridSpan w:val="2"/>
            <w:tcBorders>
              <w:tl2br w:val="nil"/>
              <w:tr2bl w:val="nil"/>
            </w:tcBorders>
            <w:noWrap w:val="0"/>
            <w:vAlign w:val="top"/>
          </w:tcPr>
          <w:p w14:paraId="574E9FD2">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岸线距离/km</w:t>
            </w:r>
          </w:p>
        </w:tc>
        <w:tc>
          <w:tcPr>
            <w:tcW w:w="2227" w:type="dxa"/>
            <w:tcBorders>
              <w:tl2br w:val="nil"/>
              <w:tr2bl w:val="nil"/>
            </w:tcBorders>
            <w:noWrap w:val="0"/>
            <w:vAlign w:val="top"/>
          </w:tcPr>
          <w:p w14:paraId="7C06B684">
            <w:pPr>
              <w:snapToGrid w:val="0"/>
              <w:jc w:val="center"/>
              <w:rPr>
                <w:rFonts w:hint="default" w:eastAsia="宋体"/>
                <w:color w:val="000000" w:themeColor="text1"/>
                <w:u w:val="none" w:color="auto"/>
                <w:vertAlign w:val="baseline"/>
                <w:lang w:val="en-US" w:eastAsia="zh-CN"/>
                <w14:textFill>
                  <w14:solidFill>
                    <w14:schemeClr w14:val="tx1"/>
                  </w14:solidFill>
                </w14:textFill>
              </w:rPr>
            </w:pPr>
            <w:r>
              <w:rPr>
                <w:rFonts w:hint="eastAsia"/>
                <w:color w:val="000000" w:themeColor="text1"/>
                <w:u w:val="none" w:color="auto"/>
                <w:vertAlign w:val="baseline"/>
                <w:lang w:val="en-US" w:eastAsia="zh-CN"/>
                <w14:textFill>
                  <w14:solidFill>
                    <w14:schemeClr w14:val="tx1"/>
                  </w14:solidFill>
                </w14:textFill>
              </w:rPr>
              <w:t>/</w:t>
            </w:r>
          </w:p>
        </w:tc>
      </w:tr>
      <w:tr w14:paraId="2B527E9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63" w:type="dxa"/>
            <w:vMerge w:val="continue"/>
            <w:tcBorders>
              <w:tl2br w:val="nil"/>
              <w:tr2bl w:val="nil"/>
            </w:tcBorders>
            <w:noWrap w:val="0"/>
            <w:vAlign w:val="top"/>
          </w:tcPr>
          <w:p w14:paraId="35636943">
            <w:pPr>
              <w:snapToGrid w:val="0"/>
              <w:jc w:val="center"/>
              <w:rPr>
                <w:rFonts w:hint="eastAsia" w:eastAsia="宋体"/>
                <w:color w:val="000000" w:themeColor="text1"/>
                <w:u w:val="none" w:color="auto"/>
                <w:vertAlign w:val="baseline"/>
                <w:lang w:val="en-US" w:eastAsia="zh-CN"/>
                <w14:textFill>
                  <w14:solidFill>
                    <w14:schemeClr w14:val="tx1"/>
                  </w14:solidFill>
                </w14:textFill>
              </w:rPr>
            </w:pPr>
          </w:p>
        </w:tc>
        <w:tc>
          <w:tcPr>
            <w:tcW w:w="5280" w:type="dxa"/>
            <w:gridSpan w:val="2"/>
            <w:tcBorders>
              <w:tl2br w:val="nil"/>
              <w:tr2bl w:val="nil"/>
            </w:tcBorders>
            <w:noWrap w:val="0"/>
            <w:vAlign w:val="top"/>
          </w:tcPr>
          <w:p w14:paraId="059126D5">
            <w:pPr>
              <w:snapToGrid w:val="0"/>
              <w:jc w:val="center"/>
              <w:rPr>
                <w:rFonts w:hint="eastAsia" w:eastAsia="宋体"/>
                <w:color w:val="000000" w:themeColor="text1"/>
                <w:u w:val="none" w:color="auto"/>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岸线方向/°</w:t>
            </w:r>
          </w:p>
        </w:tc>
        <w:tc>
          <w:tcPr>
            <w:tcW w:w="2227" w:type="dxa"/>
            <w:tcBorders>
              <w:tl2br w:val="nil"/>
              <w:tr2bl w:val="nil"/>
            </w:tcBorders>
            <w:noWrap w:val="0"/>
            <w:vAlign w:val="top"/>
          </w:tcPr>
          <w:p w14:paraId="341B3448">
            <w:pPr>
              <w:snapToGrid w:val="0"/>
              <w:jc w:val="center"/>
              <w:rPr>
                <w:rFonts w:hint="default" w:eastAsia="宋体"/>
                <w:color w:val="000000" w:themeColor="text1"/>
                <w:u w:val="none" w:color="auto"/>
                <w:vertAlign w:val="baseline"/>
                <w:lang w:val="en-US" w:eastAsia="zh-CN"/>
                <w14:textFill>
                  <w14:solidFill>
                    <w14:schemeClr w14:val="tx1"/>
                  </w14:solidFill>
                </w14:textFill>
              </w:rPr>
            </w:pPr>
            <w:r>
              <w:rPr>
                <w:rFonts w:hint="eastAsia"/>
                <w:color w:val="000000" w:themeColor="text1"/>
                <w:u w:val="none" w:color="auto"/>
                <w:vertAlign w:val="baseline"/>
                <w:lang w:val="en-US" w:eastAsia="zh-CN"/>
                <w14:textFill>
                  <w14:solidFill>
                    <w14:schemeClr w14:val="tx1"/>
                  </w14:solidFill>
                </w14:textFill>
              </w:rPr>
              <w:t>/</w:t>
            </w:r>
          </w:p>
        </w:tc>
      </w:tr>
    </w:tbl>
    <w:p w14:paraId="16D5DAA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华文中宋" w:hAnsi="Times New Roman" w:eastAsia="华文中宋" w:cs="Times New Roman"/>
          <w:color w:val="000000" w:themeColor="text1"/>
          <w:kern w:val="2"/>
          <w:sz w:val="24"/>
          <w:szCs w:val="24"/>
          <w:lang w:val="en-US" w:eastAsia="zh-CN" w:bidi="ar-SA"/>
          <w14:textFill>
            <w14:solidFill>
              <w14:schemeClr w14:val="tx1"/>
            </w14:solidFill>
          </w14:textFill>
        </w:rPr>
      </w:pPr>
      <w:r>
        <w:rPr>
          <w:rFonts w:hint="eastAsia" w:ascii="华文中宋" w:hAnsi="Times New Roman" w:eastAsia="华文中宋" w:cs="Times New Roman"/>
          <w:color w:val="000000" w:themeColor="text1"/>
          <w:kern w:val="2"/>
          <w:sz w:val="24"/>
          <w:szCs w:val="24"/>
          <w:lang w:val="en-US" w:eastAsia="zh-CN" w:bidi="ar-SA"/>
          <w14:textFill>
            <w14:solidFill>
              <w14:schemeClr w14:val="tx1"/>
            </w14:solidFill>
          </w14:textFill>
        </w:rPr>
        <w:t>（4）评级工作等级确定</w:t>
      </w:r>
    </w:p>
    <w:p w14:paraId="375B164B">
      <w:pPr>
        <w:keepNext w:val="0"/>
        <w:keepLines w:val="0"/>
        <w:pageBreakBefore w:val="0"/>
        <w:widowControl/>
        <w:suppressLineNumbers w:val="0"/>
        <w:kinsoku/>
        <w:wordWrap/>
        <w:overflowPunct/>
        <w:topLinePunct w:val="0"/>
        <w:autoSpaceDE/>
        <w:autoSpaceDN/>
        <w:bidi w:val="0"/>
        <w:adjustRightInd/>
        <w:snapToGrid/>
        <w:spacing w:line="500" w:lineRule="exact"/>
        <w:ind w:firstLine="720" w:firstLineChars="300"/>
        <w:jc w:val="left"/>
        <w:textAlignment w:val="auto"/>
        <w:rPr>
          <w:rFonts w:hint="eastAsia" w:ascii="华文中宋" w:hAnsi="Times New Roman" w:eastAsia="华文中宋" w:cs="Times New Roman"/>
          <w:color w:val="000000" w:themeColor="text1"/>
          <w:kern w:val="2"/>
          <w:sz w:val="24"/>
          <w:szCs w:val="24"/>
          <w:lang w:val="en-US" w:eastAsia="zh-CN" w:bidi="ar-SA"/>
          <w14:textFill>
            <w14:solidFill>
              <w14:schemeClr w14:val="tx1"/>
            </w14:solidFill>
          </w14:textFill>
        </w:rPr>
      </w:pPr>
      <w:r>
        <w:rPr>
          <w:rFonts w:hint="eastAsia" w:ascii="华文中宋" w:hAnsi="Times New Roman" w:eastAsia="华文中宋" w:cs="Times New Roman"/>
          <w:color w:val="000000" w:themeColor="text1"/>
          <w:kern w:val="2"/>
          <w:sz w:val="24"/>
          <w:szCs w:val="24"/>
          <w:lang w:val="en-US" w:eastAsia="zh-CN" w:bidi="ar-SA"/>
          <w14:textFill>
            <w14:solidFill>
              <w14:schemeClr w14:val="tx1"/>
            </w14:solidFill>
          </w14:textFill>
        </w:rPr>
        <w:t>项目所有污染源的非正常工况下排放的污染物的P</w:t>
      </w:r>
      <w:r>
        <w:rPr>
          <w:rFonts w:hint="eastAsia" w:ascii="华文中宋" w:hAnsi="Times New Roman" w:eastAsia="华文中宋" w:cs="Times New Roman"/>
          <w:color w:val="000000" w:themeColor="text1"/>
          <w:kern w:val="2"/>
          <w:sz w:val="24"/>
          <w:szCs w:val="24"/>
          <w:vertAlign w:val="subscript"/>
          <w:lang w:val="en-US" w:eastAsia="zh-CN" w:bidi="ar-SA"/>
          <w14:textFill>
            <w14:solidFill>
              <w14:schemeClr w14:val="tx1"/>
            </w14:solidFill>
          </w14:textFill>
        </w:rPr>
        <w:t>max</w:t>
      </w:r>
      <w:r>
        <w:rPr>
          <w:rFonts w:hint="eastAsia" w:ascii="华文中宋" w:hAnsi="Times New Roman" w:eastAsia="华文中宋" w:cs="Times New Roman"/>
          <w:color w:val="000000" w:themeColor="text1"/>
          <w:kern w:val="2"/>
          <w:sz w:val="24"/>
          <w:szCs w:val="24"/>
          <w:lang w:val="en-US" w:eastAsia="zh-CN" w:bidi="ar-SA"/>
          <w14:textFill>
            <w14:solidFill>
              <w14:schemeClr w14:val="tx1"/>
            </w14:solidFill>
          </w14:textFill>
        </w:rPr>
        <w:t>和 D</w:t>
      </w:r>
      <w:r>
        <w:rPr>
          <w:rFonts w:hint="eastAsia" w:ascii="华文中宋" w:hAnsi="Times New Roman" w:eastAsia="华文中宋" w:cs="Times New Roman"/>
          <w:color w:val="000000" w:themeColor="text1"/>
          <w:kern w:val="2"/>
          <w:sz w:val="24"/>
          <w:szCs w:val="24"/>
          <w:vertAlign w:val="subscript"/>
          <w:lang w:val="en-US" w:eastAsia="zh-CN" w:bidi="ar-SA"/>
          <w14:textFill>
            <w14:solidFill>
              <w14:schemeClr w14:val="tx1"/>
            </w14:solidFill>
          </w14:textFill>
        </w:rPr>
        <w:t>10%</w:t>
      </w:r>
      <w:r>
        <w:rPr>
          <w:rFonts w:hint="eastAsia" w:ascii="华文中宋" w:hAnsi="Times New Roman" w:eastAsia="华文中宋" w:cs="Times New Roman"/>
          <w:color w:val="000000" w:themeColor="text1"/>
          <w:kern w:val="2"/>
          <w:sz w:val="24"/>
          <w:szCs w:val="24"/>
          <w:lang w:val="en-US" w:eastAsia="zh-CN" w:bidi="ar-SA"/>
          <w14:textFill>
            <w14:solidFill>
              <w14:schemeClr w14:val="tx1"/>
            </w14:solidFill>
          </w14:textFill>
        </w:rPr>
        <w:t>预测结果详见下表。</w:t>
      </w:r>
    </w:p>
    <w:p w14:paraId="7A145025">
      <w:pPr>
        <w:snapToGrid w:val="0"/>
        <w:spacing w:line="280" w:lineRule="exact"/>
        <w:jc w:val="center"/>
        <w:rPr>
          <w:rFonts w:hint="eastAsia" w:ascii="宋体" w:hAnsi="宋体"/>
          <w:b/>
          <w:color w:val="000000" w:themeColor="text1"/>
          <w:szCs w:val="21"/>
          <w:highlight w:val="none"/>
          <w:u w:val="none" w:color="auto"/>
          <w14:textFill>
            <w14:solidFill>
              <w14:schemeClr w14:val="tx1"/>
            </w14:solidFill>
          </w14:textFill>
        </w:rPr>
      </w:pPr>
      <w:r>
        <w:rPr>
          <w:rFonts w:hint="eastAsia" w:ascii="Times New Roman" w:hAnsi="Times New Roman" w:eastAsia="宋体" w:cs="Times New Roman"/>
          <w:b/>
          <w:caps w:val="0"/>
          <w:color w:val="000000" w:themeColor="text1"/>
          <w:szCs w:val="21"/>
          <w:highlight w:val="none"/>
          <w:u w:val="none" w:color="auto"/>
          <w14:textFill>
            <w14:solidFill>
              <w14:schemeClr w14:val="tx1"/>
            </w14:solidFill>
          </w14:textFill>
        </w:rPr>
        <w:t>表</w:t>
      </w:r>
      <w:r>
        <w:rPr>
          <w:rFonts w:hint="eastAsia" w:ascii="Times New Roman" w:hAnsi="Times New Roman" w:eastAsia="宋体" w:cs="Times New Roman"/>
          <w:b/>
          <w:caps w:val="0"/>
          <w:color w:val="000000" w:themeColor="text1"/>
          <w:szCs w:val="21"/>
          <w:highlight w:val="none"/>
          <w:u w:val="none" w:color="auto"/>
          <w:lang w:val="en-US" w:eastAsia="zh-CN"/>
          <w14:textFill>
            <w14:solidFill>
              <w14:schemeClr w14:val="tx1"/>
            </w14:solidFill>
          </w14:textFill>
        </w:rPr>
        <w:t>3-5</w:t>
      </w:r>
      <w:r>
        <w:rPr>
          <w:rFonts w:hint="eastAsia" w:ascii="宋体" w:hAnsi="宋体" w:eastAsia="宋体" w:cs="Times New Roman"/>
          <w:b/>
          <w:color w:val="000000" w:themeColor="text1"/>
          <w:szCs w:val="21"/>
          <w:highlight w:val="none"/>
          <w:u w:val="none" w:color="auto"/>
          <w14:textFill>
            <w14:solidFill>
              <w14:schemeClr w14:val="tx1"/>
            </w14:solidFill>
          </w14:textFill>
        </w:rPr>
        <w:t xml:space="preserve">  </w:t>
      </w:r>
      <w:r>
        <w:rPr>
          <w:rFonts w:hint="eastAsia" w:ascii="宋体" w:hAnsi="宋体" w:eastAsia="宋体" w:cs="Times New Roman"/>
          <w:b/>
          <w:color w:val="000000" w:themeColor="text1"/>
          <w:szCs w:val="21"/>
          <w:highlight w:val="none"/>
          <w:u w:val="none" w:color="auto"/>
          <w:lang w:val="en-US" w:eastAsia="zh-CN"/>
          <w14:textFill>
            <w14:solidFill>
              <w14:schemeClr w14:val="tx1"/>
            </w14:solidFill>
          </w14:textFill>
        </w:rPr>
        <w:t>Pmax和 D10%预测和</w:t>
      </w:r>
      <w:r>
        <w:rPr>
          <w:rFonts w:hint="eastAsia" w:ascii="宋体" w:hAnsi="宋体" w:eastAsia="宋体" w:cs="Times New Roman"/>
          <w:b/>
          <w:color w:val="000000" w:themeColor="text1"/>
          <w:szCs w:val="21"/>
          <w:highlight w:val="none"/>
          <w:u w:val="none" w:color="auto"/>
          <w14:textFill>
            <w14:solidFill>
              <w14:schemeClr w14:val="tx1"/>
            </w14:solidFill>
          </w14:textFill>
        </w:rPr>
        <w:t>计算</w:t>
      </w:r>
      <w:r>
        <w:rPr>
          <w:rFonts w:hint="eastAsia" w:ascii="宋体" w:hAnsi="宋体"/>
          <w:b/>
          <w:color w:val="000000" w:themeColor="text1"/>
          <w:szCs w:val="21"/>
          <w:highlight w:val="none"/>
          <w:u w:val="none" w:color="auto"/>
          <w14:textFill>
            <w14:solidFill>
              <w14:schemeClr w14:val="tx1"/>
            </w14:solidFill>
          </w14:textFill>
        </w:rPr>
        <w:t>结果表</w:t>
      </w:r>
    </w:p>
    <w:tbl>
      <w:tblPr>
        <w:tblStyle w:val="26"/>
        <w:tblW w:w="0" w:type="auto"/>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03"/>
        <w:gridCol w:w="909"/>
        <w:gridCol w:w="1812"/>
        <w:gridCol w:w="1812"/>
        <w:gridCol w:w="1812"/>
        <w:gridCol w:w="1812"/>
      </w:tblGrid>
      <w:tr w14:paraId="304274B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12" w:type="dxa"/>
            <w:gridSpan w:val="2"/>
            <w:tcBorders>
              <w:tl2br w:val="nil"/>
              <w:tr2bl w:val="nil"/>
            </w:tcBorders>
            <w:noWrap w:val="0"/>
            <w:vAlign w:val="center"/>
          </w:tcPr>
          <w:p w14:paraId="5A2382AD">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污染源名称</w:t>
            </w:r>
          </w:p>
        </w:tc>
        <w:tc>
          <w:tcPr>
            <w:tcW w:w="1812" w:type="dxa"/>
            <w:tcBorders>
              <w:tl2br w:val="nil"/>
              <w:tr2bl w:val="nil"/>
            </w:tcBorders>
            <w:noWrap w:val="0"/>
            <w:vAlign w:val="center"/>
          </w:tcPr>
          <w:p w14:paraId="047D73E2">
            <w:pPr>
              <w:snapToGrid w:val="0"/>
              <w:jc w:val="cente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t>下风向预测最大浓度 Ci(μg/m</w:t>
            </w:r>
            <w:r>
              <w:rPr>
                <w:rFonts w:hint="eastAsia" w:ascii="宋体" w:hAnsi="宋体" w:cs="宋体"/>
                <w:color w:val="000000" w:themeColor="text1"/>
                <w:kern w:val="0"/>
                <w:sz w:val="21"/>
                <w:szCs w:val="21"/>
                <w:u w:val="none" w:color="auto"/>
                <w:vertAlign w:val="superscript"/>
                <w:lang w:val="en-US" w:eastAsia="zh-CN" w:bidi="ar"/>
                <w14:textFill>
                  <w14:solidFill>
                    <w14:schemeClr w14:val="tx1"/>
                  </w14:solidFill>
                </w14:textFill>
              </w:rPr>
              <w:t>3</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w:t>
            </w:r>
          </w:p>
        </w:tc>
        <w:tc>
          <w:tcPr>
            <w:tcW w:w="1812" w:type="dxa"/>
            <w:tcBorders>
              <w:tl2br w:val="nil"/>
              <w:tr2bl w:val="nil"/>
            </w:tcBorders>
            <w:noWrap w:val="0"/>
            <w:vAlign w:val="center"/>
          </w:tcPr>
          <w:p w14:paraId="472CF4C8">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t>最大浓度</w:t>
            </w:r>
          </w:p>
          <w:p w14:paraId="273FB944">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t>占标率%</w:t>
            </w:r>
          </w:p>
        </w:tc>
        <w:tc>
          <w:tcPr>
            <w:tcW w:w="1812" w:type="dxa"/>
            <w:tcBorders>
              <w:tl2br w:val="nil"/>
              <w:tr2bl w:val="nil"/>
            </w:tcBorders>
            <w:noWrap w:val="0"/>
            <w:vAlign w:val="center"/>
          </w:tcPr>
          <w:p w14:paraId="71B08B9A">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t>评价工作分级判据</w:t>
            </w:r>
          </w:p>
        </w:tc>
        <w:tc>
          <w:tcPr>
            <w:tcW w:w="1812" w:type="dxa"/>
            <w:tcBorders>
              <w:tl2br w:val="nil"/>
              <w:tr2bl w:val="nil"/>
            </w:tcBorders>
            <w:noWrap w:val="0"/>
            <w:vAlign w:val="center"/>
          </w:tcPr>
          <w:p w14:paraId="6A448758">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t>评价等级判定</w:t>
            </w:r>
          </w:p>
        </w:tc>
      </w:tr>
      <w:tr w14:paraId="08148FB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3" w:type="dxa"/>
            <w:tcBorders>
              <w:tl2br w:val="nil"/>
              <w:tr2bl w:val="nil"/>
            </w:tcBorders>
            <w:noWrap w:val="0"/>
            <w:vAlign w:val="center"/>
          </w:tcPr>
          <w:p w14:paraId="2CF0B620">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DA001</w:t>
            </w:r>
          </w:p>
        </w:tc>
        <w:tc>
          <w:tcPr>
            <w:tcW w:w="909" w:type="dxa"/>
            <w:tcBorders>
              <w:tl2br w:val="nil"/>
              <w:tr2bl w:val="nil"/>
            </w:tcBorders>
            <w:noWrap w:val="0"/>
            <w:vAlign w:val="center"/>
          </w:tcPr>
          <w:p w14:paraId="707214CD">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非甲烷总烃</w:t>
            </w:r>
          </w:p>
        </w:tc>
        <w:tc>
          <w:tcPr>
            <w:tcW w:w="1812" w:type="dxa"/>
            <w:tcBorders>
              <w:tl2br w:val="nil"/>
              <w:tr2bl w:val="nil"/>
            </w:tcBorders>
            <w:noWrap w:val="0"/>
            <w:vAlign w:val="center"/>
          </w:tcPr>
          <w:p w14:paraId="6FC727B3">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3.662</w:t>
            </w:r>
          </w:p>
        </w:tc>
        <w:tc>
          <w:tcPr>
            <w:tcW w:w="1812" w:type="dxa"/>
            <w:tcBorders>
              <w:tl2br w:val="nil"/>
              <w:tr2bl w:val="nil"/>
            </w:tcBorders>
            <w:noWrap w:val="0"/>
            <w:vAlign w:val="center"/>
          </w:tcPr>
          <w:p w14:paraId="40DD807A">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0.18</w:t>
            </w:r>
          </w:p>
        </w:tc>
        <w:tc>
          <w:tcPr>
            <w:tcW w:w="1812" w:type="dxa"/>
            <w:tcBorders>
              <w:tl2br w:val="nil"/>
              <w:tr2bl w:val="nil"/>
            </w:tcBorders>
            <w:noWrap w:val="0"/>
            <w:vAlign w:val="center"/>
          </w:tcPr>
          <w:p w14:paraId="6E248EF0">
            <w:pPr>
              <w:pStyle w:val="107"/>
              <w:keepNext w:val="0"/>
              <w:keepLines w:val="0"/>
              <w:pageBreakBefore w:val="0"/>
              <w:widowControl w:val="0"/>
              <w:kinsoku/>
              <w:wordWrap/>
              <w:overflowPunct w:val="0"/>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aps w:val="0"/>
                <w:color w:val="000000" w:themeColor="text1"/>
                <w:kern w:val="2"/>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w:t>
            </w:r>
            <w:r>
              <w:rPr>
                <w:rFonts w:hint="eastAsia" w:ascii="Times New Roman" w:hAnsi="Times New Roman" w:eastAsia="宋体" w:cs="宋体"/>
                <w:caps w:val="0"/>
                <w:color w:val="000000" w:themeColor="text1"/>
                <w:sz w:val="21"/>
                <w:szCs w:val="21"/>
                <w:highlight w:val="none"/>
                <w:u w:val="none" w:color="auto"/>
                <w:lang w:val="en-US" w:eastAsia="zh-CN"/>
                <w14:textFill>
                  <w14:solidFill>
                    <w14:schemeClr w14:val="tx1"/>
                  </w14:solidFill>
                </w14:textFill>
              </w:rPr>
              <w:t>1%</w:t>
            </w:r>
          </w:p>
        </w:tc>
        <w:tc>
          <w:tcPr>
            <w:tcW w:w="1812" w:type="dxa"/>
            <w:tcBorders>
              <w:tl2br w:val="nil"/>
              <w:tr2bl w:val="nil"/>
            </w:tcBorders>
            <w:noWrap w:val="0"/>
            <w:vAlign w:val="center"/>
          </w:tcPr>
          <w:p w14:paraId="743D1870">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三</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级</w:t>
            </w:r>
          </w:p>
        </w:tc>
      </w:tr>
      <w:tr w14:paraId="10072EE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3" w:type="dxa"/>
            <w:vMerge w:val="restart"/>
            <w:tcBorders>
              <w:tl2br w:val="nil"/>
              <w:tr2bl w:val="nil"/>
            </w:tcBorders>
            <w:noWrap w:val="0"/>
            <w:vAlign w:val="center"/>
          </w:tcPr>
          <w:p w14:paraId="09F09902">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无组织排放</w:t>
            </w:r>
          </w:p>
        </w:tc>
        <w:tc>
          <w:tcPr>
            <w:tcW w:w="909" w:type="dxa"/>
            <w:tcBorders>
              <w:tl2br w:val="nil"/>
              <w:tr2bl w:val="nil"/>
            </w:tcBorders>
            <w:noWrap w:val="0"/>
            <w:vAlign w:val="center"/>
          </w:tcPr>
          <w:p w14:paraId="55538B54">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硫酸</w:t>
            </w:r>
          </w:p>
        </w:tc>
        <w:tc>
          <w:tcPr>
            <w:tcW w:w="1812" w:type="dxa"/>
            <w:tcBorders>
              <w:tl2br w:val="nil"/>
              <w:tr2bl w:val="nil"/>
            </w:tcBorders>
            <w:noWrap w:val="0"/>
            <w:vAlign w:val="center"/>
          </w:tcPr>
          <w:p w14:paraId="0553B146">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0.551</w:t>
            </w:r>
          </w:p>
        </w:tc>
        <w:tc>
          <w:tcPr>
            <w:tcW w:w="1812" w:type="dxa"/>
            <w:tcBorders>
              <w:tl2br w:val="nil"/>
              <w:tr2bl w:val="nil"/>
            </w:tcBorders>
            <w:noWrap w:val="0"/>
            <w:vAlign w:val="center"/>
          </w:tcPr>
          <w:p w14:paraId="71786F59">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0.18</w:t>
            </w:r>
          </w:p>
        </w:tc>
        <w:tc>
          <w:tcPr>
            <w:tcW w:w="1812" w:type="dxa"/>
            <w:tcBorders>
              <w:tl2br w:val="nil"/>
              <w:tr2bl w:val="nil"/>
            </w:tcBorders>
            <w:noWrap w:val="0"/>
            <w:vAlign w:val="center"/>
          </w:tcPr>
          <w:p w14:paraId="3A32E15B">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Pmax＜1%</w:t>
            </w:r>
          </w:p>
        </w:tc>
        <w:tc>
          <w:tcPr>
            <w:tcW w:w="1812" w:type="dxa"/>
            <w:tcBorders>
              <w:tl2br w:val="nil"/>
              <w:tr2bl w:val="nil"/>
            </w:tcBorders>
            <w:noWrap w:val="0"/>
            <w:vAlign w:val="center"/>
          </w:tcPr>
          <w:p w14:paraId="7B1BFAEA">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三</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级</w:t>
            </w:r>
          </w:p>
        </w:tc>
      </w:tr>
      <w:tr w14:paraId="5674DE9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1" w:hRule="exact"/>
        </w:trPr>
        <w:tc>
          <w:tcPr>
            <w:tcW w:w="903" w:type="dxa"/>
            <w:vMerge w:val="continue"/>
            <w:tcBorders>
              <w:tl2br w:val="nil"/>
              <w:tr2bl w:val="nil"/>
            </w:tcBorders>
            <w:noWrap w:val="0"/>
            <w:vAlign w:val="center"/>
          </w:tcPr>
          <w:p w14:paraId="19A7B7BA">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p>
        </w:tc>
        <w:tc>
          <w:tcPr>
            <w:tcW w:w="909" w:type="dxa"/>
            <w:tcBorders>
              <w:tl2br w:val="nil"/>
              <w:tr2bl w:val="nil"/>
            </w:tcBorders>
            <w:noWrap w:val="0"/>
            <w:vAlign w:val="center"/>
          </w:tcPr>
          <w:p w14:paraId="0AF54B72">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铅</w:t>
            </w:r>
          </w:p>
        </w:tc>
        <w:tc>
          <w:tcPr>
            <w:tcW w:w="1812" w:type="dxa"/>
            <w:tcBorders>
              <w:tl2br w:val="nil"/>
              <w:tr2bl w:val="nil"/>
            </w:tcBorders>
            <w:noWrap w:val="0"/>
            <w:vAlign w:val="center"/>
          </w:tcPr>
          <w:p w14:paraId="4C1C6554">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0.0</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01</w:t>
            </w:r>
          </w:p>
        </w:tc>
        <w:tc>
          <w:tcPr>
            <w:tcW w:w="1812" w:type="dxa"/>
            <w:tcBorders>
              <w:tl2br w:val="nil"/>
              <w:tr2bl w:val="nil"/>
            </w:tcBorders>
            <w:noWrap w:val="0"/>
            <w:vAlign w:val="center"/>
          </w:tcPr>
          <w:p w14:paraId="4CDE4B82">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0.03</w:t>
            </w:r>
          </w:p>
        </w:tc>
        <w:tc>
          <w:tcPr>
            <w:tcW w:w="1812" w:type="dxa"/>
            <w:tcBorders>
              <w:tl2br w:val="nil"/>
              <w:tr2bl w:val="nil"/>
            </w:tcBorders>
            <w:noWrap w:val="0"/>
            <w:vAlign w:val="center"/>
          </w:tcPr>
          <w:p w14:paraId="22A6D398">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Pmax＜1%</w:t>
            </w:r>
          </w:p>
        </w:tc>
        <w:tc>
          <w:tcPr>
            <w:tcW w:w="1812" w:type="dxa"/>
            <w:tcBorders>
              <w:tl2br w:val="nil"/>
              <w:tr2bl w:val="nil"/>
            </w:tcBorders>
            <w:noWrap w:val="0"/>
            <w:vAlign w:val="center"/>
          </w:tcPr>
          <w:p w14:paraId="0A71B1AB">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三</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级</w:t>
            </w:r>
          </w:p>
        </w:tc>
      </w:tr>
      <w:tr w14:paraId="6B65951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3" w:type="dxa"/>
            <w:vMerge w:val="continue"/>
            <w:tcBorders>
              <w:tl2br w:val="nil"/>
              <w:tr2bl w:val="nil"/>
            </w:tcBorders>
            <w:noWrap w:val="0"/>
            <w:vAlign w:val="center"/>
          </w:tcPr>
          <w:p w14:paraId="4732B9F5">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p>
        </w:tc>
        <w:tc>
          <w:tcPr>
            <w:tcW w:w="909" w:type="dxa"/>
            <w:tcBorders>
              <w:tl2br w:val="nil"/>
              <w:tr2bl w:val="nil"/>
            </w:tcBorders>
            <w:noWrap w:val="0"/>
            <w:vAlign w:val="center"/>
          </w:tcPr>
          <w:p w14:paraId="7FAAC997">
            <w:pPr>
              <w:snapToGrid w:val="0"/>
              <w:jc w:val="cente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非甲烷总烃</w:t>
            </w:r>
          </w:p>
        </w:tc>
        <w:tc>
          <w:tcPr>
            <w:tcW w:w="1812" w:type="dxa"/>
            <w:tcBorders>
              <w:tl2br w:val="nil"/>
              <w:tr2bl w:val="nil"/>
            </w:tcBorders>
            <w:noWrap w:val="0"/>
            <w:vAlign w:val="center"/>
          </w:tcPr>
          <w:p w14:paraId="02BA7760">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17.611</w:t>
            </w:r>
          </w:p>
        </w:tc>
        <w:tc>
          <w:tcPr>
            <w:tcW w:w="1812" w:type="dxa"/>
            <w:tcBorders>
              <w:tl2br w:val="nil"/>
              <w:tr2bl w:val="nil"/>
            </w:tcBorders>
            <w:noWrap w:val="0"/>
            <w:vAlign w:val="center"/>
          </w:tcPr>
          <w:p w14:paraId="7F164A22">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0.88</w:t>
            </w:r>
          </w:p>
        </w:tc>
        <w:tc>
          <w:tcPr>
            <w:tcW w:w="1812" w:type="dxa"/>
            <w:tcBorders>
              <w:tl2br w:val="nil"/>
              <w:tr2bl w:val="nil"/>
            </w:tcBorders>
            <w:noWrap w:val="0"/>
            <w:vAlign w:val="center"/>
          </w:tcPr>
          <w:p w14:paraId="6D7B2AFB">
            <w:pPr>
              <w:snapToGrid w:val="0"/>
              <w:jc w:val="cente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Pmax＜1%</w:t>
            </w:r>
          </w:p>
        </w:tc>
        <w:tc>
          <w:tcPr>
            <w:tcW w:w="1812" w:type="dxa"/>
            <w:tcBorders>
              <w:tl2br w:val="nil"/>
              <w:tr2bl w:val="nil"/>
            </w:tcBorders>
            <w:noWrap w:val="0"/>
            <w:vAlign w:val="center"/>
          </w:tcPr>
          <w:p w14:paraId="070712A0">
            <w:pPr>
              <w:snapToGrid w:val="0"/>
              <w:jc w:val="center"/>
              <w:rPr>
                <w:rFonts w:hint="eastAsia" w:ascii="宋体" w:hAnsi="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三</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级</w:t>
            </w:r>
          </w:p>
        </w:tc>
      </w:tr>
      <w:tr w14:paraId="3F08493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3" w:type="dxa"/>
            <w:vMerge w:val="continue"/>
            <w:tcBorders>
              <w:tl2br w:val="nil"/>
              <w:tr2bl w:val="nil"/>
            </w:tcBorders>
            <w:noWrap w:val="0"/>
            <w:vAlign w:val="center"/>
          </w:tcPr>
          <w:p w14:paraId="7111AFCE">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p>
        </w:tc>
        <w:tc>
          <w:tcPr>
            <w:tcW w:w="909" w:type="dxa"/>
            <w:tcBorders>
              <w:tl2br w:val="nil"/>
              <w:tr2bl w:val="nil"/>
            </w:tcBorders>
            <w:noWrap w:val="0"/>
            <w:vAlign w:val="center"/>
          </w:tcPr>
          <w:p w14:paraId="37FA88E6">
            <w:pPr>
              <w:snapToGrid w:val="0"/>
              <w:jc w:val="center"/>
              <w:rPr>
                <w:rFonts w:hint="default" w:ascii="宋体" w:hAnsi="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TSP</w:t>
            </w:r>
          </w:p>
        </w:tc>
        <w:tc>
          <w:tcPr>
            <w:tcW w:w="1812" w:type="dxa"/>
            <w:tcBorders>
              <w:tl2br w:val="nil"/>
              <w:tr2bl w:val="nil"/>
            </w:tcBorders>
            <w:noWrap w:val="0"/>
            <w:vAlign w:val="center"/>
          </w:tcPr>
          <w:p w14:paraId="064CF3EA">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1.860</w:t>
            </w:r>
          </w:p>
        </w:tc>
        <w:tc>
          <w:tcPr>
            <w:tcW w:w="1812" w:type="dxa"/>
            <w:tcBorders>
              <w:tl2br w:val="nil"/>
              <w:tr2bl w:val="nil"/>
            </w:tcBorders>
            <w:noWrap w:val="0"/>
            <w:vAlign w:val="center"/>
          </w:tcPr>
          <w:p w14:paraId="63419AA9">
            <w:pPr>
              <w:snapToGrid w:val="0"/>
              <w:jc w:val="center"/>
              <w:rPr>
                <w:rFonts w:hint="default" w:ascii="宋体" w:hAnsi="宋体" w:eastAsia="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0.21</w:t>
            </w:r>
          </w:p>
        </w:tc>
        <w:tc>
          <w:tcPr>
            <w:tcW w:w="1812" w:type="dxa"/>
            <w:tcBorders>
              <w:tl2br w:val="nil"/>
              <w:tr2bl w:val="nil"/>
            </w:tcBorders>
            <w:noWrap w:val="0"/>
            <w:vAlign w:val="center"/>
          </w:tcPr>
          <w:p w14:paraId="5403EF80">
            <w:pPr>
              <w:snapToGrid w:val="0"/>
              <w:jc w:val="cente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pPr>
            <w:r>
              <w:rPr>
                <w:rFonts w:hint="eastAsia" w:ascii="Times New Roman" w:hAnsi="Times New Roman" w:eastAsia="宋体" w:cs="宋体"/>
                <w:caps w:val="0"/>
                <w:color w:val="000000" w:themeColor="text1"/>
                <w:sz w:val="21"/>
                <w:szCs w:val="21"/>
                <w:highlight w:val="none"/>
                <w:u w:val="none" w:color="auto"/>
                <w14:textFill>
                  <w14:solidFill>
                    <w14:schemeClr w14:val="tx1"/>
                  </w14:solidFill>
                </w14:textFill>
              </w:rPr>
              <w:t>Pmax＜1%</w:t>
            </w:r>
          </w:p>
        </w:tc>
        <w:tc>
          <w:tcPr>
            <w:tcW w:w="1812" w:type="dxa"/>
            <w:tcBorders>
              <w:tl2br w:val="nil"/>
              <w:tr2bl w:val="nil"/>
            </w:tcBorders>
            <w:noWrap w:val="0"/>
            <w:vAlign w:val="center"/>
          </w:tcPr>
          <w:p w14:paraId="66907B73">
            <w:pPr>
              <w:snapToGrid w:val="0"/>
              <w:jc w:val="center"/>
              <w:rPr>
                <w:rFonts w:hint="eastAsia" w:ascii="宋体" w:hAnsi="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三</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级</w:t>
            </w:r>
          </w:p>
        </w:tc>
      </w:tr>
    </w:tbl>
    <w:p w14:paraId="669AA349">
      <w:pPr>
        <w:keepNext w:val="0"/>
        <w:keepLines w:val="0"/>
        <w:widowControl/>
        <w:suppressLineNumbers w:val="0"/>
        <w:jc w:val="left"/>
        <w:rPr>
          <w:rFonts w:hint="default"/>
          <w:color w:val="000000" w:themeColor="text1"/>
          <w:u w:val="none" w:color="auto"/>
          <w:lang w:val="en-US"/>
          <w14:textFill>
            <w14:solidFill>
              <w14:schemeClr w14:val="tx1"/>
            </w14:solidFill>
          </w14:textFill>
        </w:rPr>
      </w:pPr>
    </w:p>
    <w:p w14:paraId="2D414B97">
      <w:pPr>
        <w:keepNext w:val="0"/>
        <w:keepLines w:val="0"/>
        <w:widowControl/>
        <w:suppressLineNumbers w:val="0"/>
        <w:spacing w:line="360" w:lineRule="auto"/>
        <w:jc w:val="left"/>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 xml:space="preserve">    </w:t>
      </w: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 xml:space="preserve"> 综合以上分析，根据《环境影响评价技术导则 大气环境》(HJ2.2-2018)中“5.3.3.1同一项目有多个污染源(两个及以上)时，则按各污染源分别确定评价等级，并取评价等级最高者作为项目的评价等级”，因此确定本项目大气评价等级为</w:t>
      </w:r>
      <w:r>
        <w:rPr>
          <w:rFonts w:hint="eastAsia" w:cs="Times New Roman"/>
          <w:bCs/>
          <w:caps w:val="0"/>
          <w:color w:val="000000" w:themeColor="text1"/>
          <w:sz w:val="24"/>
          <w:szCs w:val="24"/>
          <w:highlight w:val="none"/>
          <w:u w:val="none" w:color="auto"/>
          <w:lang w:val="en-US" w:eastAsia="zh-CN"/>
          <w14:textFill>
            <w14:solidFill>
              <w14:schemeClr w14:val="tx1"/>
            </w14:solidFill>
          </w14:textFill>
        </w:rPr>
        <w:t>三</w:t>
      </w:r>
      <w:r>
        <w:rPr>
          <w:rFonts w:hint="eastAsia" w:ascii="Times New Roman" w:hAnsi="Times New Roman" w:eastAsia="宋体" w:cs="Times New Roman"/>
          <w:bCs/>
          <w:caps w:val="0"/>
          <w:color w:val="000000" w:themeColor="text1"/>
          <w:sz w:val="24"/>
          <w:szCs w:val="24"/>
          <w:highlight w:val="none"/>
          <w:u w:val="none" w:color="auto"/>
          <w:lang w:val="en-US" w:eastAsia="zh-CN"/>
          <w14:textFill>
            <w14:solidFill>
              <w14:schemeClr w14:val="tx1"/>
            </w14:solidFill>
          </w14:textFill>
        </w:rPr>
        <w:t xml:space="preserve">级。  </w:t>
      </w:r>
    </w:p>
    <w:p w14:paraId="76AD85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 xml:space="preserve"> 评价</w:t>
      </w:r>
      <w:r>
        <w:rPr>
          <w:rFonts w:hint="eastAsia"/>
          <w:b/>
          <w:bCs/>
          <w:color w:val="000000" w:themeColor="text1"/>
          <w:sz w:val="24"/>
          <w:szCs w:val="24"/>
          <w:lang w:val="en-US" w:eastAsia="zh-CN"/>
          <w14:textFill>
            <w14:solidFill>
              <w14:schemeClr w14:val="tx1"/>
            </w14:solidFill>
          </w14:textFill>
        </w:rPr>
        <w:t>范围</w:t>
      </w:r>
    </w:p>
    <w:p w14:paraId="5951606F">
      <w:pPr>
        <w:pStyle w:val="33"/>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Times New Roman" w:hAnsi="Times New Roman" w:eastAsia="宋体" w:cs="Times New Roman"/>
          <w:bCs/>
          <w:caps w:val="0"/>
          <w:color w:val="000000" w:themeColor="text1"/>
          <w:kern w:val="2"/>
          <w:sz w:val="24"/>
          <w:szCs w:val="24"/>
          <w:highlight w:val="none"/>
          <w:u w:val="none" w:color="auto"/>
          <w:lang w:val="en-US" w:eastAsia="zh-CN" w:bidi="ar-SA"/>
          <w14:textFill>
            <w14:solidFill>
              <w14:schemeClr w14:val="tx1"/>
            </w14:solidFill>
          </w14:textFill>
        </w:rPr>
      </w:pPr>
      <w:r>
        <w:rPr>
          <w:rFonts w:hint="eastAsia" w:ascii="Times New Roman" w:hAnsi="Times New Roman" w:eastAsia="宋体" w:cs="Times New Roman"/>
          <w:bCs/>
          <w:caps w:val="0"/>
          <w:color w:val="000000" w:themeColor="text1"/>
          <w:kern w:val="2"/>
          <w:sz w:val="24"/>
          <w:szCs w:val="24"/>
          <w:highlight w:val="none"/>
          <w:u w:val="none" w:color="auto"/>
          <w:lang w:val="en-US" w:eastAsia="zh-CN" w:bidi="ar-SA"/>
          <w14:textFill>
            <w14:solidFill>
              <w14:schemeClr w14:val="tx1"/>
            </w14:solidFill>
          </w14:textFill>
        </w:rPr>
        <w:t>根据《环境影响评价技术导则 大气环境》(HJ2.2-2018)二级评价大气环境影响评价范围边长取 5km。因此本项目大气环境评价范围边长取 5km。</w:t>
      </w:r>
    </w:p>
    <w:p w14:paraId="712C3F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3.3环境保护目标</w:t>
      </w:r>
    </w:p>
    <w:p w14:paraId="1DC3C9F6">
      <w:pPr>
        <w:pStyle w:val="33"/>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rFonts w:hint="eastAsia" w:ascii="Times New Roman" w:hAnsi="Times New Roman" w:eastAsia="宋体" w:cs="Times New Roman"/>
          <w:bCs/>
          <w:caps w:val="0"/>
          <w:color w:val="000000" w:themeColor="text1"/>
          <w:kern w:val="2"/>
          <w:sz w:val="24"/>
          <w:szCs w:val="24"/>
          <w:highlight w:val="none"/>
          <w:u w:val="single" w:color="auto"/>
          <w:lang w:val="en-US" w:eastAsia="zh-CN" w:bidi="ar-SA"/>
          <w14:textFill>
            <w14:solidFill>
              <w14:schemeClr w14:val="tx1"/>
            </w14:solidFill>
          </w14:textFill>
        </w:rPr>
      </w:pPr>
      <w:r>
        <w:rPr>
          <w:rFonts w:hint="eastAsia" w:ascii="Times New Roman" w:hAnsi="Times New Roman" w:eastAsia="宋体" w:cs="Times New Roman"/>
          <w:bCs/>
          <w:caps w:val="0"/>
          <w:color w:val="000000" w:themeColor="text1"/>
          <w:kern w:val="2"/>
          <w:sz w:val="24"/>
          <w:szCs w:val="24"/>
          <w:highlight w:val="none"/>
          <w:u w:val="none" w:color="auto"/>
          <w:lang w:val="en-US" w:eastAsia="zh-CN" w:bidi="ar-SA"/>
          <w14:textFill>
            <w14:solidFill>
              <w14:schemeClr w14:val="tx1"/>
            </w14:solidFill>
          </w14:textFill>
        </w:rPr>
        <w:t>大气环境保护目标确立为以项目为中心边长为5km 的矩形区域内的环境敏感目标项目环境保护目标分布图详见附图2。项目大气环境保护目标详见表3-6。</w:t>
      </w:r>
    </w:p>
    <w:p w14:paraId="62347579">
      <w:pPr>
        <w:pStyle w:val="33"/>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eastAsia" w:ascii="宋体" w:hAnsi="宋体" w:eastAsia="宋体" w:cs="宋体"/>
          <w:b/>
          <w:bCs/>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caps w:val="0"/>
          <w:color w:val="000000" w:themeColor="text1"/>
          <w:kern w:val="2"/>
          <w:sz w:val="21"/>
          <w:szCs w:val="21"/>
          <w:highlight w:val="none"/>
          <w:u w:val="none" w:color="auto"/>
          <w:lang w:val="en-US" w:eastAsia="zh-CN" w:bidi="ar-SA"/>
          <w14:textFill>
            <w14:solidFill>
              <w14:schemeClr w14:val="tx1"/>
            </w14:solidFill>
          </w14:textFill>
        </w:rPr>
        <w:t>表3-6</w:t>
      </w:r>
      <w:r>
        <w:rPr>
          <w:rFonts w:hint="eastAsia" w:ascii="宋体" w:hAnsi="宋体" w:eastAsia="宋体" w:cs="宋体"/>
          <w:b/>
          <w:bCs/>
          <w:color w:val="000000" w:themeColor="text1"/>
          <w:kern w:val="2"/>
          <w:sz w:val="21"/>
          <w:szCs w:val="21"/>
          <w:u w:val="none" w:color="auto"/>
          <w:lang w:val="en-US" w:eastAsia="zh-CN" w:bidi="ar-SA"/>
          <w14:textFill>
            <w14:solidFill>
              <w14:schemeClr w14:val="tx1"/>
            </w14:solidFill>
          </w14:textFill>
        </w:rPr>
        <w:t xml:space="preserve">   评价</w:t>
      </w:r>
      <w:r>
        <w:rPr>
          <w:rFonts w:hint="eastAsia" w:ascii="宋体" w:hAnsi="宋体" w:eastAsia="宋体" w:cs="宋体"/>
          <w:b/>
          <w:bCs/>
          <w:color w:val="000000" w:themeColor="text1"/>
          <w:kern w:val="2"/>
          <w:sz w:val="21"/>
          <w:szCs w:val="21"/>
          <w:highlight w:val="none"/>
          <w:u w:val="none" w:color="auto"/>
          <w:lang w:val="en-US" w:eastAsia="zh-CN" w:bidi="ar-SA"/>
          <w14:textFill>
            <w14:solidFill>
              <w14:schemeClr w14:val="tx1"/>
            </w14:solidFill>
          </w14:textFill>
        </w:rPr>
        <w:t>范围内环境敏感点分布</w:t>
      </w:r>
      <w:r>
        <w:rPr>
          <w:rFonts w:hint="eastAsia" w:ascii="宋体" w:hAnsi="宋体" w:eastAsia="宋体" w:cs="宋体"/>
          <w:b/>
          <w:bCs/>
          <w:color w:val="000000" w:themeColor="text1"/>
          <w:kern w:val="2"/>
          <w:sz w:val="21"/>
          <w:szCs w:val="21"/>
          <w:u w:val="none" w:color="auto"/>
          <w:lang w:val="en-US" w:eastAsia="zh-CN" w:bidi="ar-SA"/>
          <w14:textFill>
            <w14:solidFill>
              <w14:schemeClr w14:val="tx1"/>
            </w14:solidFill>
          </w14:textFill>
        </w:rPr>
        <w:t>情况一览表</w:t>
      </w:r>
    </w:p>
    <w:tbl>
      <w:tblPr>
        <w:tblStyle w:val="25"/>
        <w:tblW w:w="4996" w:type="pct"/>
        <w:jc w:val="center"/>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Layout w:type="autofit"/>
        <w:tblCellMar>
          <w:top w:w="0" w:type="dxa"/>
          <w:left w:w="108" w:type="dxa"/>
          <w:bottom w:w="0" w:type="dxa"/>
          <w:right w:w="108" w:type="dxa"/>
        </w:tblCellMar>
      </w:tblPr>
      <w:tblGrid>
        <w:gridCol w:w="1364"/>
        <w:gridCol w:w="1779"/>
        <w:gridCol w:w="1710"/>
        <w:gridCol w:w="912"/>
        <w:gridCol w:w="685"/>
        <w:gridCol w:w="765"/>
        <w:gridCol w:w="927"/>
        <w:gridCol w:w="1138"/>
      </w:tblGrid>
      <w:tr w14:paraId="482A3016">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vMerge w:val="restart"/>
            <w:tcBorders>
              <w:tl2br w:val="nil"/>
              <w:tr2bl w:val="nil"/>
            </w:tcBorders>
            <w:noWrap w:val="0"/>
            <w:vAlign w:val="center"/>
          </w:tcPr>
          <w:p w14:paraId="14808A2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名称</w:t>
            </w:r>
          </w:p>
        </w:tc>
        <w:tc>
          <w:tcPr>
            <w:tcW w:w="1879" w:type="pct"/>
            <w:gridSpan w:val="2"/>
            <w:tcBorders>
              <w:tl2br w:val="nil"/>
              <w:tr2bl w:val="nil"/>
            </w:tcBorders>
            <w:noWrap w:val="0"/>
            <w:vAlign w:val="center"/>
          </w:tcPr>
          <w:p w14:paraId="0441CAA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坐标/m</w:t>
            </w:r>
          </w:p>
        </w:tc>
        <w:tc>
          <w:tcPr>
            <w:tcW w:w="491" w:type="pct"/>
            <w:vMerge w:val="restart"/>
            <w:tcBorders>
              <w:tl2br w:val="nil"/>
              <w:tr2bl w:val="nil"/>
            </w:tcBorders>
            <w:noWrap w:val="0"/>
            <w:vAlign w:val="center"/>
          </w:tcPr>
          <w:p w14:paraId="2B2730A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保护对象</w:t>
            </w:r>
          </w:p>
        </w:tc>
        <w:tc>
          <w:tcPr>
            <w:tcW w:w="369" w:type="pct"/>
            <w:vMerge w:val="restart"/>
            <w:tcBorders>
              <w:tl2br w:val="nil"/>
              <w:tr2bl w:val="nil"/>
            </w:tcBorders>
            <w:noWrap w:val="0"/>
            <w:vAlign w:val="center"/>
          </w:tcPr>
          <w:p w14:paraId="61CA88D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保护内容</w:t>
            </w:r>
          </w:p>
        </w:tc>
        <w:tc>
          <w:tcPr>
            <w:tcW w:w="412" w:type="pct"/>
            <w:vMerge w:val="restart"/>
            <w:tcBorders>
              <w:tl2br w:val="nil"/>
              <w:tr2bl w:val="nil"/>
            </w:tcBorders>
            <w:noWrap w:val="0"/>
            <w:vAlign w:val="center"/>
          </w:tcPr>
          <w:p w14:paraId="5198DE5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环境功能区</w:t>
            </w:r>
          </w:p>
        </w:tc>
        <w:tc>
          <w:tcPr>
            <w:tcW w:w="499" w:type="pct"/>
            <w:vMerge w:val="restart"/>
            <w:tcBorders>
              <w:tl2br w:val="nil"/>
              <w:tr2bl w:val="nil"/>
            </w:tcBorders>
            <w:noWrap w:val="0"/>
            <w:vAlign w:val="center"/>
          </w:tcPr>
          <w:p w14:paraId="38EB162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相对厂址方位</w:t>
            </w:r>
          </w:p>
        </w:tc>
        <w:tc>
          <w:tcPr>
            <w:tcW w:w="613" w:type="pct"/>
            <w:vMerge w:val="restart"/>
            <w:tcBorders>
              <w:tl2br w:val="nil"/>
              <w:tr2bl w:val="nil"/>
            </w:tcBorders>
            <w:noWrap w:val="0"/>
            <w:vAlign w:val="center"/>
          </w:tcPr>
          <w:p w14:paraId="644F806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相对厂界距离</w:t>
            </w:r>
            <w:r>
              <w:rPr>
                <w:rFonts w:hint="eastAsia" w:cs="宋体"/>
                <w:color w:val="000000" w:themeColor="text1"/>
                <w:sz w:val="21"/>
                <w:szCs w:val="21"/>
                <w:highlight w:val="none"/>
                <w:u w:val="none" w:color="auto"/>
                <w:lang w:val="en-US" w:eastAsia="zh-CN"/>
                <w14:textFill>
                  <w14:solidFill>
                    <w14:schemeClr w14:val="tx1"/>
                  </w14:solidFill>
                </w14:textFill>
              </w:rPr>
              <w:t>k</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m</w:t>
            </w:r>
          </w:p>
        </w:tc>
      </w:tr>
      <w:tr w14:paraId="6B5A5449">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vMerge w:val="continue"/>
            <w:tcBorders>
              <w:tl2br w:val="nil"/>
              <w:tr2bl w:val="nil"/>
            </w:tcBorders>
            <w:noWrap w:val="0"/>
            <w:vAlign w:val="center"/>
          </w:tcPr>
          <w:p w14:paraId="7B63E49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958" w:type="pct"/>
            <w:tcBorders>
              <w:tl2br w:val="nil"/>
              <w:tr2bl w:val="nil"/>
            </w:tcBorders>
            <w:noWrap w:val="0"/>
            <w:vAlign w:val="center"/>
          </w:tcPr>
          <w:p w14:paraId="37BD5BF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X</w:t>
            </w:r>
          </w:p>
        </w:tc>
        <w:tc>
          <w:tcPr>
            <w:tcW w:w="920" w:type="pct"/>
            <w:tcBorders>
              <w:tl2br w:val="nil"/>
              <w:tr2bl w:val="nil"/>
            </w:tcBorders>
            <w:noWrap w:val="0"/>
            <w:vAlign w:val="center"/>
          </w:tcPr>
          <w:p w14:paraId="490DE8F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Y</w:t>
            </w:r>
          </w:p>
        </w:tc>
        <w:tc>
          <w:tcPr>
            <w:tcW w:w="491" w:type="pct"/>
            <w:vMerge w:val="continue"/>
            <w:tcBorders>
              <w:tl2br w:val="nil"/>
              <w:tr2bl w:val="nil"/>
            </w:tcBorders>
            <w:noWrap w:val="0"/>
            <w:vAlign w:val="center"/>
          </w:tcPr>
          <w:p w14:paraId="3051421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428F4F5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264D7F4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vMerge w:val="continue"/>
            <w:tcBorders>
              <w:tl2br w:val="nil"/>
              <w:tr2bl w:val="nil"/>
            </w:tcBorders>
            <w:noWrap w:val="0"/>
            <w:vAlign w:val="center"/>
          </w:tcPr>
          <w:p w14:paraId="1AE0950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613" w:type="pct"/>
            <w:vMerge w:val="continue"/>
            <w:tcBorders>
              <w:tl2br w:val="nil"/>
              <w:tr2bl w:val="nil"/>
            </w:tcBorders>
            <w:noWrap w:val="0"/>
            <w:vAlign w:val="center"/>
          </w:tcPr>
          <w:p w14:paraId="652A718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r>
      <w:tr w14:paraId="6E3921AE">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PrEx>
        <w:trPr>
          <w:trHeight w:val="230" w:hRule="atLeast"/>
          <w:jc w:val="center"/>
        </w:trPr>
        <w:tc>
          <w:tcPr>
            <w:tcW w:w="735" w:type="pct"/>
            <w:tcBorders>
              <w:tl2br w:val="nil"/>
              <w:tr2bl w:val="nil"/>
            </w:tcBorders>
            <w:noWrap w:val="0"/>
            <w:vAlign w:val="center"/>
          </w:tcPr>
          <w:p w14:paraId="02DF1423">
            <w:pPr>
              <w:adjustRightInd w:val="0"/>
              <w:snapToGrid w:val="0"/>
              <w:spacing w:line="300" w:lineRule="exact"/>
              <w:jc w:val="center"/>
              <w:rPr>
                <w:rFonts w:hint="default" w:ascii="Times New Roman" w:hAnsi="Times New Roman" w:eastAsia="宋体" w:cs="宋体"/>
                <w:color w:val="000000" w:themeColor="text1"/>
                <w:sz w:val="21"/>
                <w:szCs w:val="21"/>
                <w:highlight w:val="green"/>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乔家屯</w:t>
            </w:r>
          </w:p>
        </w:tc>
        <w:tc>
          <w:tcPr>
            <w:tcW w:w="958" w:type="pct"/>
            <w:tcBorders>
              <w:tl2br w:val="nil"/>
              <w:tr2bl w:val="nil"/>
            </w:tcBorders>
            <w:noWrap w:val="0"/>
            <w:vAlign w:val="center"/>
          </w:tcPr>
          <w:p w14:paraId="1F11EF72">
            <w:pPr>
              <w:widowControl/>
              <w:spacing w:line="300" w:lineRule="exact"/>
              <w:ind w:firstLine="0" w:firstLineChars="0"/>
              <w:jc w:val="center"/>
              <w:rPr>
                <w:rFonts w:hint="eastAsia" w:ascii="宋体" w:hAnsi="宋体"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124°2</w:t>
            </w:r>
            <w:r>
              <w:rPr>
                <w:rFonts w:hint="eastAsia" w:cs="宋体"/>
                <w:color w:val="000000" w:themeColor="text1"/>
                <w:sz w:val="21"/>
                <w:szCs w:val="21"/>
                <w:highlight w:val="none"/>
                <w:u w:val="none" w:color="auto"/>
                <w:lang w:val="en-US" w:eastAsia="zh-CN"/>
                <w14:textFill>
                  <w14:solidFill>
                    <w14:schemeClr w14:val="tx1"/>
                  </w14:solidFill>
                </w14:textFill>
              </w:rPr>
              <w:t>0</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43.952</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38FFEFFB">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43°12'</w:t>
            </w:r>
            <w:r>
              <w:rPr>
                <w:rFonts w:hint="eastAsia" w:cs="宋体"/>
                <w:color w:val="000000" w:themeColor="text1"/>
                <w:sz w:val="21"/>
                <w:szCs w:val="21"/>
                <w:highlight w:val="none"/>
                <w:u w:val="none" w:color="auto"/>
                <w:lang w:val="en-US" w:eastAsia="zh-CN"/>
                <w14:textFill>
                  <w14:solidFill>
                    <w14:schemeClr w14:val="tx1"/>
                  </w14:solidFill>
                </w14:textFill>
              </w:rPr>
              <w:t>47.562</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491" w:type="pct"/>
            <w:vMerge w:val="restart"/>
            <w:tcBorders>
              <w:tl2br w:val="nil"/>
              <w:tr2bl w:val="nil"/>
            </w:tcBorders>
            <w:noWrap w:val="0"/>
            <w:vAlign w:val="center"/>
          </w:tcPr>
          <w:p w14:paraId="31F8FB3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居民区</w:t>
            </w:r>
          </w:p>
        </w:tc>
        <w:tc>
          <w:tcPr>
            <w:tcW w:w="369" w:type="pct"/>
            <w:vMerge w:val="restart"/>
            <w:tcBorders>
              <w:tl2br w:val="nil"/>
              <w:tr2bl w:val="nil"/>
            </w:tcBorders>
            <w:noWrap w:val="0"/>
            <w:vAlign w:val="center"/>
          </w:tcPr>
          <w:p w14:paraId="1346AD4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大气环境</w:t>
            </w:r>
          </w:p>
        </w:tc>
        <w:tc>
          <w:tcPr>
            <w:tcW w:w="412" w:type="pct"/>
            <w:vMerge w:val="restart"/>
            <w:tcBorders>
              <w:tl2br w:val="nil"/>
              <w:tr2bl w:val="nil"/>
            </w:tcBorders>
            <w:noWrap w:val="0"/>
            <w:vAlign w:val="center"/>
          </w:tcPr>
          <w:p w14:paraId="7753CD5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二类区</w:t>
            </w:r>
          </w:p>
        </w:tc>
        <w:tc>
          <w:tcPr>
            <w:tcW w:w="499" w:type="pct"/>
            <w:tcBorders>
              <w:tl2br w:val="nil"/>
              <w:tr2bl w:val="nil"/>
            </w:tcBorders>
            <w:noWrap w:val="0"/>
            <w:vAlign w:val="center"/>
          </w:tcPr>
          <w:p w14:paraId="5701BE3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西南</w:t>
            </w:r>
          </w:p>
        </w:tc>
        <w:tc>
          <w:tcPr>
            <w:tcW w:w="613" w:type="pct"/>
            <w:tcBorders>
              <w:tl2br w:val="nil"/>
              <w:tr2bl w:val="nil"/>
            </w:tcBorders>
            <w:noWrap w:val="0"/>
            <w:vAlign w:val="center"/>
          </w:tcPr>
          <w:p w14:paraId="5BFD86C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1.12</w:t>
            </w:r>
          </w:p>
        </w:tc>
      </w:tr>
      <w:tr w14:paraId="78FD9E7B">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tcBorders>
              <w:tl2br w:val="nil"/>
              <w:tr2bl w:val="nil"/>
            </w:tcBorders>
            <w:noWrap w:val="0"/>
            <w:vAlign w:val="center"/>
          </w:tcPr>
          <w:p w14:paraId="7165DAE2">
            <w:pPr>
              <w:adjustRightInd w:val="0"/>
              <w:snapToGrid w:val="0"/>
              <w:spacing w:line="300" w:lineRule="exact"/>
              <w:jc w:val="center"/>
              <w:rPr>
                <w:rFonts w:hint="default" w:ascii="宋体" w:hAnsi="宋体" w:eastAsia="宋体"/>
                <w:color w:val="000000" w:themeColor="text1"/>
                <w:sz w:val="21"/>
                <w:szCs w:val="21"/>
                <w:u w:val="none" w:color="auto"/>
                <w:lang w:val="en-US" w:eastAsia="zh-CN"/>
                <w14:textFill>
                  <w14:solidFill>
                    <w14:schemeClr w14:val="tx1"/>
                  </w14:solidFill>
                </w14:textFill>
              </w:rPr>
            </w:pPr>
            <w:r>
              <w:rPr>
                <w:rFonts w:hint="eastAsia" w:ascii="宋体" w:hAnsi="宋体"/>
                <w:color w:val="000000" w:themeColor="text1"/>
                <w:sz w:val="21"/>
                <w:szCs w:val="21"/>
                <w:u w:val="none" w:color="auto"/>
                <w:lang w:val="en-US" w:eastAsia="zh-CN"/>
                <w14:textFill>
                  <w14:solidFill>
                    <w14:schemeClr w14:val="tx1"/>
                  </w14:solidFill>
                </w14:textFill>
              </w:rPr>
              <w:t>太平沟7社</w:t>
            </w:r>
          </w:p>
        </w:tc>
        <w:tc>
          <w:tcPr>
            <w:tcW w:w="958" w:type="pct"/>
            <w:tcBorders>
              <w:tl2br w:val="nil"/>
              <w:tr2bl w:val="nil"/>
            </w:tcBorders>
            <w:noWrap w:val="0"/>
            <w:vAlign w:val="center"/>
          </w:tcPr>
          <w:p w14:paraId="4C7B3681">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124°21'</w:t>
            </w:r>
            <w:r>
              <w:rPr>
                <w:rFonts w:hint="eastAsia" w:cs="宋体"/>
                <w:color w:val="000000" w:themeColor="text1"/>
                <w:sz w:val="21"/>
                <w:szCs w:val="21"/>
                <w:highlight w:val="none"/>
                <w:u w:val="none" w:color="auto"/>
                <w:lang w:val="en-US" w:eastAsia="zh-CN"/>
                <w14:textFill>
                  <w14:solidFill>
                    <w14:schemeClr w14:val="tx1"/>
                  </w14:solidFill>
                </w14:textFill>
              </w:rPr>
              <w:t>37.261</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45868E0A">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43°12'</w:t>
            </w:r>
            <w:r>
              <w:rPr>
                <w:rFonts w:hint="eastAsia" w:cs="宋体"/>
                <w:color w:val="000000" w:themeColor="text1"/>
                <w:sz w:val="21"/>
                <w:szCs w:val="21"/>
                <w:highlight w:val="none"/>
                <w:u w:val="none" w:color="auto"/>
                <w:lang w:val="en-US" w:eastAsia="zh-CN"/>
                <w14:textFill>
                  <w14:solidFill>
                    <w14:schemeClr w14:val="tx1"/>
                  </w14:solidFill>
                </w14:textFill>
              </w:rPr>
              <w:t>45.399</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491" w:type="pct"/>
            <w:vMerge w:val="continue"/>
            <w:tcBorders>
              <w:tl2br w:val="nil"/>
              <w:tr2bl w:val="nil"/>
            </w:tcBorders>
            <w:noWrap w:val="0"/>
            <w:vAlign w:val="center"/>
          </w:tcPr>
          <w:p w14:paraId="0A5A582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78082F9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244CA44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tcBorders>
              <w:tl2br w:val="nil"/>
              <w:tr2bl w:val="nil"/>
            </w:tcBorders>
            <w:noWrap w:val="0"/>
            <w:vAlign w:val="center"/>
          </w:tcPr>
          <w:p w14:paraId="2872DDE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东</w:t>
            </w:r>
            <w:r>
              <w:rPr>
                <w:rFonts w:hint="eastAsia" w:cs="宋体"/>
                <w:color w:val="000000" w:themeColor="text1"/>
                <w:sz w:val="21"/>
                <w:szCs w:val="21"/>
                <w:highlight w:val="none"/>
                <w:u w:val="none" w:color="auto"/>
                <w:lang w:val="en-US" w:eastAsia="zh-CN"/>
                <w14:textFill>
                  <w14:solidFill>
                    <w14:schemeClr w14:val="tx1"/>
                  </w14:solidFill>
                </w14:textFill>
              </w:rPr>
              <w:t>南</w:t>
            </w:r>
          </w:p>
        </w:tc>
        <w:tc>
          <w:tcPr>
            <w:tcW w:w="613" w:type="pct"/>
            <w:tcBorders>
              <w:tl2br w:val="nil"/>
              <w:tr2bl w:val="nil"/>
            </w:tcBorders>
            <w:noWrap w:val="0"/>
            <w:vAlign w:val="center"/>
          </w:tcPr>
          <w:p w14:paraId="22DC661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1.23</w:t>
            </w:r>
          </w:p>
        </w:tc>
      </w:tr>
      <w:tr w14:paraId="756F93D4">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tcBorders>
              <w:tl2br w:val="nil"/>
              <w:tr2bl w:val="nil"/>
            </w:tcBorders>
            <w:noWrap w:val="0"/>
            <w:vAlign w:val="center"/>
          </w:tcPr>
          <w:p w14:paraId="39B05DE8">
            <w:pPr>
              <w:adjustRightInd w:val="0"/>
              <w:snapToGrid w:val="0"/>
              <w:spacing w:line="300" w:lineRule="exact"/>
              <w:jc w:val="center"/>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三合村四社</w:t>
            </w:r>
          </w:p>
        </w:tc>
        <w:tc>
          <w:tcPr>
            <w:tcW w:w="958" w:type="pct"/>
            <w:tcBorders>
              <w:tl2br w:val="nil"/>
              <w:tr2bl w:val="nil"/>
            </w:tcBorders>
            <w:noWrap w:val="0"/>
            <w:vAlign w:val="center"/>
          </w:tcPr>
          <w:p w14:paraId="34B814BB">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124°2</w:t>
            </w:r>
            <w:r>
              <w:rPr>
                <w:rFonts w:hint="eastAsia" w:cs="宋体"/>
                <w:color w:val="000000" w:themeColor="text1"/>
                <w:sz w:val="21"/>
                <w:szCs w:val="21"/>
                <w:highlight w:val="none"/>
                <w:u w:val="none" w:color="auto"/>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31.227</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56B23ADE">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43°1</w:t>
            </w:r>
            <w:r>
              <w:rPr>
                <w:rFonts w:hint="eastAsia" w:cs="宋体"/>
                <w:color w:val="000000" w:themeColor="text1"/>
                <w:sz w:val="21"/>
                <w:szCs w:val="21"/>
                <w:highlight w:val="none"/>
                <w:u w:val="none" w:color="auto"/>
                <w:lang w:val="en-US" w:eastAsia="zh-CN"/>
                <w14:textFill>
                  <w14:solidFill>
                    <w14:schemeClr w14:val="tx1"/>
                  </w14:solidFill>
                </w14:textFill>
              </w:rPr>
              <w:t>2</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19.753</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491" w:type="pct"/>
            <w:vMerge w:val="continue"/>
            <w:tcBorders>
              <w:tl2br w:val="nil"/>
              <w:tr2bl w:val="nil"/>
            </w:tcBorders>
            <w:noWrap w:val="0"/>
            <w:vAlign w:val="center"/>
          </w:tcPr>
          <w:p w14:paraId="0857CD5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0560B50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5457B37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tcBorders>
              <w:tl2br w:val="nil"/>
              <w:tr2bl w:val="nil"/>
            </w:tcBorders>
            <w:noWrap w:val="0"/>
            <w:vAlign w:val="center"/>
          </w:tcPr>
          <w:p w14:paraId="2E7DDF5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东南</w:t>
            </w:r>
          </w:p>
        </w:tc>
        <w:tc>
          <w:tcPr>
            <w:tcW w:w="613" w:type="pct"/>
            <w:tcBorders>
              <w:tl2br w:val="nil"/>
              <w:tr2bl w:val="nil"/>
            </w:tcBorders>
            <w:noWrap w:val="0"/>
            <w:vAlign w:val="center"/>
          </w:tcPr>
          <w:p w14:paraId="4265825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2.31</w:t>
            </w:r>
          </w:p>
        </w:tc>
      </w:tr>
      <w:tr w14:paraId="7F1DDB66">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tcBorders>
              <w:tl2br w:val="nil"/>
              <w:tr2bl w:val="nil"/>
            </w:tcBorders>
            <w:noWrap w:val="0"/>
            <w:vAlign w:val="center"/>
          </w:tcPr>
          <w:p w14:paraId="3E5B2916">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宋体" w:eastAsia="宋体"/>
                <w:bCs/>
                <w:color w:val="000000" w:themeColor="text1"/>
                <w:sz w:val="21"/>
                <w:szCs w:val="21"/>
                <w:highlight w:val="none"/>
                <w:u w:val="none" w:color="auto"/>
                <w:lang w:val="en-US" w:eastAsia="zh-CN"/>
                <w14:textFill>
                  <w14:solidFill>
                    <w14:schemeClr w14:val="tx1"/>
                  </w14:solidFill>
                </w14:textFill>
              </w:rPr>
              <w:t>太平沟村8社</w:t>
            </w:r>
          </w:p>
        </w:tc>
        <w:tc>
          <w:tcPr>
            <w:tcW w:w="958" w:type="pct"/>
            <w:tcBorders>
              <w:tl2br w:val="nil"/>
              <w:tr2bl w:val="nil"/>
            </w:tcBorders>
            <w:noWrap w:val="0"/>
            <w:vAlign w:val="center"/>
          </w:tcPr>
          <w:p w14:paraId="43CB7113">
            <w:pPr>
              <w:widowControl/>
              <w:spacing w:line="300" w:lineRule="exact"/>
              <w:ind w:firstLine="0" w:firstLineChars="0"/>
              <w:jc w:val="cente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t>124°2</w:t>
            </w:r>
            <w:r>
              <w:rPr>
                <w:rFonts w:hint="eastAsia"/>
                <w:b w:val="0"/>
                <w:bCs/>
                <w:color w:val="000000" w:themeColor="text1"/>
                <w:kern w:val="0"/>
                <w:sz w:val="21"/>
                <w:szCs w:val="21"/>
                <w:highlight w:val="none"/>
                <w:u w:val="none" w:color="auto"/>
                <w:lang w:val="en-US" w:eastAsia="zh-CN"/>
                <w14:textFill>
                  <w14:solidFill>
                    <w14:schemeClr w14:val="tx1"/>
                  </w14:solidFill>
                </w14:textFill>
              </w:rPr>
              <w:t>2</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b w:val="0"/>
                <w:bCs/>
                <w:color w:val="000000" w:themeColor="text1"/>
                <w:kern w:val="0"/>
                <w:sz w:val="21"/>
                <w:szCs w:val="21"/>
                <w:highlight w:val="none"/>
                <w:u w:val="none" w:color="auto"/>
                <w:lang w:val="en-US" w:eastAsia="zh-CN"/>
                <w14:textFill>
                  <w14:solidFill>
                    <w14:schemeClr w14:val="tx1"/>
                  </w14:solidFill>
                </w14:textFill>
              </w:rPr>
              <w:t>7.379</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33D8D9E0">
            <w:pPr>
              <w:widowControl/>
              <w:spacing w:line="300" w:lineRule="exact"/>
              <w:ind w:firstLine="0" w:firstLineChars="0"/>
              <w:jc w:val="cente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t>43°12</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b w:val="0"/>
                <w:bCs/>
                <w:color w:val="000000" w:themeColor="text1"/>
                <w:kern w:val="0"/>
                <w:sz w:val="21"/>
                <w:szCs w:val="21"/>
                <w:highlight w:val="none"/>
                <w:u w:val="none" w:color="auto"/>
                <w:lang w:val="en-US" w:eastAsia="zh-CN"/>
                <w14:textFill>
                  <w14:solidFill>
                    <w14:schemeClr w14:val="tx1"/>
                  </w14:solidFill>
                </w14:textFill>
              </w:rPr>
              <w:t>44.781</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t xml:space="preserve"> </w:t>
            </w:r>
          </w:p>
        </w:tc>
        <w:tc>
          <w:tcPr>
            <w:tcW w:w="491" w:type="pct"/>
            <w:vMerge w:val="continue"/>
            <w:tcBorders>
              <w:tl2br w:val="nil"/>
              <w:tr2bl w:val="nil"/>
            </w:tcBorders>
            <w:noWrap w:val="0"/>
            <w:vAlign w:val="center"/>
          </w:tcPr>
          <w:p w14:paraId="25EC2A2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02CBF35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0BCB891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tcBorders>
              <w:tl2br w:val="nil"/>
              <w:tr2bl w:val="nil"/>
            </w:tcBorders>
            <w:noWrap w:val="0"/>
            <w:vAlign w:val="center"/>
          </w:tcPr>
          <w:p w14:paraId="760C425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东南</w:t>
            </w:r>
          </w:p>
        </w:tc>
        <w:tc>
          <w:tcPr>
            <w:tcW w:w="613" w:type="pct"/>
            <w:tcBorders>
              <w:tl2br w:val="nil"/>
              <w:tr2bl w:val="nil"/>
            </w:tcBorders>
            <w:noWrap w:val="0"/>
            <w:vAlign w:val="center"/>
          </w:tcPr>
          <w:p w14:paraId="3A1241B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2.22</w:t>
            </w:r>
          </w:p>
        </w:tc>
      </w:tr>
      <w:tr w14:paraId="493AD14F">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tcBorders>
              <w:tl2br w:val="nil"/>
              <w:tr2bl w:val="nil"/>
            </w:tcBorders>
            <w:noWrap w:val="0"/>
            <w:vAlign w:val="center"/>
          </w:tcPr>
          <w:p w14:paraId="708C3A7B">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宋体"/>
                <w:bCs/>
                <w:color w:val="000000" w:themeColor="text1"/>
                <w:sz w:val="21"/>
                <w:szCs w:val="21"/>
                <w:highlight w:val="none"/>
                <w:u w:val="none" w:color="auto"/>
                <w:lang w:val="en-US" w:eastAsia="zh-CN"/>
                <w14:textFill>
                  <w14:solidFill>
                    <w14:schemeClr w14:val="tx1"/>
                  </w14:solidFill>
                </w14:textFill>
              </w:rPr>
              <w:t>杨树沟屯</w:t>
            </w:r>
          </w:p>
        </w:tc>
        <w:tc>
          <w:tcPr>
            <w:tcW w:w="958" w:type="pct"/>
            <w:tcBorders>
              <w:tl2br w:val="nil"/>
              <w:tr2bl w:val="nil"/>
            </w:tcBorders>
            <w:noWrap w:val="0"/>
            <w:vAlign w:val="center"/>
          </w:tcPr>
          <w:p w14:paraId="074A1BA3">
            <w:pPr>
              <w:widowControl/>
              <w:spacing w:line="300" w:lineRule="exact"/>
              <w:ind w:firstLine="0" w:firstLineChars="0"/>
              <w:jc w:val="cente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t>124°21</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b w:val="0"/>
                <w:bCs/>
                <w:color w:val="000000" w:themeColor="text1"/>
                <w:kern w:val="0"/>
                <w:sz w:val="21"/>
                <w:szCs w:val="21"/>
                <w:highlight w:val="none"/>
                <w:u w:val="none" w:color="auto"/>
                <w:lang w:val="en-US" w:eastAsia="zh-CN"/>
                <w14:textFill>
                  <w14:solidFill>
                    <w14:schemeClr w14:val="tx1"/>
                  </w14:solidFill>
                </w14:textFill>
              </w:rPr>
              <w:t>22.344</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483AE95F">
            <w:pPr>
              <w:widowControl/>
              <w:spacing w:line="300" w:lineRule="exact"/>
              <w:ind w:firstLine="0" w:firstLineChars="0"/>
              <w:jc w:val="cente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pPr>
            <w:r>
              <w:rPr>
                <w:rFonts w:hint="eastAsia" w:ascii="Times New Roman" w:hAnsi="Times New Roman" w:eastAsia="宋体"/>
                <w:b w:val="0"/>
                <w:bCs/>
                <w:color w:val="000000" w:themeColor="text1"/>
                <w:kern w:val="0"/>
                <w:sz w:val="21"/>
                <w:szCs w:val="21"/>
                <w:highlight w:val="none"/>
                <w:u w:val="none" w:color="auto"/>
                <w:lang w:val="en-US" w:eastAsia="zh-CN"/>
                <w14:textFill>
                  <w14:solidFill>
                    <w14:schemeClr w14:val="tx1"/>
                  </w14:solidFill>
                </w14:textFill>
              </w:rPr>
              <w:t>43°1</w:t>
            </w:r>
            <w:r>
              <w:rPr>
                <w:rFonts w:hint="eastAsia"/>
                <w:b w:val="0"/>
                <w:bCs/>
                <w:color w:val="000000" w:themeColor="text1"/>
                <w:kern w:val="0"/>
                <w:sz w:val="21"/>
                <w:szCs w:val="21"/>
                <w:highlight w:val="none"/>
                <w:u w:val="none" w:color="auto"/>
                <w:lang w:val="en-US" w:eastAsia="zh-CN"/>
                <w14:textFill>
                  <w14:solidFill>
                    <w14:schemeClr w14:val="tx1"/>
                  </w14:solidFill>
                </w14:textFill>
              </w:rPr>
              <w:t>3</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b w:val="0"/>
                <w:bCs/>
                <w:color w:val="000000" w:themeColor="text1"/>
                <w:kern w:val="0"/>
                <w:sz w:val="21"/>
                <w:szCs w:val="21"/>
                <w:highlight w:val="none"/>
                <w:u w:val="none" w:color="auto"/>
                <w:lang w:val="en-US" w:eastAsia="zh-CN"/>
                <w14:textFill>
                  <w14:solidFill>
                    <w14:schemeClr w14:val="tx1"/>
                  </w14:solidFill>
                </w14:textFill>
              </w:rPr>
              <w:t>21.242</w:t>
            </w:r>
          </w:p>
        </w:tc>
        <w:tc>
          <w:tcPr>
            <w:tcW w:w="491" w:type="pct"/>
            <w:vMerge w:val="continue"/>
            <w:tcBorders>
              <w:tl2br w:val="nil"/>
              <w:tr2bl w:val="nil"/>
            </w:tcBorders>
            <w:noWrap w:val="0"/>
            <w:vAlign w:val="center"/>
          </w:tcPr>
          <w:p w14:paraId="2CE72FD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4E78796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51C700A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tcBorders>
              <w:tl2br w:val="nil"/>
              <w:tr2bl w:val="nil"/>
            </w:tcBorders>
            <w:noWrap w:val="0"/>
            <w:vAlign w:val="center"/>
          </w:tcPr>
          <w:p w14:paraId="025C6EA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东南</w:t>
            </w:r>
          </w:p>
        </w:tc>
        <w:tc>
          <w:tcPr>
            <w:tcW w:w="613" w:type="pct"/>
            <w:tcBorders>
              <w:tl2br w:val="nil"/>
              <w:tr2bl w:val="nil"/>
            </w:tcBorders>
            <w:noWrap w:val="0"/>
            <w:vAlign w:val="center"/>
          </w:tcPr>
          <w:p w14:paraId="2AEBF9D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0.298</w:t>
            </w:r>
          </w:p>
        </w:tc>
      </w:tr>
      <w:tr w14:paraId="5DEE7413">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tcBorders>
              <w:tl2br w:val="nil"/>
              <w:tr2bl w:val="nil"/>
            </w:tcBorders>
            <w:noWrap w:val="0"/>
            <w:vAlign w:val="center"/>
          </w:tcPr>
          <w:p w14:paraId="0DA66B3F">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bCs/>
                <w:color w:val="000000" w:themeColor="text1"/>
                <w:sz w:val="21"/>
                <w:szCs w:val="21"/>
                <w:highlight w:val="none"/>
                <w:u w:val="none" w:color="auto"/>
                <w:lang w:val="en-US" w:eastAsia="zh-CN"/>
                <w14:textFill>
                  <w14:solidFill>
                    <w14:schemeClr w14:val="tx1"/>
                  </w14:solidFill>
                </w14:textFill>
              </w:rPr>
            </w:pPr>
            <w:r>
              <w:rPr>
                <w:rFonts w:hint="eastAsia" w:ascii="宋体"/>
                <w:bCs/>
                <w:color w:val="000000" w:themeColor="text1"/>
                <w:sz w:val="21"/>
                <w:szCs w:val="21"/>
                <w:highlight w:val="none"/>
                <w:u w:val="none" w:color="auto"/>
                <w:lang w:val="en-US" w:eastAsia="zh-CN"/>
                <w14:textFill>
                  <w14:solidFill>
                    <w14:schemeClr w14:val="tx1"/>
                  </w14:solidFill>
                </w14:textFill>
              </w:rPr>
              <w:t>太科沟</w:t>
            </w:r>
          </w:p>
        </w:tc>
        <w:tc>
          <w:tcPr>
            <w:tcW w:w="958" w:type="pct"/>
            <w:tcBorders>
              <w:tl2br w:val="nil"/>
              <w:tr2bl w:val="nil"/>
            </w:tcBorders>
            <w:noWrap w:val="0"/>
            <w:vAlign w:val="center"/>
          </w:tcPr>
          <w:p w14:paraId="3553A208">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124°</w:t>
            </w:r>
            <w:r>
              <w:rPr>
                <w:rFonts w:hint="eastAsia" w:cs="宋体"/>
                <w:color w:val="000000" w:themeColor="text1"/>
                <w:sz w:val="21"/>
                <w:szCs w:val="21"/>
                <w:highlight w:val="none"/>
                <w:u w:val="none" w:color="auto"/>
                <w:lang w:val="en-US" w:eastAsia="zh-CN"/>
                <w14:textFill>
                  <w14:solidFill>
                    <w14:schemeClr w14:val="tx1"/>
                  </w14:solidFill>
                </w14:textFill>
              </w:rPr>
              <w:t>20</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57.084</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51ECC254">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43°1</w:t>
            </w:r>
            <w:r>
              <w:rPr>
                <w:rFonts w:hint="eastAsia" w:cs="宋体"/>
                <w:color w:val="000000" w:themeColor="text1"/>
                <w:sz w:val="21"/>
                <w:szCs w:val="21"/>
                <w:highlight w:val="none"/>
                <w:u w:val="none" w:color="auto"/>
                <w:lang w:val="en-US" w:eastAsia="zh-CN"/>
                <w14:textFill>
                  <w14:solidFill>
                    <w14:schemeClr w14:val="tx1"/>
                  </w14:solidFill>
                </w14:textFill>
              </w:rPr>
              <w:t>3</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'4</w:t>
            </w:r>
            <w:r>
              <w:rPr>
                <w:rFonts w:hint="eastAsia" w:cs="宋体"/>
                <w:color w:val="000000" w:themeColor="text1"/>
                <w:sz w:val="21"/>
                <w:szCs w:val="21"/>
                <w:highlight w:val="none"/>
                <w:u w:val="none" w:color="auto"/>
                <w:lang w:val="en-US" w:eastAsia="zh-CN"/>
                <w14:textFill>
                  <w14:solidFill>
                    <w14:schemeClr w14:val="tx1"/>
                  </w14:solidFill>
                </w14:textFill>
              </w:rPr>
              <w:t>6.193</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491" w:type="pct"/>
            <w:vMerge w:val="continue"/>
            <w:tcBorders>
              <w:tl2br w:val="nil"/>
              <w:tr2bl w:val="nil"/>
            </w:tcBorders>
            <w:noWrap w:val="0"/>
            <w:vAlign w:val="center"/>
          </w:tcPr>
          <w:p w14:paraId="2F1D9E2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6579572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3305CF8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tcBorders>
              <w:tl2br w:val="nil"/>
              <w:tr2bl w:val="nil"/>
            </w:tcBorders>
            <w:noWrap w:val="0"/>
            <w:vAlign w:val="center"/>
          </w:tcPr>
          <w:p w14:paraId="58CF3CC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北</w:t>
            </w:r>
          </w:p>
        </w:tc>
        <w:tc>
          <w:tcPr>
            <w:tcW w:w="613" w:type="pct"/>
            <w:tcBorders>
              <w:tl2br w:val="nil"/>
              <w:tr2bl w:val="nil"/>
            </w:tcBorders>
            <w:noWrap w:val="0"/>
            <w:vAlign w:val="center"/>
          </w:tcPr>
          <w:p w14:paraId="5512761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0.51</w:t>
            </w:r>
          </w:p>
        </w:tc>
      </w:tr>
      <w:tr w14:paraId="32C01CC3">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tcBorders>
              <w:tl2br w:val="nil"/>
              <w:tr2bl w:val="nil"/>
            </w:tcBorders>
            <w:noWrap w:val="0"/>
            <w:vAlign w:val="center"/>
          </w:tcPr>
          <w:p w14:paraId="34908273">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bCs/>
                <w:color w:val="000000" w:themeColor="text1"/>
                <w:sz w:val="21"/>
                <w:szCs w:val="21"/>
                <w:highlight w:val="none"/>
                <w:u w:val="none" w:color="auto"/>
                <w:lang w:val="en-US" w:eastAsia="zh-CN"/>
                <w14:textFill>
                  <w14:solidFill>
                    <w14:schemeClr w14:val="tx1"/>
                  </w14:solidFill>
                </w14:textFill>
              </w:rPr>
            </w:pPr>
            <w:r>
              <w:rPr>
                <w:rFonts w:hint="eastAsia" w:ascii="宋体"/>
                <w:bCs/>
                <w:color w:val="000000" w:themeColor="text1"/>
                <w:sz w:val="21"/>
                <w:szCs w:val="21"/>
                <w:highlight w:val="none"/>
                <w:u w:val="none" w:color="auto"/>
                <w:lang w:val="en-US" w:eastAsia="zh-CN"/>
                <w14:textFill>
                  <w14:solidFill>
                    <w14:schemeClr w14:val="tx1"/>
                  </w14:solidFill>
                </w14:textFill>
              </w:rPr>
              <w:t>新发村</w:t>
            </w:r>
          </w:p>
        </w:tc>
        <w:tc>
          <w:tcPr>
            <w:tcW w:w="958" w:type="pct"/>
            <w:tcBorders>
              <w:tl2br w:val="nil"/>
              <w:tr2bl w:val="nil"/>
            </w:tcBorders>
            <w:noWrap w:val="0"/>
            <w:vAlign w:val="center"/>
          </w:tcPr>
          <w:p w14:paraId="23448B71">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124°</w:t>
            </w:r>
            <w:r>
              <w:rPr>
                <w:rFonts w:hint="eastAsia" w:cs="宋体"/>
                <w:color w:val="000000" w:themeColor="text1"/>
                <w:sz w:val="21"/>
                <w:szCs w:val="21"/>
                <w:highlight w:val="none"/>
                <w:u w:val="none" w:color="auto"/>
                <w:lang w:val="en-US" w:eastAsia="zh-CN"/>
                <w14:textFill>
                  <w14:solidFill>
                    <w14:schemeClr w14:val="tx1"/>
                  </w14:solidFill>
                </w14:textFill>
              </w:rPr>
              <w:t>19</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43.544</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09183CBE">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43°1</w:t>
            </w:r>
            <w:r>
              <w:rPr>
                <w:rFonts w:hint="eastAsia" w:cs="宋体"/>
                <w:color w:val="000000" w:themeColor="text1"/>
                <w:sz w:val="21"/>
                <w:szCs w:val="21"/>
                <w:highlight w:val="none"/>
                <w:u w:val="none" w:color="auto"/>
                <w:lang w:val="en-US" w:eastAsia="zh-CN"/>
                <w14:textFill>
                  <w14:solidFill>
                    <w14:schemeClr w14:val="tx1"/>
                  </w14:solidFill>
                </w14:textFill>
              </w:rPr>
              <w:t>3</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46.038</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491" w:type="pct"/>
            <w:vMerge w:val="continue"/>
            <w:tcBorders>
              <w:tl2br w:val="nil"/>
              <w:tr2bl w:val="nil"/>
            </w:tcBorders>
            <w:noWrap w:val="0"/>
            <w:vAlign w:val="center"/>
          </w:tcPr>
          <w:p w14:paraId="033D863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23C8A3E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1E80FBD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tcBorders>
              <w:tl2br w:val="nil"/>
              <w:tr2bl w:val="nil"/>
            </w:tcBorders>
            <w:noWrap w:val="0"/>
            <w:vAlign w:val="center"/>
          </w:tcPr>
          <w:p w14:paraId="4C6008F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西北</w:t>
            </w:r>
          </w:p>
        </w:tc>
        <w:tc>
          <w:tcPr>
            <w:tcW w:w="613" w:type="pct"/>
            <w:tcBorders>
              <w:tl2br w:val="nil"/>
              <w:tr2bl w:val="nil"/>
            </w:tcBorders>
            <w:noWrap w:val="0"/>
            <w:vAlign w:val="center"/>
          </w:tcPr>
          <w:p w14:paraId="5E5D87C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1.14</w:t>
            </w:r>
          </w:p>
        </w:tc>
      </w:tr>
      <w:tr w14:paraId="3C876BDD">
        <w:tblPrEx>
          <w:tblBorders>
            <w:top w:val="single" w:color="000000" w:sz="8" w:space="0"/>
            <w:left w:val="none" w:color="auto" w:sz="0" w:space="0"/>
            <w:bottom w:val="single" w:color="000000" w:sz="8"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30" w:hRule="atLeast"/>
          <w:jc w:val="center"/>
        </w:trPr>
        <w:tc>
          <w:tcPr>
            <w:tcW w:w="735" w:type="pct"/>
            <w:tcBorders>
              <w:tl2br w:val="nil"/>
              <w:tr2bl w:val="nil"/>
            </w:tcBorders>
            <w:noWrap w:val="0"/>
            <w:vAlign w:val="center"/>
          </w:tcPr>
          <w:p w14:paraId="11A86A32">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bCs/>
                <w:color w:val="000000" w:themeColor="text1"/>
                <w:sz w:val="21"/>
                <w:szCs w:val="21"/>
                <w:highlight w:val="none"/>
                <w:u w:val="none" w:color="auto"/>
                <w:lang w:val="en-US" w:eastAsia="zh-CN"/>
                <w14:textFill>
                  <w14:solidFill>
                    <w14:schemeClr w14:val="tx1"/>
                  </w14:solidFill>
                </w14:textFill>
              </w:rPr>
            </w:pPr>
            <w:r>
              <w:rPr>
                <w:rFonts w:hint="eastAsia" w:ascii="宋体"/>
                <w:bCs/>
                <w:color w:val="000000" w:themeColor="text1"/>
                <w:sz w:val="21"/>
                <w:szCs w:val="21"/>
                <w:highlight w:val="none"/>
                <w:u w:val="none" w:color="auto"/>
                <w:lang w:val="en-US" w:eastAsia="zh-CN"/>
                <w14:textFill>
                  <w14:solidFill>
                    <w14:schemeClr w14:val="tx1"/>
                  </w14:solidFill>
                </w14:textFill>
              </w:rPr>
              <w:t>小红嘴河</w:t>
            </w:r>
          </w:p>
        </w:tc>
        <w:tc>
          <w:tcPr>
            <w:tcW w:w="958" w:type="pct"/>
            <w:tcBorders>
              <w:tl2br w:val="nil"/>
              <w:tr2bl w:val="nil"/>
            </w:tcBorders>
            <w:noWrap w:val="0"/>
            <w:vAlign w:val="center"/>
          </w:tcPr>
          <w:p w14:paraId="184304C4">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124°</w:t>
            </w:r>
            <w:r>
              <w:rPr>
                <w:rFonts w:hint="eastAsia" w:cs="宋体"/>
                <w:color w:val="000000" w:themeColor="text1"/>
                <w:sz w:val="21"/>
                <w:szCs w:val="21"/>
                <w:highlight w:val="none"/>
                <w:u w:val="none" w:color="auto"/>
                <w:lang w:val="en-US" w:eastAsia="zh-CN"/>
                <w14:textFill>
                  <w14:solidFill>
                    <w14:schemeClr w14:val="tx1"/>
                  </w14:solidFill>
                </w14:textFill>
              </w:rPr>
              <w:t>20</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59.566</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920" w:type="pct"/>
            <w:tcBorders>
              <w:tl2br w:val="nil"/>
              <w:tr2bl w:val="nil"/>
            </w:tcBorders>
            <w:noWrap w:val="0"/>
            <w:vAlign w:val="center"/>
          </w:tcPr>
          <w:p w14:paraId="4EB79579">
            <w:pPr>
              <w:widowControl/>
              <w:spacing w:line="300" w:lineRule="exact"/>
              <w:ind w:firstLine="0" w:firstLineChars="0"/>
              <w:jc w:val="cente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43°1</w:t>
            </w:r>
            <w:r>
              <w:rPr>
                <w:rFonts w:hint="eastAsia" w:cs="宋体"/>
                <w:color w:val="000000" w:themeColor="text1"/>
                <w:sz w:val="21"/>
                <w:szCs w:val="21"/>
                <w:highlight w:val="none"/>
                <w:u w:val="none" w:color="auto"/>
                <w:lang w:val="en-US" w:eastAsia="zh-CN"/>
                <w14:textFill>
                  <w14:solidFill>
                    <w14:schemeClr w14:val="tx1"/>
                  </w14:solidFill>
                </w14:textFill>
              </w:rPr>
              <w:t>3</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r>
              <w:rPr>
                <w:rFonts w:hint="eastAsia" w:cs="宋体"/>
                <w:color w:val="000000" w:themeColor="text1"/>
                <w:sz w:val="21"/>
                <w:szCs w:val="21"/>
                <w:highlight w:val="none"/>
                <w:u w:val="none" w:color="auto"/>
                <w:lang w:val="en-US" w:eastAsia="zh-CN"/>
                <w14:textFill>
                  <w14:solidFill>
                    <w14:schemeClr w14:val="tx1"/>
                  </w14:solidFill>
                </w14:textFill>
              </w:rPr>
              <w:t>45.111</w:t>
            </w:r>
            <w:r>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t>"</w:t>
            </w:r>
          </w:p>
        </w:tc>
        <w:tc>
          <w:tcPr>
            <w:tcW w:w="491" w:type="pct"/>
            <w:vMerge w:val="continue"/>
            <w:tcBorders>
              <w:tl2br w:val="nil"/>
              <w:tr2bl w:val="nil"/>
            </w:tcBorders>
            <w:noWrap w:val="0"/>
            <w:vAlign w:val="center"/>
          </w:tcPr>
          <w:p w14:paraId="1A1CC99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369" w:type="pct"/>
            <w:vMerge w:val="continue"/>
            <w:tcBorders>
              <w:tl2br w:val="nil"/>
              <w:tr2bl w:val="nil"/>
            </w:tcBorders>
            <w:noWrap w:val="0"/>
            <w:vAlign w:val="center"/>
          </w:tcPr>
          <w:p w14:paraId="1FA1A36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12" w:type="pct"/>
            <w:vMerge w:val="continue"/>
            <w:tcBorders>
              <w:tl2br w:val="nil"/>
              <w:tr2bl w:val="nil"/>
            </w:tcBorders>
            <w:noWrap w:val="0"/>
            <w:vAlign w:val="center"/>
          </w:tcPr>
          <w:p w14:paraId="6252B9E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宋体"/>
                <w:color w:val="000000" w:themeColor="text1"/>
                <w:sz w:val="21"/>
                <w:szCs w:val="21"/>
                <w:highlight w:val="none"/>
                <w:u w:val="none" w:color="auto"/>
                <w:lang w:val="en-US" w:eastAsia="zh-CN"/>
                <w14:textFill>
                  <w14:solidFill>
                    <w14:schemeClr w14:val="tx1"/>
                  </w14:solidFill>
                </w14:textFill>
              </w:rPr>
            </w:pPr>
          </w:p>
        </w:tc>
        <w:tc>
          <w:tcPr>
            <w:tcW w:w="499" w:type="pct"/>
            <w:tcBorders>
              <w:tl2br w:val="nil"/>
              <w:tr2bl w:val="nil"/>
            </w:tcBorders>
            <w:noWrap w:val="0"/>
            <w:vAlign w:val="center"/>
          </w:tcPr>
          <w:p w14:paraId="51A7C8C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东北</w:t>
            </w:r>
          </w:p>
        </w:tc>
        <w:tc>
          <w:tcPr>
            <w:tcW w:w="613" w:type="pct"/>
            <w:tcBorders>
              <w:tl2br w:val="nil"/>
              <w:tr2bl w:val="nil"/>
            </w:tcBorders>
            <w:noWrap w:val="0"/>
            <w:vAlign w:val="center"/>
          </w:tcPr>
          <w:p w14:paraId="5249534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cs="宋体"/>
                <w:color w:val="000000" w:themeColor="text1"/>
                <w:sz w:val="21"/>
                <w:szCs w:val="21"/>
                <w:highlight w:val="none"/>
                <w:u w:val="none" w:color="auto"/>
                <w:lang w:val="en-US" w:eastAsia="zh-CN"/>
                <w14:textFill>
                  <w14:solidFill>
                    <w14:schemeClr w14:val="tx1"/>
                  </w14:solidFill>
                </w14:textFill>
              </w:rPr>
            </w:pPr>
            <w:r>
              <w:rPr>
                <w:rFonts w:hint="eastAsia" w:cs="宋体"/>
                <w:color w:val="000000" w:themeColor="text1"/>
                <w:sz w:val="21"/>
                <w:szCs w:val="21"/>
                <w:highlight w:val="none"/>
                <w:u w:val="none" w:color="auto"/>
                <w:lang w:val="en-US" w:eastAsia="zh-CN"/>
                <w14:textFill>
                  <w14:solidFill>
                    <w14:schemeClr w14:val="tx1"/>
                  </w14:solidFill>
                </w14:textFill>
              </w:rPr>
              <w:t>1.93</w:t>
            </w:r>
          </w:p>
        </w:tc>
      </w:tr>
    </w:tbl>
    <w:p w14:paraId="5A660E3F">
      <w:pPr>
        <w:pStyle w:val="33"/>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5BC072C5">
      <w:pPr>
        <w:pStyle w:val="33"/>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16A410D5">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31A4C3C5">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3A170DE6">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7803F17E">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75AE7FBF">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6D0A84B9">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44239E68">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4F367DC8">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3659F7F9">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005ECB6B">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3A11DB9C">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56505BC7">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2BE22366">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481A9E89">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16091AB4">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2D059803">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p>
    <w:p w14:paraId="3252F09B">
      <w:pPr>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sectPr>
          <w:footerReference r:id="rId6" w:type="default"/>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p w14:paraId="1D87C7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 环境质量现状</w:t>
      </w:r>
    </w:p>
    <w:p w14:paraId="0BF6BF2D">
      <w:pPr>
        <w:pStyle w:val="11"/>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right="0" w:rightChars="0" w:firstLine="482" w:firstLineChars="200"/>
        <w:jc w:val="left"/>
        <w:textAlignment w:val="auto"/>
        <w:outlineLvl w:val="9"/>
        <w:rPr>
          <w:rFonts w:hint="eastAsia" w:ascii="新宋体" w:hAnsi="新宋体" w:eastAsia="新宋体" w:cs="新宋体"/>
          <w:b/>
          <w:bCs/>
          <w:color w:val="000000" w:themeColor="text1"/>
          <w:sz w:val="24"/>
          <w:szCs w:val="24"/>
          <w:u w:val="none" w:color="auto"/>
          <w:lang w:val="en-US" w:eastAsia="zh-CN"/>
          <w14:textFill>
            <w14:solidFill>
              <w14:schemeClr w14:val="tx1"/>
            </w14:solidFill>
          </w14:textFill>
        </w:rPr>
      </w:pPr>
      <w:r>
        <w:rPr>
          <w:rFonts w:hint="eastAsia" w:ascii="新宋体" w:hAnsi="新宋体" w:eastAsia="新宋体" w:cs="新宋体"/>
          <w:b/>
          <w:bCs/>
          <w:color w:val="000000" w:themeColor="text1"/>
          <w:sz w:val="24"/>
          <w:szCs w:val="24"/>
          <w:u w:val="none" w:color="auto"/>
          <w:lang w:val="en-US" w:eastAsia="zh-CN"/>
          <w14:textFill>
            <w14:solidFill>
              <w14:schemeClr w14:val="tx1"/>
            </w14:solidFill>
          </w14:textFill>
        </w:rPr>
        <w:t>（1）达标区判定</w:t>
      </w:r>
    </w:p>
    <w:p w14:paraId="53DA3F90">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rFonts w:hint="eastAsia" w:ascii="新宋体" w:hAnsi="新宋体" w:eastAsia="新宋体" w:cs="新宋体"/>
          <w:color w:val="000000" w:themeColor="text1"/>
          <w:sz w:val="24"/>
          <w:szCs w:val="24"/>
          <w:u w:val="none"/>
          <w14:textFill>
            <w14:solidFill>
              <w14:schemeClr w14:val="tx1"/>
            </w14:solidFill>
          </w14:textFill>
        </w:rPr>
      </w:pPr>
      <w:r>
        <w:rPr>
          <w:rFonts w:hint="eastAsia" w:ascii="新宋体" w:hAnsi="新宋体" w:eastAsia="新宋体" w:cs="新宋体"/>
          <w:caps w:val="0"/>
          <w:color w:val="000000" w:themeColor="text1"/>
          <w:sz w:val="24"/>
          <w:highlight w:val="none"/>
          <w:u w:val="none" w:color="auto"/>
          <w14:textFill>
            <w14:solidFill>
              <w14:schemeClr w14:val="tx1"/>
            </w14:solidFill>
          </w14:textFill>
        </w:rPr>
        <w:t>根据国家环保局《大气环境影响评价技术导则》</w:t>
      </w:r>
      <w:r>
        <w:rPr>
          <w:rFonts w:hint="eastAsia" w:ascii="新宋体" w:hAnsi="新宋体" w:eastAsia="新宋体" w:cs="新宋体"/>
          <w:caps w:val="0"/>
          <w:color w:val="000000" w:themeColor="text1"/>
          <w:sz w:val="24"/>
          <w:highlight w:val="none"/>
          <w:u w:val="none" w:color="auto"/>
          <w:lang w:eastAsia="zh-CN"/>
          <w14:textFill>
            <w14:solidFill>
              <w14:schemeClr w14:val="tx1"/>
            </w14:solidFill>
          </w14:textFill>
        </w:rPr>
        <w:t>（</w:t>
      </w:r>
      <w:r>
        <w:rPr>
          <w:rFonts w:hint="eastAsia" w:ascii="新宋体" w:hAnsi="新宋体" w:eastAsia="新宋体" w:cs="新宋体"/>
          <w:caps w:val="0"/>
          <w:color w:val="000000" w:themeColor="text1"/>
          <w:sz w:val="24"/>
          <w:highlight w:val="none"/>
          <w:u w:val="none" w:color="auto"/>
          <w:lang w:val="en-US" w:eastAsia="zh-CN"/>
          <w14:textFill>
            <w14:solidFill>
              <w14:schemeClr w14:val="tx1"/>
            </w14:solidFill>
          </w14:textFill>
        </w:rPr>
        <w:t>HJ2.2-2018</w:t>
      </w:r>
      <w:r>
        <w:rPr>
          <w:rFonts w:hint="eastAsia" w:ascii="新宋体" w:hAnsi="新宋体" w:eastAsia="新宋体" w:cs="新宋体"/>
          <w:caps w:val="0"/>
          <w:color w:val="000000" w:themeColor="text1"/>
          <w:sz w:val="24"/>
          <w:highlight w:val="none"/>
          <w:u w:val="none" w:color="auto"/>
          <w:lang w:eastAsia="zh-CN"/>
          <w14:textFill>
            <w14:solidFill>
              <w14:schemeClr w14:val="tx1"/>
            </w14:solidFill>
          </w14:textFill>
        </w:rPr>
        <w:t>）</w:t>
      </w:r>
      <w:r>
        <w:rPr>
          <w:rFonts w:hint="eastAsia" w:ascii="新宋体" w:hAnsi="新宋体" w:eastAsia="新宋体" w:cs="新宋体"/>
          <w:caps w:val="0"/>
          <w:color w:val="000000" w:themeColor="text1"/>
          <w:sz w:val="24"/>
          <w:highlight w:val="none"/>
          <w:u w:val="none" w:color="auto"/>
          <w:lang w:val="en-US" w:eastAsia="zh-CN"/>
          <w14:textFill>
            <w14:solidFill>
              <w14:schemeClr w14:val="tx1"/>
            </w14:solidFill>
          </w14:textFill>
        </w:rPr>
        <w:t>相关要求，对基本污染物需进行区域达标判定，本次采用</w:t>
      </w:r>
      <w:r>
        <w:rPr>
          <w:rFonts w:hint="eastAsia" w:ascii="新宋体" w:hAnsi="新宋体" w:eastAsia="新宋体" w:cs="新宋体"/>
          <w:caps w:val="0"/>
          <w:color w:val="000000" w:themeColor="text1"/>
          <w:spacing w:val="0"/>
          <w:kern w:val="0"/>
          <w:sz w:val="24"/>
          <w:highlight w:val="none"/>
          <w:u w:val="none" w:color="auto"/>
          <w:lang w:val="en-US" w:eastAsia="zh-CN"/>
          <w14:textFill>
            <w14:solidFill>
              <w14:schemeClr w14:val="tx1"/>
            </w14:solidFill>
          </w14:textFill>
        </w:rPr>
        <w:t>吉林省生态环境厅</w:t>
      </w:r>
      <w:r>
        <w:rPr>
          <w:rFonts w:hint="eastAsia" w:ascii="新宋体" w:hAnsi="新宋体" w:eastAsia="新宋体" w:cs="新宋体"/>
          <w:color w:val="000000" w:themeColor="text1"/>
          <w:sz w:val="24"/>
          <w:szCs w:val="24"/>
          <w:u w:val="none"/>
          <w14:textFill>
            <w14:solidFill>
              <w14:schemeClr w14:val="tx1"/>
            </w14:solidFill>
          </w14:textFill>
        </w:rPr>
        <w:t>根据202</w:t>
      </w:r>
      <w:r>
        <w:rPr>
          <w:rFonts w:hint="eastAsia" w:ascii="新宋体" w:hAnsi="新宋体" w:eastAsia="新宋体" w:cs="新宋体"/>
          <w:color w:val="000000" w:themeColor="text1"/>
          <w:sz w:val="24"/>
          <w:szCs w:val="24"/>
          <w:u w:val="none"/>
          <w:lang w:val="en-US" w:eastAsia="zh-CN"/>
          <w14:textFill>
            <w14:solidFill>
              <w14:schemeClr w14:val="tx1"/>
            </w14:solidFill>
          </w14:textFill>
        </w:rPr>
        <w:t>5</w:t>
      </w:r>
      <w:r>
        <w:rPr>
          <w:rFonts w:hint="eastAsia" w:ascii="新宋体" w:hAnsi="新宋体" w:eastAsia="新宋体" w:cs="新宋体"/>
          <w:color w:val="000000" w:themeColor="text1"/>
          <w:sz w:val="24"/>
          <w:szCs w:val="24"/>
          <w:u w:val="none"/>
          <w14:textFill>
            <w14:solidFill>
              <w14:schemeClr w14:val="tx1"/>
            </w14:solidFill>
          </w14:textFill>
        </w:rPr>
        <w:t>年吉林省生态环境厅发布的《202</w:t>
      </w:r>
      <w:r>
        <w:rPr>
          <w:rFonts w:hint="eastAsia" w:ascii="新宋体" w:hAnsi="新宋体" w:eastAsia="新宋体" w:cs="新宋体"/>
          <w:color w:val="000000" w:themeColor="text1"/>
          <w:sz w:val="24"/>
          <w:szCs w:val="24"/>
          <w:u w:val="none"/>
          <w:lang w:val="en-US" w:eastAsia="zh-CN"/>
          <w14:textFill>
            <w14:solidFill>
              <w14:schemeClr w14:val="tx1"/>
            </w14:solidFill>
          </w14:textFill>
        </w:rPr>
        <w:t>4</w:t>
      </w:r>
      <w:r>
        <w:rPr>
          <w:rFonts w:hint="eastAsia" w:ascii="新宋体" w:hAnsi="新宋体" w:eastAsia="新宋体" w:cs="新宋体"/>
          <w:color w:val="000000" w:themeColor="text1"/>
          <w:sz w:val="24"/>
          <w:szCs w:val="24"/>
          <w:u w:val="none"/>
          <w14:textFill>
            <w14:solidFill>
              <w14:schemeClr w14:val="tx1"/>
            </w14:solidFill>
          </w14:textFill>
        </w:rPr>
        <w:t>年吉林省生态环境状况公报》数据</w:t>
      </w:r>
      <w:r>
        <w:rPr>
          <w:rFonts w:hint="eastAsia" w:ascii="新宋体" w:hAnsi="新宋体" w:eastAsia="新宋体" w:cs="新宋体"/>
          <w:color w:val="000000" w:themeColor="text1"/>
          <w:sz w:val="24"/>
          <w:szCs w:val="24"/>
          <w:u w:val="none"/>
          <w:lang w:eastAsia="zh-CN"/>
          <w14:textFill>
            <w14:solidFill>
              <w14:schemeClr w14:val="tx1"/>
            </w14:solidFill>
          </w14:textFill>
        </w:rPr>
        <w:t>，对</w:t>
      </w:r>
      <w:r>
        <w:rPr>
          <w:rFonts w:hint="eastAsia" w:ascii="新宋体" w:hAnsi="新宋体" w:eastAsia="新宋体" w:cs="新宋体"/>
          <w:color w:val="000000" w:themeColor="text1"/>
          <w:sz w:val="24"/>
          <w:szCs w:val="24"/>
          <w:u w:val="none"/>
          <w14:textFill>
            <w14:solidFill>
              <w14:schemeClr w14:val="tx1"/>
            </w14:solidFill>
          </w14:textFill>
        </w:rPr>
        <w:t>202</w:t>
      </w:r>
      <w:r>
        <w:rPr>
          <w:rFonts w:hint="eastAsia" w:ascii="新宋体" w:hAnsi="新宋体" w:eastAsia="新宋体" w:cs="新宋体"/>
          <w:color w:val="000000" w:themeColor="text1"/>
          <w:sz w:val="24"/>
          <w:szCs w:val="24"/>
          <w:u w:val="none"/>
          <w:lang w:val="en-US" w:eastAsia="zh-CN"/>
          <w14:textFill>
            <w14:solidFill>
              <w14:schemeClr w14:val="tx1"/>
            </w14:solidFill>
          </w14:textFill>
        </w:rPr>
        <w:t>4</w:t>
      </w:r>
      <w:r>
        <w:rPr>
          <w:rFonts w:hint="eastAsia" w:ascii="新宋体" w:hAnsi="新宋体" w:eastAsia="新宋体" w:cs="新宋体"/>
          <w:color w:val="000000" w:themeColor="text1"/>
          <w:sz w:val="24"/>
          <w:szCs w:val="24"/>
          <w:u w:val="none"/>
          <w14:textFill>
            <w14:solidFill>
              <w14:schemeClr w14:val="tx1"/>
            </w14:solidFill>
          </w14:textFill>
        </w:rPr>
        <w:t>年大气数据进行统计如下。</w:t>
      </w:r>
    </w:p>
    <w:p w14:paraId="3206EE70">
      <w:pPr>
        <w:spacing w:line="300" w:lineRule="exact"/>
        <w:jc w:val="center"/>
        <w:rPr>
          <w:rFonts w:hint="default" w:ascii="Times New Roman" w:hAnsi="Times New Roman" w:cs="Times New Roman"/>
          <w:b/>
          <w:bCs/>
          <w:color w:val="000000" w:themeColor="text1"/>
          <w:kern w:val="0"/>
          <w:u w:val="none"/>
          <w14:textFill>
            <w14:solidFill>
              <w14:schemeClr w14:val="tx1"/>
            </w14:solidFill>
          </w14:textFill>
        </w:rPr>
      </w:pPr>
      <w:r>
        <w:rPr>
          <w:rFonts w:hint="default" w:ascii="Times New Roman" w:hAnsi="Times New Roman" w:cs="Times New Roman"/>
          <w:b/>
          <w:bCs/>
          <w:color w:val="000000" w:themeColor="text1"/>
          <w:kern w:val="0"/>
          <w:u w:val="none"/>
          <w14:textFill>
            <w14:solidFill>
              <w14:schemeClr w14:val="tx1"/>
            </w14:solidFill>
          </w14:textFill>
        </w:rPr>
        <w:t>表</w:t>
      </w:r>
      <w:r>
        <w:rPr>
          <w:rFonts w:hint="eastAsia" w:cs="Times New Roman"/>
          <w:b/>
          <w:bCs/>
          <w:color w:val="000000" w:themeColor="text1"/>
          <w:kern w:val="0"/>
          <w:u w:val="none"/>
          <w:lang w:val="en-US" w:eastAsia="zh-CN"/>
          <w14:textFill>
            <w14:solidFill>
              <w14:schemeClr w14:val="tx1"/>
            </w14:solidFill>
          </w14:textFill>
        </w:rPr>
        <w:t>4</w:t>
      </w:r>
      <w:r>
        <w:rPr>
          <w:rFonts w:hint="default" w:ascii="Times New Roman" w:hAnsi="Times New Roman" w:cs="Times New Roman"/>
          <w:b/>
          <w:bCs/>
          <w:color w:val="000000" w:themeColor="text1"/>
          <w:kern w:val="0"/>
          <w:u w:val="none"/>
          <w14:textFill>
            <w14:solidFill>
              <w14:schemeClr w14:val="tx1"/>
            </w14:solidFill>
          </w14:textFill>
        </w:rPr>
        <w:t>-</w:t>
      </w:r>
      <w:r>
        <w:rPr>
          <w:rFonts w:hint="eastAsia" w:ascii="Times New Roman" w:hAnsi="Times New Roman" w:cs="Times New Roman"/>
          <w:b/>
          <w:bCs/>
          <w:color w:val="000000" w:themeColor="text1"/>
          <w:kern w:val="0"/>
          <w:u w:val="none"/>
          <w:lang w:val="en-US" w:eastAsia="zh-CN"/>
          <w14:textFill>
            <w14:solidFill>
              <w14:schemeClr w14:val="tx1"/>
            </w14:solidFill>
          </w14:textFill>
        </w:rPr>
        <w:t>1</w:t>
      </w:r>
      <w:r>
        <w:rPr>
          <w:rFonts w:hint="default" w:ascii="Times New Roman" w:hAnsi="Times New Roman" w:cs="Times New Roman"/>
          <w:b/>
          <w:bCs/>
          <w:color w:val="000000" w:themeColor="text1"/>
          <w:kern w:val="0"/>
          <w:u w:val="none"/>
          <w14:textFill>
            <w14:solidFill>
              <w14:schemeClr w14:val="tx1"/>
            </w14:solidFill>
          </w14:textFill>
        </w:rPr>
        <w:t xml:space="preserve">   202</w:t>
      </w:r>
      <w:r>
        <w:rPr>
          <w:rFonts w:hint="eastAsia" w:ascii="Times New Roman" w:hAnsi="Times New Roman" w:cs="Times New Roman"/>
          <w:b/>
          <w:bCs/>
          <w:color w:val="000000" w:themeColor="text1"/>
          <w:kern w:val="0"/>
          <w:u w:val="none"/>
          <w:lang w:val="en-US" w:eastAsia="zh-CN"/>
          <w14:textFill>
            <w14:solidFill>
              <w14:schemeClr w14:val="tx1"/>
            </w14:solidFill>
          </w14:textFill>
        </w:rPr>
        <w:t>4</w:t>
      </w:r>
      <w:r>
        <w:rPr>
          <w:rFonts w:hint="default" w:ascii="Times New Roman" w:hAnsi="Times New Roman" w:cs="Times New Roman"/>
          <w:b/>
          <w:bCs/>
          <w:color w:val="000000" w:themeColor="text1"/>
          <w:kern w:val="0"/>
          <w:u w:val="none"/>
          <w14:textFill>
            <w14:solidFill>
              <w14:schemeClr w14:val="tx1"/>
            </w14:solidFill>
          </w14:textFill>
        </w:rPr>
        <w:t>年四平市环境空气质量现状评价表</w:t>
      </w:r>
    </w:p>
    <w:p w14:paraId="1E398951">
      <w:pPr>
        <w:spacing w:line="300" w:lineRule="exact"/>
        <w:jc w:val="right"/>
        <w:rPr>
          <w:rFonts w:hint="default" w:ascii="Times New Roman" w:hAnsi="Times New Roman" w:cs="Times New Roman"/>
          <w:color w:val="000000" w:themeColor="text1"/>
          <w:spacing w:val="-12"/>
          <w:kern w:val="0"/>
          <w:u w:val="none"/>
          <w14:textFill>
            <w14:solidFill>
              <w14:schemeClr w14:val="tx1"/>
            </w14:solidFill>
          </w14:textFill>
        </w:rPr>
      </w:pPr>
      <w:r>
        <w:rPr>
          <w:rFonts w:hint="default" w:ascii="Times New Roman" w:hAnsi="Times New Roman" w:cs="Times New Roman"/>
          <w:color w:val="000000" w:themeColor="text1"/>
          <w:kern w:val="0"/>
          <w:u w:val="none"/>
          <w14:textFill>
            <w14:solidFill>
              <w14:schemeClr w14:val="tx1"/>
            </w14:solidFill>
          </w14:textFill>
        </w:rPr>
        <w:t>单位：</w:t>
      </w:r>
      <w:r>
        <w:rPr>
          <w:rFonts w:hint="default" w:ascii="Times New Roman" w:hAnsi="Times New Roman" w:cs="Times New Roman"/>
          <w:color w:val="000000" w:themeColor="text1"/>
          <w:spacing w:val="-12"/>
          <w:kern w:val="0"/>
          <w:u w:val="none"/>
          <w14:textFill>
            <w14:solidFill>
              <w14:schemeClr w14:val="tx1"/>
            </w14:solidFill>
          </w14:textFill>
        </w:rPr>
        <w:t>μg/m</w:t>
      </w:r>
      <w:r>
        <w:rPr>
          <w:rFonts w:hint="default" w:ascii="Times New Roman" w:hAnsi="Times New Roman" w:cs="Times New Roman"/>
          <w:color w:val="000000" w:themeColor="text1"/>
          <w:spacing w:val="-12"/>
          <w:kern w:val="0"/>
          <w:u w:val="none"/>
          <w:vertAlign w:val="superscript"/>
          <w14:textFill>
            <w14:solidFill>
              <w14:schemeClr w14:val="tx1"/>
            </w14:solidFill>
          </w14:textFill>
        </w:rPr>
        <w:t>3</w:t>
      </w:r>
      <w:r>
        <w:rPr>
          <w:rFonts w:hint="default" w:ascii="Times New Roman" w:hAnsi="Times New Roman" w:cs="Times New Roman"/>
          <w:color w:val="000000" w:themeColor="text1"/>
          <w:spacing w:val="-12"/>
          <w:kern w:val="0"/>
          <w:u w:val="none"/>
          <w14:textFill>
            <w14:solidFill>
              <w14:schemeClr w14:val="tx1"/>
            </w14:solidFill>
          </w14:textFill>
        </w:rPr>
        <w:t>（CO：mg/m</w:t>
      </w:r>
      <w:r>
        <w:rPr>
          <w:rFonts w:hint="default" w:ascii="Times New Roman" w:hAnsi="Times New Roman" w:cs="Times New Roman"/>
          <w:color w:val="000000" w:themeColor="text1"/>
          <w:spacing w:val="-12"/>
          <w:kern w:val="0"/>
          <w:u w:val="none"/>
          <w:vertAlign w:val="superscript"/>
          <w14:textFill>
            <w14:solidFill>
              <w14:schemeClr w14:val="tx1"/>
            </w14:solidFill>
          </w14:textFill>
        </w:rPr>
        <w:t>3</w:t>
      </w:r>
      <w:r>
        <w:rPr>
          <w:rFonts w:hint="default" w:ascii="Times New Roman" w:hAnsi="Times New Roman" w:cs="Times New Roman"/>
          <w:color w:val="000000" w:themeColor="text1"/>
          <w:spacing w:val="-12"/>
          <w:kern w:val="0"/>
          <w:u w:val="none"/>
          <w14:textFill>
            <w14:solidFill>
              <w14:schemeClr w14:val="tx1"/>
            </w14:solidFill>
          </w14:textFill>
        </w:rPr>
        <w:t>）</w:t>
      </w:r>
    </w:p>
    <w:tbl>
      <w:tblPr>
        <w:tblStyle w:val="26"/>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20"/>
        <w:gridCol w:w="1323"/>
        <w:gridCol w:w="1323"/>
        <w:gridCol w:w="1323"/>
        <w:gridCol w:w="1325"/>
        <w:gridCol w:w="1347"/>
      </w:tblGrid>
      <w:tr w14:paraId="09934E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top"/>
          </w:tcPr>
          <w:p w14:paraId="13015BF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项目</w:t>
            </w:r>
          </w:p>
        </w:tc>
        <w:tc>
          <w:tcPr>
            <w:tcW w:w="711" w:type="pct"/>
            <w:tcBorders>
              <w:tl2br w:val="nil"/>
              <w:tr2bl w:val="nil"/>
            </w:tcBorders>
            <w:noWrap w:val="0"/>
            <w:vAlign w:val="top"/>
          </w:tcPr>
          <w:p w14:paraId="2DBFB6F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SO</w:t>
            </w:r>
            <w:r>
              <w:rPr>
                <w:rFonts w:hint="default" w:ascii="Times New Roman" w:hAnsi="Times New Roman" w:eastAsia="宋体" w:cs="Times New Roman"/>
                <w:caps w:val="0"/>
                <w:color w:val="000000" w:themeColor="text1"/>
                <w:spacing w:val="0"/>
                <w:kern w:val="0"/>
                <w:sz w:val="21"/>
                <w:szCs w:val="21"/>
                <w:highlight w:val="none"/>
                <w:u w:val="none" w:color="auto"/>
                <w:vertAlign w:val="subscript"/>
                <w:lang w:val="en-US" w:eastAsia="zh-CN"/>
                <w14:textFill>
                  <w14:solidFill>
                    <w14:schemeClr w14:val="tx1"/>
                  </w14:solidFill>
                </w14:textFill>
              </w:rPr>
              <w:t>2</w:t>
            </w:r>
          </w:p>
        </w:tc>
        <w:tc>
          <w:tcPr>
            <w:tcW w:w="713" w:type="pct"/>
            <w:tcBorders>
              <w:tl2br w:val="nil"/>
              <w:tr2bl w:val="nil"/>
            </w:tcBorders>
            <w:noWrap w:val="0"/>
            <w:vAlign w:val="top"/>
          </w:tcPr>
          <w:p w14:paraId="723FC0E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NO</w:t>
            </w:r>
            <w:r>
              <w:rPr>
                <w:rFonts w:hint="default" w:ascii="Times New Roman" w:hAnsi="Times New Roman" w:eastAsia="宋体" w:cs="Times New Roman"/>
                <w:caps w:val="0"/>
                <w:color w:val="000000" w:themeColor="text1"/>
                <w:spacing w:val="0"/>
                <w:kern w:val="0"/>
                <w:sz w:val="21"/>
                <w:szCs w:val="21"/>
                <w:highlight w:val="none"/>
                <w:u w:val="none" w:color="auto"/>
                <w:vertAlign w:val="subscript"/>
                <w:lang w:val="en-US" w:eastAsia="zh-CN"/>
                <w14:textFill>
                  <w14:solidFill>
                    <w14:schemeClr w14:val="tx1"/>
                  </w14:solidFill>
                </w14:textFill>
              </w:rPr>
              <w:t>2</w:t>
            </w:r>
          </w:p>
        </w:tc>
        <w:tc>
          <w:tcPr>
            <w:tcW w:w="713" w:type="pct"/>
            <w:tcBorders>
              <w:tl2br w:val="nil"/>
              <w:tr2bl w:val="nil"/>
            </w:tcBorders>
            <w:noWrap w:val="0"/>
            <w:vAlign w:val="top"/>
          </w:tcPr>
          <w:p w14:paraId="748EC24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CO</w:t>
            </w:r>
          </w:p>
        </w:tc>
        <w:tc>
          <w:tcPr>
            <w:tcW w:w="713" w:type="pct"/>
            <w:tcBorders>
              <w:tl2br w:val="nil"/>
              <w:tr2bl w:val="nil"/>
            </w:tcBorders>
            <w:noWrap w:val="0"/>
            <w:vAlign w:val="top"/>
          </w:tcPr>
          <w:p w14:paraId="0C5C071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O</w:t>
            </w:r>
            <w:r>
              <w:rPr>
                <w:rFonts w:hint="default" w:ascii="Times New Roman" w:hAnsi="Times New Roman" w:eastAsia="宋体" w:cs="Times New Roman"/>
                <w:caps w:val="0"/>
                <w:color w:val="000000" w:themeColor="text1"/>
                <w:spacing w:val="0"/>
                <w:kern w:val="0"/>
                <w:sz w:val="21"/>
                <w:szCs w:val="21"/>
                <w:highlight w:val="none"/>
                <w:u w:val="none" w:color="auto"/>
                <w:vertAlign w:val="subscript"/>
                <w:lang w:val="en-US" w:eastAsia="zh-CN"/>
                <w14:textFill>
                  <w14:solidFill>
                    <w14:schemeClr w14:val="tx1"/>
                  </w14:solidFill>
                </w14:textFill>
              </w:rPr>
              <w:t>3</w:t>
            </w:r>
          </w:p>
        </w:tc>
        <w:tc>
          <w:tcPr>
            <w:tcW w:w="714" w:type="pct"/>
            <w:tcBorders>
              <w:tl2br w:val="nil"/>
              <w:tr2bl w:val="nil"/>
            </w:tcBorders>
            <w:noWrap w:val="0"/>
            <w:vAlign w:val="top"/>
          </w:tcPr>
          <w:p w14:paraId="681A36F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PM</w:t>
            </w:r>
            <w:r>
              <w:rPr>
                <w:rFonts w:hint="default" w:ascii="Times New Roman" w:hAnsi="Times New Roman" w:eastAsia="宋体" w:cs="Times New Roman"/>
                <w:caps w:val="0"/>
                <w:color w:val="000000" w:themeColor="text1"/>
                <w:spacing w:val="0"/>
                <w:kern w:val="0"/>
                <w:sz w:val="21"/>
                <w:szCs w:val="21"/>
                <w:highlight w:val="none"/>
                <w:u w:val="none" w:color="auto"/>
                <w:vertAlign w:val="subscript"/>
                <w:lang w:val="en-US" w:eastAsia="zh-CN"/>
                <w14:textFill>
                  <w14:solidFill>
                    <w14:schemeClr w14:val="tx1"/>
                  </w14:solidFill>
                </w14:textFill>
              </w:rPr>
              <w:t>10</w:t>
            </w:r>
          </w:p>
        </w:tc>
        <w:tc>
          <w:tcPr>
            <w:tcW w:w="720" w:type="pct"/>
            <w:tcBorders>
              <w:tl2br w:val="nil"/>
              <w:tr2bl w:val="nil"/>
            </w:tcBorders>
            <w:noWrap w:val="0"/>
            <w:vAlign w:val="top"/>
          </w:tcPr>
          <w:p w14:paraId="74108DB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PM</w:t>
            </w:r>
            <w:r>
              <w:rPr>
                <w:rFonts w:hint="default" w:ascii="Times New Roman" w:hAnsi="Times New Roman" w:eastAsia="宋体" w:cs="Times New Roman"/>
                <w:caps w:val="0"/>
                <w:color w:val="000000" w:themeColor="text1"/>
                <w:spacing w:val="0"/>
                <w:kern w:val="0"/>
                <w:sz w:val="21"/>
                <w:szCs w:val="21"/>
                <w:highlight w:val="none"/>
                <w:u w:val="none" w:color="auto"/>
                <w:vertAlign w:val="subscript"/>
                <w:lang w:val="en-US" w:eastAsia="zh-CN"/>
                <w14:textFill>
                  <w14:solidFill>
                    <w14:schemeClr w14:val="tx1"/>
                  </w14:solidFill>
                </w14:textFill>
              </w:rPr>
              <w:t>2.5</w:t>
            </w:r>
          </w:p>
        </w:tc>
      </w:tr>
      <w:tr w14:paraId="632CD6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11" w:type="pct"/>
            <w:tcBorders>
              <w:tl2br w:val="nil"/>
              <w:tr2bl w:val="nil"/>
            </w:tcBorders>
            <w:noWrap w:val="0"/>
            <w:vAlign w:val="top"/>
          </w:tcPr>
          <w:p w14:paraId="48212704">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平均浓度</w:t>
            </w:r>
          </w:p>
        </w:tc>
        <w:tc>
          <w:tcPr>
            <w:tcW w:w="711" w:type="pct"/>
            <w:tcBorders>
              <w:tl2br w:val="nil"/>
              <w:tr2bl w:val="nil"/>
            </w:tcBorders>
            <w:noWrap w:val="0"/>
            <w:vAlign w:val="top"/>
          </w:tcPr>
          <w:p w14:paraId="638E187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6</w:t>
            </w:r>
          </w:p>
        </w:tc>
        <w:tc>
          <w:tcPr>
            <w:tcW w:w="713" w:type="pct"/>
            <w:tcBorders>
              <w:tl2br w:val="nil"/>
              <w:tr2bl w:val="nil"/>
            </w:tcBorders>
            <w:noWrap w:val="0"/>
            <w:vAlign w:val="top"/>
          </w:tcPr>
          <w:p w14:paraId="3260993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25</w:t>
            </w:r>
          </w:p>
        </w:tc>
        <w:tc>
          <w:tcPr>
            <w:tcW w:w="713" w:type="pct"/>
            <w:tcBorders>
              <w:tl2br w:val="nil"/>
              <w:tr2bl w:val="nil"/>
            </w:tcBorders>
            <w:noWrap w:val="0"/>
            <w:vAlign w:val="top"/>
          </w:tcPr>
          <w:p w14:paraId="5716461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0.8</w:t>
            </w:r>
          </w:p>
        </w:tc>
        <w:tc>
          <w:tcPr>
            <w:tcW w:w="713" w:type="pct"/>
            <w:tcBorders>
              <w:tl2br w:val="nil"/>
              <w:tr2bl w:val="nil"/>
            </w:tcBorders>
            <w:noWrap w:val="0"/>
            <w:vAlign w:val="top"/>
          </w:tcPr>
          <w:p w14:paraId="0913F45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144</w:t>
            </w:r>
          </w:p>
        </w:tc>
        <w:tc>
          <w:tcPr>
            <w:tcW w:w="714" w:type="pct"/>
            <w:tcBorders>
              <w:tl2br w:val="nil"/>
              <w:tr2bl w:val="nil"/>
            </w:tcBorders>
            <w:noWrap w:val="0"/>
            <w:vAlign w:val="top"/>
          </w:tcPr>
          <w:p w14:paraId="6749919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52</w:t>
            </w:r>
          </w:p>
        </w:tc>
        <w:tc>
          <w:tcPr>
            <w:tcW w:w="720" w:type="pct"/>
            <w:tcBorders>
              <w:tl2br w:val="nil"/>
              <w:tr2bl w:val="nil"/>
            </w:tcBorders>
            <w:noWrap w:val="0"/>
            <w:vAlign w:val="top"/>
          </w:tcPr>
          <w:p w14:paraId="756D0EF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31</w:t>
            </w:r>
          </w:p>
        </w:tc>
      </w:tr>
      <w:tr w14:paraId="7DD467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top"/>
          </w:tcPr>
          <w:p w14:paraId="7D85AA2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标准限值</w:t>
            </w:r>
          </w:p>
        </w:tc>
        <w:tc>
          <w:tcPr>
            <w:tcW w:w="711" w:type="pct"/>
            <w:tcBorders>
              <w:tl2br w:val="nil"/>
              <w:tr2bl w:val="nil"/>
            </w:tcBorders>
            <w:noWrap w:val="0"/>
            <w:vAlign w:val="top"/>
          </w:tcPr>
          <w:p w14:paraId="151AF10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60</w:t>
            </w:r>
          </w:p>
        </w:tc>
        <w:tc>
          <w:tcPr>
            <w:tcW w:w="713" w:type="pct"/>
            <w:tcBorders>
              <w:tl2br w:val="nil"/>
              <w:tr2bl w:val="nil"/>
            </w:tcBorders>
            <w:noWrap w:val="0"/>
            <w:vAlign w:val="top"/>
          </w:tcPr>
          <w:p w14:paraId="590EA1B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40</w:t>
            </w:r>
          </w:p>
        </w:tc>
        <w:tc>
          <w:tcPr>
            <w:tcW w:w="713" w:type="pct"/>
            <w:tcBorders>
              <w:tl2br w:val="nil"/>
              <w:tr2bl w:val="nil"/>
            </w:tcBorders>
            <w:noWrap w:val="0"/>
            <w:vAlign w:val="top"/>
          </w:tcPr>
          <w:p w14:paraId="6BFC5F8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4</w:t>
            </w:r>
          </w:p>
        </w:tc>
        <w:tc>
          <w:tcPr>
            <w:tcW w:w="713" w:type="pct"/>
            <w:tcBorders>
              <w:tl2br w:val="nil"/>
              <w:tr2bl w:val="nil"/>
            </w:tcBorders>
            <w:noWrap w:val="0"/>
            <w:vAlign w:val="top"/>
          </w:tcPr>
          <w:p w14:paraId="00DE420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160</w:t>
            </w:r>
          </w:p>
        </w:tc>
        <w:tc>
          <w:tcPr>
            <w:tcW w:w="714" w:type="pct"/>
            <w:tcBorders>
              <w:tl2br w:val="nil"/>
              <w:tr2bl w:val="nil"/>
            </w:tcBorders>
            <w:noWrap w:val="0"/>
            <w:vAlign w:val="top"/>
          </w:tcPr>
          <w:p w14:paraId="7E8D381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60</w:t>
            </w:r>
          </w:p>
        </w:tc>
        <w:tc>
          <w:tcPr>
            <w:tcW w:w="720" w:type="pct"/>
            <w:tcBorders>
              <w:tl2br w:val="nil"/>
              <w:tr2bl w:val="nil"/>
            </w:tcBorders>
            <w:noWrap w:val="0"/>
            <w:vAlign w:val="top"/>
          </w:tcPr>
          <w:p w14:paraId="162B831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35</w:t>
            </w:r>
          </w:p>
        </w:tc>
      </w:tr>
      <w:tr w14:paraId="695A55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top"/>
          </w:tcPr>
          <w:p w14:paraId="2CD6D56B">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占标率%</w:t>
            </w:r>
          </w:p>
        </w:tc>
        <w:tc>
          <w:tcPr>
            <w:tcW w:w="711" w:type="pct"/>
            <w:tcBorders>
              <w:tl2br w:val="nil"/>
              <w:tr2bl w:val="nil"/>
            </w:tcBorders>
            <w:noWrap w:val="0"/>
            <w:vAlign w:val="top"/>
          </w:tcPr>
          <w:p w14:paraId="306FF6E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10.0</w:t>
            </w:r>
          </w:p>
        </w:tc>
        <w:tc>
          <w:tcPr>
            <w:tcW w:w="713" w:type="pct"/>
            <w:tcBorders>
              <w:tl2br w:val="nil"/>
              <w:tr2bl w:val="nil"/>
            </w:tcBorders>
            <w:noWrap w:val="0"/>
            <w:vAlign w:val="top"/>
          </w:tcPr>
          <w:p w14:paraId="1BE8A3A9">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62.5</w:t>
            </w:r>
          </w:p>
        </w:tc>
        <w:tc>
          <w:tcPr>
            <w:tcW w:w="713" w:type="pct"/>
            <w:tcBorders>
              <w:tl2br w:val="nil"/>
              <w:tr2bl w:val="nil"/>
            </w:tcBorders>
            <w:noWrap w:val="0"/>
            <w:vAlign w:val="top"/>
          </w:tcPr>
          <w:p w14:paraId="0AEFA41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20.0</w:t>
            </w:r>
          </w:p>
        </w:tc>
        <w:tc>
          <w:tcPr>
            <w:tcW w:w="713" w:type="pct"/>
            <w:tcBorders>
              <w:tl2br w:val="nil"/>
              <w:tr2bl w:val="nil"/>
            </w:tcBorders>
            <w:noWrap w:val="0"/>
            <w:vAlign w:val="top"/>
          </w:tcPr>
          <w:p w14:paraId="4BFCB4E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90.0</w:t>
            </w:r>
          </w:p>
        </w:tc>
        <w:tc>
          <w:tcPr>
            <w:tcW w:w="714" w:type="pct"/>
            <w:tcBorders>
              <w:tl2br w:val="nil"/>
              <w:tr2bl w:val="nil"/>
            </w:tcBorders>
            <w:noWrap w:val="0"/>
            <w:vAlign w:val="top"/>
          </w:tcPr>
          <w:p w14:paraId="201240D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86.4</w:t>
            </w:r>
          </w:p>
        </w:tc>
        <w:tc>
          <w:tcPr>
            <w:tcW w:w="720" w:type="pct"/>
            <w:tcBorders>
              <w:tl2br w:val="nil"/>
              <w:tr2bl w:val="nil"/>
            </w:tcBorders>
            <w:noWrap w:val="0"/>
            <w:vAlign w:val="top"/>
          </w:tcPr>
          <w:p w14:paraId="530214B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0.89</w:t>
            </w:r>
          </w:p>
        </w:tc>
      </w:tr>
      <w:tr w14:paraId="256919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noWrap w:val="0"/>
            <w:vAlign w:val="top"/>
          </w:tcPr>
          <w:p w14:paraId="30240C6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达标情况</w:t>
            </w:r>
          </w:p>
        </w:tc>
        <w:tc>
          <w:tcPr>
            <w:tcW w:w="711" w:type="pct"/>
            <w:tcBorders>
              <w:tl2br w:val="nil"/>
              <w:tr2bl w:val="nil"/>
            </w:tcBorders>
            <w:noWrap w:val="0"/>
            <w:vAlign w:val="top"/>
          </w:tcPr>
          <w:p w14:paraId="5217B33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达标</w:t>
            </w:r>
          </w:p>
        </w:tc>
        <w:tc>
          <w:tcPr>
            <w:tcW w:w="713" w:type="pct"/>
            <w:tcBorders>
              <w:tl2br w:val="nil"/>
              <w:tr2bl w:val="nil"/>
            </w:tcBorders>
            <w:noWrap w:val="0"/>
            <w:vAlign w:val="top"/>
          </w:tcPr>
          <w:p w14:paraId="18FE3D4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达标</w:t>
            </w:r>
          </w:p>
        </w:tc>
        <w:tc>
          <w:tcPr>
            <w:tcW w:w="713" w:type="pct"/>
            <w:tcBorders>
              <w:tl2br w:val="nil"/>
              <w:tr2bl w:val="nil"/>
            </w:tcBorders>
            <w:noWrap w:val="0"/>
            <w:vAlign w:val="top"/>
          </w:tcPr>
          <w:p w14:paraId="779875B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达标</w:t>
            </w:r>
          </w:p>
        </w:tc>
        <w:tc>
          <w:tcPr>
            <w:tcW w:w="713" w:type="pct"/>
            <w:tcBorders>
              <w:tl2br w:val="nil"/>
              <w:tr2bl w:val="nil"/>
            </w:tcBorders>
            <w:noWrap w:val="0"/>
            <w:vAlign w:val="top"/>
          </w:tcPr>
          <w:p w14:paraId="67A3181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达标</w:t>
            </w:r>
          </w:p>
        </w:tc>
        <w:tc>
          <w:tcPr>
            <w:tcW w:w="714" w:type="pct"/>
            <w:tcBorders>
              <w:tl2br w:val="nil"/>
              <w:tr2bl w:val="nil"/>
            </w:tcBorders>
            <w:noWrap w:val="0"/>
            <w:vAlign w:val="top"/>
          </w:tcPr>
          <w:p w14:paraId="3CE8F14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达标</w:t>
            </w:r>
          </w:p>
        </w:tc>
        <w:tc>
          <w:tcPr>
            <w:tcW w:w="720" w:type="pct"/>
            <w:tcBorders>
              <w:tl2br w:val="nil"/>
              <w:tr2bl w:val="nil"/>
            </w:tcBorders>
            <w:noWrap w:val="0"/>
            <w:vAlign w:val="top"/>
          </w:tcPr>
          <w:p w14:paraId="5697906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达标</w:t>
            </w:r>
          </w:p>
        </w:tc>
      </w:tr>
      <w:tr w14:paraId="2102CA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l2br w:val="nil"/>
              <w:tr2bl w:val="nil"/>
            </w:tcBorders>
            <w:noWrap w:val="0"/>
            <w:vAlign w:val="top"/>
          </w:tcPr>
          <w:p w14:paraId="5602B6D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注：</w:t>
            </w:r>
            <w:r>
              <w:rPr>
                <w:rFonts w:hint="default" w:ascii="Times New Roman" w:hAnsi="Times New Roman" w:cs="Times New Roman"/>
                <w:color w:val="000000" w:themeColor="text1"/>
                <w:sz w:val="21"/>
                <w:szCs w:val="21"/>
                <w:u w:val="none"/>
                <w14:textFill>
                  <w14:solidFill>
                    <w14:schemeClr w14:val="tx1"/>
                  </w14:solidFill>
                </w14:textFill>
              </w:rPr>
              <w:t>《202</w:t>
            </w:r>
            <w:r>
              <w:rPr>
                <w:rFonts w:hint="eastAsia" w:ascii="Times New Roman" w:hAnsi="Times New Roman" w:cs="Times New Roman"/>
                <w:color w:val="000000" w:themeColor="text1"/>
                <w:sz w:val="21"/>
                <w:szCs w:val="21"/>
                <w:u w:val="none"/>
                <w:lang w:val="en-US" w:eastAsia="zh-CN"/>
                <w14:textFill>
                  <w14:solidFill>
                    <w14:schemeClr w14:val="tx1"/>
                  </w14:solidFill>
                </w14:textFill>
              </w:rPr>
              <w:t>4</w:t>
            </w:r>
            <w:r>
              <w:rPr>
                <w:rFonts w:hint="default" w:ascii="Times New Roman" w:hAnsi="Times New Roman" w:cs="Times New Roman"/>
                <w:color w:val="000000" w:themeColor="text1"/>
                <w:sz w:val="21"/>
                <w:szCs w:val="21"/>
                <w:u w:val="none"/>
                <w14:textFill>
                  <w14:solidFill>
                    <w14:schemeClr w14:val="tx1"/>
                  </w14:solidFill>
                </w14:textFill>
              </w:rPr>
              <w:t>年吉林省生态环境状况公报》</w:t>
            </w:r>
            <w:r>
              <w:rPr>
                <w:rFonts w:hint="eastAsia" w:ascii="Times New Roman" w:hAnsi="Times New Roman" w:eastAsia="宋体" w:cs="Times New Roman"/>
                <w:caps w:val="0"/>
                <w:color w:val="000000" w:themeColor="text1"/>
                <w:spacing w:val="0"/>
                <w:kern w:val="0"/>
                <w:sz w:val="21"/>
                <w:szCs w:val="21"/>
                <w:highlight w:val="none"/>
                <w:u w:val="none" w:color="auto"/>
                <w:vertAlign w:val="baseline"/>
                <w:lang w:val="en-US" w:eastAsia="zh-CN"/>
                <w14:textFill>
                  <w14:solidFill>
                    <w14:schemeClr w14:val="tx1"/>
                  </w14:solidFill>
                </w14:textFill>
              </w:rPr>
              <w:t>于2025年6月公布，</w:t>
            </w:r>
            <w:r>
              <w:rPr>
                <w:rFonts w:hint="default" w:ascii="Times New Roman" w:hAnsi="Times New Roman" w:cs="Times New Roman"/>
                <w:color w:val="000000" w:themeColor="text1"/>
                <w:sz w:val="21"/>
                <w:szCs w:val="21"/>
                <w:u w:val="none"/>
                <w14:textFill>
                  <w14:solidFill>
                    <w14:schemeClr w14:val="tx1"/>
                  </w14:solidFill>
                </w14:textFill>
              </w:rPr>
              <w:t>《202</w:t>
            </w:r>
            <w:r>
              <w:rPr>
                <w:rFonts w:hint="eastAsia" w:ascii="Times New Roman" w:hAnsi="Times New Roman" w:cs="Times New Roman"/>
                <w:color w:val="000000" w:themeColor="text1"/>
                <w:sz w:val="21"/>
                <w:szCs w:val="21"/>
                <w:u w:val="none"/>
                <w:lang w:val="en-US" w:eastAsia="zh-CN"/>
                <w14:textFill>
                  <w14:solidFill>
                    <w14:schemeClr w14:val="tx1"/>
                  </w14:solidFill>
                </w14:textFill>
              </w:rPr>
              <w:t>5</w:t>
            </w:r>
            <w:r>
              <w:rPr>
                <w:rFonts w:hint="default" w:ascii="Times New Roman" w:hAnsi="Times New Roman" w:cs="Times New Roman"/>
                <w:color w:val="000000" w:themeColor="text1"/>
                <w:sz w:val="21"/>
                <w:szCs w:val="21"/>
                <w:u w:val="none"/>
                <w14:textFill>
                  <w14:solidFill>
                    <w14:schemeClr w14:val="tx1"/>
                  </w14:solidFill>
                </w14:textFill>
              </w:rPr>
              <w:t>年吉林省生态环境状况公报》</w:t>
            </w:r>
            <w:r>
              <w:rPr>
                <w:rFonts w:hint="eastAsia" w:ascii="Times New Roman" w:hAnsi="Times New Roman" w:cs="Times New Roman"/>
                <w:color w:val="000000" w:themeColor="text1"/>
                <w:sz w:val="21"/>
                <w:szCs w:val="21"/>
                <w:u w:val="none"/>
                <w:lang w:val="en-US" w:eastAsia="zh-CN"/>
                <w14:textFill>
                  <w14:solidFill>
                    <w14:schemeClr w14:val="tx1"/>
                  </w14:solidFill>
                </w14:textFill>
              </w:rPr>
              <w:t>还未公布</w:t>
            </w:r>
          </w:p>
        </w:tc>
      </w:tr>
    </w:tbl>
    <w:p w14:paraId="65B45501">
      <w:pPr>
        <w:keepNext w:val="0"/>
        <w:keepLines w:val="0"/>
        <w:pageBreakBefore w:val="0"/>
        <w:widowControl w:val="0"/>
        <w:kinsoku/>
        <w:wordWrap/>
        <w:overflowPunct/>
        <w:topLinePunct w:val="0"/>
        <w:autoSpaceDE/>
        <w:autoSpaceDN/>
        <w:bidi w:val="0"/>
        <w:adjustRightInd/>
        <w:snapToGrid/>
        <w:spacing w:line="360" w:lineRule="auto"/>
        <w:ind w:firstLine="386"/>
        <w:textAlignment w:val="auto"/>
        <w:rPr>
          <w:rFonts w:hint="eastAsia"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pPr>
      <w:r>
        <w:rPr>
          <w:rFonts w:hint="eastAsia" w:ascii="宋体" w:hAnsi="宋体" w:eastAsia="宋体" w:cs="宋体"/>
          <w:color w:val="000000" w:themeColor="text1"/>
          <w:spacing w:val="-1"/>
          <w:sz w:val="24"/>
          <w:szCs w:val="24"/>
          <w:u w:val="none"/>
          <w:lang w:val="en-US" w:eastAsia="zh-CN"/>
          <w14:textFill>
            <w14:solidFill>
              <w14:schemeClr w14:val="tx1"/>
            </w14:solidFill>
          </w14:textFill>
        </w:rPr>
        <w:t>根据</w:t>
      </w:r>
      <w:r>
        <w:rPr>
          <w:rFonts w:hint="eastAsia" w:ascii="宋体" w:hAnsi="宋体" w:eastAsia="宋体" w:cs="宋体"/>
          <w:color w:val="000000" w:themeColor="text1"/>
          <w:sz w:val="24"/>
          <w:szCs w:val="24"/>
          <w:u w:val="none"/>
          <w14:textFill>
            <w14:solidFill>
              <w14:schemeClr w14:val="tx1"/>
            </w14:solidFill>
          </w14:textFill>
        </w:rPr>
        <w:t>《202</w:t>
      </w:r>
      <w:r>
        <w:rPr>
          <w:rFonts w:hint="eastAsia" w:ascii="宋体" w:hAnsi="宋体" w:eastAsia="宋体" w:cs="宋体"/>
          <w:color w:val="000000" w:themeColor="text1"/>
          <w:sz w:val="24"/>
          <w:szCs w:val="24"/>
          <w:u w:val="none"/>
          <w:lang w:val="en-US" w:eastAsia="zh-CN"/>
          <w14:textFill>
            <w14:solidFill>
              <w14:schemeClr w14:val="tx1"/>
            </w14:solidFill>
          </w14:textFill>
        </w:rPr>
        <w:t>4</w:t>
      </w:r>
      <w:r>
        <w:rPr>
          <w:rFonts w:hint="eastAsia" w:ascii="宋体" w:hAnsi="宋体" w:eastAsia="宋体" w:cs="宋体"/>
          <w:color w:val="000000" w:themeColor="text1"/>
          <w:sz w:val="24"/>
          <w:szCs w:val="24"/>
          <w:u w:val="none"/>
          <w14:textFill>
            <w14:solidFill>
              <w14:schemeClr w14:val="tx1"/>
            </w14:solidFill>
          </w14:textFill>
        </w:rPr>
        <w:t>年吉林省生态环境状况公报》</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四平市属于大气环境质量达标区</w:t>
      </w:r>
      <w:r>
        <w:rPr>
          <w:rFonts w:hint="eastAsia" w:ascii="宋体" w:hAnsi="宋体" w:eastAsia="宋体" w:cs="宋体"/>
          <w:color w:val="000000" w:themeColor="text1"/>
          <w:spacing w:val="-1"/>
          <w:sz w:val="24"/>
          <w:szCs w:val="24"/>
          <w:u w:val="none"/>
          <w:lang w:val="en-US" w:eastAsia="zh-CN"/>
          <w14:textFill>
            <w14:solidFill>
              <w14:schemeClr w14:val="tx1"/>
            </w14:solidFill>
          </w14:textFill>
        </w:rPr>
        <w:t>。</w:t>
      </w:r>
    </w:p>
    <w:p w14:paraId="61DC368A">
      <w:pPr>
        <w:keepNext w:val="0"/>
        <w:keepLines w:val="0"/>
        <w:pageBreakBefore w:val="0"/>
        <w:widowControl w:val="0"/>
        <w:numPr>
          <w:ilvl w:val="0"/>
          <w:numId w:val="11"/>
        </w:numPr>
        <w:kinsoku/>
        <w:wordWrap/>
        <w:overflowPunct/>
        <w:topLinePunct w:val="0"/>
        <w:bidi w:val="0"/>
        <w:snapToGrid/>
        <w:spacing w:line="360" w:lineRule="auto"/>
        <w:ind w:left="238" w:leftChars="0" w:firstLine="482" w:firstLineChars="0"/>
        <w:textAlignment w:val="auto"/>
        <w:rPr>
          <w:rFonts w:hint="eastAsia" w:asciiTheme="minorEastAsia" w:hAnsiTheme="minorEastAsia" w:eastAsiaTheme="minorEastAsia" w:cstheme="minorEastAsia"/>
          <w:b/>
          <w:bCs/>
          <w:caps w:val="0"/>
          <w:color w:val="000000" w:themeColor="text1"/>
          <w:sz w:val="24"/>
          <w:szCs w:val="24"/>
          <w:highlight w:val="none"/>
          <w:u w:val="none" w:color="auto"/>
          <w:lang w:val="en-US" w:eastAsia="zh-CN"/>
          <w14:textFill>
            <w14:solidFill>
              <w14:schemeClr w14:val="tx1"/>
            </w14:solidFill>
          </w14:textFill>
        </w:rPr>
      </w:pPr>
      <w:r>
        <w:rPr>
          <w:rFonts w:hint="eastAsia" w:ascii="宋体" w:hAnsi="宋体" w:eastAsia="宋体" w:cs="宋体"/>
          <w:b/>
          <w:bCs/>
          <w:caps w:val="0"/>
          <w:color w:val="000000" w:themeColor="text1"/>
          <w:sz w:val="24"/>
          <w:szCs w:val="24"/>
          <w:highlight w:val="none"/>
          <w:u w:val="none" w:color="auto"/>
          <w:lang w:val="en-US" w:eastAsia="zh-CN"/>
          <w14:textFill>
            <w14:solidFill>
              <w14:schemeClr w14:val="tx1"/>
            </w14:solidFill>
          </w14:textFill>
        </w:rPr>
        <w:t>补</w:t>
      </w:r>
      <w:r>
        <w:rPr>
          <w:rFonts w:hint="eastAsia" w:asciiTheme="minorEastAsia" w:hAnsiTheme="minorEastAsia" w:eastAsiaTheme="minorEastAsia" w:cstheme="minorEastAsia"/>
          <w:b/>
          <w:bCs/>
          <w:caps w:val="0"/>
          <w:color w:val="000000" w:themeColor="text1"/>
          <w:sz w:val="24"/>
          <w:szCs w:val="24"/>
          <w:highlight w:val="none"/>
          <w:u w:val="none" w:color="auto"/>
          <w:lang w:val="en-US" w:eastAsia="zh-CN"/>
          <w14:textFill>
            <w14:solidFill>
              <w14:schemeClr w14:val="tx1"/>
            </w14:solidFill>
          </w14:textFill>
        </w:rPr>
        <w:t>充监测</w:t>
      </w:r>
    </w:p>
    <w:p w14:paraId="2718A714">
      <w:pPr>
        <w:pStyle w:val="33"/>
        <w:keepNext w:val="0"/>
        <w:keepLines w:val="0"/>
        <w:pageBreakBefore w:val="0"/>
        <w:widowControl w:val="0"/>
        <w:numPr>
          <w:ilvl w:val="0"/>
          <w:numId w:val="0"/>
        </w:numPr>
        <w:kinsoku/>
        <w:wordWrap/>
        <w:overflowPunct/>
        <w:topLinePunct w:val="0"/>
        <w:bidi w:val="0"/>
        <w:snapToGrid/>
        <w:spacing w:line="360" w:lineRule="auto"/>
        <w:ind w:left="480" w:leftChars="0"/>
        <w:textAlignment w:val="auto"/>
        <w:rPr>
          <w:rFonts w:hint="default"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1）监测点位、频次</w:t>
      </w:r>
    </w:p>
    <w:p w14:paraId="70A874C7">
      <w:pPr>
        <w:keepNext w:val="0"/>
        <w:keepLines w:val="0"/>
        <w:pageBreakBefore w:val="0"/>
        <w:widowControl w:val="0"/>
        <w:numPr>
          <w:ilvl w:val="0"/>
          <w:numId w:val="0"/>
        </w:numPr>
        <w:kinsoku/>
        <w:wordWrap/>
        <w:overflowPunct/>
        <w:topLinePunct w:val="0"/>
        <w:bidi w:val="0"/>
        <w:snapToGrid/>
        <w:spacing w:line="360" w:lineRule="auto"/>
        <w:ind w:left="0" w:leftChars="0" w:firstLine="420" w:firstLineChars="175"/>
        <w:textAlignment w:val="auto"/>
        <w:rPr>
          <w:rFonts w:hint="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0"/>
          <w:sz w:val="24"/>
          <w:szCs w:val="24"/>
          <w:u w:val="none" w:color="auto"/>
          <w:lang w:val="en-US" w:eastAsia="zh-CN"/>
          <w14:textFill>
            <w14:solidFill>
              <w14:schemeClr w14:val="tx1"/>
            </w14:solidFill>
          </w14:textFill>
        </w:rPr>
        <w:t>本次补充监测污</w:t>
      </w:r>
      <w:r>
        <w:rPr>
          <w:rFonts w:hint="eastAsia" w:ascii="宋体" w:hAnsi="宋体" w:eastAsia="宋体" w:cs="宋体"/>
          <w:color w:val="000000" w:themeColor="text1"/>
          <w:spacing w:val="0"/>
          <w:sz w:val="24"/>
          <w:szCs w:val="24"/>
          <w:u w:val="none" w:color="auto"/>
          <w:lang w:val="en-US" w:eastAsia="zh-CN"/>
          <w14:textFill>
            <w14:solidFill>
              <w14:schemeClr w14:val="tx1"/>
            </w14:solidFill>
          </w14:textFill>
        </w:rPr>
        <w:t>染因子为铅、硫酸</w:t>
      </w:r>
      <w:r>
        <w:rPr>
          <w:rFonts w:hint="eastAsia" w:ascii="宋体" w:hAnsi="宋体" w:cs="宋体"/>
          <w:color w:val="000000" w:themeColor="text1"/>
          <w:spacing w:val="0"/>
          <w:sz w:val="24"/>
          <w:szCs w:val="24"/>
          <w:u w:val="none" w:color="auto"/>
          <w:lang w:val="en-US" w:eastAsia="zh-CN"/>
          <w14:textFill>
            <w14:solidFill>
              <w14:schemeClr w14:val="tx1"/>
            </w14:solidFill>
          </w14:textFill>
        </w:rPr>
        <w:t>、</w:t>
      </w:r>
      <w:r>
        <w:rPr>
          <w:rFonts w:hint="eastAsia" w:ascii="宋体" w:hAnsi="宋体" w:eastAsia="宋体" w:cs="宋体"/>
          <w:color w:val="000000" w:themeColor="text1"/>
          <w:spacing w:val="0"/>
          <w:sz w:val="24"/>
          <w:szCs w:val="24"/>
          <w:u w:val="none" w:color="auto"/>
          <w:lang w:val="en-US" w:eastAsia="zh-CN"/>
          <w14:textFill>
            <w14:solidFill>
              <w14:schemeClr w14:val="tx1"/>
            </w14:solidFill>
          </w14:textFill>
        </w:rPr>
        <w:t>TSP以及非甲烷总烃。具体监测情况详见下表。</w:t>
      </w:r>
    </w:p>
    <w:p w14:paraId="38BFEF56">
      <w:pPr>
        <w:pStyle w:val="80"/>
        <w:spacing w:line="500" w:lineRule="exact"/>
        <w:ind w:firstLine="0" w:firstLineChars="0"/>
        <w:jc w:val="center"/>
        <w:rPr>
          <w:rFonts w:hint="eastAsia" w:ascii="宋体" w:hAnsi="宋体" w:cs="宋体"/>
          <w:b/>
          <w:color w:val="000000" w:themeColor="text1"/>
          <w:sz w:val="21"/>
          <w:szCs w:val="21"/>
          <w:lang w:val="zh-CN"/>
          <w14:textFill>
            <w14:solidFill>
              <w14:schemeClr w14:val="tx1"/>
            </w14:solidFill>
          </w14:textFill>
        </w:rPr>
      </w:pPr>
      <w:r>
        <w:rPr>
          <w:rFonts w:hint="eastAsia" w:ascii="Times New Roman" w:hAnsi="Times New Roman" w:eastAsia="宋体" w:cs="Times New Roman"/>
          <w:b/>
          <w:bCs/>
          <w:caps w:val="0"/>
          <w:color w:val="000000" w:themeColor="text1"/>
          <w:spacing w:val="0"/>
          <w:kern w:val="0"/>
          <w:sz w:val="21"/>
          <w:szCs w:val="21"/>
          <w:highlight w:val="none"/>
          <w:u w:val="none" w:color="auto"/>
          <w:lang w:val="zh-CN" w:eastAsia="zh-CN" w:bidi="ar-SA"/>
          <w14:textFill>
            <w14:solidFill>
              <w14:schemeClr w14:val="tx1"/>
            </w14:solidFill>
          </w14:textFill>
        </w:rPr>
        <w:t>表</w:t>
      </w:r>
      <w:r>
        <w:rPr>
          <w:rFonts w:hint="eastAsia" w:eastAsia="宋体" w:cs="Times New Roman"/>
          <w:b/>
          <w:bCs/>
          <w:caps w:val="0"/>
          <w:color w:val="000000" w:themeColor="text1"/>
          <w:spacing w:val="0"/>
          <w:kern w:val="0"/>
          <w:sz w:val="21"/>
          <w:szCs w:val="21"/>
          <w:highlight w:val="none"/>
          <w:u w:val="none" w:color="auto"/>
          <w:lang w:val="en-US" w:eastAsia="zh-CN" w:bidi="ar-SA"/>
          <w14:textFill>
            <w14:solidFill>
              <w14:schemeClr w14:val="tx1"/>
            </w14:solidFill>
          </w14:textFill>
        </w:rPr>
        <w:t>4</w:t>
      </w:r>
      <w:r>
        <w:rPr>
          <w:rFonts w:hint="eastAsia" w:ascii="Times New Roman" w:hAnsi="Times New Roman" w:eastAsia="宋体" w:cs="Times New Roman"/>
          <w:b/>
          <w:bCs/>
          <w:caps w:val="0"/>
          <w:color w:val="000000" w:themeColor="text1"/>
          <w:spacing w:val="0"/>
          <w:kern w:val="0"/>
          <w:sz w:val="21"/>
          <w:szCs w:val="21"/>
          <w:highlight w:val="none"/>
          <w:u w:val="none" w:color="auto"/>
          <w:lang w:val="en-US" w:eastAsia="zh-CN" w:bidi="ar-SA"/>
          <w14:textFill>
            <w14:solidFill>
              <w14:schemeClr w14:val="tx1"/>
            </w14:solidFill>
          </w14:textFill>
        </w:rPr>
        <w:t>-2</w:t>
      </w:r>
      <w:r>
        <w:rPr>
          <w:rFonts w:hint="eastAsia" w:ascii="Times New Roman" w:hAnsi="Times New Roman" w:eastAsia="宋体" w:cs="Times New Roman"/>
          <w:b/>
          <w:bCs/>
          <w:caps w:val="0"/>
          <w:color w:val="000000" w:themeColor="text1"/>
          <w:spacing w:val="0"/>
          <w:kern w:val="0"/>
          <w:sz w:val="21"/>
          <w:szCs w:val="21"/>
          <w:highlight w:val="none"/>
          <w:u w:val="none" w:color="auto"/>
          <w:lang w:val="zh-CN" w:eastAsia="zh-CN" w:bidi="ar-SA"/>
          <w14:textFill>
            <w14:solidFill>
              <w14:schemeClr w14:val="tx1"/>
            </w14:solidFill>
          </w14:textFill>
        </w:rPr>
        <w:t xml:space="preserve">   环境空气</w:t>
      </w:r>
      <w:r>
        <w:rPr>
          <w:rFonts w:hint="eastAsia" w:ascii="宋体" w:hAnsi="宋体" w:cs="宋体"/>
          <w:b/>
          <w:color w:val="000000" w:themeColor="text1"/>
          <w:sz w:val="21"/>
          <w:szCs w:val="21"/>
          <w:lang w:val="zh-CN"/>
          <w14:textFill>
            <w14:solidFill>
              <w14:schemeClr w14:val="tx1"/>
            </w14:solidFill>
          </w14:textFill>
        </w:rPr>
        <w:t>特征污染物监测点位布设情况表</w:t>
      </w:r>
    </w:p>
    <w:tbl>
      <w:tblPr>
        <w:tblStyle w:val="25"/>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830"/>
        <w:gridCol w:w="1008"/>
        <w:gridCol w:w="1235"/>
        <w:gridCol w:w="2247"/>
        <w:gridCol w:w="1033"/>
        <w:gridCol w:w="1502"/>
        <w:gridCol w:w="933"/>
      </w:tblGrid>
      <w:tr w14:paraId="79C0A9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265" w:type="pct"/>
            <w:tcBorders>
              <w:tl2br w:val="nil"/>
              <w:tr2bl w:val="nil"/>
            </w:tcBorders>
            <w:noWrap w:val="0"/>
            <w:vAlign w:val="center"/>
          </w:tcPr>
          <w:p w14:paraId="41C8BA54">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序号</w:t>
            </w:r>
          </w:p>
        </w:tc>
        <w:tc>
          <w:tcPr>
            <w:tcW w:w="447" w:type="pct"/>
            <w:tcBorders>
              <w:tl2br w:val="nil"/>
              <w:tr2bl w:val="nil"/>
            </w:tcBorders>
            <w:noWrap w:val="0"/>
            <w:vAlign w:val="top"/>
          </w:tcPr>
          <w:p w14:paraId="7170E7C4">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监测点名称</w:t>
            </w:r>
          </w:p>
        </w:tc>
        <w:tc>
          <w:tcPr>
            <w:tcW w:w="543" w:type="pct"/>
            <w:tcBorders>
              <w:tl2br w:val="nil"/>
              <w:tr2bl w:val="nil"/>
            </w:tcBorders>
            <w:noWrap w:val="0"/>
            <w:vAlign w:val="top"/>
          </w:tcPr>
          <w:p w14:paraId="14B9E118">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相对位置</w:t>
            </w:r>
          </w:p>
        </w:tc>
        <w:tc>
          <w:tcPr>
            <w:tcW w:w="665" w:type="pct"/>
            <w:tcBorders>
              <w:tl2br w:val="nil"/>
              <w:tr2bl w:val="nil"/>
            </w:tcBorders>
            <w:noWrap w:val="0"/>
            <w:vAlign w:val="top"/>
          </w:tcPr>
          <w:p w14:paraId="116B95BB">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布点功能</w:t>
            </w:r>
          </w:p>
        </w:tc>
        <w:tc>
          <w:tcPr>
            <w:tcW w:w="1210" w:type="pct"/>
            <w:tcBorders>
              <w:tl2br w:val="nil"/>
              <w:tr2bl w:val="nil"/>
            </w:tcBorders>
            <w:noWrap w:val="0"/>
            <w:vAlign w:val="top"/>
          </w:tcPr>
          <w:p w14:paraId="79CE616D">
            <w:pPr>
              <w:spacing w:line="300" w:lineRule="exact"/>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数据来源</w:t>
            </w:r>
          </w:p>
        </w:tc>
        <w:tc>
          <w:tcPr>
            <w:tcW w:w="556" w:type="pct"/>
            <w:tcBorders>
              <w:tl2br w:val="nil"/>
              <w:tr2bl w:val="nil"/>
            </w:tcBorders>
            <w:noWrap w:val="0"/>
            <w:vAlign w:val="top"/>
          </w:tcPr>
          <w:p w14:paraId="7DD7D44F">
            <w:pPr>
              <w:spacing w:line="300" w:lineRule="exact"/>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监测单位</w:t>
            </w:r>
          </w:p>
        </w:tc>
        <w:tc>
          <w:tcPr>
            <w:tcW w:w="809" w:type="pct"/>
            <w:tcBorders>
              <w:tl2br w:val="nil"/>
              <w:tr2bl w:val="nil"/>
            </w:tcBorders>
            <w:noWrap w:val="0"/>
            <w:vAlign w:val="top"/>
          </w:tcPr>
          <w:p w14:paraId="609A9565">
            <w:pPr>
              <w:spacing w:line="300" w:lineRule="exact"/>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监测频次</w:t>
            </w:r>
          </w:p>
        </w:tc>
        <w:tc>
          <w:tcPr>
            <w:tcW w:w="502" w:type="pct"/>
            <w:tcBorders>
              <w:tl2br w:val="nil"/>
              <w:tr2bl w:val="nil"/>
            </w:tcBorders>
            <w:noWrap w:val="0"/>
            <w:vAlign w:val="top"/>
          </w:tcPr>
          <w:p w14:paraId="26517E48">
            <w:pPr>
              <w:spacing w:line="300" w:lineRule="exact"/>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监测时间</w:t>
            </w:r>
          </w:p>
        </w:tc>
      </w:tr>
      <w:tr w14:paraId="08703A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265" w:type="pct"/>
            <w:tcBorders>
              <w:tl2br w:val="nil"/>
              <w:tr2bl w:val="nil"/>
            </w:tcBorders>
            <w:noWrap w:val="0"/>
            <w:vAlign w:val="center"/>
          </w:tcPr>
          <w:p w14:paraId="6C3DB3F4">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1#</w:t>
            </w:r>
          </w:p>
        </w:tc>
        <w:tc>
          <w:tcPr>
            <w:tcW w:w="447" w:type="pct"/>
            <w:vMerge w:val="restart"/>
            <w:tcBorders>
              <w:tl2br w:val="nil"/>
              <w:tr2bl w:val="nil"/>
            </w:tcBorders>
            <w:noWrap w:val="0"/>
            <w:vAlign w:val="top"/>
          </w:tcPr>
          <w:p w14:paraId="2C47E2F6">
            <w:pPr>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太平沟七社</w:t>
            </w:r>
          </w:p>
        </w:tc>
        <w:tc>
          <w:tcPr>
            <w:tcW w:w="543" w:type="pct"/>
            <w:vMerge w:val="restart"/>
            <w:tcBorders>
              <w:tl2br w:val="nil"/>
              <w:tr2bl w:val="nil"/>
            </w:tcBorders>
            <w:noWrap w:val="0"/>
            <w:vAlign w:val="top"/>
          </w:tcPr>
          <w:p w14:paraId="36759C6A">
            <w:pPr>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项目东南侧1.1km处</w:t>
            </w:r>
          </w:p>
        </w:tc>
        <w:tc>
          <w:tcPr>
            <w:tcW w:w="665" w:type="pct"/>
            <w:vMerge w:val="restart"/>
            <w:tcBorders>
              <w:tl2br w:val="nil"/>
              <w:tr2bl w:val="nil"/>
            </w:tcBorders>
            <w:noWrap w:val="0"/>
            <w:vAlign w:val="top"/>
          </w:tcPr>
          <w:p w14:paraId="14BCA1DD">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了解</w:t>
            </w:r>
            <w:r>
              <w:rPr>
                <w:rFonts w:hint="eastAsia" w:ascii="宋体" w:hAnsi="宋体" w:eastAsia="宋体" w:cs="宋体"/>
                <w:b w:val="0"/>
                <w:bCs w:val="0"/>
                <w:color w:val="000000" w:themeColor="text1"/>
                <w:sz w:val="18"/>
                <w:szCs w:val="18"/>
                <w:lang w:val="en-US" w:eastAsia="zh-CN"/>
                <w14:textFill>
                  <w14:solidFill>
                    <w14:schemeClr w14:val="tx1"/>
                  </w14:solidFill>
                </w14:textFill>
              </w:rPr>
              <w:t>上</w:t>
            </w:r>
            <w:r>
              <w:rPr>
                <w:rFonts w:hint="eastAsia" w:ascii="宋体" w:hAnsi="宋体" w:eastAsia="宋体" w:cs="宋体"/>
                <w:b w:val="0"/>
                <w:bCs w:val="0"/>
                <w:color w:val="000000" w:themeColor="text1"/>
                <w:sz w:val="18"/>
                <w:szCs w:val="18"/>
                <w14:textFill>
                  <w14:solidFill>
                    <w14:schemeClr w14:val="tx1"/>
                  </w14:solidFill>
                </w14:textFill>
              </w:rPr>
              <w:t>风向大气环境质量</w:t>
            </w:r>
          </w:p>
        </w:tc>
        <w:tc>
          <w:tcPr>
            <w:tcW w:w="1210" w:type="pct"/>
            <w:tcBorders>
              <w:tl2br w:val="nil"/>
              <w:tr2bl w:val="nil"/>
            </w:tcBorders>
            <w:noWrap w:val="0"/>
            <w:vAlign w:val="top"/>
          </w:tcPr>
          <w:p w14:paraId="6C0BBC7C">
            <w:pPr>
              <w:spacing w:line="300" w:lineRule="exact"/>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u w:val="none" w:color="auto"/>
                <w:lang w:val="en-US" w:eastAsia="zh-CN"/>
                <w14:textFill>
                  <w14:solidFill>
                    <w14:schemeClr w14:val="tx1"/>
                  </w14:solidFill>
                </w14:textFill>
              </w:rPr>
              <w:t>四平鑫生环保科技</w:t>
            </w:r>
            <w:r>
              <w:rPr>
                <w:rFonts w:hint="eastAsia" w:ascii="宋体" w:hAnsi="宋体" w:eastAsia="宋体" w:cs="宋体"/>
                <w:b w:val="0"/>
                <w:bCs w:val="0"/>
                <w:color w:val="000000" w:themeColor="text1"/>
                <w:sz w:val="18"/>
                <w:szCs w:val="18"/>
                <w:u w:val="none" w:color="auto"/>
                <w14:textFill>
                  <w14:solidFill>
                    <w14:schemeClr w14:val="tx1"/>
                  </w14:solidFill>
                </w14:textFill>
              </w:rPr>
              <w:t>有限公司</w:t>
            </w:r>
            <w:r>
              <w:rPr>
                <w:rFonts w:hint="eastAsia" w:ascii="宋体" w:hAnsi="宋体" w:eastAsia="宋体" w:cs="宋体"/>
                <w:b w:val="0"/>
                <w:bCs w:val="0"/>
                <w:color w:val="000000" w:themeColor="text1"/>
                <w:sz w:val="18"/>
                <w:szCs w:val="18"/>
                <w14:textFill>
                  <w14:solidFill>
                    <w14:schemeClr w14:val="tx1"/>
                  </w14:solidFill>
                </w14:textFill>
              </w:rPr>
              <w:t>废旧铅酸蓄电池回收存储项目</w:t>
            </w:r>
            <w:r>
              <w:rPr>
                <w:rFonts w:hint="eastAsia" w:ascii="宋体" w:hAnsi="宋体" w:eastAsia="宋体" w:cs="宋体"/>
                <w:b w:val="0"/>
                <w:bCs w:val="0"/>
                <w:color w:val="000000" w:themeColor="text1"/>
                <w:sz w:val="18"/>
                <w:szCs w:val="18"/>
                <w:lang w:val="en-US" w:eastAsia="zh-CN"/>
                <w14:textFill>
                  <w14:solidFill>
                    <w14:schemeClr w14:val="tx1"/>
                  </w14:solidFill>
                </w14:textFill>
              </w:rPr>
              <w:t>环境影响评价报告表</w:t>
            </w:r>
          </w:p>
        </w:tc>
        <w:tc>
          <w:tcPr>
            <w:tcW w:w="556" w:type="pct"/>
            <w:tcBorders>
              <w:tl2br w:val="nil"/>
              <w:tr2bl w:val="nil"/>
            </w:tcBorders>
            <w:noWrap w:val="0"/>
            <w:vAlign w:val="top"/>
          </w:tcPr>
          <w:p w14:paraId="2723D764">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u w:val="none" w:color="auto"/>
                <w14:textFill>
                  <w14:solidFill>
                    <w14:schemeClr w14:val="tx1"/>
                  </w14:solidFill>
                </w14:textFill>
              </w:rPr>
              <w:t>吉林省绿科检测有限公司</w:t>
            </w:r>
          </w:p>
        </w:tc>
        <w:tc>
          <w:tcPr>
            <w:tcW w:w="809" w:type="pct"/>
            <w:tcBorders>
              <w:tl2br w:val="nil"/>
              <w:tr2bl w:val="nil"/>
            </w:tcBorders>
            <w:noWrap w:val="0"/>
            <w:vAlign w:val="top"/>
          </w:tcPr>
          <w:p w14:paraId="121B9CE2">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pacing w:val="0"/>
                <w:sz w:val="18"/>
                <w:szCs w:val="18"/>
                <w:u w:val="none" w:color="auto"/>
                <w:lang w:val="en-US" w:eastAsia="zh-CN"/>
                <w14:textFill>
                  <w14:solidFill>
                    <w14:schemeClr w14:val="tx1"/>
                  </w14:solidFill>
                </w14:textFill>
              </w:rPr>
              <w:t>连续监测7天。硫酸监测小时值，每天4次；铅监测日均值。</w:t>
            </w:r>
          </w:p>
        </w:tc>
        <w:tc>
          <w:tcPr>
            <w:tcW w:w="502" w:type="pct"/>
            <w:tcBorders>
              <w:tl2br w:val="nil"/>
              <w:tr2bl w:val="nil"/>
            </w:tcBorders>
            <w:noWrap w:val="0"/>
            <w:vAlign w:val="top"/>
          </w:tcPr>
          <w:p w14:paraId="59334819">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u w:val="none" w:color="auto"/>
                <w:lang w:val="en-US" w:eastAsia="zh-CN"/>
                <w14:textFill>
                  <w14:solidFill>
                    <w14:schemeClr w14:val="tx1"/>
                  </w14:solidFill>
                </w14:textFill>
              </w:rPr>
              <w:t>2024年11月4-10日</w:t>
            </w:r>
          </w:p>
        </w:tc>
      </w:tr>
      <w:tr w14:paraId="148F7B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265" w:type="pct"/>
            <w:tcBorders>
              <w:tl2br w:val="nil"/>
              <w:tr2bl w:val="nil"/>
            </w:tcBorders>
            <w:noWrap w:val="0"/>
            <w:vAlign w:val="center"/>
          </w:tcPr>
          <w:p w14:paraId="2F7A1314">
            <w:pPr>
              <w:spacing w:line="300" w:lineRule="exact"/>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2#</w:t>
            </w:r>
          </w:p>
        </w:tc>
        <w:tc>
          <w:tcPr>
            <w:tcW w:w="447" w:type="pct"/>
            <w:vMerge w:val="continue"/>
            <w:tcBorders>
              <w:tl2br w:val="nil"/>
              <w:tr2bl w:val="nil"/>
            </w:tcBorders>
            <w:noWrap w:val="0"/>
            <w:vAlign w:val="top"/>
          </w:tcPr>
          <w:p w14:paraId="524CE4F9">
            <w:pPr>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p>
        </w:tc>
        <w:tc>
          <w:tcPr>
            <w:tcW w:w="543" w:type="pct"/>
            <w:vMerge w:val="continue"/>
            <w:tcBorders>
              <w:tl2br w:val="nil"/>
              <w:tr2bl w:val="nil"/>
            </w:tcBorders>
            <w:noWrap w:val="0"/>
            <w:vAlign w:val="top"/>
          </w:tcPr>
          <w:p w14:paraId="36B7F845">
            <w:pPr>
              <w:jc w:val="center"/>
              <w:rPr>
                <w:rFonts w:hint="eastAsia" w:ascii="宋体" w:hAnsi="宋体" w:eastAsia="宋体" w:cs="宋体"/>
                <w:b w:val="0"/>
                <w:bCs w:val="0"/>
                <w:color w:val="000000" w:themeColor="text1"/>
                <w:sz w:val="18"/>
                <w:szCs w:val="18"/>
                <w:lang w:val="en-US" w:eastAsia="zh-CN"/>
                <w14:textFill>
                  <w14:solidFill>
                    <w14:schemeClr w14:val="tx1"/>
                  </w14:solidFill>
                </w14:textFill>
              </w:rPr>
            </w:pPr>
          </w:p>
        </w:tc>
        <w:tc>
          <w:tcPr>
            <w:tcW w:w="665" w:type="pct"/>
            <w:vMerge w:val="continue"/>
            <w:tcBorders>
              <w:tl2br w:val="nil"/>
              <w:tr2bl w:val="nil"/>
            </w:tcBorders>
            <w:noWrap w:val="0"/>
            <w:vAlign w:val="top"/>
          </w:tcPr>
          <w:p w14:paraId="0AD72198">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p>
        </w:tc>
        <w:tc>
          <w:tcPr>
            <w:tcW w:w="1210" w:type="pct"/>
            <w:tcBorders>
              <w:tl2br w:val="nil"/>
              <w:tr2bl w:val="nil"/>
            </w:tcBorders>
            <w:noWrap w:val="0"/>
            <w:vAlign w:val="top"/>
          </w:tcPr>
          <w:p w14:paraId="4EFF3139">
            <w:pPr>
              <w:spacing w:line="300" w:lineRule="exact"/>
              <w:jc w:val="center"/>
              <w:rPr>
                <w:rFonts w:hint="eastAsia" w:ascii="宋体" w:hAnsi="宋体" w:eastAsia="宋体" w:cs="宋体"/>
                <w:b w:val="0"/>
                <w:bCs w:val="0"/>
                <w:color w:val="000000" w:themeColor="text1"/>
                <w:sz w:val="18"/>
                <w:szCs w:val="18"/>
                <w:lang w:eastAsia="zh-CN"/>
                <w14:textFill>
                  <w14:solidFill>
                    <w14:schemeClr w14:val="tx1"/>
                  </w14:solidFill>
                </w14:textFill>
              </w:rPr>
            </w:pPr>
            <w:bookmarkStart w:id="2" w:name="_Toc170277275"/>
            <w:bookmarkStart w:id="3" w:name="_Toc17270"/>
            <w:bookmarkStart w:id="4" w:name="_Toc997"/>
            <w:bookmarkStart w:id="5" w:name="_Toc16234"/>
            <w:bookmarkStart w:id="6" w:name="_Toc28261"/>
            <w:bookmarkStart w:id="7" w:name="_Toc17171"/>
            <w:bookmarkStart w:id="8" w:name="_Toc10838"/>
            <w:bookmarkStart w:id="9" w:name="_Toc18981"/>
            <w:r>
              <w:rPr>
                <w:rFonts w:hint="eastAsia" w:ascii="宋体" w:hAnsi="宋体" w:eastAsia="宋体" w:cs="宋体"/>
                <w:b w:val="0"/>
                <w:bCs w:val="0"/>
                <w:color w:val="000000" w:themeColor="text1"/>
                <w:sz w:val="18"/>
                <w:szCs w:val="18"/>
                <w:lang w:eastAsia="zh-CN"/>
                <w14:textFill>
                  <w14:solidFill>
                    <w14:schemeClr w14:val="tx1"/>
                  </w14:solidFill>
                </w14:textFill>
              </w:rPr>
              <w:t>吉林省启翔铝业有限公司</w:t>
            </w:r>
            <w:bookmarkEnd w:id="2"/>
            <w:bookmarkEnd w:id="3"/>
            <w:bookmarkEnd w:id="4"/>
            <w:bookmarkEnd w:id="5"/>
            <w:bookmarkEnd w:id="6"/>
            <w:bookmarkEnd w:id="7"/>
            <w:bookmarkEnd w:id="8"/>
            <w:bookmarkEnd w:id="9"/>
            <w:bookmarkStart w:id="10" w:name="_Toc24407"/>
            <w:bookmarkStart w:id="11" w:name="_Toc25774"/>
            <w:bookmarkStart w:id="12" w:name="_Toc6410"/>
            <w:bookmarkStart w:id="13" w:name="_Toc2753"/>
            <w:bookmarkStart w:id="14" w:name="_Toc25202"/>
            <w:bookmarkStart w:id="15" w:name="_Toc170277276"/>
            <w:bookmarkStart w:id="16" w:name="_Toc25299"/>
            <w:bookmarkStart w:id="17" w:name="_Toc15671"/>
            <w:r>
              <w:rPr>
                <w:rFonts w:hint="eastAsia" w:ascii="宋体" w:hAnsi="宋体" w:eastAsia="宋体" w:cs="宋体"/>
                <w:b w:val="0"/>
                <w:bCs w:val="0"/>
                <w:color w:val="000000" w:themeColor="text1"/>
                <w:sz w:val="18"/>
                <w:szCs w:val="18"/>
                <w:lang w:eastAsia="zh-CN"/>
                <w14:textFill>
                  <w14:solidFill>
                    <w14:schemeClr w14:val="tx1"/>
                  </w14:solidFill>
                </w14:textFill>
              </w:rPr>
              <w:t>年产5万吨车用高端铝型材项目</w:t>
            </w:r>
            <w:bookmarkEnd w:id="10"/>
            <w:bookmarkEnd w:id="11"/>
            <w:bookmarkEnd w:id="12"/>
            <w:bookmarkEnd w:id="13"/>
            <w:bookmarkEnd w:id="14"/>
            <w:bookmarkEnd w:id="15"/>
            <w:bookmarkEnd w:id="16"/>
            <w:bookmarkEnd w:id="17"/>
          </w:p>
          <w:p w14:paraId="72891784">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bookmarkStart w:id="18" w:name="_Toc16776"/>
            <w:bookmarkStart w:id="19" w:name="_Toc2672"/>
            <w:bookmarkStart w:id="20" w:name="_Toc29986"/>
            <w:bookmarkStart w:id="21" w:name="_Toc5317"/>
            <w:bookmarkStart w:id="22" w:name="_Toc16643"/>
            <w:bookmarkStart w:id="23" w:name="_Toc1670"/>
            <w:bookmarkStart w:id="24" w:name="_Toc30213"/>
            <w:bookmarkStart w:id="25" w:name="_Toc170277277"/>
            <w:r>
              <w:rPr>
                <w:rFonts w:hint="eastAsia" w:ascii="宋体" w:hAnsi="宋体" w:eastAsia="宋体" w:cs="宋体"/>
                <w:b w:val="0"/>
                <w:bCs w:val="0"/>
                <w:color w:val="000000" w:themeColor="text1"/>
                <w:sz w:val="18"/>
                <w:szCs w:val="18"/>
                <w:lang w:eastAsia="zh-CN"/>
                <w14:textFill>
                  <w14:solidFill>
                    <w14:schemeClr w14:val="tx1"/>
                  </w14:solidFill>
                </w14:textFill>
              </w:rPr>
              <w:t>环境影响报告书</w:t>
            </w:r>
            <w:bookmarkEnd w:id="18"/>
            <w:bookmarkEnd w:id="19"/>
            <w:bookmarkEnd w:id="20"/>
            <w:bookmarkEnd w:id="21"/>
            <w:bookmarkEnd w:id="22"/>
            <w:bookmarkEnd w:id="23"/>
            <w:bookmarkEnd w:id="24"/>
            <w:bookmarkEnd w:id="25"/>
          </w:p>
        </w:tc>
        <w:tc>
          <w:tcPr>
            <w:tcW w:w="556" w:type="pct"/>
            <w:tcBorders>
              <w:tl2br w:val="nil"/>
              <w:tr2bl w:val="nil"/>
            </w:tcBorders>
            <w:noWrap w:val="0"/>
            <w:vAlign w:val="top"/>
          </w:tcPr>
          <w:p w14:paraId="72AAC3C0">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吉林岚璟环境技术咨询服务中心</w:t>
            </w:r>
          </w:p>
        </w:tc>
        <w:tc>
          <w:tcPr>
            <w:tcW w:w="809" w:type="pct"/>
            <w:tcBorders>
              <w:tl2br w:val="nil"/>
              <w:tr2bl w:val="nil"/>
            </w:tcBorders>
            <w:noWrap w:val="0"/>
            <w:vAlign w:val="top"/>
          </w:tcPr>
          <w:p w14:paraId="6C2F67E8">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pacing w:val="0"/>
                <w:sz w:val="18"/>
                <w:szCs w:val="18"/>
                <w:u w:val="none" w:color="auto"/>
                <w:lang w:val="en-US" w:eastAsia="zh-CN"/>
                <w14:textFill>
                  <w14:solidFill>
                    <w14:schemeClr w14:val="tx1"/>
                  </w14:solidFill>
                </w14:textFill>
              </w:rPr>
              <w:t>连续监测7天。非甲烷总烃监测小时值，每天4次；TSP监测日均值。</w:t>
            </w:r>
          </w:p>
        </w:tc>
        <w:tc>
          <w:tcPr>
            <w:tcW w:w="502" w:type="pct"/>
            <w:tcBorders>
              <w:tl2br w:val="nil"/>
              <w:tr2bl w:val="nil"/>
            </w:tcBorders>
            <w:noWrap w:val="0"/>
            <w:vAlign w:val="top"/>
          </w:tcPr>
          <w:p w14:paraId="6364CFD5">
            <w:pPr>
              <w:spacing w:line="300" w:lineRule="exact"/>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u w:val="none" w:color="auto"/>
                <w:lang w:val="en-US" w:eastAsia="zh-CN"/>
                <w14:textFill>
                  <w14:solidFill>
                    <w14:schemeClr w14:val="tx1"/>
                  </w14:solidFill>
                </w14:textFill>
              </w:rPr>
              <w:t>2023年7月27-8月2日</w:t>
            </w:r>
          </w:p>
        </w:tc>
      </w:tr>
    </w:tbl>
    <w:p w14:paraId="2EF4CD63">
      <w:pPr>
        <w:ind w:right="-192" w:rightChars="-80" w:firstLine="480" w:firstLineChars="200"/>
        <w:jc w:val="both"/>
        <w:rPr>
          <w:rFonts w:hint="default" w:ascii="宋体" w:hAnsi="宋体" w:eastAsia="宋体" w:cs="宋体"/>
          <w:b w:val="0"/>
          <w:bCs/>
          <w:color w:val="000000" w:themeColor="text1"/>
          <w:szCs w:val="21"/>
          <w:u w:val="none" w:color="auto"/>
          <w:lang w:val="en-US" w:eastAsia="zh-CN"/>
          <w14:textFill>
            <w14:solidFill>
              <w14:schemeClr w14:val="tx1"/>
            </w14:solidFill>
          </w14:textFill>
        </w:rPr>
      </w:pPr>
      <w:r>
        <w:rPr>
          <w:rFonts w:hint="eastAsia" w:ascii="宋体" w:hAnsi="宋体" w:eastAsia="宋体" w:cs="宋体"/>
          <w:b w:val="0"/>
          <w:bCs/>
          <w:color w:val="000000" w:themeColor="text1"/>
          <w:szCs w:val="21"/>
          <w:u w:val="none" w:color="auto"/>
          <w:lang w:val="en-US" w:eastAsia="zh-CN"/>
          <w14:textFill>
            <w14:solidFill>
              <w14:schemeClr w14:val="tx1"/>
            </w14:solidFill>
          </w14:textFill>
        </w:rPr>
        <w:t>2</w:t>
      </w:r>
      <w:r>
        <w:rPr>
          <w:rFonts w:hint="eastAsia" w:ascii="宋体" w:hAnsi="宋体" w:eastAsia="宋体" w:cs="宋体"/>
          <w:b w:val="0"/>
          <w:bCs/>
          <w:color w:val="000000" w:themeColor="text1"/>
          <w:szCs w:val="21"/>
          <w:u w:val="none" w:color="auto"/>
          <w:lang w:eastAsia="zh-CN"/>
          <w14:textFill>
            <w14:solidFill>
              <w14:schemeClr w14:val="tx1"/>
            </w14:solidFill>
          </w14:textFill>
        </w:rPr>
        <w:t>）</w:t>
      </w:r>
      <w:r>
        <w:rPr>
          <w:rFonts w:hint="eastAsia" w:ascii="宋体" w:hAnsi="宋体" w:eastAsia="宋体" w:cs="宋体"/>
          <w:b w:val="0"/>
          <w:bCs/>
          <w:color w:val="000000" w:themeColor="text1"/>
          <w:szCs w:val="21"/>
          <w:u w:val="none" w:color="auto"/>
          <w:lang w:val="en-US" w:eastAsia="zh-CN"/>
          <w14:textFill>
            <w14:solidFill>
              <w14:schemeClr w14:val="tx1"/>
            </w14:solidFill>
          </w14:textFill>
        </w:rPr>
        <w:t>监测及评价结果</w:t>
      </w:r>
    </w:p>
    <w:p w14:paraId="5C24823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b/>
          <w:color w:val="000000" w:themeColor="text1"/>
          <w:szCs w:val="21"/>
          <w:u w:val="none" w:color="auto"/>
          <w:vertAlign w:val="superscript"/>
          <w14:textFill>
            <w14:solidFill>
              <w14:schemeClr w14:val="tx1"/>
            </w14:solidFill>
          </w14:textFill>
        </w:rPr>
      </w:pPr>
      <w:r>
        <w:rPr>
          <w:rFonts w:hint="eastAsia" w:ascii="Times New Roman" w:hAnsi="Times New Roman" w:eastAsia="宋体" w:cs="Times New Roman"/>
          <w:b/>
          <w:bCs/>
          <w:caps w:val="0"/>
          <w:color w:val="000000" w:themeColor="text1"/>
          <w:spacing w:val="0"/>
          <w:kern w:val="0"/>
          <w:sz w:val="21"/>
          <w:szCs w:val="21"/>
          <w:highlight w:val="none"/>
          <w:u w:val="none" w:color="auto"/>
          <w:lang w:val="zh-CN" w:eastAsia="zh-CN"/>
          <w14:textFill>
            <w14:solidFill>
              <w14:schemeClr w14:val="tx1"/>
            </w14:solidFill>
          </w14:textFill>
        </w:rPr>
        <w:t>表3-</w:t>
      </w:r>
      <w:r>
        <w:rPr>
          <w:rFonts w:hint="eastAsia" w:ascii="Times New Roman" w:hAnsi="Times New Roman" w:eastAsia="宋体" w:cs="Times New Roman"/>
          <w:b/>
          <w:bCs/>
          <w:caps w:val="0"/>
          <w:color w:val="000000" w:themeColor="text1"/>
          <w:spacing w:val="0"/>
          <w:kern w:val="0"/>
          <w:sz w:val="21"/>
          <w:szCs w:val="21"/>
          <w:highlight w:val="none"/>
          <w:u w:val="none" w:color="auto"/>
          <w:lang w:val="en-US" w:eastAsia="zh-CN"/>
          <w14:textFill>
            <w14:solidFill>
              <w14:schemeClr w14:val="tx1"/>
            </w14:solidFill>
          </w14:textFill>
        </w:rPr>
        <w:t>3</w:t>
      </w:r>
      <w:r>
        <w:rPr>
          <w:rFonts w:hint="eastAsia" w:ascii="Times New Roman" w:hAnsi="Times New Roman" w:eastAsia="宋体" w:cs="Times New Roman"/>
          <w:b/>
          <w:bCs/>
          <w:caps w:val="0"/>
          <w:color w:val="000000" w:themeColor="text1"/>
          <w:spacing w:val="0"/>
          <w:kern w:val="0"/>
          <w:sz w:val="21"/>
          <w:szCs w:val="21"/>
          <w:highlight w:val="none"/>
          <w:u w:val="none" w:color="auto"/>
          <w:lang w:val="zh-CN" w:eastAsia="zh-CN"/>
          <w14:textFill>
            <w14:solidFill>
              <w14:schemeClr w14:val="tx1"/>
            </w14:solidFill>
          </w14:textFill>
        </w:rPr>
        <w:t xml:space="preserve"> 特征污染因子现状</w:t>
      </w:r>
      <w:r>
        <w:rPr>
          <w:rFonts w:hint="eastAsia" w:ascii="宋体" w:hAnsi="宋体" w:eastAsia="宋体" w:cs="宋体"/>
          <w:b/>
          <w:color w:val="000000" w:themeColor="text1"/>
          <w:kern w:val="2"/>
          <w:sz w:val="21"/>
          <w:szCs w:val="21"/>
          <w:u w:val="none" w:color="auto"/>
          <w:lang w:val="zh-CN" w:eastAsia="zh-CN" w:bidi="ar-SA"/>
          <w14:textFill>
            <w14:solidFill>
              <w14:schemeClr w14:val="tx1"/>
            </w14:solidFill>
          </w14:textFill>
        </w:rPr>
        <w:t>监测及评价结果一览表</w:t>
      </w:r>
      <w:r>
        <w:rPr>
          <w:rFonts w:hint="eastAsia"/>
          <w:b/>
          <w:color w:val="000000" w:themeColor="text1"/>
          <w:szCs w:val="21"/>
          <w:u w:val="none" w:color="auto"/>
          <w14:textFill>
            <w14:solidFill>
              <w14:schemeClr w14:val="tx1"/>
            </w14:solidFill>
          </w14:textFill>
        </w:rPr>
        <w:t xml:space="preserve"> </w:t>
      </w:r>
      <w:r>
        <w:rPr>
          <w:rFonts w:hint="eastAsia" w:ascii="宋体" w:hAnsi="宋体"/>
          <w:b/>
          <w:color w:val="000000" w:themeColor="text1"/>
          <w:szCs w:val="21"/>
          <w:u w:val="none" w:color="auto"/>
          <w14:textFill>
            <w14:solidFill>
              <w14:schemeClr w14:val="tx1"/>
            </w14:solidFill>
          </w14:textFill>
        </w:rPr>
        <w:t>单位：μg/m</w:t>
      </w:r>
      <w:r>
        <w:rPr>
          <w:rFonts w:hint="eastAsia" w:ascii="宋体" w:hAnsi="宋体"/>
          <w:b/>
          <w:color w:val="000000" w:themeColor="text1"/>
          <w:szCs w:val="21"/>
          <w:u w:val="none" w:color="auto"/>
          <w:vertAlign w:val="superscript"/>
          <w14:textFill>
            <w14:solidFill>
              <w14:schemeClr w14:val="tx1"/>
            </w14:solidFill>
          </w14:textFill>
        </w:rPr>
        <w:t>3</w:t>
      </w:r>
    </w:p>
    <w:tbl>
      <w:tblPr>
        <w:tblStyle w:val="25"/>
        <w:tblW w:w="4996" w:type="pct"/>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451"/>
        <w:gridCol w:w="1762"/>
        <w:gridCol w:w="1306"/>
        <w:gridCol w:w="1172"/>
        <w:gridCol w:w="1417"/>
        <w:gridCol w:w="1172"/>
      </w:tblGrid>
      <w:tr w14:paraId="6BE33E9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PrEx>
        <w:trPr>
          <w:trHeight w:val="57" w:hRule="atLeast"/>
        </w:trPr>
        <w:tc>
          <w:tcPr>
            <w:tcW w:w="1320" w:type="pct"/>
            <w:tcBorders>
              <w:tl2br w:val="nil"/>
              <w:tr2bl w:val="nil"/>
            </w:tcBorders>
            <w:noWrap/>
            <w:vAlign w:val="center"/>
          </w:tcPr>
          <w:p w14:paraId="4EB3431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r>
              <w:rPr>
                <w:rFonts w:hint="eastAsia" w:ascii="宋体" w:hAnsi="宋体" w:cs="宋体"/>
                <w:color w:val="000000" w:themeColor="text1"/>
                <w:szCs w:val="21"/>
                <w:u w:val="none" w:color="auto"/>
                <w14:textFill>
                  <w14:solidFill>
                    <w14:schemeClr w14:val="tx1"/>
                  </w14:solidFill>
                </w14:textFill>
              </w:rPr>
              <w:t>采样点位</w:t>
            </w:r>
          </w:p>
        </w:tc>
        <w:tc>
          <w:tcPr>
            <w:tcW w:w="949" w:type="pct"/>
            <w:tcBorders>
              <w:tl2br w:val="nil"/>
              <w:tr2bl w:val="nil"/>
            </w:tcBorders>
            <w:noWrap/>
            <w:vAlign w:val="center"/>
          </w:tcPr>
          <w:p w14:paraId="5EB9D6B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项目</w:t>
            </w:r>
          </w:p>
        </w:tc>
        <w:tc>
          <w:tcPr>
            <w:tcW w:w="703" w:type="pct"/>
            <w:tcBorders>
              <w:tl2br w:val="nil"/>
              <w:tr2bl w:val="nil"/>
            </w:tcBorders>
            <w:noWrap/>
            <w:vAlign w:val="center"/>
          </w:tcPr>
          <w:p w14:paraId="00FD16A0">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eastAsia="宋体" w:cs="宋体"/>
                <w:color w:val="000000" w:themeColor="text1"/>
                <w:szCs w:val="21"/>
                <w:u w:val="none" w:color="auto"/>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铅</w:t>
            </w:r>
          </w:p>
        </w:tc>
        <w:tc>
          <w:tcPr>
            <w:tcW w:w="631" w:type="pct"/>
            <w:tcBorders>
              <w:tl2br w:val="nil"/>
              <w:tr2bl w:val="nil"/>
            </w:tcBorders>
            <w:noWrap/>
            <w:vAlign w:val="center"/>
          </w:tcPr>
          <w:p w14:paraId="3E5C4E2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硫酸</w:t>
            </w:r>
          </w:p>
        </w:tc>
        <w:tc>
          <w:tcPr>
            <w:tcW w:w="763" w:type="pct"/>
            <w:tcBorders>
              <w:tl2br w:val="nil"/>
              <w:tr2bl w:val="nil"/>
            </w:tcBorders>
            <w:noWrap/>
            <w:vAlign w:val="center"/>
          </w:tcPr>
          <w:p w14:paraId="04C89499">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非</w:t>
            </w:r>
            <w:r>
              <w:rPr>
                <w:rFonts w:hint="eastAsia" w:ascii="宋体" w:hAnsi="宋体" w:eastAsia="宋体" w:cs="宋体"/>
                <w:color w:val="000000" w:themeColor="text1"/>
                <w:szCs w:val="21"/>
                <w:highlight w:val="none"/>
                <w:u w:val="none" w:color="auto"/>
                <w:lang w:val="en-US" w:eastAsia="zh-CN"/>
                <w14:textFill>
                  <w14:solidFill>
                    <w14:schemeClr w14:val="tx1"/>
                  </w14:solidFill>
                </w14:textFill>
              </w:rPr>
              <w:t>甲</w:t>
            </w:r>
            <w:r>
              <w:rPr>
                <w:rFonts w:hint="eastAsia" w:ascii="宋体" w:hAnsi="宋体" w:cs="宋体"/>
                <w:color w:val="000000" w:themeColor="text1"/>
                <w:szCs w:val="21"/>
                <w:highlight w:val="none"/>
                <w:u w:val="none" w:color="auto"/>
                <w:lang w:val="en-US" w:eastAsia="zh-CN"/>
                <w14:textFill>
                  <w14:solidFill>
                    <w14:schemeClr w14:val="tx1"/>
                  </w14:solidFill>
                </w14:textFill>
              </w:rPr>
              <w:t>烷</w:t>
            </w:r>
            <w:r>
              <w:rPr>
                <w:rFonts w:hint="eastAsia" w:ascii="宋体" w:hAnsi="宋体" w:eastAsia="宋体" w:cs="宋体"/>
                <w:color w:val="000000" w:themeColor="text1"/>
                <w:szCs w:val="21"/>
                <w:u w:val="none" w:color="auto"/>
                <w:lang w:val="en-US" w:eastAsia="zh-CN"/>
                <w14:textFill>
                  <w14:solidFill>
                    <w14:schemeClr w14:val="tx1"/>
                  </w14:solidFill>
                </w14:textFill>
              </w:rPr>
              <w:t>总烃</w:t>
            </w:r>
          </w:p>
        </w:tc>
        <w:tc>
          <w:tcPr>
            <w:tcW w:w="631" w:type="pct"/>
            <w:tcBorders>
              <w:tl2br w:val="nil"/>
              <w:tr2bl w:val="nil"/>
            </w:tcBorders>
            <w:noWrap/>
            <w:vAlign w:val="center"/>
          </w:tcPr>
          <w:p w14:paraId="029BB159">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TSP</w:t>
            </w:r>
          </w:p>
        </w:tc>
      </w:tr>
      <w:tr w14:paraId="7CB7C7D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7" w:hRule="atLeast"/>
        </w:trPr>
        <w:tc>
          <w:tcPr>
            <w:tcW w:w="1320" w:type="pct"/>
            <w:vMerge w:val="restart"/>
            <w:tcBorders>
              <w:tl2br w:val="nil"/>
              <w:tr2bl w:val="nil"/>
            </w:tcBorders>
            <w:noWrap/>
            <w:vAlign w:val="center"/>
          </w:tcPr>
          <w:p w14:paraId="159E583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color w:val="000000" w:themeColor="text1"/>
                <w:szCs w:val="21"/>
                <w:highlight w:val="none"/>
                <w:u w:val="none" w:color="auto"/>
                <w:lang w:val="en-US" w:eastAsia="zh-CN"/>
                <w14:textFill>
                  <w14:solidFill>
                    <w14:schemeClr w14:val="tx1"/>
                  </w14:solidFill>
                </w14:textFill>
              </w:rPr>
              <w:t>太平沟七社</w:t>
            </w:r>
          </w:p>
        </w:tc>
        <w:tc>
          <w:tcPr>
            <w:tcW w:w="949" w:type="pct"/>
            <w:vMerge w:val="restart"/>
            <w:tcBorders>
              <w:tl2br w:val="nil"/>
              <w:tr2bl w:val="nil"/>
            </w:tcBorders>
            <w:noWrap/>
            <w:vAlign w:val="center"/>
          </w:tcPr>
          <w:p w14:paraId="0A30DC56">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连续7天</w:t>
            </w:r>
          </w:p>
        </w:tc>
        <w:tc>
          <w:tcPr>
            <w:tcW w:w="703" w:type="pct"/>
            <w:tcBorders>
              <w:tl2br w:val="nil"/>
              <w:tr2bl w:val="nil"/>
            </w:tcBorders>
            <w:noWrap/>
            <w:vAlign w:val="center"/>
          </w:tcPr>
          <w:p w14:paraId="0357A836">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631" w:type="pct"/>
            <w:tcBorders>
              <w:tl2br w:val="nil"/>
              <w:tr2bl w:val="nil"/>
            </w:tcBorders>
            <w:noWrap/>
            <w:vAlign w:val="center"/>
          </w:tcPr>
          <w:p w14:paraId="7F56A9C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763" w:type="pct"/>
            <w:tcBorders>
              <w:tl2br w:val="nil"/>
              <w:tr2bl w:val="nil"/>
            </w:tcBorders>
            <w:noWrap/>
            <w:vAlign w:val="center"/>
          </w:tcPr>
          <w:p w14:paraId="39DE8C72">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67</w:t>
            </w:r>
          </w:p>
        </w:tc>
        <w:tc>
          <w:tcPr>
            <w:tcW w:w="631" w:type="pct"/>
            <w:tcBorders>
              <w:tl2br w:val="nil"/>
              <w:tr2bl w:val="nil"/>
            </w:tcBorders>
            <w:noWrap/>
            <w:vAlign w:val="center"/>
          </w:tcPr>
          <w:p w14:paraId="76A8820A">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102</w:t>
            </w:r>
          </w:p>
        </w:tc>
      </w:tr>
      <w:tr w14:paraId="74CE8A7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7" w:hRule="atLeast"/>
        </w:trPr>
        <w:tc>
          <w:tcPr>
            <w:tcW w:w="1320" w:type="pct"/>
            <w:vMerge w:val="continue"/>
            <w:tcBorders>
              <w:tl2br w:val="nil"/>
              <w:tr2bl w:val="nil"/>
            </w:tcBorders>
            <w:noWrap/>
            <w:vAlign w:val="center"/>
          </w:tcPr>
          <w:p w14:paraId="59CFE3D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vMerge w:val="continue"/>
            <w:tcBorders>
              <w:tl2br w:val="nil"/>
              <w:tr2bl w:val="nil"/>
            </w:tcBorders>
            <w:noWrap/>
            <w:vAlign w:val="center"/>
          </w:tcPr>
          <w:p w14:paraId="183FEC28">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703" w:type="pct"/>
            <w:tcBorders>
              <w:tl2br w:val="nil"/>
              <w:tr2bl w:val="nil"/>
            </w:tcBorders>
            <w:noWrap/>
            <w:vAlign w:val="center"/>
          </w:tcPr>
          <w:p w14:paraId="46ED680C">
            <w:pPr>
              <w:keepNext w:val="0"/>
              <w:keepLines w:val="0"/>
              <w:widowControl/>
              <w:suppressLineNumbers w:val="0"/>
              <w:jc w:val="center"/>
              <w:textAlignment w:val="center"/>
              <w:rPr>
                <w:rFonts w:hint="default" w:ascii="仿宋" w:hAnsi="仿宋" w:eastAsia="仿宋" w:cs="仿宋"/>
                <w:i w:val="0"/>
                <w:iCs w:val="0"/>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631" w:type="pct"/>
            <w:tcBorders>
              <w:tl2br w:val="nil"/>
              <w:tr2bl w:val="nil"/>
            </w:tcBorders>
            <w:noWrap/>
            <w:vAlign w:val="center"/>
          </w:tcPr>
          <w:p w14:paraId="57552C68">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763" w:type="pct"/>
            <w:tcBorders>
              <w:tl2br w:val="nil"/>
              <w:tr2bl w:val="nil"/>
            </w:tcBorders>
            <w:noWrap/>
            <w:vAlign w:val="center"/>
          </w:tcPr>
          <w:p w14:paraId="638E877E">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63</w:t>
            </w:r>
          </w:p>
        </w:tc>
        <w:tc>
          <w:tcPr>
            <w:tcW w:w="631" w:type="pct"/>
            <w:tcBorders>
              <w:tl2br w:val="nil"/>
              <w:tr2bl w:val="nil"/>
            </w:tcBorders>
            <w:noWrap/>
            <w:vAlign w:val="center"/>
          </w:tcPr>
          <w:p w14:paraId="3805FFFE">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100</w:t>
            </w:r>
          </w:p>
        </w:tc>
      </w:tr>
      <w:tr w14:paraId="57B69EA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1320" w:type="pct"/>
            <w:vMerge w:val="continue"/>
            <w:tcBorders>
              <w:tl2br w:val="nil"/>
              <w:tr2bl w:val="nil"/>
            </w:tcBorders>
            <w:noWrap/>
            <w:vAlign w:val="center"/>
          </w:tcPr>
          <w:p w14:paraId="15721077">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vMerge w:val="continue"/>
            <w:tcBorders>
              <w:tl2br w:val="nil"/>
              <w:tr2bl w:val="nil"/>
            </w:tcBorders>
            <w:noWrap/>
            <w:vAlign w:val="center"/>
          </w:tcPr>
          <w:p w14:paraId="6C89EBA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703" w:type="pct"/>
            <w:tcBorders>
              <w:tl2br w:val="nil"/>
              <w:tr2bl w:val="nil"/>
            </w:tcBorders>
            <w:noWrap/>
            <w:vAlign w:val="center"/>
          </w:tcPr>
          <w:p w14:paraId="52775B1D">
            <w:pPr>
              <w:keepNext w:val="0"/>
              <w:keepLines w:val="0"/>
              <w:widowControl/>
              <w:suppressLineNumbers w:val="0"/>
              <w:jc w:val="center"/>
              <w:textAlignment w:val="center"/>
              <w:rPr>
                <w:rFonts w:hint="default" w:ascii="仿宋" w:hAnsi="仿宋" w:eastAsia="仿宋" w:cs="仿宋"/>
                <w:i w:val="0"/>
                <w:iCs w:val="0"/>
                <w:color w:val="000000" w:themeColor="text1"/>
                <w:kern w:val="0"/>
                <w:sz w:val="21"/>
                <w:szCs w:val="21"/>
                <w:highlight w:val="none"/>
                <w:u w:val="none" w:color="auto"/>
                <w:lang w:val="en-US" w:eastAsia="zh-CN" w:bidi="ar"/>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631" w:type="pct"/>
            <w:tcBorders>
              <w:tl2br w:val="nil"/>
              <w:tr2bl w:val="nil"/>
            </w:tcBorders>
            <w:noWrap/>
            <w:vAlign w:val="center"/>
          </w:tcPr>
          <w:p w14:paraId="214833D1">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763" w:type="pct"/>
            <w:tcBorders>
              <w:tl2br w:val="nil"/>
              <w:tr2bl w:val="nil"/>
            </w:tcBorders>
            <w:noWrap/>
            <w:vAlign w:val="center"/>
          </w:tcPr>
          <w:p w14:paraId="07F10FA2">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77</w:t>
            </w:r>
          </w:p>
        </w:tc>
        <w:tc>
          <w:tcPr>
            <w:tcW w:w="631" w:type="pct"/>
            <w:tcBorders>
              <w:tl2br w:val="nil"/>
              <w:tr2bl w:val="nil"/>
            </w:tcBorders>
            <w:noWrap/>
            <w:vAlign w:val="center"/>
          </w:tcPr>
          <w:p w14:paraId="60217C36">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90</w:t>
            </w:r>
          </w:p>
        </w:tc>
      </w:tr>
      <w:tr w14:paraId="05BDF3A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1320" w:type="pct"/>
            <w:vMerge w:val="continue"/>
            <w:tcBorders>
              <w:tl2br w:val="nil"/>
              <w:tr2bl w:val="nil"/>
            </w:tcBorders>
            <w:noWrap/>
            <w:vAlign w:val="center"/>
          </w:tcPr>
          <w:p w14:paraId="351909C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vMerge w:val="continue"/>
            <w:tcBorders>
              <w:tl2br w:val="nil"/>
              <w:tr2bl w:val="nil"/>
            </w:tcBorders>
            <w:noWrap/>
            <w:vAlign w:val="center"/>
          </w:tcPr>
          <w:p w14:paraId="57EFAD45">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themeColor="text1"/>
                <w:szCs w:val="21"/>
                <w:u w:val="none" w:color="auto"/>
                <w:lang w:val="en-US" w:eastAsia="zh-CN"/>
                <w14:textFill>
                  <w14:solidFill>
                    <w14:schemeClr w14:val="tx1"/>
                  </w14:solidFill>
                </w14:textFill>
              </w:rPr>
            </w:pPr>
          </w:p>
        </w:tc>
        <w:tc>
          <w:tcPr>
            <w:tcW w:w="703" w:type="pct"/>
            <w:tcBorders>
              <w:tl2br w:val="nil"/>
              <w:tr2bl w:val="nil"/>
            </w:tcBorders>
            <w:noWrap/>
            <w:vAlign w:val="center"/>
          </w:tcPr>
          <w:p w14:paraId="05DD1DC4">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631" w:type="pct"/>
            <w:tcBorders>
              <w:tl2br w:val="nil"/>
              <w:tr2bl w:val="nil"/>
            </w:tcBorders>
            <w:noWrap/>
            <w:vAlign w:val="center"/>
          </w:tcPr>
          <w:p w14:paraId="5019F02C">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763" w:type="pct"/>
            <w:tcBorders>
              <w:tl2br w:val="nil"/>
              <w:tr2bl w:val="nil"/>
            </w:tcBorders>
            <w:noWrap/>
            <w:vAlign w:val="center"/>
          </w:tcPr>
          <w:p w14:paraId="1281A9B2">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67</w:t>
            </w:r>
          </w:p>
        </w:tc>
        <w:tc>
          <w:tcPr>
            <w:tcW w:w="631" w:type="pct"/>
            <w:tcBorders>
              <w:tl2br w:val="nil"/>
              <w:tr2bl w:val="nil"/>
            </w:tcBorders>
            <w:noWrap/>
            <w:vAlign w:val="center"/>
          </w:tcPr>
          <w:p w14:paraId="26A31327">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106</w:t>
            </w:r>
          </w:p>
        </w:tc>
      </w:tr>
      <w:tr w14:paraId="247CD94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1320" w:type="pct"/>
            <w:vMerge w:val="continue"/>
            <w:tcBorders>
              <w:tl2br w:val="nil"/>
              <w:tr2bl w:val="nil"/>
            </w:tcBorders>
            <w:noWrap/>
            <w:vAlign w:val="center"/>
          </w:tcPr>
          <w:p w14:paraId="686285B8">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vMerge w:val="continue"/>
            <w:tcBorders>
              <w:tl2br w:val="nil"/>
              <w:tr2bl w:val="nil"/>
            </w:tcBorders>
            <w:noWrap/>
            <w:vAlign w:val="center"/>
          </w:tcPr>
          <w:p w14:paraId="4428AAD8">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themeColor="text1"/>
                <w:szCs w:val="21"/>
                <w:u w:val="none" w:color="auto"/>
                <w:lang w:val="en-US" w:eastAsia="zh-CN"/>
                <w14:textFill>
                  <w14:solidFill>
                    <w14:schemeClr w14:val="tx1"/>
                  </w14:solidFill>
                </w14:textFill>
              </w:rPr>
            </w:pPr>
          </w:p>
        </w:tc>
        <w:tc>
          <w:tcPr>
            <w:tcW w:w="703" w:type="pct"/>
            <w:tcBorders>
              <w:tl2br w:val="nil"/>
              <w:tr2bl w:val="nil"/>
            </w:tcBorders>
            <w:noWrap/>
            <w:vAlign w:val="center"/>
          </w:tcPr>
          <w:p w14:paraId="427EB6F3">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631" w:type="pct"/>
            <w:tcBorders>
              <w:tl2br w:val="nil"/>
              <w:tr2bl w:val="nil"/>
            </w:tcBorders>
            <w:noWrap/>
            <w:vAlign w:val="center"/>
          </w:tcPr>
          <w:p w14:paraId="5E4944FA">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763" w:type="pct"/>
            <w:tcBorders>
              <w:tl2br w:val="nil"/>
              <w:tr2bl w:val="nil"/>
            </w:tcBorders>
            <w:noWrap/>
            <w:vAlign w:val="center"/>
          </w:tcPr>
          <w:p w14:paraId="478B38AE">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71</w:t>
            </w:r>
          </w:p>
        </w:tc>
        <w:tc>
          <w:tcPr>
            <w:tcW w:w="631" w:type="pct"/>
            <w:tcBorders>
              <w:tl2br w:val="nil"/>
              <w:tr2bl w:val="nil"/>
            </w:tcBorders>
            <w:noWrap/>
            <w:vAlign w:val="center"/>
          </w:tcPr>
          <w:p w14:paraId="1B39976C">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91</w:t>
            </w:r>
          </w:p>
        </w:tc>
      </w:tr>
      <w:tr w14:paraId="373C989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1320" w:type="pct"/>
            <w:vMerge w:val="continue"/>
            <w:tcBorders>
              <w:tl2br w:val="nil"/>
              <w:tr2bl w:val="nil"/>
            </w:tcBorders>
            <w:noWrap/>
            <w:vAlign w:val="center"/>
          </w:tcPr>
          <w:p w14:paraId="28A38CE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vMerge w:val="continue"/>
            <w:tcBorders>
              <w:tl2br w:val="nil"/>
              <w:tr2bl w:val="nil"/>
            </w:tcBorders>
            <w:noWrap/>
            <w:vAlign w:val="center"/>
          </w:tcPr>
          <w:p w14:paraId="40C8A26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themeColor="text1"/>
                <w:szCs w:val="21"/>
                <w:u w:val="none" w:color="auto"/>
                <w:lang w:val="en-US" w:eastAsia="zh-CN"/>
                <w14:textFill>
                  <w14:solidFill>
                    <w14:schemeClr w14:val="tx1"/>
                  </w14:solidFill>
                </w14:textFill>
              </w:rPr>
            </w:pPr>
          </w:p>
        </w:tc>
        <w:tc>
          <w:tcPr>
            <w:tcW w:w="703" w:type="pct"/>
            <w:tcBorders>
              <w:tl2br w:val="nil"/>
              <w:tr2bl w:val="nil"/>
            </w:tcBorders>
            <w:noWrap/>
            <w:vAlign w:val="center"/>
          </w:tcPr>
          <w:p w14:paraId="2D9C3E62">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631" w:type="pct"/>
            <w:tcBorders>
              <w:tl2br w:val="nil"/>
              <w:tr2bl w:val="nil"/>
            </w:tcBorders>
            <w:noWrap/>
            <w:vAlign w:val="center"/>
          </w:tcPr>
          <w:p w14:paraId="5344DDEA">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763" w:type="pct"/>
            <w:tcBorders>
              <w:tl2br w:val="nil"/>
              <w:tr2bl w:val="nil"/>
            </w:tcBorders>
            <w:noWrap/>
            <w:vAlign w:val="center"/>
          </w:tcPr>
          <w:p w14:paraId="49B7120C">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71</w:t>
            </w:r>
          </w:p>
        </w:tc>
        <w:tc>
          <w:tcPr>
            <w:tcW w:w="631" w:type="pct"/>
            <w:tcBorders>
              <w:tl2br w:val="nil"/>
              <w:tr2bl w:val="nil"/>
            </w:tcBorders>
            <w:noWrap/>
            <w:vAlign w:val="center"/>
          </w:tcPr>
          <w:p w14:paraId="2F657CAD">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90</w:t>
            </w:r>
          </w:p>
        </w:tc>
      </w:tr>
      <w:tr w14:paraId="14E2A178">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1320" w:type="pct"/>
            <w:vMerge w:val="continue"/>
            <w:tcBorders>
              <w:tl2br w:val="nil"/>
              <w:tr2bl w:val="nil"/>
            </w:tcBorders>
            <w:noWrap/>
            <w:vAlign w:val="center"/>
          </w:tcPr>
          <w:p w14:paraId="4CB7F72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vMerge w:val="continue"/>
            <w:tcBorders>
              <w:tl2br w:val="nil"/>
              <w:tr2bl w:val="nil"/>
            </w:tcBorders>
            <w:noWrap/>
            <w:vAlign w:val="center"/>
          </w:tcPr>
          <w:p w14:paraId="484D7EE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themeColor="text1"/>
                <w:szCs w:val="21"/>
                <w:u w:val="none" w:color="auto"/>
                <w:lang w:val="en-US" w:eastAsia="zh-CN"/>
                <w14:textFill>
                  <w14:solidFill>
                    <w14:schemeClr w14:val="tx1"/>
                  </w14:solidFill>
                </w14:textFill>
              </w:rPr>
            </w:pPr>
          </w:p>
        </w:tc>
        <w:tc>
          <w:tcPr>
            <w:tcW w:w="703" w:type="pct"/>
            <w:tcBorders>
              <w:tl2br w:val="nil"/>
              <w:tr2bl w:val="nil"/>
            </w:tcBorders>
            <w:noWrap/>
            <w:vAlign w:val="center"/>
          </w:tcPr>
          <w:p w14:paraId="22C1F8C2">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631" w:type="pct"/>
            <w:tcBorders>
              <w:tl2br w:val="nil"/>
              <w:tr2bl w:val="nil"/>
            </w:tcBorders>
            <w:noWrap/>
            <w:vAlign w:val="center"/>
          </w:tcPr>
          <w:p w14:paraId="107D1273">
            <w:pPr>
              <w:keepNext w:val="0"/>
              <w:keepLines w:val="0"/>
              <w:widowControl/>
              <w:suppressLineNumbers w:val="0"/>
              <w:jc w:val="center"/>
              <w:textAlignment w:val="center"/>
              <w:rPr>
                <w:rFonts w:hint="eastAsia"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未检出</w:t>
            </w:r>
          </w:p>
        </w:tc>
        <w:tc>
          <w:tcPr>
            <w:tcW w:w="763" w:type="pct"/>
            <w:tcBorders>
              <w:tl2br w:val="nil"/>
              <w:tr2bl w:val="nil"/>
            </w:tcBorders>
            <w:noWrap/>
            <w:vAlign w:val="center"/>
          </w:tcPr>
          <w:p w14:paraId="6F962467">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35</w:t>
            </w:r>
          </w:p>
        </w:tc>
        <w:tc>
          <w:tcPr>
            <w:tcW w:w="631" w:type="pct"/>
            <w:tcBorders>
              <w:tl2br w:val="nil"/>
              <w:tr2bl w:val="nil"/>
            </w:tcBorders>
            <w:noWrap/>
            <w:vAlign w:val="center"/>
          </w:tcPr>
          <w:p w14:paraId="31BEA59C">
            <w:pPr>
              <w:keepNext w:val="0"/>
              <w:keepLines w:val="0"/>
              <w:widowControl/>
              <w:suppressLineNumbers w:val="0"/>
              <w:jc w:val="center"/>
              <w:textAlignment w:val="center"/>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100</w:t>
            </w:r>
          </w:p>
        </w:tc>
      </w:tr>
      <w:tr w14:paraId="6E20EF6A">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7" w:hRule="atLeast"/>
        </w:trPr>
        <w:tc>
          <w:tcPr>
            <w:tcW w:w="1320" w:type="pct"/>
            <w:vMerge w:val="continue"/>
            <w:tcBorders>
              <w:tl2br w:val="nil"/>
              <w:tr2bl w:val="nil"/>
            </w:tcBorders>
            <w:noWrap/>
            <w:vAlign w:val="center"/>
          </w:tcPr>
          <w:p w14:paraId="273E9BD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tcBorders>
              <w:tl2br w:val="nil"/>
              <w:tr2bl w:val="nil"/>
            </w:tcBorders>
            <w:noWrap/>
            <w:vAlign w:val="center"/>
          </w:tcPr>
          <w:p w14:paraId="0ACDA962">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eastAsia="宋体" w:cs="宋体"/>
                <w:color w:val="000000" w:themeColor="text1"/>
                <w:szCs w:val="21"/>
                <w:u w:val="none" w:color="auto"/>
                <w:lang w:val="en-US" w:eastAsia="zh-CN"/>
                <w14:textFill>
                  <w14:solidFill>
                    <w14:schemeClr w14:val="tx1"/>
                  </w14:solidFill>
                </w14:textFill>
              </w:rPr>
              <w:t>标准值</w:t>
            </w:r>
          </w:p>
        </w:tc>
        <w:tc>
          <w:tcPr>
            <w:tcW w:w="703" w:type="pct"/>
            <w:tcBorders>
              <w:tl2br w:val="nil"/>
              <w:tr2bl w:val="nil"/>
            </w:tcBorders>
            <w:noWrap/>
            <w:vAlign w:val="center"/>
          </w:tcPr>
          <w:p w14:paraId="4CD26EF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1</w:t>
            </w:r>
          </w:p>
        </w:tc>
        <w:tc>
          <w:tcPr>
            <w:tcW w:w="631" w:type="pct"/>
            <w:tcBorders>
              <w:tl2br w:val="nil"/>
              <w:tr2bl w:val="nil"/>
            </w:tcBorders>
            <w:noWrap/>
            <w:vAlign w:val="center"/>
          </w:tcPr>
          <w:p w14:paraId="568BF1A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300</w:t>
            </w:r>
          </w:p>
        </w:tc>
        <w:tc>
          <w:tcPr>
            <w:tcW w:w="763" w:type="pct"/>
            <w:tcBorders>
              <w:tl2br w:val="nil"/>
              <w:tr2bl w:val="nil"/>
            </w:tcBorders>
            <w:noWrap/>
            <w:vAlign w:val="center"/>
          </w:tcPr>
          <w:p w14:paraId="13016DBA">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2000</w:t>
            </w:r>
          </w:p>
        </w:tc>
        <w:tc>
          <w:tcPr>
            <w:tcW w:w="631" w:type="pct"/>
            <w:tcBorders>
              <w:tl2br w:val="nil"/>
              <w:tr2bl w:val="nil"/>
            </w:tcBorders>
            <w:noWrap/>
            <w:vAlign w:val="center"/>
          </w:tcPr>
          <w:p w14:paraId="0F2C557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300</w:t>
            </w:r>
          </w:p>
        </w:tc>
      </w:tr>
      <w:tr w14:paraId="6B4DDC7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7" w:hRule="atLeast"/>
        </w:trPr>
        <w:tc>
          <w:tcPr>
            <w:tcW w:w="1320" w:type="pct"/>
            <w:vMerge w:val="continue"/>
            <w:tcBorders>
              <w:tl2br w:val="nil"/>
              <w:tr2bl w:val="nil"/>
            </w:tcBorders>
            <w:noWrap/>
            <w:vAlign w:val="center"/>
          </w:tcPr>
          <w:p w14:paraId="0225AE4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tcBorders>
              <w:tl2br w:val="nil"/>
              <w:tr2bl w:val="nil"/>
            </w:tcBorders>
            <w:noWrap/>
            <w:vAlign w:val="center"/>
          </w:tcPr>
          <w:p w14:paraId="5FF518B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超标范围</w:t>
            </w:r>
          </w:p>
        </w:tc>
        <w:tc>
          <w:tcPr>
            <w:tcW w:w="703" w:type="pct"/>
            <w:tcBorders>
              <w:tl2br w:val="nil"/>
              <w:tr2bl w:val="nil"/>
            </w:tcBorders>
            <w:noWrap/>
            <w:vAlign w:val="center"/>
          </w:tcPr>
          <w:p w14:paraId="66988B5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w:t>
            </w:r>
          </w:p>
        </w:tc>
        <w:tc>
          <w:tcPr>
            <w:tcW w:w="631" w:type="pct"/>
            <w:tcBorders>
              <w:tl2br w:val="nil"/>
              <w:tr2bl w:val="nil"/>
            </w:tcBorders>
            <w:noWrap/>
            <w:vAlign w:val="center"/>
          </w:tcPr>
          <w:p w14:paraId="305D714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w:t>
            </w:r>
          </w:p>
        </w:tc>
        <w:tc>
          <w:tcPr>
            <w:tcW w:w="763" w:type="pct"/>
            <w:tcBorders>
              <w:tl2br w:val="nil"/>
              <w:tr2bl w:val="nil"/>
            </w:tcBorders>
            <w:noWrap/>
            <w:vAlign w:val="center"/>
          </w:tcPr>
          <w:p w14:paraId="7B21C3E8">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35-77</w:t>
            </w:r>
          </w:p>
        </w:tc>
        <w:tc>
          <w:tcPr>
            <w:tcW w:w="631" w:type="pct"/>
            <w:tcBorders>
              <w:tl2br w:val="nil"/>
              <w:tr2bl w:val="nil"/>
            </w:tcBorders>
            <w:noWrap/>
            <w:vAlign w:val="center"/>
          </w:tcPr>
          <w:p w14:paraId="0B5790C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90-106</w:t>
            </w:r>
          </w:p>
        </w:tc>
      </w:tr>
      <w:tr w14:paraId="3C509BA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7" w:hRule="atLeast"/>
        </w:trPr>
        <w:tc>
          <w:tcPr>
            <w:tcW w:w="1320" w:type="pct"/>
            <w:vMerge w:val="continue"/>
            <w:tcBorders>
              <w:tl2br w:val="nil"/>
              <w:tr2bl w:val="nil"/>
            </w:tcBorders>
            <w:noWrap/>
            <w:vAlign w:val="center"/>
          </w:tcPr>
          <w:p w14:paraId="1C3CB80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tcBorders>
              <w:tl2br w:val="nil"/>
              <w:tr2bl w:val="nil"/>
            </w:tcBorders>
            <w:noWrap/>
            <w:vAlign w:val="center"/>
          </w:tcPr>
          <w:p w14:paraId="4D5B8FD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超标率</w:t>
            </w:r>
          </w:p>
        </w:tc>
        <w:tc>
          <w:tcPr>
            <w:tcW w:w="703" w:type="pct"/>
            <w:tcBorders>
              <w:tl2br w:val="nil"/>
              <w:tr2bl w:val="nil"/>
            </w:tcBorders>
            <w:noWrap/>
            <w:vAlign w:val="center"/>
          </w:tcPr>
          <w:p w14:paraId="77498A24">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c>
          <w:tcPr>
            <w:tcW w:w="631" w:type="pct"/>
            <w:tcBorders>
              <w:tl2br w:val="nil"/>
              <w:tr2bl w:val="nil"/>
            </w:tcBorders>
            <w:noWrap/>
            <w:vAlign w:val="center"/>
          </w:tcPr>
          <w:p w14:paraId="21061068">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c>
          <w:tcPr>
            <w:tcW w:w="763" w:type="pct"/>
            <w:tcBorders>
              <w:tl2br w:val="nil"/>
              <w:tr2bl w:val="nil"/>
            </w:tcBorders>
            <w:noWrap/>
            <w:vAlign w:val="center"/>
          </w:tcPr>
          <w:p w14:paraId="10FDAA1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c>
          <w:tcPr>
            <w:tcW w:w="631" w:type="pct"/>
            <w:tcBorders>
              <w:tl2br w:val="nil"/>
              <w:tr2bl w:val="nil"/>
            </w:tcBorders>
            <w:noWrap/>
            <w:vAlign w:val="center"/>
          </w:tcPr>
          <w:p w14:paraId="5048248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r>
      <w:tr w14:paraId="57C4BCC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7" w:hRule="atLeast"/>
        </w:trPr>
        <w:tc>
          <w:tcPr>
            <w:tcW w:w="1320" w:type="pct"/>
            <w:vMerge w:val="continue"/>
            <w:tcBorders>
              <w:tl2br w:val="nil"/>
              <w:tr2bl w:val="nil"/>
            </w:tcBorders>
            <w:noWrap/>
            <w:vAlign w:val="center"/>
          </w:tcPr>
          <w:p w14:paraId="168B2A5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ascii="宋体" w:hAnsi="宋体" w:cs="宋体"/>
                <w:color w:val="000000" w:themeColor="text1"/>
                <w:szCs w:val="21"/>
                <w:u w:val="none" w:color="auto"/>
                <w14:textFill>
                  <w14:solidFill>
                    <w14:schemeClr w14:val="tx1"/>
                  </w14:solidFill>
                </w14:textFill>
              </w:rPr>
            </w:pPr>
          </w:p>
        </w:tc>
        <w:tc>
          <w:tcPr>
            <w:tcW w:w="949" w:type="pct"/>
            <w:tcBorders>
              <w:tl2br w:val="nil"/>
              <w:tr2bl w:val="nil"/>
            </w:tcBorders>
            <w:noWrap/>
            <w:vAlign w:val="center"/>
          </w:tcPr>
          <w:p w14:paraId="6FACF2E2">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eastAsia="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超标指数</w:t>
            </w:r>
          </w:p>
        </w:tc>
        <w:tc>
          <w:tcPr>
            <w:tcW w:w="703" w:type="pct"/>
            <w:tcBorders>
              <w:tl2br w:val="nil"/>
              <w:tr2bl w:val="nil"/>
            </w:tcBorders>
            <w:noWrap/>
            <w:vAlign w:val="center"/>
          </w:tcPr>
          <w:p w14:paraId="7B524E6A">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c>
          <w:tcPr>
            <w:tcW w:w="631" w:type="pct"/>
            <w:tcBorders>
              <w:tl2br w:val="nil"/>
              <w:tr2bl w:val="nil"/>
            </w:tcBorders>
            <w:noWrap/>
            <w:vAlign w:val="center"/>
          </w:tcPr>
          <w:p w14:paraId="78241BF0">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c>
          <w:tcPr>
            <w:tcW w:w="763" w:type="pct"/>
            <w:tcBorders>
              <w:tl2br w:val="nil"/>
              <w:tr2bl w:val="nil"/>
            </w:tcBorders>
            <w:noWrap/>
            <w:vAlign w:val="center"/>
          </w:tcPr>
          <w:p w14:paraId="19354BE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c>
          <w:tcPr>
            <w:tcW w:w="631" w:type="pct"/>
            <w:tcBorders>
              <w:tl2br w:val="nil"/>
              <w:tr2bl w:val="nil"/>
            </w:tcBorders>
            <w:noWrap/>
            <w:vAlign w:val="center"/>
          </w:tcPr>
          <w:p w14:paraId="6E6687B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default" w:ascii="宋体" w:hAnsi="宋体" w:cs="宋体"/>
                <w:color w:val="000000" w:themeColor="text1"/>
                <w:szCs w:val="21"/>
                <w:u w:val="none" w:color="auto"/>
                <w:lang w:val="en-US" w:eastAsia="zh-CN"/>
                <w14:textFill>
                  <w14:solidFill>
                    <w14:schemeClr w14:val="tx1"/>
                  </w14:solidFill>
                </w14:textFill>
              </w:rPr>
            </w:pPr>
            <w:r>
              <w:rPr>
                <w:rFonts w:hint="eastAsia" w:ascii="宋体" w:hAnsi="宋体" w:cs="宋体"/>
                <w:color w:val="000000" w:themeColor="text1"/>
                <w:szCs w:val="21"/>
                <w:u w:val="none" w:color="auto"/>
                <w:lang w:val="en-US" w:eastAsia="zh-CN"/>
                <w14:textFill>
                  <w14:solidFill>
                    <w14:schemeClr w14:val="tx1"/>
                  </w14:solidFill>
                </w14:textFill>
              </w:rPr>
              <w:t>0</w:t>
            </w:r>
          </w:p>
        </w:tc>
      </w:tr>
    </w:tbl>
    <w:p w14:paraId="04D89A1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aps w:val="0"/>
          <w:color w:val="000000" w:themeColor="text1"/>
          <w:sz w:val="24"/>
          <w:szCs w:val="24"/>
          <w:highlight w:val="none"/>
          <w:u w:val="none" w:color="auto"/>
          <w:lang w:val="en-US" w:eastAsia="zh-CN"/>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000000" w:themeColor="text1"/>
          <w:sz w:val="24"/>
          <w:u w:val="none" w:color="auto"/>
          <w14:textFill>
            <w14:solidFill>
              <w14:schemeClr w14:val="tx1"/>
            </w14:solidFill>
          </w14:textFill>
        </w:rPr>
        <w:t>根据以上监测及评价结果可知，监测点</w:t>
      </w:r>
      <w:r>
        <w:rPr>
          <w:rFonts w:hint="eastAsia"/>
          <w:color w:val="000000" w:themeColor="text1"/>
          <w:sz w:val="24"/>
          <w:u w:val="none" w:color="auto"/>
          <w:lang w:val="en-US" w:eastAsia="zh-CN"/>
          <w14:textFill>
            <w14:solidFill>
              <w14:schemeClr w14:val="tx1"/>
            </w14:solidFill>
          </w14:textFill>
        </w:rPr>
        <w:t>铅及硫酸均未检出，铅</w:t>
      </w:r>
      <w:r>
        <w:rPr>
          <w:rFonts w:hint="eastAsia"/>
          <w:color w:val="000000" w:themeColor="text1"/>
          <w:sz w:val="24"/>
          <w:u w:val="none" w:color="auto"/>
          <w14:textFill>
            <w14:solidFill>
              <w14:schemeClr w14:val="tx1"/>
            </w14:solidFill>
          </w14:textFill>
        </w:rPr>
        <w:t>满足</w:t>
      </w:r>
      <w:r>
        <w:rPr>
          <w:rFonts w:hint="eastAsia"/>
          <w:color w:val="000000" w:themeColor="text1"/>
          <w:sz w:val="24"/>
          <w:u w:val="none" w:color="auto"/>
          <w:lang w:val="zh-CN"/>
          <w14:textFill>
            <w14:solidFill>
              <w14:schemeClr w14:val="tx1"/>
            </w14:solidFill>
          </w14:textFill>
        </w:rPr>
        <w:t>《环境空气质量标准》（GB3095-20</w:t>
      </w:r>
      <w:r>
        <w:rPr>
          <w:rFonts w:hint="eastAsia"/>
          <w:color w:val="000000" w:themeColor="text1"/>
          <w:sz w:val="24"/>
          <w:u w:val="none" w:color="auto"/>
          <w:lang w:val="en-US" w:eastAsia="zh-CN"/>
          <w14:textFill>
            <w14:solidFill>
              <w14:schemeClr w14:val="tx1"/>
            </w14:solidFill>
          </w14:textFill>
        </w:rPr>
        <w:t>26</w:t>
      </w:r>
      <w:r>
        <w:rPr>
          <w:rFonts w:hint="eastAsia"/>
          <w:color w:val="000000" w:themeColor="text1"/>
          <w:sz w:val="24"/>
          <w:u w:val="none" w:color="auto"/>
          <w:lang w:val="zh-CN"/>
          <w14:textFill>
            <w14:solidFill>
              <w14:schemeClr w14:val="tx1"/>
            </w14:solidFill>
          </w14:textFill>
        </w:rPr>
        <w:t>）二级标准</w:t>
      </w:r>
      <w:r>
        <w:rPr>
          <w:rFonts w:hint="eastAsia"/>
          <w:color w:val="000000" w:themeColor="text1"/>
          <w:sz w:val="24"/>
          <w:u w:val="none" w:color="auto"/>
          <w14:textFill>
            <w14:solidFill>
              <w14:schemeClr w14:val="tx1"/>
            </w14:solidFill>
          </w14:textFill>
        </w:rPr>
        <w:t>要求。</w:t>
      </w:r>
      <w:r>
        <w:rPr>
          <w:rFonts w:hint="eastAsia"/>
          <w:color w:val="000000" w:themeColor="text1"/>
          <w:sz w:val="24"/>
          <w:u w:val="none" w:color="auto"/>
          <w:lang w:val="en-US" w:eastAsia="zh-CN"/>
          <w14:textFill>
            <w14:solidFill>
              <w14:schemeClr w14:val="tx1"/>
            </w14:solidFill>
          </w14:textFill>
        </w:rPr>
        <w:t>硫酸满</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足</w:t>
      </w:r>
      <w:r>
        <w:rPr>
          <w:rFonts w:hint="eastAsia" w:ascii="Times New Roman" w:hAnsi="Times New Roman" w:eastAsia="宋体" w:cs="Times New Roman"/>
          <w:color w:val="000000" w:themeColor="text1"/>
          <w:sz w:val="24"/>
          <w:u w:val="none" w:color="auto"/>
          <w14:textFill>
            <w14:solidFill>
              <w14:schemeClr w14:val="tx1"/>
            </w14:solidFill>
          </w14:textFill>
        </w:rPr>
        <w:t xml:space="preserve">《环境影响评价技术导则  </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大气环境</w:t>
      </w:r>
      <w:r>
        <w:rPr>
          <w:rFonts w:hint="eastAsia" w:ascii="Times New Roman" w:hAnsi="Times New Roman" w:eastAsia="宋体" w:cs="Times New Roman"/>
          <w:color w:val="000000" w:themeColor="text1"/>
          <w:sz w:val="24"/>
          <w:u w:val="none" w:color="auto"/>
          <w14:textFill>
            <w14:solidFill>
              <w14:schemeClr w14:val="tx1"/>
            </w14:solidFill>
          </w14:textFill>
        </w:rPr>
        <w:t>》（HJ2.2-20</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1</w:t>
      </w:r>
      <w:r>
        <w:rPr>
          <w:rFonts w:hint="eastAsia" w:ascii="Times New Roman" w:hAnsi="Times New Roman" w:eastAsia="宋体" w:cs="Times New Roman"/>
          <w:color w:val="000000" w:themeColor="text1"/>
          <w:sz w:val="24"/>
          <w:u w:val="none" w:color="auto"/>
          <w14:textFill>
            <w14:solidFill>
              <w14:schemeClr w14:val="tx1"/>
            </w14:solidFill>
          </w14:textFill>
        </w:rPr>
        <w:t>8）</w:t>
      </w:r>
      <w:r>
        <w:rPr>
          <w:rFonts w:hint="eastAsia" w:ascii="Times New Roman" w:hAnsi="Times New Roman" w:eastAsia="宋体" w:cs="Times New Roman"/>
          <w:color w:val="000000" w:themeColor="text1"/>
          <w:sz w:val="24"/>
          <w:u w:val="none" w:color="auto"/>
          <w:lang w:val="en-US" w:eastAsia="zh-CN"/>
          <w14:textFill>
            <w14:solidFill>
              <w14:schemeClr w14:val="tx1"/>
            </w14:solidFill>
          </w14:textFill>
        </w:rPr>
        <w:t>附录D中的参考限值</w:t>
      </w:r>
      <w:r>
        <w:rPr>
          <w:rFonts w:hint="eastAsia" w:ascii="Times New Roman" w:hAnsi="Times New Roman" w:eastAsia="宋体"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val="en-US" w:eastAsia="zh-CN"/>
          <w14:textFill>
            <w14:solidFill>
              <w14:schemeClr w14:val="tx1"/>
            </w14:solidFill>
          </w14:textFill>
        </w:rPr>
        <w:t>非甲烷总烃满足</w:t>
      </w:r>
      <w:r>
        <w:rPr>
          <w:rFonts w:ascii="宋体" w:hAnsi="宋体" w:eastAsia="宋体" w:cs="宋体"/>
          <w:color w:val="000000" w:themeColor="text1"/>
          <w:spacing w:val="-3"/>
          <w:sz w:val="24"/>
          <w:szCs w:val="24"/>
          <w:u w:val="none" w:color="auto"/>
          <w14:textFill>
            <w14:solidFill>
              <w14:schemeClr w14:val="tx1"/>
            </w14:solidFill>
          </w14:textFill>
        </w:rPr>
        <w:t>原国家环境保护局科技</w:t>
      </w:r>
      <w:r>
        <w:rPr>
          <w:rFonts w:ascii="宋体" w:hAnsi="宋体" w:eastAsia="宋体" w:cs="宋体"/>
          <w:color w:val="000000" w:themeColor="text1"/>
          <w:spacing w:val="-2"/>
          <w:sz w:val="24"/>
          <w:szCs w:val="24"/>
          <w:u w:val="none" w:color="auto"/>
          <w14:textFill>
            <w14:solidFill>
              <w14:schemeClr w14:val="tx1"/>
            </w14:solidFill>
          </w14:textFill>
        </w:rPr>
        <w:t>标准司《大气污染物综合排放标准详解》（第</w:t>
      </w:r>
      <w:r>
        <w:rPr>
          <w:rFonts w:ascii="宋体" w:hAnsi="宋体" w:eastAsia="宋体" w:cs="宋体"/>
          <w:color w:val="000000" w:themeColor="text1"/>
          <w:spacing w:val="-55"/>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244</w:t>
      </w:r>
      <w:r>
        <w:rPr>
          <w:rFonts w:ascii="Times New Roman" w:hAnsi="Times New Roman" w:eastAsia="Times New Roman" w:cs="Times New Roman"/>
          <w:color w:val="000000" w:themeColor="text1"/>
          <w:spacing w:val="15"/>
          <w:sz w:val="24"/>
          <w:szCs w:val="24"/>
          <w:u w:val="none" w:color="auto"/>
          <w14:textFill>
            <w14:solidFill>
              <w14:schemeClr w14:val="tx1"/>
            </w14:solidFill>
          </w14:textFill>
        </w:rPr>
        <w:t xml:space="preserve"> </w:t>
      </w:r>
      <w:r>
        <w:rPr>
          <w:rFonts w:ascii="宋体" w:hAnsi="宋体" w:eastAsia="宋体" w:cs="宋体"/>
          <w:color w:val="000000" w:themeColor="text1"/>
          <w:spacing w:val="-2"/>
          <w:sz w:val="24"/>
          <w:szCs w:val="24"/>
          <w:u w:val="none" w:color="auto"/>
          <w14:textFill>
            <w14:solidFill>
              <w14:schemeClr w14:val="tx1"/>
            </w14:solidFill>
          </w14:textFill>
        </w:rPr>
        <w:t>页</w:t>
      </w:r>
      <w:r>
        <w:rPr>
          <w:rFonts w:ascii="宋体" w:hAnsi="宋体" w:eastAsia="宋体" w:cs="宋体"/>
          <w:color w:val="000000" w:themeColor="text1"/>
          <w:spacing w:val="11"/>
          <w:sz w:val="24"/>
          <w:szCs w:val="24"/>
          <w:u w:val="none" w:color="auto"/>
          <w14:textFill>
            <w14:solidFill>
              <w14:schemeClr w14:val="tx1"/>
            </w14:solidFill>
          </w14:textFill>
        </w:rPr>
        <w:t>）</w:t>
      </w:r>
      <w:r>
        <w:rPr>
          <w:rFonts w:hint="eastAsia" w:cs="Times New Roman"/>
          <w:color w:val="000000" w:themeColor="text1"/>
          <w:sz w:val="24"/>
          <w:u w:val="none" w:color="auto"/>
          <w:lang w:val="en-US" w:eastAsia="zh-CN"/>
          <w14:textFill>
            <w14:solidFill>
              <w14:schemeClr w14:val="tx1"/>
            </w14:solidFill>
          </w14:textFill>
        </w:rPr>
        <w:t>。TSP满足</w:t>
      </w:r>
      <w:r>
        <w:rPr>
          <w:rFonts w:hint="eastAsia"/>
          <w:color w:val="000000" w:themeColor="text1"/>
          <w:sz w:val="24"/>
          <w:u w:val="none" w:color="auto"/>
          <w:lang w:val="zh-CN"/>
          <w14:textFill>
            <w14:solidFill>
              <w14:schemeClr w14:val="tx1"/>
            </w14:solidFill>
          </w14:textFill>
        </w:rPr>
        <w:t>《环境空气质量标准》（GB3095-20</w:t>
      </w:r>
      <w:r>
        <w:rPr>
          <w:rFonts w:hint="eastAsia"/>
          <w:color w:val="000000" w:themeColor="text1"/>
          <w:sz w:val="24"/>
          <w:u w:val="none" w:color="auto"/>
          <w:lang w:val="en-US" w:eastAsia="zh-CN"/>
          <w14:textFill>
            <w14:solidFill>
              <w14:schemeClr w14:val="tx1"/>
            </w14:solidFill>
          </w14:textFill>
        </w:rPr>
        <w:t>26</w:t>
      </w:r>
      <w:r>
        <w:rPr>
          <w:rFonts w:hint="eastAsia"/>
          <w:color w:val="000000" w:themeColor="text1"/>
          <w:sz w:val="24"/>
          <w:u w:val="none" w:color="auto"/>
          <w:lang w:val="zh-CN"/>
          <w14:textFill>
            <w14:solidFill>
              <w14:schemeClr w14:val="tx1"/>
            </w14:solidFill>
          </w14:textFill>
        </w:rPr>
        <w:t>）二级标准</w:t>
      </w:r>
      <w:r>
        <w:rPr>
          <w:rFonts w:hint="eastAsia"/>
          <w:color w:val="000000" w:themeColor="text1"/>
          <w:sz w:val="24"/>
          <w:u w:val="none" w:color="auto"/>
          <w14:textFill>
            <w14:solidFill>
              <w14:schemeClr w14:val="tx1"/>
            </w14:solidFill>
          </w14:textFill>
        </w:rPr>
        <w:t>要求。</w:t>
      </w:r>
    </w:p>
    <w:p w14:paraId="69E04A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val="0"/>
        <w:topLinePunct w:val="0"/>
        <w:autoSpaceDE w:val="0"/>
        <w:autoSpaceDN w:val="0"/>
        <w:bidi w:val="0"/>
        <w:adjustRightInd/>
        <w:snapToGrid/>
        <w:spacing w:beforeAutospacing="0" w:afterAutospacing="0" w:line="360" w:lineRule="auto"/>
        <w:ind w:right="0" w:rightChars="0"/>
        <w:jc w:val="left"/>
        <w:textAlignment w:val="auto"/>
        <w:rPr>
          <w:rFonts w:hint="eastAsia" w:ascii="宋体" w:hAnsi="宋体" w:eastAsia="宋体" w:cs="宋体"/>
          <w:caps w:val="0"/>
          <w:color w:val="000000" w:themeColor="text1"/>
          <w:sz w:val="24"/>
          <w:szCs w:val="24"/>
          <w:highlight w:val="none"/>
          <w:u w:val="none" w:color="auto"/>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cs="宋体"/>
          <w:b/>
          <w:bCs/>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污染源调查</w:t>
      </w:r>
    </w:p>
    <w:p w14:paraId="6973D1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val="0"/>
        <w:topLinePunct w:val="0"/>
        <w:autoSpaceDE w:val="0"/>
        <w:autoSpaceDN w:val="0"/>
        <w:bidi w:val="0"/>
        <w:adjustRightInd/>
        <w:snapToGrid/>
        <w:spacing w:beforeAutospacing="0" w:afterAutospacing="0" w:line="360" w:lineRule="auto"/>
        <w:ind w:right="0" w:rightChars="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5.1项目工艺流程及产物环节</w:t>
      </w:r>
    </w:p>
    <w:p w14:paraId="51B474C5">
      <w:pPr>
        <w:pStyle w:val="33"/>
        <w:keepNext w:val="0"/>
        <w:keepLines w:val="0"/>
        <w:pageBreakBefore w:val="0"/>
        <w:numPr>
          <w:ilvl w:val="0"/>
          <w:numId w:val="0"/>
        </w:numPr>
        <w:kinsoku/>
        <w:wordWrap/>
        <w:overflowPunct w:val="0"/>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生产工艺流程及产物环节详见报告表。</w:t>
      </w:r>
    </w:p>
    <w:p w14:paraId="7D6B7D81">
      <w:pPr>
        <w:pStyle w:val="24"/>
        <w:keepNext/>
        <w:keepLines w:val="0"/>
        <w:pageBreakBefore w:val="0"/>
        <w:widowControl w:val="0"/>
        <w:numPr>
          <w:ilvl w:val="0"/>
          <w:numId w:val="0"/>
        </w:numPr>
        <w:kinsoku/>
        <w:wordWrap/>
        <w:overflowPunct w:val="0"/>
        <w:topLinePunct w:val="0"/>
        <w:autoSpaceDE w:val="0"/>
        <w:autoSpaceDN w:val="0"/>
        <w:bidi w:val="0"/>
        <w:adjustRightInd/>
        <w:snapToGrid/>
        <w:spacing w:after="0" w:line="360" w:lineRule="auto"/>
        <w:ind w:right="0" w:rightChars="0"/>
        <w:jc w:val="both"/>
        <w:textAlignment w:val="auto"/>
        <w:outlineLvl w:val="9"/>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5.2</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废气污染源</w:t>
      </w:r>
    </w:p>
    <w:p w14:paraId="63C265F3">
      <w:pPr>
        <w:keepLines w:val="0"/>
        <w:pageBreakBefore w:val="0"/>
        <w:kinsoku/>
        <w:wordWrap/>
        <w:overflowPunct w:val="0"/>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5.2.1铅酸蓄电池拆解区</w:t>
      </w:r>
    </w:p>
    <w:p w14:paraId="16DB7620">
      <w:pPr>
        <w:pStyle w:val="24"/>
        <w:keepNext/>
        <w:keepLines w:val="0"/>
        <w:pageBreakBefore w:val="0"/>
        <w:widowControl w:val="0"/>
        <w:numPr>
          <w:ilvl w:val="0"/>
          <w:numId w:val="0"/>
        </w:numPr>
        <w:kinsoku/>
        <w:wordWrap/>
        <w:overflowPunct w:val="0"/>
        <w:topLinePunct w:val="0"/>
        <w:autoSpaceDE w:val="0"/>
        <w:autoSpaceDN w:val="0"/>
        <w:bidi w:val="0"/>
        <w:adjustRightInd/>
        <w:snapToGrid/>
        <w:spacing w:after="0" w:line="360" w:lineRule="auto"/>
        <w:ind w:right="0" w:rightChars="0" w:firstLine="482" w:firstLineChars="200"/>
        <w:jc w:val="both"/>
        <w:textAlignment w:val="auto"/>
        <w:outlineLvl w:val="9"/>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1</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硫酸雾</w:t>
      </w:r>
    </w:p>
    <w:p w14:paraId="5F89D60D">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 xml:space="preserve">①正常工况 </w:t>
      </w:r>
    </w:p>
    <w:p w14:paraId="254200B3">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 xml:space="preserve">本项目不进行废旧铅酸蓄电池的拆解、处置等加工环节。  </w:t>
      </w:r>
    </w:p>
    <w:p w14:paraId="54D34686">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报废汽车拆解下来的铅酸蓄电池电解液是较少的，正常拆解条件下，不会导致废旧铅酸蓄电池电解液的泄漏。因此也不会有硫酸雾产生。</w:t>
      </w:r>
    </w:p>
    <w:p w14:paraId="350F18AE">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②非正常工况</w:t>
      </w:r>
    </w:p>
    <w:p w14:paraId="5A14326C">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 xml:space="preserve">非正常工况主要指废旧铅酸蓄电池受外环境影响（如温度、压力、湿度变化），或拆解过程中受到外力撞击，或者外壳老化破损，造成内部酸性液体外漏的情况。废旧铅酸蓄电池在人工转移过程操作高度较低，高空坠落可能性低。由于铅酸蓄电池内部结构紧凑，由汇流排将正负极板焊接固定成组，外部塑料壳做保护，即使因机械故障或操作失当导致铅酸蓄电池坠地或受外部温度等影响，一般情况下不会导致电池完全破碎。 </w:t>
      </w:r>
    </w:p>
    <w:p w14:paraId="7B41C658">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在非正常工况下(人为操作不当)可能出现电池电解液的泄漏，泄漏时采取应急措施，由专用托盘带孔洞设计（用于收集泄漏的电解液，避免污染地面）+带盖密闭专用容器（防酸、防渗）对其进行收集。</w:t>
      </w:r>
    </w:p>
    <w:p w14:paraId="114C36D6">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废铅蓄电池仅在破损时会发生泄漏，单个电池电解液按电池总重量的15%（废铅蓄电池按平均25kg计算，则电解液约为3.75kg），泄漏量按50%，硫酸浓度40%，挥发系数按0.3%，</w:t>
      </w:r>
      <w:r>
        <w:rPr>
          <w:rFonts w:hint="eastAsia" w:ascii="宋体" w:hAnsi="宋体" w:eastAsia="宋体" w:cs="宋体"/>
          <w:color w:val="000000" w:themeColor="text1"/>
          <w:sz w:val="24"/>
          <w:szCs w:val="24"/>
          <w:lang w:val="en-US" w:eastAsia="zh-CN"/>
          <w14:textFill>
            <w14:solidFill>
              <w14:schemeClr w14:val="tx1"/>
            </w14:solidFill>
          </w14:textFill>
        </w:rPr>
        <w:t>则硫酸雾最大挥发</w:t>
      </w:r>
      <w:r>
        <w:rPr>
          <w:rFonts w:hint="eastAsia" w:ascii="宋体" w:hAnsi="宋体" w:eastAsia="宋体" w:cs="宋体"/>
          <w:color w:val="000000" w:themeColor="text1"/>
          <w:kern w:val="0"/>
          <w:sz w:val="24"/>
          <w:szCs w:val="24"/>
          <w:lang w:val="en-US" w:eastAsia="zh-CN" w:bidi="ar"/>
          <w14:textFill>
            <w14:solidFill>
              <w14:schemeClr w14:val="tx1"/>
            </w14:solidFill>
          </w14:textFill>
        </w:rPr>
        <w:t>速率约为0.0019kg/h（从泄露到发现收集按3h计</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431D10C8">
      <w:pPr>
        <w:pStyle w:val="11"/>
        <w:keepNext w:val="0"/>
        <w:keepLines w:val="0"/>
        <w:pageBreakBefore w:val="0"/>
        <w:widowControl w:val="0"/>
        <w:numPr>
          <w:ilvl w:val="0"/>
          <w:numId w:val="0"/>
        </w:numPr>
        <w:kinsoku/>
        <w:wordWrap/>
        <w:overflowPunct w:val="0"/>
        <w:topLinePunct w:val="0"/>
        <w:autoSpaceDE w:val="0"/>
        <w:autoSpaceDN w:val="0"/>
        <w:bidi w:val="0"/>
        <w:adjustRightInd/>
        <w:snapToGrid/>
        <w:spacing w:before="0" w:after="0" w:line="360" w:lineRule="auto"/>
        <w:ind w:left="420" w:leftChars="0" w:right="0" w:rightChars="0"/>
        <w:jc w:val="both"/>
        <w:textAlignment w:val="auto"/>
        <w:outlineLvl w:val="9"/>
        <w:rPr>
          <w:rFonts w:hint="eastAsia" w:ascii="宋体" w:hAnsi="宋体" w:eastAsia="宋体" w:cs="宋体"/>
          <w:color w:val="000000" w:themeColor="text1"/>
          <w:sz w:val="24"/>
          <w:szCs w:val="24"/>
          <w:u w:val="none" w:color="auto"/>
          <w14:textFill>
            <w14:solidFill>
              <w14:schemeClr w14:val="tx1"/>
            </w14:solidFill>
          </w14:textFill>
        </w:rPr>
      </w:pPr>
      <w:r>
        <w:rPr>
          <w:rFonts w:hint="eastAsia" w:ascii="宋体" w:hAnsi="宋体" w:eastAsia="宋体" w:cs="宋体"/>
          <w:color w:val="000000" w:themeColor="text1"/>
          <w:sz w:val="24"/>
          <w:szCs w:val="24"/>
          <w:u w:val="none" w:color="auto"/>
          <w:lang w:eastAsia="zh-CN"/>
          <w14:textFill>
            <w14:solidFill>
              <w14:schemeClr w14:val="tx1"/>
            </w14:solidFill>
          </w14:textFill>
        </w:rPr>
        <w:t>（</w:t>
      </w:r>
      <w:r>
        <w:rPr>
          <w:rFonts w:hint="eastAsia" w:ascii="宋体" w:hAnsi="宋体" w:eastAsia="宋体" w:cs="宋体"/>
          <w:color w:val="000000" w:themeColor="text1"/>
          <w:sz w:val="24"/>
          <w:szCs w:val="24"/>
          <w:u w:val="none" w:color="auto"/>
          <w:lang w:val="en-US" w:eastAsia="zh-CN"/>
          <w14:textFill>
            <w14:solidFill>
              <w14:schemeClr w14:val="tx1"/>
            </w14:solidFill>
          </w14:textFill>
        </w:rPr>
        <w:t>2</w:t>
      </w:r>
      <w:r>
        <w:rPr>
          <w:rFonts w:hint="eastAsia" w:ascii="宋体" w:hAnsi="宋体" w:eastAsia="宋体" w:cs="宋体"/>
          <w:color w:val="000000" w:themeColor="text1"/>
          <w:sz w:val="24"/>
          <w:szCs w:val="24"/>
          <w:u w:val="none" w:color="auto"/>
          <w:lang w:eastAsia="zh-CN"/>
          <w14:textFill>
            <w14:solidFill>
              <w14:schemeClr w14:val="tx1"/>
            </w14:solidFill>
          </w14:textFill>
        </w:rPr>
        <w:t>）</w:t>
      </w:r>
      <w:r>
        <w:rPr>
          <w:rFonts w:hint="eastAsia" w:ascii="宋体" w:hAnsi="宋体" w:eastAsia="宋体" w:cs="宋体"/>
          <w:color w:val="000000" w:themeColor="text1"/>
          <w:sz w:val="24"/>
          <w:szCs w:val="24"/>
          <w:u w:val="none" w:color="auto"/>
          <w14:textFill>
            <w14:solidFill>
              <w14:schemeClr w14:val="tx1"/>
            </w14:solidFill>
          </w14:textFill>
        </w:rPr>
        <w:t>铅尘</w:t>
      </w:r>
    </w:p>
    <w:p w14:paraId="6667842D">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left"/>
        <w:textAlignment w:val="auto"/>
        <w:rPr>
          <w:rFonts w:hint="default" w:ascii="宋体" w:hAnsi="宋体" w:eastAsia="宋体" w:cs="宋体"/>
          <w:b w:val="0"/>
          <w:bCs w:val="0"/>
          <w:caps w:val="0"/>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eastAsia="宋体" w:cs="宋体"/>
          <w:b w:val="0"/>
          <w:bCs w:val="0"/>
          <w:caps w:val="0"/>
          <w:color w:val="000000" w:themeColor="text1"/>
          <w:kern w:val="0"/>
          <w:sz w:val="24"/>
          <w:szCs w:val="24"/>
          <w:highlight w:val="none"/>
          <w:u w:val="none"/>
          <w:lang w:val="en-US" w:eastAsia="zh-CN" w:bidi="ar-SA"/>
          <w14:textFill>
            <w14:solidFill>
              <w14:schemeClr w14:val="tx1"/>
            </w14:solidFill>
          </w14:textFill>
        </w:rPr>
        <w:t>项目废铅蓄电池叉车转移过程操作高度较低，不存在高空坠落等可能。而且铅蓄电池内部结构紧凑，由汇流排将正负极板焊接固定成组，外部塑料壳做保护。即使因机械故障或操作失当导致废铅蓄电池坠地，或受外部温度等影响一般亦不会导致电池完全破碎。电池外壳破裂过程主要有少量酸雾挥发产生，且极板受电解液影响，具有一定粘性，即使受外力压迫导致破裂，亦主要呈块/渣状及时收集后产生含铅扬尘量极少。由于电池中含铅物质主要为正负极板和附着于极板上的活性物质铅膏，产生铅尘的物质主要为铅膏，铅约占电池重量的82%，铅膏约占铅总量的30%。本次评价按破损电池铅膏泄漏1%，则铅尘产生量约为0.06g。</w:t>
      </w:r>
      <w:r>
        <w:rPr>
          <w:rFonts w:hint="eastAsia" w:ascii="宋体" w:hAnsi="宋体" w:cs="宋体"/>
          <w:color w:val="000000" w:themeColor="text1"/>
          <w:sz w:val="24"/>
          <w:szCs w:val="24"/>
          <w:lang w:val="en-US" w:eastAsia="zh-CN"/>
          <w14:textFill>
            <w14:solidFill>
              <w14:schemeClr w14:val="tx1"/>
            </w14:solidFill>
          </w14:textFill>
        </w:rPr>
        <w:t>则铅尘最大挥发</w:t>
      </w:r>
      <w:r>
        <w:rPr>
          <w:rFonts w:hint="eastAsia" w:ascii="宋体" w:hAnsi="宋体" w:eastAsia="宋体" w:cs="宋体"/>
          <w:color w:val="000000" w:themeColor="text1"/>
          <w:kern w:val="0"/>
          <w:sz w:val="24"/>
          <w:szCs w:val="24"/>
          <w:lang w:val="en-US" w:eastAsia="zh-CN" w:bidi="ar"/>
          <w14:textFill>
            <w14:solidFill>
              <w14:schemeClr w14:val="tx1"/>
            </w14:solidFill>
          </w14:textFill>
        </w:rPr>
        <w:t>速率约为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g/h</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（从泄露到发现收集按3h计</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ascii="宋体" w:hAnsi="宋体" w:eastAsia="宋体" w:cs="宋体"/>
          <w:color w:val="000000" w:themeColor="text1"/>
          <w:spacing w:val="-4"/>
          <w:sz w:val="24"/>
          <w:szCs w:val="24"/>
          <w:u w:val="none" w:color="auto"/>
          <w14:textFill>
            <w14:solidFill>
              <w14:schemeClr w14:val="tx1"/>
            </w14:solidFill>
          </w14:textFill>
        </w:rPr>
        <w:t>根据预测结果，无组织硫酸雾排放浓度为</w:t>
      </w:r>
      <w:r>
        <w:rPr>
          <w:rFonts w:ascii="宋体" w:hAnsi="宋体" w:eastAsia="宋体" w:cs="宋体"/>
          <w:color w:val="000000" w:themeColor="text1"/>
          <w:spacing w:val="-50"/>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4"/>
          <w:sz w:val="24"/>
          <w:szCs w:val="24"/>
          <w:u w:val="none" w:color="auto"/>
          <w14:textFill>
            <w14:solidFill>
              <w14:schemeClr w14:val="tx1"/>
            </w14:solidFill>
          </w14:textFill>
        </w:rPr>
        <w:t>0.</w:t>
      </w:r>
      <w:r>
        <w:rPr>
          <w:rFonts w:hint="eastAsia" w:eastAsia="宋体" w:cs="Times New Roman"/>
          <w:color w:val="000000" w:themeColor="text1"/>
          <w:spacing w:val="-4"/>
          <w:sz w:val="24"/>
          <w:szCs w:val="24"/>
          <w:u w:val="none" w:color="auto"/>
          <w:lang w:val="en-US" w:eastAsia="zh-CN"/>
          <w14:textFill>
            <w14:solidFill>
              <w14:schemeClr w14:val="tx1"/>
            </w14:solidFill>
          </w14:textFill>
        </w:rPr>
        <w:t>551</w:t>
      </w:r>
      <w:r>
        <w:rPr>
          <w:rFonts w:ascii="Times New Roman" w:hAnsi="Times New Roman" w:eastAsia="Times New Roman" w:cs="Times New Roman"/>
          <w:color w:val="000000" w:themeColor="text1"/>
          <w:spacing w:val="-4"/>
          <w:sz w:val="24"/>
          <w:szCs w:val="24"/>
          <w:u w:val="none" w:color="auto"/>
          <w14:textFill>
            <w14:solidFill>
              <w14:schemeClr w14:val="tx1"/>
            </w14:solidFill>
          </w14:textFill>
        </w:rPr>
        <w:t>ug/m</w:t>
      </w:r>
      <w:r>
        <w:rPr>
          <w:rFonts w:hint="eastAsia" w:eastAsia="宋体" w:cs="Times New Roman"/>
          <w:color w:val="000000" w:themeColor="text1"/>
          <w:spacing w:val="-4"/>
          <w:sz w:val="24"/>
          <w:szCs w:val="24"/>
          <w:u w:val="none" w:color="auto"/>
          <w:vertAlign w:val="superscript"/>
          <w:lang w:val="en-US" w:eastAsia="zh-CN"/>
          <w14:textFill>
            <w14:solidFill>
              <w14:schemeClr w14:val="tx1"/>
            </w14:solidFill>
          </w14:textFill>
        </w:rPr>
        <w:t>3</w:t>
      </w:r>
      <w:r>
        <w:rPr>
          <w:rFonts w:ascii="宋体" w:hAnsi="宋体" w:eastAsia="宋体" w:cs="宋体"/>
          <w:color w:val="000000" w:themeColor="text1"/>
          <w:spacing w:val="-4"/>
          <w:sz w:val="24"/>
          <w:szCs w:val="24"/>
          <w:u w:val="none" w:color="auto"/>
          <w14:textFill>
            <w14:solidFill>
              <w14:schemeClr w14:val="tx1"/>
            </w14:solidFill>
          </w14:textFill>
        </w:rPr>
        <w:t>，铅尘排</w:t>
      </w:r>
      <w:r>
        <w:rPr>
          <w:rFonts w:ascii="宋体" w:hAnsi="宋体" w:eastAsia="宋体" w:cs="宋体"/>
          <w:color w:val="000000" w:themeColor="text1"/>
          <w:spacing w:val="1"/>
          <w:sz w:val="24"/>
          <w:szCs w:val="24"/>
          <w:u w:val="none" w:color="auto"/>
          <w14:textFill>
            <w14:solidFill>
              <w14:schemeClr w14:val="tx1"/>
            </w14:solidFill>
          </w14:textFill>
        </w:rPr>
        <w:t>放浓度为</w:t>
      </w:r>
      <w:r>
        <w:rPr>
          <w:rFonts w:ascii="宋体" w:hAnsi="宋体" w:eastAsia="宋体" w:cs="宋体"/>
          <w:color w:val="000000" w:themeColor="text1"/>
          <w:spacing w:val="-49"/>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u w:val="none" w:color="auto"/>
          <w14:textFill>
            <w14:solidFill>
              <w14:schemeClr w14:val="tx1"/>
            </w14:solidFill>
          </w14:textFill>
        </w:rPr>
        <w:t>0.00</w:t>
      </w:r>
      <w:r>
        <w:rPr>
          <w:rFonts w:hint="eastAsia" w:cs="Times New Roman"/>
          <w:color w:val="000000" w:themeColor="text1"/>
          <w:spacing w:val="1"/>
          <w:sz w:val="24"/>
          <w:szCs w:val="24"/>
          <w:u w:val="none" w:color="auto"/>
          <w:lang w:val="en-US" w:eastAsia="zh-CN"/>
          <w14:textFill>
            <w14:solidFill>
              <w14:schemeClr w14:val="tx1"/>
            </w14:solidFill>
          </w14:textFill>
        </w:rPr>
        <w:t>1</w:t>
      </w:r>
      <w:r>
        <w:rPr>
          <w:rFonts w:ascii="Times New Roman" w:hAnsi="Times New Roman" w:eastAsia="Times New Roman" w:cs="Times New Roman"/>
          <w:color w:val="000000" w:themeColor="text1"/>
          <w:sz w:val="24"/>
          <w:szCs w:val="24"/>
          <w:u w:val="none" w:color="auto"/>
          <w14:textFill>
            <w14:solidFill>
              <w14:schemeClr w14:val="tx1"/>
            </w14:solidFill>
          </w14:textFill>
        </w:rPr>
        <w:t>ug</w:t>
      </w:r>
      <w:r>
        <w:rPr>
          <w:rFonts w:ascii="Times New Roman" w:hAnsi="Times New Roman" w:eastAsia="Times New Roman" w:cs="Times New Roman"/>
          <w:color w:val="000000" w:themeColor="text1"/>
          <w:spacing w:val="1"/>
          <w:sz w:val="24"/>
          <w:szCs w:val="24"/>
          <w:u w:val="none" w:color="auto"/>
          <w14:textFill>
            <w14:solidFill>
              <w14:schemeClr w14:val="tx1"/>
            </w14:solidFill>
          </w14:textFill>
        </w:rPr>
        <w:t>/m</w:t>
      </w:r>
      <w:r>
        <w:rPr>
          <w:rFonts w:hint="eastAsia" w:eastAsia="宋体" w:cs="Times New Roman"/>
          <w:color w:val="000000" w:themeColor="text1"/>
          <w:spacing w:val="1"/>
          <w:sz w:val="24"/>
          <w:szCs w:val="24"/>
          <w:u w:val="none" w:color="auto"/>
          <w:vertAlign w:val="superscript"/>
          <w:lang w:val="en-US" w:eastAsia="zh-CN"/>
          <w14:textFill>
            <w14:solidFill>
              <w14:schemeClr w14:val="tx1"/>
            </w14:solidFill>
          </w14:textFill>
        </w:rPr>
        <w:t>3</w:t>
      </w:r>
      <w:r>
        <w:rPr>
          <w:rFonts w:ascii="宋体" w:hAnsi="宋体" w:eastAsia="宋体" w:cs="宋体"/>
          <w:color w:val="000000" w:themeColor="text1"/>
          <w:spacing w:val="1"/>
          <w:sz w:val="24"/>
          <w:szCs w:val="24"/>
          <w:u w:val="none" w:color="auto"/>
          <w14:textFill>
            <w14:solidFill>
              <w14:schemeClr w14:val="tx1"/>
            </w14:solidFill>
          </w14:textFill>
        </w:rPr>
        <w:t>，能够满足《大</w:t>
      </w:r>
      <w:r>
        <w:rPr>
          <w:rFonts w:ascii="宋体" w:hAnsi="宋体" w:eastAsia="宋体" w:cs="宋体"/>
          <w:color w:val="000000" w:themeColor="text1"/>
          <w:sz w:val="24"/>
          <w:szCs w:val="24"/>
          <w:u w:val="none" w:color="auto"/>
          <w14:textFill>
            <w14:solidFill>
              <w14:schemeClr w14:val="tx1"/>
            </w14:solidFill>
          </w14:textFill>
        </w:rPr>
        <w:t>气污染物综合排放标准》（</w:t>
      </w:r>
      <w:r>
        <w:rPr>
          <w:rFonts w:ascii="Times New Roman" w:hAnsi="Times New Roman" w:eastAsia="Times New Roman" w:cs="Times New Roman"/>
          <w:color w:val="000000" w:themeColor="text1"/>
          <w:sz w:val="24"/>
          <w:szCs w:val="24"/>
          <w:u w:val="none" w:color="auto"/>
          <w14:textFill>
            <w14:solidFill>
              <w14:schemeClr w14:val="tx1"/>
            </w14:solidFill>
          </w14:textFill>
        </w:rPr>
        <w:t>GB16297-1996</w:t>
      </w:r>
      <w:r>
        <w:rPr>
          <w:rFonts w:ascii="宋体" w:hAnsi="宋体" w:eastAsia="宋体" w:cs="宋体"/>
          <w:color w:val="000000" w:themeColor="text1"/>
          <w:sz w:val="24"/>
          <w:szCs w:val="24"/>
          <w:u w:val="none" w:color="auto"/>
          <w14:textFill>
            <w14:solidFill>
              <w14:schemeClr w14:val="tx1"/>
            </w14:solidFill>
          </w14:textFill>
        </w:rPr>
        <w:t>）中</w:t>
      </w:r>
      <w:r>
        <w:rPr>
          <w:rFonts w:ascii="宋体" w:hAnsi="宋体" w:eastAsia="宋体" w:cs="宋体"/>
          <w:color w:val="000000" w:themeColor="text1"/>
          <w:spacing w:val="2"/>
          <w:sz w:val="24"/>
          <w:szCs w:val="24"/>
          <w:u w:val="none" w:color="auto"/>
          <w14:textFill>
            <w14:solidFill>
              <w14:schemeClr w14:val="tx1"/>
            </w14:solidFill>
          </w14:textFill>
        </w:rPr>
        <w:t>无组织排放监控浓度限值要求</w:t>
      </w:r>
      <w:r>
        <w:rPr>
          <w:rFonts w:hint="eastAsia" w:ascii="宋体" w:hAnsi="宋体" w:eastAsia="宋体" w:cs="宋体"/>
          <w:color w:val="000000" w:themeColor="text1"/>
          <w:spacing w:val="2"/>
          <w:sz w:val="24"/>
          <w:szCs w:val="24"/>
          <w:u w:val="none" w:color="auto"/>
          <w:lang w:eastAsia="zh-CN"/>
          <w14:textFill>
            <w14:solidFill>
              <w14:schemeClr w14:val="tx1"/>
            </w14:solidFill>
          </w14:textFill>
        </w:rPr>
        <w:t>（</w:t>
      </w:r>
      <w:r>
        <w:rPr>
          <w:rFonts w:ascii="宋体" w:hAnsi="宋体" w:eastAsia="宋体" w:cs="宋体"/>
          <w:color w:val="000000" w:themeColor="text1"/>
          <w:spacing w:val="-4"/>
          <w:sz w:val="24"/>
          <w:szCs w:val="24"/>
          <w:u w:val="none" w:color="auto"/>
          <w14:textFill>
            <w14:solidFill>
              <w14:schemeClr w14:val="tx1"/>
            </w14:solidFill>
          </w14:textFill>
        </w:rPr>
        <w:t>硫酸雾排放浓度为</w:t>
      </w:r>
      <w:r>
        <w:rPr>
          <w:rFonts w:hint="eastAsia" w:ascii="宋体" w:hAnsi="宋体" w:eastAsia="宋体" w:cs="宋体"/>
          <w:color w:val="000000" w:themeColor="text1"/>
          <w:spacing w:val="-4"/>
          <w:sz w:val="24"/>
          <w:szCs w:val="24"/>
          <w:u w:val="none" w:color="auto"/>
          <w:lang w:val="en-US" w:eastAsia="zh-CN"/>
          <w14:textFill>
            <w14:solidFill>
              <w14:schemeClr w14:val="tx1"/>
            </w14:solidFill>
          </w14:textFill>
        </w:rPr>
        <w:t>1.2</w:t>
      </w:r>
      <w:r>
        <w:rPr>
          <w:rFonts w:ascii="Times New Roman" w:hAnsi="Times New Roman" w:eastAsia="Times New Roman" w:cs="Times New Roman"/>
          <w:color w:val="000000" w:themeColor="text1"/>
          <w:sz w:val="24"/>
          <w:szCs w:val="24"/>
          <w:u w:val="none" w:color="auto"/>
          <w14:textFill>
            <w14:solidFill>
              <w14:schemeClr w14:val="tx1"/>
            </w14:solidFill>
          </w14:textFill>
        </w:rPr>
        <w:t>mg</w:t>
      </w:r>
      <w:r>
        <w:rPr>
          <w:rFonts w:ascii="Times New Roman" w:hAnsi="Times New Roman" w:eastAsia="Times New Roman" w:cs="Times New Roman"/>
          <w:color w:val="000000" w:themeColor="text1"/>
          <w:spacing w:val="7"/>
          <w:sz w:val="24"/>
          <w:szCs w:val="24"/>
          <w:u w:val="none" w:color="auto"/>
          <w14:textFill>
            <w14:solidFill>
              <w14:schemeClr w14:val="tx1"/>
            </w14:solidFill>
          </w14:textFill>
        </w:rPr>
        <w:t>/m</w:t>
      </w:r>
      <w:r>
        <w:rPr>
          <w:rFonts w:hint="eastAsia" w:eastAsia="宋体" w:cs="Times New Roman"/>
          <w:color w:val="000000" w:themeColor="text1"/>
          <w:spacing w:val="-4"/>
          <w:sz w:val="24"/>
          <w:szCs w:val="24"/>
          <w:u w:val="none" w:color="auto"/>
          <w:vertAlign w:val="superscript"/>
          <w:lang w:val="en-US" w:eastAsia="zh-CN"/>
          <w14:textFill>
            <w14:solidFill>
              <w14:schemeClr w14:val="tx1"/>
            </w14:solidFill>
          </w14:textFill>
        </w:rPr>
        <w:t>3</w:t>
      </w:r>
      <w:r>
        <w:rPr>
          <w:rFonts w:ascii="宋体" w:hAnsi="宋体" w:eastAsia="宋体" w:cs="宋体"/>
          <w:color w:val="000000" w:themeColor="text1"/>
          <w:spacing w:val="1"/>
          <w:sz w:val="24"/>
          <w:szCs w:val="24"/>
          <w:u w:val="none" w:color="auto"/>
          <w14:textFill>
            <w14:solidFill>
              <w14:schemeClr w14:val="tx1"/>
            </w14:solidFill>
          </w14:textFill>
        </w:rPr>
        <w:t>，</w:t>
      </w:r>
      <w:r>
        <w:rPr>
          <w:rFonts w:ascii="宋体" w:hAnsi="宋体" w:eastAsia="宋体" w:cs="宋体"/>
          <w:color w:val="000000" w:themeColor="text1"/>
          <w:spacing w:val="-4"/>
          <w:sz w:val="24"/>
          <w:szCs w:val="24"/>
          <w:u w:val="none" w:color="auto"/>
          <w14:textFill>
            <w14:solidFill>
              <w14:schemeClr w14:val="tx1"/>
            </w14:solidFill>
          </w14:textFill>
        </w:rPr>
        <w:t>铅尘排</w:t>
      </w:r>
      <w:r>
        <w:rPr>
          <w:rFonts w:ascii="宋体" w:hAnsi="宋体" w:eastAsia="宋体" w:cs="宋体"/>
          <w:color w:val="000000" w:themeColor="text1"/>
          <w:spacing w:val="1"/>
          <w:sz w:val="24"/>
          <w:szCs w:val="24"/>
          <w:u w:val="none" w:color="auto"/>
          <w14:textFill>
            <w14:solidFill>
              <w14:schemeClr w14:val="tx1"/>
            </w14:solidFill>
          </w14:textFill>
        </w:rPr>
        <w:t>放浓度为</w:t>
      </w:r>
      <w:r>
        <w:rPr>
          <w:rFonts w:ascii="宋体" w:hAnsi="宋体" w:eastAsia="宋体" w:cs="宋体"/>
          <w:color w:val="000000" w:themeColor="text1"/>
          <w:spacing w:val="-49"/>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u w:val="none" w:color="auto"/>
          <w14:textFill>
            <w14:solidFill>
              <w14:schemeClr w14:val="tx1"/>
            </w14:solidFill>
          </w14:textFill>
        </w:rPr>
        <w:t>0.00</w:t>
      </w:r>
      <w:r>
        <w:rPr>
          <w:rFonts w:hint="eastAsia" w:eastAsia="宋体" w:cs="Times New Roman"/>
          <w:color w:val="000000" w:themeColor="text1"/>
          <w:spacing w:val="1"/>
          <w:sz w:val="24"/>
          <w:szCs w:val="24"/>
          <w:u w:val="none" w:color="auto"/>
          <w:lang w:val="en-US" w:eastAsia="zh-CN"/>
          <w14:textFill>
            <w14:solidFill>
              <w14:schemeClr w14:val="tx1"/>
            </w14:solidFill>
          </w14:textFill>
        </w:rPr>
        <w:t>6</w:t>
      </w:r>
      <w:r>
        <w:rPr>
          <w:rFonts w:hint="eastAsia" w:eastAsia="宋体" w:cs="Times New Roman"/>
          <w:color w:val="000000" w:themeColor="text1"/>
          <w:sz w:val="24"/>
          <w:szCs w:val="24"/>
          <w:u w:val="none" w:color="auto"/>
          <w:lang w:val="en-US" w:eastAsia="zh-CN"/>
          <w14:textFill>
            <w14:solidFill>
              <w14:schemeClr w14:val="tx1"/>
            </w14:solidFill>
          </w14:textFill>
        </w:rPr>
        <w:t>m</w:t>
      </w:r>
      <w:r>
        <w:rPr>
          <w:rFonts w:ascii="Times New Roman" w:hAnsi="Times New Roman" w:eastAsia="Times New Roman" w:cs="Times New Roman"/>
          <w:color w:val="000000" w:themeColor="text1"/>
          <w:sz w:val="24"/>
          <w:szCs w:val="24"/>
          <w:u w:val="none" w:color="auto"/>
          <w14:textFill>
            <w14:solidFill>
              <w14:schemeClr w14:val="tx1"/>
            </w14:solidFill>
          </w14:textFill>
        </w:rPr>
        <w:t>g</w:t>
      </w:r>
      <w:r>
        <w:rPr>
          <w:rFonts w:ascii="Times New Roman" w:hAnsi="Times New Roman" w:eastAsia="Times New Roman" w:cs="Times New Roman"/>
          <w:color w:val="000000" w:themeColor="text1"/>
          <w:spacing w:val="1"/>
          <w:sz w:val="24"/>
          <w:szCs w:val="24"/>
          <w:u w:val="none" w:color="auto"/>
          <w14:textFill>
            <w14:solidFill>
              <w14:schemeClr w14:val="tx1"/>
            </w14:solidFill>
          </w14:textFill>
        </w:rPr>
        <w:t>/m</w:t>
      </w:r>
      <w:r>
        <w:rPr>
          <w:rFonts w:hint="eastAsia" w:eastAsia="宋体" w:cs="Times New Roman"/>
          <w:color w:val="000000" w:themeColor="text1"/>
          <w:spacing w:val="-4"/>
          <w:sz w:val="24"/>
          <w:szCs w:val="24"/>
          <w:u w:val="none" w:color="auto"/>
          <w:vertAlign w:val="superscript"/>
          <w:lang w:val="en-US" w:eastAsia="zh-CN"/>
          <w14:textFill>
            <w14:solidFill>
              <w14:schemeClr w14:val="tx1"/>
            </w14:solidFill>
          </w14:textFill>
        </w:rPr>
        <w:t>3</w:t>
      </w:r>
      <w:r>
        <w:rPr>
          <w:rFonts w:ascii="宋体" w:hAnsi="宋体" w:eastAsia="宋体" w:cs="宋体"/>
          <w:color w:val="000000" w:themeColor="text1"/>
          <w:sz w:val="24"/>
          <w:szCs w:val="24"/>
          <w:u w:val="none" w:color="auto"/>
          <w14:textFill>
            <w14:solidFill>
              <w14:schemeClr w14:val="tx1"/>
            </w14:solidFill>
          </w14:textFill>
        </w:rPr>
        <w:t>）</w:t>
      </w:r>
      <w:r>
        <w:rPr>
          <w:rFonts w:ascii="宋体" w:hAnsi="宋体" w:eastAsia="宋体" w:cs="宋体"/>
          <w:color w:val="000000" w:themeColor="text1"/>
          <w:spacing w:val="2"/>
          <w:sz w:val="24"/>
          <w:szCs w:val="24"/>
          <w:u w:val="none" w:color="auto"/>
          <w14:textFill>
            <w14:solidFill>
              <w14:schemeClr w14:val="tx1"/>
            </w14:solidFill>
          </w14:textFill>
        </w:rPr>
        <w:t>。</w:t>
      </w:r>
    </w:p>
    <w:p w14:paraId="36A0B1F3">
      <w:pPr>
        <w:keepLines w:val="0"/>
        <w:pageBreakBefore w:val="0"/>
        <w:kinsoku/>
        <w:wordWrap/>
        <w:overflowPunct w:val="0"/>
        <w:topLinePunct w:val="0"/>
        <w:autoSpaceDE w:val="0"/>
        <w:autoSpaceDN w:val="0"/>
        <w:bidi w:val="0"/>
        <w:adjustRightInd/>
        <w:snapToGrid/>
        <w:spacing w:line="360" w:lineRule="auto"/>
        <w:textAlignment w:val="auto"/>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pPr>
      <w:r>
        <w:rPr>
          <w:rFonts w:hint="eastAsia" w:eastAsia="宋体" w:cs="Times New Roman"/>
          <w:b/>
          <w:bCs/>
          <w:color w:val="000000" w:themeColor="text1"/>
          <w:kern w:val="2"/>
          <w:sz w:val="24"/>
          <w:szCs w:val="24"/>
          <w:highlight w:val="none"/>
          <w:lang w:val="en-US" w:eastAsia="zh-CN" w:bidi="ar-SA"/>
          <w14:textFill>
            <w14:solidFill>
              <w14:schemeClr w14:val="tx1"/>
            </w14:solidFill>
          </w14:textFill>
        </w:rPr>
        <w:t>5.2.2</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预处理车间</w:t>
      </w:r>
    </w:p>
    <w:p w14:paraId="3F77E939">
      <w:pPr>
        <w:pStyle w:val="23"/>
        <w:keepNext w:val="0"/>
        <w:keepLines w:val="0"/>
        <w:pageBreakBefore w:val="0"/>
        <w:widowControl w:val="0"/>
        <w:kinsoku/>
        <w:wordWrap/>
        <w:overflowPunct w:val="0"/>
        <w:topLinePunct w:val="0"/>
        <w:autoSpaceDE w:val="0"/>
        <w:autoSpaceDN w:val="0"/>
        <w:bidi w:val="0"/>
        <w:adjustRightInd/>
        <w:snapToGrid/>
        <w:spacing w:after="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（1）非甲烷总烃</w:t>
      </w:r>
    </w:p>
    <w:p w14:paraId="0ECA2AAB">
      <w:pPr>
        <w:keepNext w:val="0"/>
        <w:keepLines w:val="0"/>
        <w:pageBreakBefore w:val="0"/>
        <w:widowControl w:val="0"/>
        <w:numPr>
          <w:ilvl w:val="0"/>
          <w:numId w:val="0"/>
        </w:numPr>
        <w:kinsoku/>
        <w:wordWrap/>
        <w:overflowPunct w:val="0"/>
        <w:topLinePunct w:val="0"/>
        <w:autoSpaceDE w:val="0"/>
        <w:autoSpaceDN w:val="0"/>
        <w:bidi w:val="0"/>
        <w:adjustRightInd/>
        <w:snapToGrid/>
        <w:spacing w:line="360" w:lineRule="auto"/>
        <w:ind w:left="0" w:leftChars="0" w:right="0" w:rightChars="0"/>
        <w:jc w:val="both"/>
        <w:textAlignment w:val="auto"/>
        <w:outlineLvl w:val="9"/>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imes New Roman" w:hAnsi="Times New Roman"/>
          <w:bCs/>
          <w:color w:val="000000" w:themeColor="text1"/>
          <w:kern w:val="2"/>
          <w:sz w:val="24"/>
          <w:szCs w:val="24"/>
          <w:lang w:bidi="ar"/>
          <w14:textFill>
            <w14:solidFill>
              <w14:schemeClr w14:val="tx1"/>
            </w14:solidFill>
          </w14:textFill>
        </w:rPr>
        <w:t>本项目拆解过程中可能产生的有机废气主要为废</w:t>
      </w:r>
      <w:r>
        <w:rPr>
          <w:rFonts w:hint="eastAsia"/>
          <w:bCs/>
          <w:color w:val="000000" w:themeColor="text1"/>
          <w:kern w:val="2"/>
          <w:sz w:val="24"/>
          <w:szCs w:val="24"/>
          <w:lang w:val="en-US" w:eastAsia="zh-CN" w:bidi="ar"/>
          <w14:textFill>
            <w14:solidFill>
              <w14:schemeClr w14:val="tx1"/>
            </w14:solidFill>
          </w14:textFill>
        </w:rPr>
        <w:t>有机</w:t>
      </w:r>
      <w:r>
        <w:rPr>
          <w:rFonts w:hint="eastAsia" w:ascii="Times New Roman" w:hAnsi="Times New Roman"/>
          <w:bCs/>
          <w:color w:val="000000" w:themeColor="text1"/>
          <w:kern w:val="2"/>
          <w:sz w:val="24"/>
          <w:szCs w:val="24"/>
          <w:lang w:bidi="ar"/>
          <w14:textFill>
            <w14:solidFill>
              <w14:schemeClr w14:val="tx1"/>
            </w14:solidFill>
          </w14:textFill>
        </w:rPr>
        <w:t>液抽取和残留于油箱内的燃料挥发产生的含C4~C10各族烃类组成的有机废气（以非甲烷总烃计）。项目在拆解过程中，首先对各类废油、液进行封闭抽取，抽取后采用封闭罐体进行储存，储油罐在灌注、储存、出油过程中会有少量有机物（非甲烷总烃）通过管线、阀门等挥发而释放到环境空气中。根据国内对汽油损耗调查结果表明：开放式流程损耗约为1.4%～2.0%，密闭式流程损耗在0.3%～0.5%以下。另外参照《散装液态石油产品损耗》（GB11085-89）中灌桶（0.18%）和零售加注时（0.29%）的两部分损失率，按总体0.5%的损失率进行计算</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，结合项目物料平衡分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析，</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预处理车间</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非甲烷总烃产生量约为0.</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539</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t/a（</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0.225</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kg/h）通过集气罩收集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(收集效率为80%)</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，由活性炭吸附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(去除率为15％)</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后</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经15m高的排气筒高空排放</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车间</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非甲烷总烃最终排放量为0.</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009</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kg/h</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,排放浓度为1.8mg</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/m</w:t>
      </w:r>
      <w:r>
        <w:rPr>
          <w:rFonts w:hint="eastAsia" w:asciiTheme="minorEastAsia" w:hAnsiTheme="minorEastAsia" w:eastAsiaTheme="minorEastAsia" w:cstheme="minorEastAsia"/>
          <w:color w:val="000000" w:themeColor="text1"/>
          <w:sz w:val="24"/>
          <w:szCs w:val="24"/>
          <w:highlight w:val="none"/>
          <w:vertAlign w:val="superscript"/>
          <w:lang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。详见表</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4－1</w:t>
      </w:r>
      <w:r>
        <w:rPr>
          <w:rFonts w:hint="eastAsia" w:ascii="宋体" w:hAnsi="宋体" w:eastAsia="宋体" w:cs="宋体"/>
          <w:color w:val="000000" w:themeColor="text1"/>
          <w:sz w:val="24"/>
          <w:szCs w:val="24"/>
          <w:highlight w:val="none"/>
          <w14:textFill>
            <w14:solidFill>
              <w14:schemeClr w14:val="tx1"/>
            </w14:solidFill>
          </w14:textFill>
        </w:rPr>
        <w:t>。</w:t>
      </w:r>
    </w:p>
    <w:p w14:paraId="2C09B17D">
      <w:pPr>
        <w:pStyle w:val="23"/>
        <w:keepLines w:val="0"/>
        <w:pageBreakBefore w:val="0"/>
        <w:kinsoku/>
        <w:wordWrap/>
        <w:overflowPunct w:val="0"/>
        <w:topLinePunct w:val="0"/>
        <w:autoSpaceDE w:val="0"/>
        <w:autoSpaceDN w:val="0"/>
        <w:bidi w:val="0"/>
        <w:adjustRightInd/>
        <w:snapToGrid/>
        <w:spacing w:after="0" w:line="360" w:lineRule="auto"/>
        <w:textAlignment w:val="auto"/>
        <w:rPr>
          <w:rFonts w:hint="eastAsia" w:eastAsia="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（2)粉尘</w:t>
      </w:r>
    </w:p>
    <w:p w14:paraId="49F5A881">
      <w:pPr>
        <w:keepNext w:val="0"/>
        <w:keepLines w:val="0"/>
        <w:pageBreakBefore w:val="0"/>
        <w:widowControl w:val="0"/>
        <w:numPr>
          <w:ilvl w:val="0"/>
          <w:numId w:val="0"/>
        </w:numPr>
        <w:kinsoku/>
        <w:wordWrap/>
        <w:overflowPunct w:val="0"/>
        <w:topLinePunct w:val="0"/>
        <w:autoSpaceDE w:val="0"/>
        <w:autoSpaceDN w:val="0"/>
        <w:bidi w:val="0"/>
        <w:adjustRightInd/>
        <w:snapToGrid/>
        <w:spacing w:line="360" w:lineRule="auto"/>
        <w:ind w:right="0" w:rightChars="0"/>
        <w:textAlignment w:val="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通过物料平衡可以看出</w:t>
      </w:r>
      <w:r>
        <w:rPr>
          <w:rFonts w:hint="eastAsia" w:ascii="宋体" w:hAnsi="宋体" w:cs="宋体"/>
          <w:color w:val="000000" w:themeColor="text1"/>
          <w:sz w:val="24"/>
          <w:szCs w:val="24"/>
          <w:lang w:eastAsia="zh-CN"/>
          <w14:textFill>
            <w14:solidFill>
              <w14:schemeClr w14:val="tx1"/>
            </w14:solidFill>
          </w14:textFill>
        </w:rPr>
        <w:t>预处理车间尼龙粉尘产生量较小</w:t>
      </w:r>
      <w:r>
        <w:rPr>
          <w:rFonts w:hint="eastAsia" w:ascii="宋体" w:hAnsi="宋体" w:cs="宋体"/>
          <w:color w:val="000000" w:themeColor="text1"/>
          <w:sz w:val="24"/>
          <w:szCs w:val="24"/>
          <w:lang w:val="en-US" w:eastAsia="zh-CN"/>
          <w14:textFill>
            <w14:solidFill>
              <w14:schemeClr w14:val="tx1"/>
            </w14:solidFill>
          </w14:textFill>
        </w:rPr>
        <w:t>,粉尘产生速率仅为0.013t/a(5.4g/h),不会对外环境产生不良影响</w:t>
      </w:r>
      <w:r>
        <w:rPr>
          <w:rFonts w:hint="eastAsia" w:ascii="宋体" w:hAnsi="宋体" w:eastAsia="宋体" w:cs="宋体"/>
          <w:color w:val="000000" w:themeColor="text1"/>
          <w:sz w:val="24"/>
          <w:szCs w:val="24"/>
          <w14:textFill>
            <w14:solidFill>
              <w14:schemeClr w14:val="tx1"/>
            </w14:solidFill>
          </w14:textFill>
        </w:rPr>
        <w:t>。</w:t>
      </w:r>
    </w:p>
    <w:p w14:paraId="1B898E3B">
      <w:pPr>
        <w:keepNext w:val="0"/>
        <w:keepLines w:val="0"/>
        <w:pageBreakBefore w:val="0"/>
        <w:widowControl w:val="0"/>
        <w:kinsoku/>
        <w:wordWrap/>
        <w:overflowPunct w:val="0"/>
        <w:topLinePunct w:val="0"/>
        <w:autoSpaceDE w:val="0"/>
        <w:autoSpaceDN w:val="0"/>
        <w:bidi w:val="0"/>
        <w:adjustRightInd/>
        <w:snapToGrid/>
        <w:spacing w:line="360" w:lineRule="auto"/>
        <w:ind w:left="0" w:leftChars="0" w:right="0" w:rightChars="0" w:firstLine="482"/>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制冷剂回收废气</w:t>
      </w:r>
    </w:p>
    <w:p w14:paraId="7E3F76B1">
      <w:pPr>
        <w:keepNext w:val="0"/>
        <w:keepLines w:val="0"/>
        <w:pageBreakBefore w:val="0"/>
        <w:widowControl w:val="0"/>
        <w:kinsoku/>
        <w:wordWrap/>
        <w:overflowPunct w:val="0"/>
        <w:topLinePunct w:val="0"/>
        <w:autoSpaceDE w:val="0"/>
        <w:autoSpaceDN w:val="0"/>
        <w:bidi w:val="0"/>
        <w:adjustRightInd/>
        <w:snapToGrid/>
        <w:spacing w:line="360" w:lineRule="auto"/>
        <w:ind w:left="0" w:leftChars="0" w:right="0" w:rightChars="0" w:firstLine="482"/>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在正式拆解前，用专用的汽车空调系统制冷剂收集装置将制冷剂（R134a）分别收集到不同的密闭容器中进行储存，在制冷剂的收集过程中，仅在连接、储存过程中会有少量制冷剂通过管线、阀门等以无组织形式释放到环境空气中，泄漏出来的制冷剂的量非常小，本评价不对其定量分析，对周围的环境也很小。回收后的制冷剂交由有资质的单位进行回收利用，本项目不进行进一步处置。</w:t>
      </w:r>
    </w:p>
    <w:p w14:paraId="7E89F484">
      <w:pPr>
        <w:keepNext w:val="0"/>
        <w:keepLines w:val="0"/>
        <w:pageBreakBefore w:val="0"/>
        <w:widowControl w:val="0"/>
        <w:kinsoku/>
        <w:wordWrap/>
        <w:overflowPunct w:val="0"/>
        <w:topLinePunct w:val="0"/>
        <w:autoSpaceDE w:val="0"/>
        <w:autoSpaceDN w:val="0"/>
        <w:bidi w:val="0"/>
        <w:adjustRightInd/>
        <w:snapToGrid/>
        <w:spacing w:line="360" w:lineRule="auto"/>
        <w:ind w:right="0" w:rightChars="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5.2.3</w:t>
      </w:r>
      <w:r>
        <w:rPr>
          <w:rFonts w:hint="eastAsia" w:ascii="宋体" w:hAnsi="宋体" w:cs="宋体"/>
          <w:b/>
          <w:bCs/>
          <w:color w:val="000000" w:themeColor="text1"/>
          <w:sz w:val="24"/>
          <w:szCs w:val="24"/>
          <w:lang w:eastAsia="zh-CN"/>
          <w14:textFill>
            <w14:solidFill>
              <w14:schemeClr w14:val="tx1"/>
            </w14:solidFill>
          </w14:textFill>
        </w:rPr>
        <w:t>拆解车间</w:t>
      </w:r>
    </w:p>
    <w:p w14:paraId="2A2B032B">
      <w:pPr>
        <w:keepNext w:val="0"/>
        <w:keepLines w:val="0"/>
        <w:pageBreakBefore w:val="0"/>
        <w:widowControl w:val="0"/>
        <w:kinsoku/>
        <w:wordWrap/>
        <w:overflowPunct w:val="0"/>
        <w:topLinePunct w:val="0"/>
        <w:autoSpaceDE w:val="0"/>
        <w:autoSpaceDN w:val="0"/>
        <w:bidi w:val="0"/>
        <w:adjustRightInd/>
        <w:snapToGrid/>
        <w:spacing w:line="360" w:lineRule="auto"/>
        <w:ind w:left="0" w:leftChars="0" w:right="0" w:rightChars="0" w:firstLine="482"/>
        <w:textAlignment w:val="auto"/>
        <w:rPr>
          <w:rFonts w:hint="eastAsia" w:ascii="宋体" w:hAnsi="宋体" w:eastAsia="宋体" w:cs="宋体"/>
          <w:color w:val="000000" w:themeColor="text1"/>
          <w:sz w:val="24"/>
          <w:szCs w:val="24"/>
          <w:highlight w:val="yellow"/>
          <w:lang w:eastAsia="zh-CN"/>
          <w14:textFill>
            <w14:solidFill>
              <w14:schemeClr w14:val="tx1"/>
            </w14:solidFill>
          </w14:textFill>
        </w:rPr>
      </w:pPr>
      <w:r>
        <w:rPr>
          <w:rFonts w:ascii="宋体" w:hAnsi="宋体" w:eastAsia="宋体" w:cs="宋体"/>
          <w:color w:val="000000" w:themeColor="text1"/>
          <w:spacing w:val="-1"/>
          <w:sz w:val="24"/>
          <w:szCs w:val="24"/>
          <w:u w:val="none" w:color="auto"/>
          <w14:textFill>
            <w14:solidFill>
              <w14:schemeClr w14:val="tx1"/>
            </w14:solidFill>
          </w14:textFill>
        </w:rPr>
        <w:t>《排放源统计调查产排污核算方法和</w:t>
      </w:r>
      <w:r>
        <w:rPr>
          <w:rFonts w:ascii="宋体" w:hAnsi="宋体" w:eastAsia="宋体" w:cs="宋体"/>
          <w:color w:val="000000" w:themeColor="text1"/>
          <w:spacing w:val="-2"/>
          <w:sz w:val="24"/>
          <w:szCs w:val="24"/>
          <w:u w:val="none" w:color="auto"/>
          <w14:textFill>
            <w14:solidFill>
              <w14:schemeClr w14:val="tx1"/>
            </w14:solidFill>
          </w14:textFill>
        </w:rPr>
        <w:t>系数手册》中机械行业系数</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 xml:space="preserve">“C33-C37 </w:t>
      </w:r>
      <w:r>
        <w:rPr>
          <w:rFonts w:ascii="宋体" w:hAnsi="宋体" w:eastAsia="宋体" w:cs="宋体"/>
          <w:color w:val="000000" w:themeColor="text1"/>
          <w:spacing w:val="-2"/>
          <w:sz w:val="24"/>
          <w:szCs w:val="24"/>
          <w:u w:val="none" w:color="auto"/>
          <w14:textFill>
            <w14:solidFill>
              <w14:schemeClr w14:val="tx1"/>
            </w14:solidFill>
          </w14:textFill>
        </w:rPr>
        <w:t>行业核算环节</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w:t>
      </w:r>
      <w:r>
        <w:rPr>
          <w:rFonts w:ascii="宋体" w:hAnsi="宋体" w:eastAsia="宋体" w:cs="宋体"/>
          <w:color w:val="000000" w:themeColor="text1"/>
          <w:spacing w:val="-2"/>
          <w:sz w:val="24"/>
          <w:szCs w:val="24"/>
          <w:u w:val="none" w:color="auto"/>
          <w14:textFill>
            <w14:solidFill>
              <w14:schemeClr w14:val="tx1"/>
            </w14:solidFill>
          </w14:textFill>
        </w:rPr>
        <w:t>下料环节</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w:t>
      </w:r>
      <w:r>
        <w:rPr>
          <w:rFonts w:ascii="宋体" w:hAnsi="宋体" w:eastAsia="宋体" w:cs="宋体"/>
          <w:color w:val="000000" w:themeColor="text1"/>
          <w:spacing w:val="-2"/>
          <w:sz w:val="24"/>
          <w:szCs w:val="24"/>
          <w:u w:val="none" w:color="auto"/>
          <w14:textFill>
            <w14:solidFill>
              <w14:schemeClr w14:val="tx1"/>
            </w14:solidFill>
          </w14:textFill>
        </w:rPr>
        <w:t>等离子切割工艺的产尘系数：</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1.</w:t>
      </w:r>
      <w:r>
        <w:rPr>
          <w:rFonts w:ascii="Times New Roman" w:hAnsi="Times New Roman" w:eastAsia="Times New Roman" w:cs="Times New Roman"/>
          <w:color w:val="000000" w:themeColor="text1"/>
          <w:spacing w:val="-32"/>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10kg/t</w:t>
      </w:r>
      <w:r>
        <w:rPr>
          <w:rFonts w:ascii="Times New Roman" w:hAnsi="Times New Roman" w:eastAsia="Times New Roman" w:cs="Times New Roman"/>
          <w:color w:val="000000" w:themeColor="text1"/>
          <w:spacing w:val="18"/>
          <w:sz w:val="24"/>
          <w:szCs w:val="24"/>
          <w:u w:val="none" w:color="auto"/>
          <w14:textFill>
            <w14:solidFill>
              <w14:schemeClr w14:val="tx1"/>
            </w14:solidFill>
          </w14:textFill>
        </w:rPr>
        <w:t xml:space="preserve"> </w:t>
      </w:r>
      <w:r>
        <w:rPr>
          <w:rFonts w:ascii="宋体" w:hAnsi="宋体" w:eastAsia="宋体" w:cs="宋体"/>
          <w:color w:val="000000" w:themeColor="text1"/>
          <w:spacing w:val="-2"/>
          <w:sz w:val="24"/>
          <w:szCs w:val="24"/>
          <w:u w:val="none" w:color="auto"/>
          <w14:textFill>
            <w14:solidFill>
              <w14:schemeClr w14:val="tx1"/>
            </w14:solidFill>
          </w14:textFill>
        </w:rPr>
        <w:t>原</w:t>
      </w:r>
      <w:r>
        <w:rPr>
          <w:rFonts w:ascii="宋体" w:hAnsi="宋体" w:eastAsia="宋体" w:cs="宋体"/>
          <w:color w:val="000000" w:themeColor="text1"/>
          <w:spacing w:val="-3"/>
          <w:sz w:val="24"/>
          <w:szCs w:val="24"/>
          <w:u w:val="none" w:color="auto"/>
          <w14:textFill>
            <w14:solidFill>
              <w14:schemeClr w14:val="tx1"/>
            </w14:solidFill>
          </w14:textFill>
        </w:rPr>
        <w:t>料，</w:t>
      </w:r>
      <w:r>
        <w:rPr>
          <w:rFonts w:hint="eastAsia" w:ascii="宋体" w:hAnsi="宋体" w:eastAsia="宋体" w:cs="宋体"/>
          <w:color w:val="000000" w:themeColor="text1"/>
          <w:spacing w:val="-3"/>
          <w:sz w:val="24"/>
          <w:szCs w:val="24"/>
          <w:u w:val="none" w:color="auto"/>
          <w:lang w:val="en-US" w:eastAsia="zh-CN"/>
          <w14:textFill>
            <w14:solidFill>
              <w14:schemeClr w14:val="tx1"/>
            </w14:solidFill>
          </w14:textFill>
        </w:rPr>
        <w:t>根据</w:t>
      </w:r>
      <w:r>
        <w:rPr>
          <w:rFonts w:hint="eastAsia" w:ascii="宋体" w:hAnsi="宋体" w:cs="宋体"/>
          <w:color w:val="000000" w:themeColor="text1"/>
          <w:spacing w:val="-3"/>
          <w:sz w:val="24"/>
          <w:szCs w:val="24"/>
          <w:u w:val="none" w:color="auto"/>
          <w:lang w:val="en-US" w:eastAsia="zh-CN"/>
          <w14:textFill>
            <w14:solidFill>
              <w14:schemeClr w14:val="tx1"/>
            </w14:solidFill>
          </w14:textFill>
        </w:rPr>
        <w:t>报告表中的</w:t>
      </w:r>
      <w:r>
        <w:rPr>
          <w:rFonts w:hint="eastAsia" w:ascii="宋体" w:hAnsi="宋体" w:eastAsia="宋体" w:cs="宋体"/>
          <w:color w:val="000000" w:themeColor="text1"/>
          <w:spacing w:val="-3"/>
          <w:sz w:val="24"/>
          <w:szCs w:val="24"/>
          <w:u w:val="none" w:color="auto"/>
          <w:lang w:val="en-US" w:eastAsia="zh-CN"/>
          <w14:textFill>
            <w14:solidFill>
              <w14:schemeClr w14:val="tx1"/>
            </w14:solidFill>
          </w14:textFill>
        </w:rPr>
        <w:t>表2-6，经计算</w:t>
      </w:r>
      <w:r>
        <w:rPr>
          <w:rFonts w:hint="eastAsia" w:ascii="宋体" w:hAnsi="宋体" w:eastAsia="宋体" w:cs="宋体"/>
          <w:color w:val="000000" w:themeColor="text1"/>
          <w:sz w:val="24"/>
          <w:szCs w:val="24"/>
          <w:highlight w:val="none"/>
          <w:lang w:val="en-US" w:eastAsia="zh-CN"/>
          <w14:textFill>
            <w14:solidFill>
              <w14:schemeClr w14:val="tx1"/>
            </w14:solidFill>
          </w14:textFill>
        </w:rPr>
        <w:t>扩建后</w:t>
      </w:r>
      <w:r>
        <w:rPr>
          <w:rFonts w:hint="eastAsia" w:ascii="宋体" w:hAnsi="宋体" w:cs="宋体"/>
          <w:color w:val="000000" w:themeColor="text1"/>
          <w:sz w:val="24"/>
          <w:szCs w:val="24"/>
          <w:highlight w:val="none"/>
          <w:lang w:val="en-US" w:eastAsia="zh-CN"/>
          <w14:textFill>
            <w14:solidFill>
              <w14:schemeClr w14:val="tx1"/>
            </w14:solidFill>
          </w14:textFill>
        </w:rPr>
        <w:t>切割</w:t>
      </w:r>
      <w:r>
        <w:rPr>
          <w:rFonts w:hint="eastAsia" w:ascii="宋体" w:hAnsi="宋体" w:eastAsia="宋体" w:cs="宋体"/>
          <w:color w:val="000000" w:themeColor="text1"/>
          <w:sz w:val="24"/>
          <w:szCs w:val="24"/>
          <w:highlight w:val="none"/>
          <w:lang w:val="en-US" w:eastAsia="zh-CN"/>
          <w14:textFill>
            <w14:solidFill>
              <w14:schemeClr w14:val="tx1"/>
            </w14:solidFill>
          </w14:textFill>
        </w:rPr>
        <w:t>粉尘排放量为</w:t>
      </w:r>
      <w:r>
        <w:rPr>
          <w:rFonts w:hint="eastAsia" w:ascii="宋体" w:hAnsi="宋体" w:cs="宋体"/>
          <w:color w:val="000000" w:themeColor="text1"/>
          <w:sz w:val="24"/>
          <w:szCs w:val="24"/>
          <w:highlight w:val="none"/>
          <w:lang w:val="en-US" w:eastAsia="zh-CN"/>
          <w14:textFill>
            <w14:solidFill>
              <w14:schemeClr w14:val="tx1"/>
            </w14:solidFill>
          </w14:textFill>
        </w:rPr>
        <w:t>12.958</w:t>
      </w:r>
      <w:r>
        <w:rPr>
          <w:rFonts w:hint="eastAsia" w:ascii="宋体" w:hAnsi="宋体" w:eastAsia="宋体" w:cs="宋体"/>
          <w:color w:val="000000" w:themeColor="text1"/>
          <w:sz w:val="24"/>
          <w:szCs w:val="24"/>
          <w:highlight w:val="none"/>
          <w14:textFill>
            <w14:solidFill>
              <w14:schemeClr w14:val="tx1"/>
            </w14:solidFill>
          </w14:textFill>
        </w:rPr>
        <w:t>t/a（</w:t>
      </w:r>
      <w:r>
        <w:rPr>
          <w:rFonts w:hint="eastAsia" w:ascii="宋体" w:hAnsi="宋体" w:cs="宋体"/>
          <w:color w:val="000000" w:themeColor="text1"/>
          <w:sz w:val="24"/>
          <w:szCs w:val="24"/>
          <w:highlight w:val="none"/>
          <w:lang w:val="en-US" w:eastAsia="zh-CN"/>
          <w14:textFill>
            <w14:solidFill>
              <w14:schemeClr w14:val="tx1"/>
            </w14:solidFill>
          </w14:textFill>
        </w:rPr>
        <w:t>5.4</w:t>
      </w:r>
      <w:r>
        <w:rPr>
          <w:rFonts w:hint="eastAsia" w:ascii="宋体" w:hAnsi="宋体" w:eastAsia="宋体" w:cs="宋体"/>
          <w:color w:val="000000" w:themeColor="text1"/>
          <w:sz w:val="24"/>
          <w:szCs w:val="24"/>
          <w:highlight w:val="none"/>
          <w14:textFill>
            <w14:solidFill>
              <w14:schemeClr w14:val="tx1"/>
            </w14:solidFill>
          </w14:textFill>
        </w:rPr>
        <w:t>kg/h</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由于金属粉尘较重，</w:t>
      </w:r>
      <w:r>
        <w:rPr>
          <w:rFonts w:hint="eastAsia" w:ascii="宋体" w:hAnsi="宋体" w:cs="宋体"/>
          <w:color w:val="000000" w:themeColor="text1"/>
          <w:sz w:val="24"/>
          <w:szCs w:val="24"/>
          <w:highlight w:val="none"/>
          <w:lang w:eastAsia="zh-CN"/>
          <w14:textFill>
            <w14:solidFill>
              <w14:schemeClr w14:val="tx1"/>
            </w14:solidFill>
          </w14:textFill>
        </w:rPr>
        <w:t>通过布袋除尘器治理后</w:t>
      </w:r>
      <w:r>
        <w:rPr>
          <w:rFonts w:hint="eastAsia" w:ascii="宋体" w:hAnsi="宋体" w:cs="宋体"/>
          <w:color w:val="000000" w:themeColor="text1"/>
          <w:sz w:val="24"/>
          <w:szCs w:val="24"/>
          <w:highlight w:val="none"/>
          <w:lang w:val="en-US" w:eastAsia="zh-CN"/>
          <w14:textFill>
            <w14:solidFill>
              <w14:schemeClr w14:val="tx1"/>
            </w14:solidFill>
          </w14:textFill>
        </w:rPr>
        <w:t>在车间内沉降90%，则</w:t>
      </w:r>
      <w:r>
        <w:rPr>
          <w:rFonts w:hint="eastAsia" w:ascii="宋体" w:hAnsi="宋体" w:cs="宋体"/>
          <w:color w:val="000000" w:themeColor="text1"/>
          <w:sz w:val="24"/>
          <w:szCs w:val="24"/>
          <w:highlight w:val="none"/>
          <w:lang w:eastAsia="zh-CN"/>
          <w14:textFill>
            <w14:solidFill>
              <w14:schemeClr w14:val="tx1"/>
            </w14:solidFill>
          </w14:textFill>
        </w:rPr>
        <w:t>排放量为</w:t>
      </w:r>
      <w:r>
        <w:rPr>
          <w:rFonts w:hint="eastAsia" w:ascii="宋体" w:hAnsi="宋体" w:cs="宋体"/>
          <w:color w:val="000000" w:themeColor="text1"/>
          <w:sz w:val="24"/>
          <w:szCs w:val="24"/>
          <w:highlight w:val="none"/>
          <w:lang w:val="en-US" w:eastAsia="zh-CN"/>
          <w14:textFill>
            <w14:solidFill>
              <w14:schemeClr w14:val="tx1"/>
            </w14:solidFill>
          </w14:textFill>
        </w:rPr>
        <w:t>0.065</w:t>
      </w:r>
      <w:r>
        <w:rPr>
          <w:rFonts w:hint="eastAsia" w:ascii="宋体" w:hAnsi="宋体" w:eastAsia="宋体" w:cs="宋体"/>
          <w:color w:val="000000" w:themeColor="text1"/>
          <w:sz w:val="24"/>
          <w:szCs w:val="24"/>
          <w:highlight w:val="none"/>
          <w14:textFill>
            <w14:solidFill>
              <w14:schemeClr w14:val="tx1"/>
            </w14:solidFill>
          </w14:textFill>
        </w:rPr>
        <w:t>t/a（</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lang w:val="en-US" w:eastAsia="zh-CN"/>
          <w14:textFill>
            <w14:solidFill>
              <w14:schemeClr w14:val="tx1"/>
            </w14:solidFill>
          </w14:textFill>
        </w:rPr>
        <w:t>027</w:t>
      </w:r>
      <w:r>
        <w:rPr>
          <w:rFonts w:hint="eastAsia" w:ascii="宋体" w:hAnsi="宋体" w:eastAsia="宋体" w:cs="宋体"/>
          <w:color w:val="000000" w:themeColor="text1"/>
          <w:sz w:val="24"/>
          <w:szCs w:val="24"/>
          <w:highlight w:val="none"/>
          <w14:textFill>
            <w14:solidFill>
              <w14:schemeClr w14:val="tx1"/>
            </w14:solidFill>
          </w14:textFill>
        </w:rPr>
        <w:t>kg/h）</w:t>
      </w:r>
      <w:r>
        <w:rPr>
          <w:rFonts w:hint="eastAsia" w:ascii="宋体" w:hAnsi="宋体" w:eastAsia="宋体" w:cs="宋体"/>
          <w:color w:val="000000" w:themeColor="text1"/>
          <w:sz w:val="24"/>
          <w:szCs w:val="24"/>
          <w:highlight w:val="none"/>
          <w:lang w:eastAsia="zh-CN"/>
          <w14:textFill>
            <w14:solidFill>
              <w14:schemeClr w14:val="tx1"/>
            </w14:solidFill>
          </w14:textFill>
        </w:rPr>
        <w:t>能够满足</w:t>
      </w:r>
      <w:r>
        <w:rPr>
          <w:rFonts w:hint="eastAsia" w:ascii="宋体" w:hAnsi="宋体" w:eastAsia="宋体" w:cs="宋体"/>
          <w:color w:val="000000" w:themeColor="text1"/>
          <w:sz w:val="24"/>
          <w:szCs w:val="24"/>
          <w:highlight w:val="none"/>
          <w14:textFill>
            <w14:solidFill>
              <w14:schemeClr w14:val="tx1"/>
            </w14:solidFill>
          </w14:textFill>
        </w:rPr>
        <w:t>《大气污染物综合排放标准》（GB16297-1996）中表2 新污染源大气污染物排放限值二级标准</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0D94A4D">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480" w:firstLineChars="200"/>
        <w:jc w:val="left"/>
        <w:textAlignment w:val="auto"/>
        <w:outlineLvl w:val="9"/>
        <w:rPr>
          <w:rFonts w:hint="eastAsia" w:ascii="宋体" w:hAnsi="宋体" w:eastAsia="宋体" w:cs="宋体"/>
          <w:color w:val="000000" w:themeColor="text1"/>
          <w:sz w:val="24"/>
          <w:szCs w:val="24"/>
          <w:highlight w:val="yellow"/>
          <w:lang w:val="en-US" w:eastAsia="zh-CN"/>
          <w14:textFill>
            <w14:solidFill>
              <w14:schemeClr w14:val="tx1"/>
            </w14:solidFill>
          </w14:textFill>
        </w:rPr>
        <w:sectPr>
          <w:footerReference r:id="rId7" w:type="default"/>
          <w:pgSz w:w="11906" w:h="16839"/>
          <w:pgMar w:top="1440" w:right="1800" w:bottom="1440" w:left="1800" w:header="0" w:footer="852" w:gutter="0"/>
          <w:pgBorders>
            <w:top w:val="none" w:sz="0" w:space="0"/>
            <w:left w:val="none" w:sz="0" w:space="0"/>
            <w:bottom w:val="none" w:sz="0" w:space="0"/>
            <w:right w:val="none" w:sz="0" w:space="0"/>
          </w:pgBorders>
          <w:cols w:space="720" w:num="1"/>
        </w:sectPr>
      </w:pPr>
    </w:p>
    <w:p w14:paraId="5464BE8C">
      <w:pPr>
        <w:pStyle w:val="37"/>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表</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-1  废气污染源源强核算结果及相关参数一览表</w:t>
      </w:r>
    </w:p>
    <w:tbl>
      <w:tblPr>
        <w:tblStyle w:val="25"/>
        <w:tblW w:w="4998"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57"/>
        <w:gridCol w:w="848"/>
        <w:gridCol w:w="1026"/>
        <w:gridCol w:w="1101"/>
        <w:gridCol w:w="956"/>
        <w:gridCol w:w="404"/>
        <w:gridCol w:w="1026"/>
        <w:gridCol w:w="1096"/>
        <w:gridCol w:w="1236"/>
        <w:gridCol w:w="958"/>
        <w:gridCol w:w="687"/>
        <w:gridCol w:w="1131"/>
        <w:gridCol w:w="1292"/>
        <w:gridCol w:w="732"/>
      </w:tblGrid>
      <w:tr w14:paraId="46387C9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vMerge w:val="restart"/>
            <w:tcBorders>
              <w:tl2br w:val="nil"/>
              <w:tr2bl w:val="nil"/>
            </w:tcBorders>
            <w:vAlign w:val="center"/>
          </w:tcPr>
          <w:p w14:paraId="3A1FEB85">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产污环节</w:t>
            </w:r>
          </w:p>
        </w:tc>
        <w:tc>
          <w:tcPr>
            <w:tcW w:w="315" w:type="pct"/>
            <w:vMerge w:val="restart"/>
            <w:tcBorders>
              <w:tl2br w:val="nil"/>
              <w:tr2bl w:val="nil"/>
            </w:tcBorders>
            <w:vAlign w:val="center"/>
          </w:tcPr>
          <w:p w14:paraId="24867456">
            <w:pPr>
              <w:pStyle w:val="41"/>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车间</w:t>
            </w:r>
          </w:p>
        </w:tc>
        <w:tc>
          <w:tcPr>
            <w:tcW w:w="790" w:type="pct"/>
            <w:gridSpan w:val="2"/>
            <w:tcBorders>
              <w:tl2br w:val="nil"/>
              <w:tr2bl w:val="nil"/>
            </w:tcBorders>
            <w:vAlign w:val="center"/>
          </w:tcPr>
          <w:p w14:paraId="698FA856">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产生源强</w:t>
            </w:r>
          </w:p>
        </w:tc>
        <w:tc>
          <w:tcPr>
            <w:tcW w:w="505" w:type="pct"/>
            <w:gridSpan w:val="2"/>
            <w:vMerge w:val="restart"/>
            <w:tcBorders>
              <w:tl2br w:val="nil"/>
              <w:tr2bl w:val="nil"/>
            </w:tcBorders>
            <w:vAlign w:val="center"/>
          </w:tcPr>
          <w:p w14:paraId="61AC64CA">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排放形式</w:t>
            </w:r>
          </w:p>
        </w:tc>
        <w:tc>
          <w:tcPr>
            <w:tcW w:w="1247" w:type="pct"/>
            <w:gridSpan w:val="3"/>
            <w:tcBorders>
              <w:tl2br w:val="nil"/>
              <w:tr2bl w:val="nil"/>
            </w:tcBorders>
            <w:vAlign w:val="center"/>
          </w:tcPr>
          <w:p w14:paraId="0C38BAEF">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排放源强</w:t>
            </w:r>
          </w:p>
        </w:tc>
        <w:tc>
          <w:tcPr>
            <w:tcW w:w="356" w:type="pct"/>
            <w:vMerge w:val="restart"/>
            <w:tcBorders>
              <w:tl2br w:val="nil"/>
              <w:tr2bl w:val="nil"/>
            </w:tcBorders>
            <w:vAlign w:val="center"/>
          </w:tcPr>
          <w:p w14:paraId="2028A348">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排放标准mg/m</w:t>
            </w:r>
            <w:r>
              <w:rPr>
                <w:rFonts w:hint="eastAsia" w:ascii="宋体" w:hAnsi="宋体" w:eastAsia="宋体" w:cs="宋体"/>
                <w:color w:val="000000" w:themeColor="text1"/>
                <w:sz w:val="18"/>
                <w:szCs w:val="18"/>
                <w:vertAlign w:val="superscript"/>
                <w14:textFill>
                  <w14:solidFill>
                    <w14:schemeClr w14:val="tx1"/>
                  </w14:solidFill>
                </w14:textFill>
              </w:rPr>
              <w:t>3</w:t>
            </w:r>
          </w:p>
        </w:tc>
        <w:tc>
          <w:tcPr>
            <w:tcW w:w="255" w:type="pct"/>
            <w:vMerge w:val="restart"/>
            <w:tcBorders>
              <w:tl2br w:val="nil"/>
              <w:tr2bl w:val="nil"/>
            </w:tcBorders>
            <w:vAlign w:val="center"/>
          </w:tcPr>
          <w:p w14:paraId="49F2DB7C">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是否达标</w:t>
            </w:r>
          </w:p>
        </w:tc>
        <w:tc>
          <w:tcPr>
            <w:tcW w:w="1172" w:type="pct"/>
            <w:gridSpan w:val="3"/>
            <w:tcBorders>
              <w:tl2br w:val="nil"/>
              <w:tr2bl w:val="nil"/>
            </w:tcBorders>
            <w:vAlign w:val="center"/>
          </w:tcPr>
          <w:p w14:paraId="2C009F09">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监测要求</w:t>
            </w:r>
          </w:p>
        </w:tc>
      </w:tr>
      <w:tr w14:paraId="5DDF567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vMerge w:val="continue"/>
            <w:tcBorders>
              <w:tl2br w:val="nil"/>
              <w:tr2bl w:val="nil"/>
            </w:tcBorders>
            <w:vAlign w:val="center"/>
          </w:tcPr>
          <w:p w14:paraId="445F6852">
            <w:pPr>
              <w:pStyle w:val="41"/>
              <w:rPr>
                <w:rFonts w:hint="eastAsia" w:ascii="宋体" w:hAnsi="宋体" w:eastAsia="宋体" w:cs="宋体"/>
                <w:color w:val="000000" w:themeColor="text1"/>
                <w:sz w:val="18"/>
                <w:szCs w:val="18"/>
                <w14:textFill>
                  <w14:solidFill>
                    <w14:schemeClr w14:val="tx1"/>
                  </w14:solidFill>
                </w14:textFill>
              </w:rPr>
            </w:pPr>
          </w:p>
        </w:tc>
        <w:tc>
          <w:tcPr>
            <w:tcW w:w="315" w:type="pct"/>
            <w:vMerge w:val="continue"/>
            <w:tcBorders>
              <w:tl2br w:val="nil"/>
              <w:tr2bl w:val="nil"/>
            </w:tcBorders>
            <w:vAlign w:val="center"/>
          </w:tcPr>
          <w:p w14:paraId="26436C4B">
            <w:pPr>
              <w:pStyle w:val="41"/>
              <w:rPr>
                <w:rFonts w:hint="eastAsia" w:ascii="宋体" w:hAnsi="宋体" w:eastAsia="宋体" w:cs="宋体"/>
                <w:color w:val="000000" w:themeColor="text1"/>
                <w:sz w:val="18"/>
                <w:szCs w:val="18"/>
                <w14:textFill>
                  <w14:solidFill>
                    <w14:schemeClr w14:val="tx1"/>
                  </w14:solidFill>
                </w14:textFill>
              </w:rPr>
            </w:pPr>
          </w:p>
        </w:tc>
        <w:tc>
          <w:tcPr>
            <w:tcW w:w="381" w:type="pct"/>
            <w:tcBorders>
              <w:tl2br w:val="nil"/>
              <w:tr2bl w:val="nil"/>
            </w:tcBorders>
            <w:vAlign w:val="center"/>
          </w:tcPr>
          <w:p w14:paraId="0FA3AF8F">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主要污染物产生量（t/a）</w:t>
            </w:r>
          </w:p>
        </w:tc>
        <w:tc>
          <w:tcPr>
            <w:tcW w:w="409" w:type="pct"/>
            <w:tcBorders>
              <w:tl2br w:val="nil"/>
              <w:tr2bl w:val="nil"/>
            </w:tcBorders>
            <w:vAlign w:val="center"/>
          </w:tcPr>
          <w:p w14:paraId="0E1483BA">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主要污染物产生速率（kg/h）</w:t>
            </w:r>
          </w:p>
        </w:tc>
        <w:tc>
          <w:tcPr>
            <w:tcW w:w="505" w:type="pct"/>
            <w:gridSpan w:val="2"/>
            <w:vMerge w:val="continue"/>
            <w:tcBorders>
              <w:tl2br w:val="nil"/>
              <w:tr2bl w:val="nil"/>
            </w:tcBorders>
            <w:vAlign w:val="center"/>
          </w:tcPr>
          <w:p w14:paraId="0E3E4FE9">
            <w:pPr>
              <w:pStyle w:val="41"/>
              <w:rPr>
                <w:rFonts w:hint="eastAsia" w:ascii="宋体" w:hAnsi="宋体" w:eastAsia="宋体" w:cs="宋体"/>
                <w:color w:val="000000" w:themeColor="text1"/>
                <w:sz w:val="18"/>
                <w:szCs w:val="18"/>
                <w14:textFill>
                  <w14:solidFill>
                    <w14:schemeClr w14:val="tx1"/>
                  </w14:solidFill>
                </w14:textFill>
              </w:rPr>
            </w:pPr>
          </w:p>
        </w:tc>
        <w:tc>
          <w:tcPr>
            <w:tcW w:w="381" w:type="pct"/>
            <w:tcBorders>
              <w:tl2br w:val="nil"/>
              <w:tr2bl w:val="nil"/>
            </w:tcBorders>
            <w:vAlign w:val="center"/>
          </w:tcPr>
          <w:p w14:paraId="4E0FC109">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主要污染物排放量（t/a）</w:t>
            </w:r>
          </w:p>
        </w:tc>
        <w:tc>
          <w:tcPr>
            <w:tcW w:w="407" w:type="pct"/>
            <w:tcBorders>
              <w:tl2br w:val="nil"/>
              <w:tr2bl w:val="nil"/>
            </w:tcBorders>
            <w:vAlign w:val="center"/>
          </w:tcPr>
          <w:p w14:paraId="73D1AEDC">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污染物排放速率（kg/h）</w:t>
            </w:r>
          </w:p>
        </w:tc>
        <w:tc>
          <w:tcPr>
            <w:tcW w:w="458" w:type="pct"/>
            <w:tcBorders>
              <w:tl2br w:val="nil"/>
              <w:tr2bl w:val="nil"/>
            </w:tcBorders>
            <w:vAlign w:val="center"/>
          </w:tcPr>
          <w:p w14:paraId="4A2BAD29">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污染物排放浓度（mg/m</w:t>
            </w:r>
            <w:r>
              <w:rPr>
                <w:rFonts w:hint="eastAsia" w:ascii="宋体" w:hAnsi="宋体" w:eastAsia="宋体" w:cs="宋体"/>
                <w:color w:val="000000" w:themeColor="text1"/>
                <w:sz w:val="18"/>
                <w:szCs w:val="18"/>
                <w:vertAlign w:val="superscript"/>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w:t>
            </w:r>
          </w:p>
        </w:tc>
        <w:tc>
          <w:tcPr>
            <w:tcW w:w="356" w:type="pct"/>
            <w:vMerge w:val="continue"/>
            <w:tcBorders>
              <w:tl2br w:val="nil"/>
              <w:tr2bl w:val="nil"/>
            </w:tcBorders>
            <w:vAlign w:val="center"/>
          </w:tcPr>
          <w:p w14:paraId="71D179A5">
            <w:pPr>
              <w:pStyle w:val="41"/>
              <w:rPr>
                <w:rFonts w:hint="eastAsia" w:ascii="宋体" w:hAnsi="宋体" w:eastAsia="宋体" w:cs="宋体"/>
                <w:color w:val="000000" w:themeColor="text1"/>
                <w:sz w:val="18"/>
                <w:szCs w:val="18"/>
                <w14:textFill>
                  <w14:solidFill>
                    <w14:schemeClr w14:val="tx1"/>
                  </w14:solidFill>
                </w14:textFill>
              </w:rPr>
            </w:pPr>
          </w:p>
        </w:tc>
        <w:tc>
          <w:tcPr>
            <w:tcW w:w="255" w:type="pct"/>
            <w:vMerge w:val="continue"/>
            <w:tcBorders>
              <w:tl2br w:val="nil"/>
              <w:tr2bl w:val="nil"/>
            </w:tcBorders>
            <w:vAlign w:val="center"/>
          </w:tcPr>
          <w:p w14:paraId="25231A71">
            <w:pPr>
              <w:pStyle w:val="41"/>
              <w:rPr>
                <w:rFonts w:hint="eastAsia" w:ascii="宋体" w:hAnsi="宋体" w:eastAsia="宋体" w:cs="宋体"/>
                <w:color w:val="000000" w:themeColor="text1"/>
                <w:sz w:val="18"/>
                <w:szCs w:val="18"/>
                <w14:textFill>
                  <w14:solidFill>
                    <w14:schemeClr w14:val="tx1"/>
                  </w14:solidFill>
                </w14:textFill>
              </w:rPr>
            </w:pPr>
          </w:p>
        </w:tc>
        <w:tc>
          <w:tcPr>
            <w:tcW w:w="420" w:type="pct"/>
            <w:tcBorders>
              <w:tl2br w:val="nil"/>
              <w:tr2bl w:val="nil"/>
            </w:tcBorders>
            <w:vAlign w:val="center"/>
          </w:tcPr>
          <w:p w14:paraId="3129F176">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监测点位</w:t>
            </w:r>
          </w:p>
        </w:tc>
        <w:tc>
          <w:tcPr>
            <w:tcW w:w="480" w:type="pct"/>
            <w:tcBorders>
              <w:tl2br w:val="nil"/>
              <w:tr2bl w:val="nil"/>
            </w:tcBorders>
            <w:vAlign w:val="center"/>
          </w:tcPr>
          <w:p w14:paraId="79278C2D">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监测因子</w:t>
            </w:r>
          </w:p>
        </w:tc>
        <w:tc>
          <w:tcPr>
            <w:tcW w:w="272" w:type="pct"/>
            <w:tcBorders>
              <w:tl2br w:val="nil"/>
              <w:tr2bl w:val="nil"/>
            </w:tcBorders>
            <w:vAlign w:val="center"/>
          </w:tcPr>
          <w:p w14:paraId="10C9A5B8">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监测频次</w:t>
            </w:r>
          </w:p>
        </w:tc>
      </w:tr>
      <w:tr w14:paraId="2F16BDD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2" w:hRule="atLeast"/>
          <w:jc w:val="center"/>
        </w:trPr>
        <w:tc>
          <w:tcPr>
            <w:tcW w:w="356" w:type="pct"/>
            <w:tcBorders>
              <w:tl2br w:val="nil"/>
              <w:tr2bl w:val="nil"/>
            </w:tcBorders>
            <w:vAlign w:val="center"/>
          </w:tcPr>
          <w:p w14:paraId="17CAEE20">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汽车拆解切割</w:t>
            </w:r>
          </w:p>
        </w:tc>
        <w:tc>
          <w:tcPr>
            <w:tcW w:w="315" w:type="pct"/>
            <w:tcBorders>
              <w:tl2br w:val="nil"/>
              <w:tr2bl w:val="nil"/>
            </w:tcBorders>
            <w:vAlign w:val="center"/>
          </w:tcPr>
          <w:p w14:paraId="36713FD1">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拆解车间</w:t>
            </w:r>
          </w:p>
        </w:tc>
        <w:tc>
          <w:tcPr>
            <w:tcW w:w="381" w:type="pct"/>
            <w:tcBorders>
              <w:tl2br w:val="nil"/>
              <w:tr2bl w:val="nil"/>
            </w:tcBorders>
            <w:vAlign w:val="center"/>
          </w:tcPr>
          <w:p w14:paraId="6C172F93">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12.958</w:t>
            </w:r>
          </w:p>
        </w:tc>
        <w:tc>
          <w:tcPr>
            <w:tcW w:w="409" w:type="pct"/>
            <w:tcBorders>
              <w:tl2br w:val="nil"/>
              <w:tr2bl w:val="nil"/>
            </w:tcBorders>
            <w:vAlign w:val="center"/>
          </w:tcPr>
          <w:p w14:paraId="37B928FF">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5.4</w:t>
            </w:r>
          </w:p>
        </w:tc>
        <w:tc>
          <w:tcPr>
            <w:tcW w:w="505" w:type="pct"/>
            <w:gridSpan w:val="2"/>
            <w:tcBorders>
              <w:tl2br w:val="nil"/>
              <w:tr2bl w:val="nil"/>
            </w:tcBorders>
            <w:vAlign w:val="center"/>
          </w:tcPr>
          <w:p w14:paraId="78D05C4C">
            <w:pPr>
              <w:pStyle w:val="41"/>
              <w:rPr>
                <w:rFonts w:hint="default"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每台切割机设置布袋除尘器，去除率为95％无组织，车间内沉降90%</w:t>
            </w:r>
          </w:p>
        </w:tc>
        <w:tc>
          <w:tcPr>
            <w:tcW w:w="381" w:type="pct"/>
            <w:tcBorders>
              <w:tl2br w:val="nil"/>
              <w:tr2bl w:val="nil"/>
            </w:tcBorders>
            <w:vAlign w:val="center"/>
          </w:tcPr>
          <w:p w14:paraId="1DECD4FF">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0.065</w:t>
            </w:r>
          </w:p>
        </w:tc>
        <w:tc>
          <w:tcPr>
            <w:tcW w:w="407" w:type="pct"/>
            <w:tcBorders>
              <w:tl2br w:val="nil"/>
              <w:tr2bl w:val="nil"/>
            </w:tcBorders>
            <w:vAlign w:val="center"/>
          </w:tcPr>
          <w:p w14:paraId="1EF18D29">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0.027</w:t>
            </w:r>
          </w:p>
        </w:tc>
        <w:tc>
          <w:tcPr>
            <w:tcW w:w="458" w:type="pct"/>
            <w:tcBorders>
              <w:tl2br w:val="nil"/>
              <w:tr2bl w:val="nil"/>
            </w:tcBorders>
            <w:vAlign w:val="center"/>
          </w:tcPr>
          <w:p w14:paraId="78C65194">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356" w:type="pct"/>
            <w:tcBorders>
              <w:tl2br w:val="nil"/>
              <w:tr2bl w:val="nil"/>
            </w:tcBorders>
            <w:vAlign w:val="center"/>
          </w:tcPr>
          <w:p w14:paraId="3310C854">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255" w:type="pct"/>
            <w:tcBorders>
              <w:tl2br w:val="nil"/>
              <w:tr2bl w:val="nil"/>
            </w:tcBorders>
            <w:vAlign w:val="center"/>
          </w:tcPr>
          <w:p w14:paraId="2F0D9DFF">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20" w:type="pct"/>
            <w:tcBorders>
              <w:tl2br w:val="nil"/>
              <w:tr2bl w:val="nil"/>
            </w:tcBorders>
            <w:vAlign w:val="center"/>
          </w:tcPr>
          <w:p w14:paraId="4A6B774D">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厂界</w:t>
            </w:r>
          </w:p>
        </w:tc>
        <w:tc>
          <w:tcPr>
            <w:tcW w:w="480" w:type="pct"/>
            <w:tcBorders>
              <w:tl2br w:val="nil"/>
              <w:tr2bl w:val="nil"/>
            </w:tcBorders>
            <w:vAlign w:val="center"/>
          </w:tcPr>
          <w:p w14:paraId="7CD75647">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颗粒物</w:t>
            </w:r>
          </w:p>
        </w:tc>
        <w:tc>
          <w:tcPr>
            <w:tcW w:w="272" w:type="pct"/>
            <w:tcBorders>
              <w:tl2br w:val="nil"/>
              <w:tr2bl w:val="nil"/>
            </w:tcBorders>
            <w:vAlign w:val="center"/>
          </w:tcPr>
          <w:p w14:paraId="72700CFE">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1次/年</w:t>
            </w:r>
          </w:p>
        </w:tc>
      </w:tr>
      <w:tr w14:paraId="05778D7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22" w:hRule="atLeast"/>
          <w:jc w:val="center"/>
        </w:trPr>
        <w:tc>
          <w:tcPr>
            <w:tcW w:w="356" w:type="pct"/>
            <w:vMerge w:val="restart"/>
            <w:tcBorders>
              <w:tl2br w:val="nil"/>
              <w:tr2bl w:val="nil"/>
            </w:tcBorders>
            <w:vAlign w:val="center"/>
          </w:tcPr>
          <w:p w14:paraId="0DA9752E">
            <w:pPr>
              <w:pStyle w:val="41"/>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废油回收非甲烷总烃</w:t>
            </w:r>
          </w:p>
        </w:tc>
        <w:tc>
          <w:tcPr>
            <w:tcW w:w="315" w:type="pct"/>
            <w:vMerge w:val="restart"/>
            <w:tcBorders>
              <w:tl2br w:val="nil"/>
              <w:tr2bl w:val="nil"/>
            </w:tcBorders>
            <w:vAlign w:val="center"/>
          </w:tcPr>
          <w:p w14:paraId="092CB8F5">
            <w:pPr>
              <w:pStyle w:val="41"/>
              <w:rPr>
                <w:rFonts w:hint="eastAsia" w:ascii="宋体" w:hAnsi="宋体" w:cs="宋体"/>
                <w:color w:val="000000" w:themeColor="text1"/>
                <w:kern w:val="0"/>
                <w:sz w:val="18"/>
                <w:szCs w:val="18"/>
                <w:lang w:val="en-US" w:eastAsia="zh-CN" w:bidi="ar-SA"/>
                <w14:textFill>
                  <w14:solidFill>
                    <w14:schemeClr w14:val="tx1"/>
                  </w14:solidFill>
                </w14:textFill>
              </w:rPr>
            </w:pPr>
            <w:r>
              <w:rPr>
                <w:rFonts w:hint="eastAsia" w:ascii="宋体" w:hAnsi="宋体" w:cs="宋体"/>
                <w:color w:val="000000" w:themeColor="text1"/>
                <w:kern w:val="0"/>
                <w:sz w:val="18"/>
                <w:szCs w:val="18"/>
                <w:lang w:val="en-US" w:eastAsia="zh-CN" w:bidi="ar-SA"/>
                <w14:textFill>
                  <w14:solidFill>
                    <w14:schemeClr w14:val="tx1"/>
                  </w14:solidFill>
                </w14:textFill>
              </w:rPr>
              <w:t>预处理车间</w:t>
            </w:r>
          </w:p>
          <w:p w14:paraId="759316FA">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烃</w:t>
            </w:r>
          </w:p>
        </w:tc>
        <w:tc>
          <w:tcPr>
            <w:tcW w:w="381" w:type="pct"/>
            <w:vMerge w:val="restart"/>
            <w:tcBorders>
              <w:tl2br w:val="nil"/>
              <w:tr2bl w:val="nil"/>
            </w:tcBorders>
            <w:vAlign w:val="center"/>
          </w:tcPr>
          <w:p w14:paraId="03750965">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0.43</w:t>
            </w:r>
          </w:p>
        </w:tc>
        <w:tc>
          <w:tcPr>
            <w:tcW w:w="409" w:type="pct"/>
            <w:vMerge w:val="restart"/>
            <w:tcBorders>
              <w:tl2br w:val="nil"/>
              <w:tr2bl w:val="nil"/>
            </w:tcBorders>
            <w:vAlign w:val="center"/>
          </w:tcPr>
          <w:p w14:paraId="7E7C8446">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0.18</w:t>
            </w:r>
          </w:p>
        </w:tc>
        <w:tc>
          <w:tcPr>
            <w:tcW w:w="355" w:type="pct"/>
            <w:vMerge w:val="restart"/>
            <w:tcBorders>
              <w:tl2br w:val="nil"/>
              <w:tr2bl w:val="nil"/>
            </w:tcBorders>
            <w:vAlign w:val="center"/>
          </w:tcPr>
          <w:p w14:paraId="71598339">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预处理</w:t>
            </w:r>
            <w:r>
              <w:rPr>
                <w:rFonts w:hint="eastAsia" w:ascii="宋体" w:hAnsi="宋体" w:eastAsia="宋体" w:cs="宋体"/>
                <w:color w:val="000000" w:themeColor="text1"/>
                <w:sz w:val="18"/>
                <w:szCs w:val="18"/>
                <w:lang w:eastAsia="zh-CN"/>
                <w14:textFill>
                  <w14:solidFill>
                    <w14:schemeClr w14:val="tx1"/>
                  </w14:solidFill>
                </w14:textFill>
              </w:rPr>
              <w:t>车间</w:t>
            </w:r>
            <w:r>
              <w:rPr>
                <w:rFonts w:hint="eastAsia" w:ascii="宋体" w:hAnsi="宋体" w:cs="宋体"/>
                <w:color w:val="000000" w:themeColor="text1"/>
                <w:sz w:val="18"/>
                <w:szCs w:val="18"/>
                <w:lang w:eastAsia="zh-CN"/>
                <w14:textFill>
                  <w14:solidFill>
                    <w14:schemeClr w14:val="tx1"/>
                  </w14:solidFill>
                </w14:textFill>
              </w:rPr>
              <w:t>活性炭吸附</w:t>
            </w:r>
            <w:r>
              <w:rPr>
                <w:rFonts w:hint="eastAsia" w:ascii="宋体" w:hAnsi="宋体" w:eastAsia="宋体" w:cs="宋体"/>
                <w:color w:val="000000" w:themeColor="text1"/>
                <w:sz w:val="18"/>
                <w:szCs w:val="18"/>
                <w14:textFill>
                  <w14:solidFill>
                    <w14:schemeClr w14:val="tx1"/>
                  </w14:solidFill>
                </w14:textFill>
              </w:rPr>
              <w:t>有组织排气</w:t>
            </w:r>
            <w:r>
              <w:rPr>
                <w:rFonts w:hint="eastAsia" w:ascii="宋体" w:hAnsi="宋体" w:cs="宋体"/>
                <w:color w:val="000000" w:themeColor="text1"/>
                <w:sz w:val="18"/>
                <w:szCs w:val="18"/>
                <w:highlight w:val="none"/>
                <w:lang w:val="en-US" w:eastAsia="zh-CN"/>
                <w14:textFill>
                  <w14:solidFill>
                    <w14:schemeClr w14:val="tx1"/>
                  </w14:solidFill>
                </w14:textFill>
              </w:rPr>
              <w:t>筒</w:t>
            </w:r>
            <w:r>
              <w:rPr>
                <w:rFonts w:hint="eastAsia" w:ascii="宋体" w:hAnsi="宋体" w:eastAsia="宋体" w:cs="宋体"/>
                <w:color w:val="000000" w:themeColor="text1"/>
                <w:sz w:val="18"/>
                <w:szCs w:val="18"/>
                <w14:textFill>
                  <w14:solidFill>
                    <w14:schemeClr w14:val="tx1"/>
                  </w14:solidFill>
                </w14:textFill>
              </w:rPr>
              <w:t>，</w:t>
            </w:r>
            <w:r>
              <w:rPr>
                <w:rFonts w:hint="eastAsia" w:ascii="宋体" w:hAnsi="宋体" w:eastAsia="宋体" w:cs="宋体"/>
                <w:color w:val="000000" w:themeColor="text1"/>
                <w:sz w:val="18"/>
                <w:szCs w:val="18"/>
                <w:lang w:eastAsia="zh-CN"/>
                <w14:textFill>
                  <w14:solidFill>
                    <w14:schemeClr w14:val="tx1"/>
                  </w14:solidFill>
                </w14:textFill>
              </w:rPr>
              <w:t>收集率</w:t>
            </w:r>
            <w:r>
              <w:rPr>
                <w:rFonts w:hint="eastAsia" w:ascii="宋体" w:hAnsi="宋体" w:cs="宋体"/>
                <w:color w:val="000000" w:themeColor="text1"/>
                <w:sz w:val="18"/>
                <w:szCs w:val="18"/>
                <w:lang w:val="en-US" w:eastAsia="zh-CN"/>
                <w14:textFill>
                  <w14:solidFill>
                    <w14:schemeClr w14:val="tx1"/>
                  </w14:solidFill>
                </w14:textFill>
              </w:rPr>
              <w:t>65</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ascii="宋体" w:hAnsi="宋体" w:cs="宋体"/>
                <w:color w:val="000000" w:themeColor="text1"/>
                <w:sz w:val="18"/>
                <w:szCs w:val="18"/>
                <w:lang w:val="en-US" w:eastAsia="zh-CN"/>
                <w14:textFill>
                  <w14:solidFill>
                    <w14:schemeClr w14:val="tx1"/>
                  </w14:solidFill>
                </w14:textFill>
              </w:rPr>
              <w:t>去除率为15％</w:t>
            </w:r>
            <w:r>
              <w:rPr>
                <w:rFonts w:hint="eastAsia" w:ascii="宋体" w:hAnsi="宋体" w:eastAsia="宋体" w:cs="宋体"/>
                <w:color w:val="000000" w:themeColor="text1"/>
                <w:sz w:val="18"/>
                <w:szCs w:val="18"/>
                <w14:textFill>
                  <w14:solidFill>
                    <w14:schemeClr w14:val="tx1"/>
                  </w14:solidFill>
                </w14:textFill>
              </w:rPr>
              <w:t>风量</w:t>
            </w:r>
            <w:r>
              <w:rPr>
                <w:rFonts w:hint="eastAsia" w:ascii="宋体" w:hAnsi="宋体"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14:textFill>
                  <w14:solidFill>
                    <w14:schemeClr w14:val="tx1"/>
                  </w14:solidFill>
                </w14:textFill>
              </w:rPr>
              <w:t>000m</w:t>
            </w:r>
            <w:r>
              <w:rPr>
                <w:rFonts w:hint="eastAsia" w:ascii="宋体" w:hAnsi="宋体" w:eastAsia="宋体" w:cs="宋体"/>
                <w:color w:val="000000" w:themeColor="text1"/>
                <w:sz w:val="18"/>
                <w:szCs w:val="18"/>
                <w:vertAlign w:val="superscript"/>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/h</w:t>
            </w:r>
          </w:p>
        </w:tc>
        <w:tc>
          <w:tcPr>
            <w:tcW w:w="150" w:type="pct"/>
            <w:tcBorders>
              <w:tl2br w:val="nil"/>
              <w:tr2bl w:val="nil"/>
            </w:tcBorders>
            <w:vAlign w:val="center"/>
          </w:tcPr>
          <w:p w14:paraId="1E7F5CEE">
            <w:pPr>
              <w:pStyle w:val="41"/>
              <w:rPr>
                <w:rFonts w:hint="eastAsia" w:ascii="宋体" w:hAnsi="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正常</w:t>
            </w:r>
          </w:p>
        </w:tc>
        <w:tc>
          <w:tcPr>
            <w:tcW w:w="381" w:type="pct"/>
            <w:tcBorders>
              <w:tl2br w:val="nil"/>
              <w:tr2bl w:val="nil"/>
            </w:tcBorders>
            <w:vAlign w:val="center"/>
          </w:tcPr>
          <w:p w14:paraId="34724195">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r>
              <w:rPr>
                <w:rFonts w:hint="eastAsia" w:ascii="宋体" w:hAnsi="宋体" w:cs="宋体"/>
                <w:color w:val="000000" w:themeColor="text1"/>
                <w:sz w:val="18"/>
                <w:szCs w:val="18"/>
                <w:lang w:val="en-US" w:eastAsia="zh-CN"/>
                <w14:textFill>
                  <w14:solidFill>
                    <w14:schemeClr w14:val="tx1"/>
                  </w14:solidFill>
                </w14:textFill>
              </w:rPr>
              <w:t>366</w:t>
            </w:r>
          </w:p>
        </w:tc>
        <w:tc>
          <w:tcPr>
            <w:tcW w:w="407" w:type="pct"/>
            <w:tcBorders>
              <w:tl2br w:val="nil"/>
              <w:tr2bl w:val="nil"/>
            </w:tcBorders>
            <w:vAlign w:val="center"/>
          </w:tcPr>
          <w:p w14:paraId="6FB912F1">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0.0</w:t>
            </w:r>
            <w:r>
              <w:rPr>
                <w:rFonts w:hint="eastAsia" w:ascii="宋体" w:hAnsi="宋体" w:cs="宋体"/>
                <w:color w:val="000000" w:themeColor="text1"/>
                <w:sz w:val="18"/>
                <w:szCs w:val="18"/>
                <w:lang w:val="en-US" w:eastAsia="zh-CN"/>
                <w14:textFill>
                  <w14:solidFill>
                    <w14:schemeClr w14:val="tx1"/>
                  </w14:solidFill>
                </w14:textFill>
              </w:rPr>
              <w:t>09</w:t>
            </w:r>
          </w:p>
        </w:tc>
        <w:tc>
          <w:tcPr>
            <w:tcW w:w="458" w:type="pct"/>
            <w:tcBorders>
              <w:tl2br w:val="nil"/>
              <w:tr2bl w:val="nil"/>
            </w:tcBorders>
            <w:vAlign w:val="center"/>
          </w:tcPr>
          <w:p w14:paraId="37096232">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1.8</w:t>
            </w:r>
          </w:p>
        </w:tc>
        <w:tc>
          <w:tcPr>
            <w:tcW w:w="356" w:type="pct"/>
            <w:tcBorders>
              <w:tl2br w:val="nil"/>
              <w:tr2bl w:val="nil"/>
            </w:tcBorders>
            <w:vAlign w:val="center"/>
          </w:tcPr>
          <w:p w14:paraId="0F9EBB7F">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120</w:t>
            </w:r>
          </w:p>
        </w:tc>
        <w:tc>
          <w:tcPr>
            <w:tcW w:w="255" w:type="pct"/>
            <w:tcBorders>
              <w:tl2br w:val="nil"/>
              <w:tr2bl w:val="nil"/>
            </w:tcBorders>
            <w:vAlign w:val="center"/>
          </w:tcPr>
          <w:p w14:paraId="54BCC696">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20" w:type="pct"/>
            <w:vMerge w:val="restart"/>
            <w:tcBorders>
              <w:tl2br w:val="nil"/>
              <w:tr2bl w:val="nil"/>
            </w:tcBorders>
            <w:vAlign w:val="center"/>
          </w:tcPr>
          <w:p w14:paraId="3058EC1A">
            <w:pPr>
              <w:pStyle w:val="41"/>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排气筒进、出口</w:t>
            </w:r>
          </w:p>
        </w:tc>
        <w:tc>
          <w:tcPr>
            <w:tcW w:w="480" w:type="pct"/>
            <w:vMerge w:val="restart"/>
            <w:tcBorders>
              <w:tl2br w:val="nil"/>
              <w:tr2bl w:val="nil"/>
            </w:tcBorders>
            <w:vAlign w:val="center"/>
          </w:tcPr>
          <w:p w14:paraId="17FA9379">
            <w:pPr>
              <w:pStyle w:val="41"/>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非甲烷总烃</w:t>
            </w:r>
          </w:p>
        </w:tc>
        <w:tc>
          <w:tcPr>
            <w:tcW w:w="272" w:type="pct"/>
            <w:tcBorders>
              <w:tl2br w:val="nil"/>
              <w:tr2bl w:val="nil"/>
            </w:tcBorders>
            <w:vAlign w:val="center"/>
          </w:tcPr>
          <w:p w14:paraId="47691182">
            <w:pPr>
              <w:pStyle w:val="41"/>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1次/年</w:t>
            </w:r>
          </w:p>
        </w:tc>
      </w:tr>
      <w:tr w14:paraId="247F81C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356" w:type="pct"/>
            <w:vMerge w:val="continue"/>
            <w:tcBorders>
              <w:tl2br w:val="nil"/>
              <w:tr2bl w:val="nil"/>
            </w:tcBorders>
            <w:vAlign w:val="center"/>
          </w:tcPr>
          <w:p w14:paraId="2C211B61">
            <w:pPr>
              <w:pStyle w:val="41"/>
              <w:rPr>
                <w:rFonts w:hint="eastAsia" w:ascii="宋体" w:hAnsi="宋体" w:eastAsia="宋体" w:cs="宋体"/>
                <w:color w:val="000000" w:themeColor="text1"/>
                <w:sz w:val="18"/>
                <w:szCs w:val="18"/>
                <w14:textFill>
                  <w14:solidFill>
                    <w14:schemeClr w14:val="tx1"/>
                  </w14:solidFill>
                </w14:textFill>
              </w:rPr>
            </w:pPr>
          </w:p>
        </w:tc>
        <w:tc>
          <w:tcPr>
            <w:tcW w:w="315" w:type="pct"/>
            <w:vMerge w:val="continue"/>
            <w:tcBorders>
              <w:tl2br w:val="nil"/>
              <w:tr2bl w:val="nil"/>
            </w:tcBorders>
            <w:vAlign w:val="center"/>
          </w:tcPr>
          <w:p w14:paraId="3FF63F97">
            <w:pPr>
              <w:pStyle w:val="41"/>
              <w:rPr>
                <w:rFonts w:hint="eastAsia" w:ascii="宋体" w:hAnsi="宋体" w:eastAsia="宋体" w:cs="宋体"/>
                <w:color w:val="000000" w:themeColor="text1"/>
                <w:sz w:val="18"/>
                <w:szCs w:val="18"/>
                <w14:textFill>
                  <w14:solidFill>
                    <w14:schemeClr w14:val="tx1"/>
                  </w14:solidFill>
                </w14:textFill>
              </w:rPr>
            </w:pPr>
          </w:p>
        </w:tc>
        <w:tc>
          <w:tcPr>
            <w:tcW w:w="381" w:type="pct"/>
            <w:vMerge w:val="continue"/>
            <w:tcBorders>
              <w:tl2br w:val="nil"/>
              <w:tr2bl w:val="nil"/>
            </w:tcBorders>
            <w:vAlign w:val="center"/>
          </w:tcPr>
          <w:p w14:paraId="4F434AA7">
            <w:pPr>
              <w:pStyle w:val="41"/>
              <w:rPr>
                <w:rFonts w:hint="eastAsia" w:ascii="宋体" w:hAnsi="宋体" w:cs="宋体"/>
                <w:color w:val="000000" w:themeColor="text1"/>
                <w:sz w:val="18"/>
                <w:szCs w:val="18"/>
                <w:lang w:val="en-US" w:eastAsia="zh-CN"/>
                <w14:textFill>
                  <w14:solidFill>
                    <w14:schemeClr w14:val="tx1"/>
                  </w14:solidFill>
                </w14:textFill>
              </w:rPr>
            </w:pPr>
          </w:p>
        </w:tc>
        <w:tc>
          <w:tcPr>
            <w:tcW w:w="409" w:type="pct"/>
            <w:vMerge w:val="continue"/>
            <w:tcBorders>
              <w:tl2br w:val="nil"/>
              <w:tr2bl w:val="nil"/>
            </w:tcBorders>
            <w:vAlign w:val="center"/>
          </w:tcPr>
          <w:p w14:paraId="65EE2C15">
            <w:pPr>
              <w:pStyle w:val="41"/>
              <w:rPr>
                <w:rFonts w:hint="eastAsia" w:ascii="宋体" w:hAnsi="宋体" w:cs="宋体"/>
                <w:color w:val="000000" w:themeColor="text1"/>
                <w:sz w:val="18"/>
                <w:szCs w:val="18"/>
                <w:lang w:val="en-US" w:eastAsia="zh-CN"/>
                <w14:textFill>
                  <w14:solidFill>
                    <w14:schemeClr w14:val="tx1"/>
                  </w14:solidFill>
                </w14:textFill>
              </w:rPr>
            </w:pPr>
          </w:p>
        </w:tc>
        <w:tc>
          <w:tcPr>
            <w:tcW w:w="355" w:type="pct"/>
            <w:vMerge w:val="continue"/>
            <w:tcBorders>
              <w:tl2br w:val="nil"/>
              <w:tr2bl w:val="nil"/>
            </w:tcBorders>
            <w:vAlign w:val="center"/>
          </w:tcPr>
          <w:p w14:paraId="5E85E30F">
            <w:pPr>
              <w:pStyle w:val="41"/>
              <w:rPr>
                <w:rFonts w:hint="eastAsia" w:ascii="宋体" w:hAnsi="宋体" w:cs="宋体"/>
                <w:color w:val="000000" w:themeColor="text1"/>
                <w:sz w:val="18"/>
                <w:szCs w:val="18"/>
                <w:lang w:eastAsia="zh-CN"/>
                <w14:textFill>
                  <w14:solidFill>
                    <w14:schemeClr w14:val="tx1"/>
                  </w14:solidFill>
                </w14:textFill>
              </w:rPr>
            </w:pPr>
          </w:p>
        </w:tc>
        <w:tc>
          <w:tcPr>
            <w:tcW w:w="150" w:type="pct"/>
            <w:tcBorders>
              <w:tl2br w:val="nil"/>
              <w:tr2bl w:val="nil"/>
            </w:tcBorders>
            <w:vAlign w:val="center"/>
          </w:tcPr>
          <w:p w14:paraId="0F9113F9">
            <w:pPr>
              <w:pStyle w:val="41"/>
              <w:rPr>
                <w:rFonts w:hint="eastAsia" w:ascii="宋体" w:hAnsi="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事故</w:t>
            </w:r>
          </w:p>
        </w:tc>
        <w:tc>
          <w:tcPr>
            <w:tcW w:w="381" w:type="pct"/>
            <w:tcBorders>
              <w:tl2br w:val="nil"/>
              <w:tr2bl w:val="nil"/>
            </w:tcBorders>
            <w:vAlign w:val="center"/>
          </w:tcPr>
          <w:p w14:paraId="39788C8B">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0.43</w:t>
            </w:r>
          </w:p>
        </w:tc>
        <w:tc>
          <w:tcPr>
            <w:tcW w:w="407" w:type="pct"/>
            <w:tcBorders>
              <w:tl2br w:val="nil"/>
              <w:tr2bl w:val="nil"/>
            </w:tcBorders>
            <w:vAlign w:val="center"/>
          </w:tcPr>
          <w:p w14:paraId="5FB51668">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0.18</w:t>
            </w:r>
          </w:p>
        </w:tc>
        <w:tc>
          <w:tcPr>
            <w:tcW w:w="458" w:type="pct"/>
            <w:tcBorders>
              <w:tl2br w:val="nil"/>
              <w:tr2bl w:val="nil"/>
            </w:tcBorders>
            <w:vAlign w:val="center"/>
          </w:tcPr>
          <w:p w14:paraId="3F7CF566">
            <w:pPr>
              <w:pStyle w:val="41"/>
              <w:rPr>
                <w:rFonts w:hint="default" w:ascii="宋体" w:hAnsi="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36</w:t>
            </w:r>
          </w:p>
        </w:tc>
        <w:tc>
          <w:tcPr>
            <w:tcW w:w="356" w:type="pct"/>
            <w:tcBorders>
              <w:tl2br w:val="nil"/>
              <w:tr2bl w:val="nil"/>
            </w:tcBorders>
            <w:vAlign w:val="center"/>
          </w:tcPr>
          <w:p w14:paraId="160FF9DF">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120</w:t>
            </w:r>
          </w:p>
        </w:tc>
        <w:tc>
          <w:tcPr>
            <w:tcW w:w="255" w:type="pct"/>
            <w:tcBorders>
              <w:tl2br w:val="nil"/>
              <w:tr2bl w:val="nil"/>
            </w:tcBorders>
            <w:vAlign w:val="center"/>
          </w:tcPr>
          <w:p w14:paraId="54045020">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20" w:type="pct"/>
            <w:vMerge w:val="continue"/>
            <w:tcBorders>
              <w:tl2br w:val="nil"/>
              <w:tr2bl w:val="nil"/>
            </w:tcBorders>
            <w:vAlign w:val="center"/>
          </w:tcPr>
          <w:p w14:paraId="29C890D2">
            <w:pPr>
              <w:pStyle w:val="41"/>
              <w:rPr>
                <w:rFonts w:hint="eastAsia" w:ascii="宋体" w:hAnsi="宋体" w:eastAsia="宋体" w:cs="宋体"/>
                <w:color w:val="000000" w:themeColor="text1"/>
                <w:sz w:val="18"/>
                <w:szCs w:val="18"/>
                <w14:textFill>
                  <w14:solidFill>
                    <w14:schemeClr w14:val="tx1"/>
                  </w14:solidFill>
                </w14:textFill>
              </w:rPr>
            </w:pPr>
          </w:p>
        </w:tc>
        <w:tc>
          <w:tcPr>
            <w:tcW w:w="480" w:type="pct"/>
            <w:vMerge w:val="continue"/>
            <w:tcBorders>
              <w:tl2br w:val="nil"/>
              <w:tr2bl w:val="nil"/>
            </w:tcBorders>
            <w:vAlign w:val="center"/>
          </w:tcPr>
          <w:p w14:paraId="60425644">
            <w:pPr>
              <w:pStyle w:val="41"/>
              <w:rPr>
                <w:rFonts w:hint="eastAsia" w:ascii="宋体" w:hAnsi="宋体" w:eastAsia="宋体" w:cs="宋体"/>
                <w:color w:val="000000" w:themeColor="text1"/>
                <w:sz w:val="18"/>
                <w:szCs w:val="18"/>
                <w14:textFill>
                  <w14:solidFill>
                    <w14:schemeClr w14:val="tx1"/>
                  </w14:solidFill>
                </w14:textFill>
              </w:rPr>
            </w:pPr>
          </w:p>
        </w:tc>
        <w:tc>
          <w:tcPr>
            <w:tcW w:w="272" w:type="pct"/>
            <w:tcBorders>
              <w:tl2br w:val="nil"/>
              <w:tr2bl w:val="nil"/>
            </w:tcBorders>
            <w:vAlign w:val="center"/>
          </w:tcPr>
          <w:p w14:paraId="26CDD3CF">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1次/事故</w:t>
            </w:r>
          </w:p>
        </w:tc>
      </w:tr>
      <w:tr w14:paraId="5393C15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356" w:type="pct"/>
            <w:tcBorders>
              <w:tl2br w:val="nil"/>
              <w:tr2bl w:val="nil"/>
            </w:tcBorders>
            <w:vAlign w:val="center"/>
          </w:tcPr>
          <w:p w14:paraId="02DAE16D">
            <w:pPr>
              <w:pStyle w:val="41"/>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安全气囊引爆</w:t>
            </w:r>
            <w:r>
              <w:rPr>
                <w:rFonts w:hint="eastAsia" w:ascii="宋体" w:hAnsi="宋体" w:cs="宋体"/>
                <w:color w:val="000000" w:themeColor="text1"/>
                <w:sz w:val="18"/>
                <w:szCs w:val="18"/>
                <w:lang w:eastAsia="zh-CN"/>
                <w14:textFill>
                  <w14:solidFill>
                    <w14:schemeClr w14:val="tx1"/>
                  </w14:solidFill>
                </w14:textFill>
              </w:rPr>
              <w:t>尼龙粉尘</w:t>
            </w:r>
          </w:p>
        </w:tc>
        <w:tc>
          <w:tcPr>
            <w:tcW w:w="315" w:type="pct"/>
            <w:vMerge w:val="continue"/>
            <w:tcBorders>
              <w:tl2br w:val="nil"/>
              <w:tr2bl w:val="nil"/>
            </w:tcBorders>
            <w:vAlign w:val="center"/>
          </w:tcPr>
          <w:p w14:paraId="413C8414">
            <w:pPr>
              <w:pStyle w:val="41"/>
              <w:rPr>
                <w:rFonts w:hint="eastAsia" w:ascii="宋体" w:hAnsi="宋体" w:eastAsia="宋体" w:cs="宋体"/>
                <w:color w:val="000000" w:themeColor="text1"/>
                <w:sz w:val="18"/>
                <w:szCs w:val="18"/>
                <w14:textFill>
                  <w14:solidFill>
                    <w14:schemeClr w14:val="tx1"/>
                  </w14:solidFill>
                </w14:textFill>
              </w:rPr>
            </w:pPr>
          </w:p>
        </w:tc>
        <w:tc>
          <w:tcPr>
            <w:tcW w:w="381" w:type="pct"/>
            <w:tcBorders>
              <w:tl2br w:val="nil"/>
              <w:tr2bl w:val="nil"/>
            </w:tcBorders>
            <w:vAlign w:val="center"/>
          </w:tcPr>
          <w:p w14:paraId="34596BCB">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0.013</w:t>
            </w:r>
          </w:p>
        </w:tc>
        <w:tc>
          <w:tcPr>
            <w:tcW w:w="409" w:type="pct"/>
            <w:tcBorders>
              <w:tl2br w:val="nil"/>
              <w:tr2bl w:val="nil"/>
            </w:tcBorders>
            <w:vAlign w:val="center"/>
          </w:tcPr>
          <w:p w14:paraId="762001A4">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0.0054</w:t>
            </w:r>
          </w:p>
        </w:tc>
        <w:tc>
          <w:tcPr>
            <w:tcW w:w="505" w:type="pct"/>
            <w:gridSpan w:val="2"/>
            <w:tcBorders>
              <w:tl2br w:val="nil"/>
              <w:tr2bl w:val="nil"/>
            </w:tcBorders>
            <w:vAlign w:val="center"/>
          </w:tcPr>
          <w:p w14:paraId="61192F05">
            <w:pPr>
              <w:pStyle w:val="41"/>
              <w:rPr>
                <w:rFonts w:hint="eastAsia" w:ascii="宋体" w:hAnsi="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无组织排放</w:t>
            </w:r>
          </w:p>
        </w:tc>
        <w:tc>
          <w:tcPr>
            <w:tcW w:w="381" w:type="pct"/>
            <w:tcBorders>
              <w:tl2br w:val="nil"/>
              <w:tr2bl w:val="nil"/>
            </w:tcBorders>
            <w:vAlign w:val="center"/>
          </w:tcPr>
          <w:p w14:paraId="33BCFFC7">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0.013</w:t>
            </w:r>
          </w:p>
        </w:tc>
        <w:tc>
          <w:tcPr>
            <w:tcW w:w="407" w:type="pct"/>
            <w:tcBorders>
              <w:tl2br w:val="nil"/>
              <w:tr2bl w:val="nil"/>
            </w:tcBorders>
            <w:vAlign w:val="center"/>
          </w:tcPr>
          <w:p w14:paraId="1E2E5EAD">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0.0054</w:t>
            </w:r>
          </w:p>
        </w:tc>
        <w:tc>
          <w:tcPr>
            <w:tcW w:w="458" w:type="pct"/>
            <w:tcBorders>
              <w:tl2br w:val="nil"/>
              <w:tr2bl w:val="nil"/>
            </w:tcBorders>
            <w:vAlign w:val="center"/>
          </w:tcPr>
          <w:p w14:paraId="16B4D3A6">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356" w:type="pct"/>
            <w:tcBorders>
              <w:tl2br w:val="nil"/>
              <w:tr2bl w:val="nil"/>
            </w:tcBorders>
            <w:vAlign w:val="center"/>
          </w:tcPr>
          <w:p w14:paraId="5F98C27D">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255" w:type="pct"/>
            <w:tcBorders>
              <w:tl2br w:val="nil"/>
              <w:tr2bl w:val="nil"/>
            </w:tcBorders>
            <w:vAlign w:val="center"/>
          </w:tcPr>
          <w:p w14:paraId="22531A2A">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20" w:type="pct"/>
            <w:tcBorders>
              <w:tl2br w:val="nil"/>
              <w:tr2bl w:val="nil"/>
            </w:tcBorders>
            <w:vAlign w:val="center"/>
          </w:tcPr>
          <w:p w14:paraId="4C79DF2B">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厂界</w:t>
            </w:r>
          </w:p>
        </w:tc>
        <w:tc>
          <w:tcPr>
            <w:tcW w:w="480" w:type="pct"/>
            <w:tcBorders>
              <w:tl2br w:val="nil"/>
              <w:tr2bl w:val="nil"/>
            </w:tcBorders>
            <w:vAlign w:val="center"/>
          </w:tcPr>
          <w:p w14:paraId="6577463B">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颗粒物</w:t>
            </w:r>
          </w:p>
        </w:tc>
        <w:tc>
          <w:tcPr>
            <w:tcW w:w="272" w:type="pct"/>
            <w:tcBorders>
              <w:tl2br w:val="nil"/>
              <w:tr2bl w:val="nil"/>
            </w:tcBorders>
            <w:vAlign w:val="center"/>
          </w:tcPr>
          <w:p w14:paraId="215D334A">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1次/年</w:t>
            </w:r>
          </w:p>
        </w:tc>
      </w:tr>
      <w:tr w14:paraId="0FD9B9C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14:paraId="02861D91">
            <w:pPr>
              <w:pStyle w:val="41"/>
              <w:rPr>
                <w:rFonts w:hint="eastAsia" w:ascii="宋体" w:hAnsi="宋体" w:eastAsia="宋体" w:cs="宋体"/>
                <w:color w:val="000000" w:themeColor="text1"/>
                <w:sz w:val="18"/>
                <w:szCs w:val="18"/>
                <w:highlight w:val="yellow"/>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未收集</w:t>
            </w:r>
          </w:p>
        </w:tc>
        <w:tc>
          <w:tcPr>
            <w:tcW w:w="315" w:type="pct"/>
            <w:vMerge w:val="continue"/>
            <w:tcBorders>
              <w:tl2br w:val="nil"/>
              <w:tr2bl w:val="nil"/>
            </w:tcBorders>
            <w:vAlign w:val="center"/>
          </w:tcPr>
          <w:p w14:paraId="32FCE2D4">
            <w:pPr>
              <w:pStyle w:val="41"/>
              <w:rPr>
                <w:rFonts w:hint="eastAsia" w:ascii="宋体" w:hAnsi="宋体" w:eastAsia="宋体" w:cs="宋体"/>
                <w:color w:val="000000" w:themeColor="text1"/>
                <w:sz w:val="18"/>
                <w:szCs w:val="18"/>
                <w14:textFill>
                  <w14:solidFill>
                    <w14:schemeClr w14:val="tx1"/>
                  </w14:solidFill>
                </w14:textFill>
              </w:rPr>
            </w:pPr>
          </w:p>
        </w:tc>
        <w:tc>
          <w:tcPr>
            <w:tcW w:w="381" w:type="pct"/>
            <w:tcBorders>
              <w:tl2br w:val="nil"/>
              <w:tr2bl w:val="nil"/>
            </w:tcBorders>
            <w:vAlign w:val="center"/>
          </w:tcPr>
          <w:p w14:paraId="7715A255">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0.108</w:t>
            </w:r>
          </w:p>
        </w:tc>
        <w:tc>
          <w:tcPr>
            <w:tcW w:w="409" w:type="pct"/>
            <w:tcBorders>
              <w:tl2br w:val="nil"/>
              <w:tr2bl w:val="nil"/>
            </w:tcBorders>
            <w:vAlign w:val="center"/>
          </w:tcPr>
          <w:p w14:paraId="12FAEBDA">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0.0</w:t>
            </w:r>
            <w:r>
              <w:rPr>
                <w:rFonts w:hint="eastAsia" w:ascii="宋体" w:hAnsi="宋体" w:cs="宋体"/>
                <w:color w:val="000000" w:themeColor="text1"/>
                <w:sz w:val="18"/>
                <w:szCs w:val="18"/>
                <w:lang w:val="en-US" w:eastAsia="zh-CN"/>
                <w14:textFill>
                  <w14:solidFill>
                    <w14:schemeClr w14:val="tx1"/>
                  </w14:solidFill>
                </w14:textFill>
              </w:rPr>
              <w:t>45</w:t>
            </w:r>
          </w:p>
        </w:tc>
        <w:tc>
          <w:tcPr>
            <w:tcW w:w="505" w:type="pct"/>
            <w:gridSpan w:val="2"/>
            <w:tcBorders>
              <w:tl2br w:val="nil"/>
              <w:tr2bl w:val="nil"/>
            </w:tcBorders>
            <w:vAlign w:val="center"/>
          </w:tcPr>
          <w:p w14:paraId="02B285C8">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无组织</w:t>
            </w:r>
          </w:p>
        </w:tc>
        <w:tc>
          <w:tcPr>
            <w:tcW w:w="381" w:type="pct"/>
            <w:tcBorders>
              <w:tl2br w:val="nil"/>
              <w:tr2bl w:val="nil"/>
            </w:tcBorders>
            <w:vAlign w:val="center"/>
          </w:tcPr>
          <w:p w14:paraId="10AD0FF7">
            <w:pPr>
              <w:pStyle w:val="41"/>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0.108</w:t>
            </w:r>
          </w:p>
        </w:tc>
        <w:tc>
          <w:tcPr>
            <w:tcW w:w="407" w:type="pct"/>
            <w:tcBorders>
              <w:tl2br w:val="nil"/>
              <w:tr2bl w:val="nil"/>
            </w:tcBorders>
            <w:vAlign w:val="center"/>
          </w:tcPr>
          <w:p w14:paraId="60352BEA">
            <w:pPr>
              <w:pStyle w:val="41"/>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0.0</w:t>
            </w:r>
            <w:r>
              <w:rPr>
                <w:rFonts w:hint="eastAsia" w:ascii="宋体" w:hAnsi="宋体" w:cs="宋体"/>
                <w:color w:val="000000" w:themeColor="text1"/>
                <w:sz w:val="18"/>
                <w:szCs w:val="18"/>
                <w:lang w:val="en-US" w:eastAsia="zh-CN"/>
                <w14:textFill>
                  <w14:solidFill>
                    <w14:schemeClr w14:val="tx1"/>
                  </w14:solidFill>
                </w14:textFill>
              </w:rPr>
              <w:t>45</w:t>
            </w:r>
          </w:p>
        </w:tc>
        <w:tc>
          <w:tcPr>
            <w:tcW w:w="458" w:type="pct"/>
            <w:tcBorders>
              <w:tl2br w:val="nil"/>
              <w:tr2bl w:val="nil"/>
            </w:tcBorders>
            <w:vAlign w:val="center"/>
          </w:tcPr>
          <w:p w14:paraId="21627151">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356" w:type="pct"/>
            <w:tcBorders>
              <w:tl2br w:val="nil"/>
              <w:tr2bl w:val="nil"/>
            </w:tcBorders>
            <w:vAlign w:val="center"/>
          </w:tcPr>
          <w:p w14:paraId="432F2422">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4.0</w:t>
            </w:r>
          </w:p>
        </w:tc>
        <w:tc>
          <w:tcPr>
            <w:tcW w:w="255" w:type="pct"/>
            <w:tcBorders>
              <w:tl2br w:val="nil"/>
              <w:tr2bl w:val="nil"/>
            </w:tcBorders>
            <w:vAlign w:val="center"/>
          </w:tcPr>
          <w:p w14:paraId="7B452922">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20" w:type="pct"/>
            <w:tcBorders>
              <w:tl2br w:val="nil"/>
              <w:tr2bl w:val="nil"/>
            </w:tcBorders>
            <w:vAlign w:val="center"/>
          </w:tcPr>
          <w:p w14:paraId="3342480C">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厂界、厂房外</w:t>
            </w:r>
          </w:p>
        </w:tc>
        <w:tc>
          <w:tcPr>
            <w:tcW w:w="480" w:type="pct"/>
            <w:tcBorders>
              <w:tl2br w:val="nil"/>
              <w:tr2bl w:val="nil"/>
            </w:tcBorders>
            <w:vAlign w:val="center"/>
          </w:tcPr>
          <w:p w14:paraId="53D74A58">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非甲烷总烃</w:t>
            </w:r>
          </w:p>
        </w:tc>
        <w:tc>
          <w:tcPr>
            <w:tcW w:w="272" w:type="pct"/>
            <w:tcBorders>
              <w:tl2br w:val="nil"/>
              <w:tr2bl w:val="nil"/>
            </w:tcBorders>
            <w:vAlign w:val="center"/>
          </w:tcPr>
          <w:p w14:paraId="1DB8CB18">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1次/年</w:t>
            </w:r>
          </w:p>
        </w:tc>
      </w:tr>
      <w:tr w14:paraId="460A910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vMerge w:val="restart"/>
            <w:tcBorders>
              <w:tl2br w:val="nil"/>
              <w:tr2bl w:val="nil"/>
            </w:tcBorders>
            <w:vAlign w:val="center"/>
          </w:tcPr>
          <w:p w14:paraId="734B5F36">
            <w:pPr>
              <w:pStyle w:val="41"/>
              <w:rPr>
                <w:rFonts w:hint="default" w:ascii="宋体" w:hAnsi="宋体" w:eastAsia="宋体" w:cs="宋体"/>
                <w:color w:val="000000" w:themeColor="text1"/>
                <w:sz w:val="18"/>
                <w:szCs w:val="18"/>
                <w:highlight w:val="yellow"/>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非正常</w:t>
            </w:r>
          </w:p>
        </w:tc>
        <w:tc>
          <w:tcPr>
            <w:tcW w:w="315" w:type="pct"/>
            <w:vMerge w:val="continue"/>
            <w:tcBorders>
              <w:tl2br w:val="nil"/>
              <w:tr2bl w:val="nil"/>
            </w:tcBorders>
            <w:vAlign w:val="center"/>
          </w:tcPr>
          <w:p w14:paraId="5D2587EF">
            <w:pPr>
              <w:pStyle w:val="41"/>
              <w:rPr>
                <w:rFonts w:hint="eastAsia" w:ascii="宋体" w:hAnsi="宋体" w:eastAsia="宋体" w:cs="宋体"/>
                <w:color w:val="000000" w:themeColor="text1"/>
                <w:sz w:val="18"/>
                <w:szCs w:val="18"/>
                <w14:textFill>
                  <w14:solidFill>
                    <w14:schemeClr w14:val="tx1"/>
                  </w14:solidFill>
                </w14:textFill>
              </w:rPr>
            </w:pPr>
          </w:p>
        </w:tc>
        <w:tc>
          <w:tcPr>
            <w:tcW w:w="381" w:type="pct"/>
            <w:tcBorders>
              <w:tl2br w:val="nil"/>
              <w:tr2bl w:val="nil"/>
            </w:tcBorders>
            <w:vAlign w:val="center"/>
          </w:tcPr>
          <w:p w14:paraId="1BB82350">
            <w:pPr>
              <w:pStyle w:val="41"/>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0.009k</w:t>
            </w:r>
            <w:r>
              <w:rPr>
                <w:rFonts w:hint="eastAsia" w:ascii="宋体" w:hAnsi="宋体" w:eastAsia="宋体" w:cs="宋体"/>
                <w:color w:val="000000" w:themeColor="text1"/>
                <w:sz w:val="18"/>
                <w:szCs w:val="18"/>
                <w14:textFill>
                  <w14:solidFill>
                    <w14:schemeClr w14:val="tx1"/>
                  </w14:solidFill>
                </w14:textFill>
              </w:rPr>
              <w:t>g/</w:t>
            </w:r>
            <w:r>
              <w:rPr>
                <w:rFonts w:hint="eastAsia" w:ascii="宋体" w:hAnsi="宋体" w:cs="宋体"/>
                <w:color w:val="000000" w:themeColor="text1"/>
                <w:sz w:val="18"/>
                <w:szCs w:val="18"/>
                <w:lang w:val="en-US" w:eastAsia="zh-CN"/>
                <w14:textFill>
                  <w14:solidFill>
                    <w14:schemeClr w14:val="tx1"/>
                  </w14:solidFill>
                </w14:textFill>
              </w:rPr>
              <w:t>a</w:t>
            </w:r>
          </w:p>
        </w:tc>
        <w:tc>
          <w:tcPr>
            <w:tcW w:w="409" w:type="pct"/>
            <w:tcBorders>
              <w:tl2br w:val="nil"/>
              <w:tr2bl w:val="nil"/>
            </w:tcBorders>
            <w:vAlign w:val="center"/>
          </w:tcPr>
          <w:p w14:paraId="3451A339">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0.06</w:t>
            </w:r>
            <w:r>
              <w:rPr>
                <w:rFonts w:hint="eastAsia" w:ascii="宋体" w:hAnsi="宋体" w:eastAsia="宋体" w:cs="宋体"/>
                <w:color w:val="000000" w:themeColor="text1"/>
                <w:sz w:val="18"/>
                <w:szCs w:val="18"/>
                <w14:textFill>
                  <w14:solidFill>
                    <w14:schemeClr w14:val="tx1"/>
                  </w14:solidFill>
                </w14:textFill>
              </w:rPr>
              <w:t>g/h</w:t>
            </w:r>
          </w:p>
        </w:tc>
        <w:tc>
          <w:tcPr>
            <w:tcW w:w="505" w:type="pct"/>
            <w:gridSpan w:val="2"/>
            <w:tcBorders>
              <w:tl2br w:val="nil"/>
              <w:tr2bl w:val="nil"/>
            </w:tcBorders>
            <w:vAlign w:val="center"/>
          </w:tcPr>
          <w:p w14:paraId="1B637EE0">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无组织</w:t>
            </w:r>
          </w:p>
        </w:tc>
        <w:tc>
          <w:tcPr>
            <w:tcW w:w="381" w:type="pct"/>
            <w:tcBorders>
              <w:tl2br w:val="nil"/>
              <w:tr2bl w:val="nil"/>
            </w:tcBorders>
            <w:vAlign w:val="center"/>
          </w:tcPr>
          <w:p w14:paraId="7438022C">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0.009k</w:t>
            </w:r>
            <w:r>
              <w:rPr>
                <w:rFonts w:hint="eastAsia" w:ascii="宋体" w:hAnsi="宋体" w:eastAsia="宋体" w:cs="宋体"/>
                <w:color w:val="000000" w:themeColor="text1"/>
                <w:sz w:val="18"/>
                <w:szCs w:val="18"/>
                <w14:textFill>
                  <w14:solidFill>
                    <w14:schemeClr w14:val="tx1"/>
                  </w14:solidFill>
                </w14:textFill>
              </w:rPr>
              <w:t>g/</w:t>
            </w:r>
            <w:r>
              <w:rPr>
                <w:rFonts w:hint="eastAsia" w:ascii="宋体" w:hAnsi="宋体" w:cs="宋体"/>
                <w:color w:val="000000" w:themeColor="text1"/>
                <w:sz w:val="18"/>
                <w:szCs w:val="18"/>
                <w:lang w:val="en-US" w:eastAsia="zh-CN"/>
                <w14:textFill>
                  <w14:solidFill>
                    <w14:schemeClr w14:val="tx1"/>
                  </w14:solidFill>
                </w14:textFill>
              </w:rPr>
              <w:t>a</w:t>
            </w:r>
          </w:p>
        </w:tc>
        <w:tc>
          <w:tcPr>
            <w:tcW w:w="407" w:type="pct"/>
            <w:tcBorders>
              <w:tl2br w:val="nil"/>
              <w:tr2bl w:val="nil"/>
            </w:tcBorders>
            <w:vAlign w:val="center"/>
          </w:tcPr>
          <w:p w14:paraId="265B9E79">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0.06</w:t>
            </w:r>
            <w:r>
              <w:rPr>
                <w:rFonts w:hint="eastAsia" w:ascii="宋体" w:hAnsi="宋体" w:eastAsia="宋体" w:cs="宋体"/>
                <w:color w:val="000000" w:themeColor="text1"/>
                <w:sz w:val="18"/>
                <w:szCs w:val="18"/>
                <w14:textFill>
                  <w14:solidFill>
                    <w14:schemeClr w14:val="tx1"/>
                  </w14:solidFill>
                </w14:textFill>
              </w:rPr>
              <w:t>g/h</w:t>
            </w:r>
          </w:p>
        </w:tc>
        <w:tc>
          <w:tcPr>
            <w:tcW w:w="458" w:type="pct"/>
            <w:tcBorders>
              <w:tl2br w:val="nil"/>
              <w:tr2bl w:val="nil"/>
            </w:tcBorders>
            <w:vAlign w:val="center"/>
          </w:tcPr>
          <w:p w14:paraId="4B8DD0D1">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356" w:type="pct"/>
            <w:tcBorders>
              <w:tl2br w:val="nil"/>
              <w:tr2bl w:val="nil"/>
            </w:tcBorders>
            <w:vAlign w:val="center"/>
          </w:tcPr>
          <w:p w14:paraId="43F0159A">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0.006</w:t>
            </w:r>
          </w:p>
        </w:tc>
        <w:tc>
          <w:tcPr>
            <w:tcW w:w="255" w:type="pct"/>
            <w:tcBorders>
              <w:tl2br w:val="nil"/>
              <w:tr2bl w:val="nil"/>
            </w:tcBorders>
            <w:vAlign w:val="center"/>
          </w:tcPr>
          <w:p w14:paraId="5E834DEB">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20" w:type="pct"/>
            <w:tcBorders>
              <w:tl2br w:val="nil"/>
              <w:tr2bl w:val="nil"/>
            </w:tcBorders>
            <w:vAlign w:val="center"/>
          </w:tcPr>
          <w:p w14:paraId="01125DA7">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厂界</w:t>
            </w:r>
          </w:p>
        </w:tc>
        <w:tc>
          <w:tcPr>
            <w:tcW w:w="480" w:type="pct"/>
            <w:tcBorders>
              <w:tl2br w:val="nil"/>
              <w:tr2bl w:val="nil"/>
            </w:tcBorders>
            <w:vAlign w:val="center"/>
          </w:tcPr>
          <w:p w14:paraId="710E4288">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铅尘</w:t>
            </w:r>
          </w:p>
        </w:tc>
        <w:tc>
          <w:tcPr>
            <w:tcW w:w="272" w:type="pct"/>
            <w:tcBorders>
              <w:tl2br w:val="nil"/>
              <w:tr2bl w:val="nil"/>
            </w:tcBorders>
            <w:vAlign w:val="center"/>
          </w:tcPr>
          <w:p w14:paraId="7221CCFF">
            <w:pPr>
              <w:pStyle w:val="41"/>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w:t>
            </w:r>
          </w:p>
        </w:tc>
      </w:tr>
      <w:tr w14:paraId="1EC2244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vMerge w:val="continue"/>
            <w:tcBorders>
              <w:tl2br w:val="nil"/>
              <w:tr2bl w:val="nil"/>
            </w:tcBorders>
            <w:vAlign w:val="center"/>
          </w:tcPr>
          <w:p w14:paraId="52C15FB7">
            <w:pPr>
              <w:pStyle w:val="41"/>
              <w:rPr>
                <w:rFonts w:hint="default" w:ascii="宋体" w:hAnsi="宋体" w:eastAsia="宋体" w:cs="宋体"/>
                <w:color w:val="000000" w:themeColor="text1"/>
                <w:sz w:val="18"/>
                <w:szCs w:val="18"/>
                <w:lang w:val="en-US" w:eastAsia="zh-CN"/>
                <w14:textFill>
                  <w14:solidFill>
                    <w14:schemeClr w14:val="tx1"/>
                  </w14:solidFill>
                </w14:textFill>
              </w:rPr>
            </w:pPr>
          </w:p>
        </w:tc>
        <w:tc>
          <w:tcPr>
            <w:tcW w:w="315" w:type="pct"/>
            <w:vMerge w:val="continue"/>
            <w:tcBorders>
              <w:tl2br w:val="nil"/>
              <w:tr2bl w:val="nil"/>
            </w:tcBorders>
            <w:vAlign w:val="center"/>
          </w:tcPr>
          <w:p w14:paraId="2FB3D351">
            <w:pPr>
              <w:pStyle w:val="41"/>
              <w:rPr>
                <w:rFonts w:hint="eastAsia" w:ascii="宋体" w:hAnsi="宋体" w:eastAsia="宋体" w:cs="宋体"/>
                <w:color w:val="000000" w:themeColor="text1"/>
                <w:sz w:val="18"/>
                <w:szCs w:val="18"/>
                <w14:textFill>
                  <w14:solidFill>
                    <w14:schemeClr w14:val="tx1"/>
                  </w14:solidFill>
                </w14:textFill>
              </w:rPr>
            </w:pPr>
          </w:p>
        </w:tc>
        <w:tc>
          <w:tcPr>
            <w:tcW w:w="381" w:type="pct"/>
            <w:tcBorders>
              <w:tl2br w:val="nil"/>
              <w:tr2bl w:val="nil"/>
            </w:tcBorders>
            <w:vAlign w:val="center"/>
          </w:tcPr>
          <w:p w14:paraId="6FE50660">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0.0008</w:t>
            </w:r>
          </w:p>
        </w:tc>
        <w:tc>
          <w:tcPr>
            <w:tcW w:w="409" w:type="pct"/>
            <w:tcBorders>
              <w:tl2br w:val="nil"/>
              <w:tr2bl w:val="nil"/>
            </w:tcBorders>
            <w:vAlign w:val="center"/>
          </w:tcPr>
          <w:p w14:paraId="0743877F">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0.0019</w:t>
            </w:r>
          </w:p>
        </w:tc>
        <w:tc>
          <w:tcPr>
            <w:tcW w:w="505" w:type="pct"/>
            <w:gridSpan w:val="2"/>
            <w:tcBorders>
              <w:tl2br w:val="nil"/>
              <w:tr2bl w:val="nil"/>
            </w:tcBorders>
            <w:vAlign w:val="center"/>
          </w:tcPr>
          <w:p w14:paraId="74F446DE">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无组织</w:t>
            </w:r>
          </w:p>
        </w:tc>
        <w:tc>
          <w:tcPr>
            <w:tcW w:w="381" w:type="pct"/>
            <w:tcBorders>
              <w:tl2br w:val="nil"/>
              <w:tr2bl w:val="nil"/>
            </w:tcBorders>
            <w:vAlign w:val="center"/>
          </w:tcPr>
          <w:p w14:paraId="348449B4">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0.0008</w:t>
            </w:r>
          </w:p>
        </w:tc>
        <w:tc>
          <w:tcPr>
            <w:tcW w:w="407" w:type="pct"/>
            <w:tcBorders>
              <w:tl2br w:val="nil"/>
              <w:tr2bl w:val="nil"/>
            </w:tcBorders>
            <w:vAlign w:val="center"/>
          </w:tcPr>
          <w:p w14:paraId="2710DB58">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0.0019</w:t>
            </w:r>
          </w:p>
        </w:tc>
        <w:tc>
          <w:tcPr>
            <w:tcW w:w="458" w:type="pct"/>
            <w:tcBorders>
              <w:tl2br w:val="nil"/>
              <w:tr2bl w:val="nil"/>
            </w:tcBorders>
            <w:vAlign w:val="center"/>
          </w:tcPr>
          <w:p w14:paraId="297C6474">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356" w:type="pct"/>
            <w:tcBorders>
              <w:tl2br w:val="nil"/>
              <w:tr2bl w:val="nil"/>
            </w:tcBorders>
            <w:vAlign w:val="center"/>
          </w:tcPr>
          <w:p w14:paraId="37C7C44B">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1.2</w:t>
            </w:r>
          </w:p>
        </w:tc>
        <w:tc>
          <w:tcPr>
            <w:tcW w:w="255" w:type="pct"/>
            <w:tcBorders>
              <w:tl2br w:val="nil"/>
              <w:tr2bl w:val="nil"/>
            </w:tcBorders>
            <w:vAlign w:val="center"/>
          </w:tcPr>
          <w:p w14:paraId="40561545">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20" w:type="pct"/>
            <w:tcBorders>
              <w:tl2br w:val="nil"/>
              <w:tr2bl w:val="nil"/>
            </w:tcBorders>
            <w:vAlign w:val="center"/>
          </w:tcPr>
          <w:p w14:paraId="298A11B0">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val="en-US" w:eastAsia="zh-CN" w:bidi="ar-SA"/>
                <w14:textFill>
                  <w14:solidFill>
                    <w14:schemeClr w14:val="tx1"/>
                  </w14:solidFill>
                </w14:textFill>
              </w:rPr>
              <w:t>厂界</w:t>
            </w:r>
          </w:p>
        </w:tc>
        <w:tc>
          <w:tcPr>
            <w:tcW w:w="480" w:type="pct"/>
            <w:tcBorders>
              <w:tl2br w:val="nil"/>
              <w:tr2bl w:val="nil"/>
            </w:tcBorders>
            <w:vAlign w:val="center"/>
          </w:tcPr>
          <w:p w14:paraId="23E30839">
            <w:pPr>
              <w:pStyle w:val="41"/>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酸雾</w:t>
            </w:r>
          </w:p>
        </w:tc>
        <w:tc>
          <w:tcPr>
            <w:tcW w:w="272" w:type="pct"/>
            <w:tcBorders>
              <w:tl2br w:val="nil"/>
              <w:tr2bl w:val="nil"/>
            </w:tcBorders>
            <w:vAlign w:val="center"/>
          </w:tcPr>
          <w:p w14:paraId="23FFA5B5">
            <w:pPr>
              <w:pStyle w:val="41"/>
              <w:rPr>
                <w:rFonts w:hint="eastAsia"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w:t>
            </w:r>
          </w:p>
        </w:tc>
      </w:tr>
    </w:tbl>
    <w:p w14:paraId="75890BE9">
      <w:pPr>
        <w:rPr>
          <w:rFonts w:hint="default" w:ascii="宋体" w:hAnsi="宋体" w:eastAsia="宋体" w:cs="宋体"/>
          <w:color w:val="000000" w:themeColor="text1"/>
          <w:sz w:val="24"/>
          <w:szCs w:val="24"/>
          <w:highlight w:val="none"/>
          <w:lang w:val="en-US" w:eastAsia="zh-CN"/>
          <w14:textFill>
            <w14:solidFill>
              <w14:schemeClr w14:val="tx1"/>
            </w14:solidFill>
          </w14:textFill>
        </w:rPr>
        <w:sectPr>
          <w:pgSz w:w="16839" w:h="11906" w:orient="landscape"/>
          <w:pgMar w:top="1440" w:right="1800" w:bottom="1440" w:left="1800" w:header="0" w:footer="852" w:gutter="0"/>
          <w:pgBorders>
            <w:top w:val="none" w:sz="0" w:space="0"/>
            <w:left w:val="none" w:sz="0" w:space="0"/>
            <w:bottom w:val="none" w:sz="0" w:space="0"/>
            <w:right w:val="none" w:sz="0" w:space="0"/>
          </w:pgBorders>
          <w:cols w:space="720" w:num="1"/>
        </w:sectPr>
      </w:pPr>
      <w:r>
        <w:rPr>
          <w:rFonts w:hint="eastAsia" w:ascii="宋体" w:hAnsi="宋体" w:cs="宋体"/>
          <w:color w:val="000000" w:themeColor="text1"/>
          <w:sz w:val="24"/>
          <w:szCs w:val="24"/>
          <w:highlight w:val="none"/>
          <w:lang w:val="en-US" w:eastAsia="zh-CN"/>
          <w14:textFill>
            <w14:solidFill>
              <w14:schemeClr w14:val="tx1"/>
            </w14:solidFill>
          </w14:textFill>
        </w:rPr>
        <w:t>按废铅酸蓄电池破损率为1%计算</w:t>
      </w:r>
    </w:p>
    <w:p w14:paraId="28B175DF">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480" w:firstLineChars="200"/>
        <w:jc w:val="left"/>
        <w:textAlignment w:val="auto"/>
        <w:outlineLvl w:val="9"/>
        <w:rPr>
          <w:rFonts w:hint="eastAsia" w:ascii="宋体" w:hAnsi="宋体" w:eastAsia="宋体" w:cs="宋体"/>
          <w:color w:val="000000" w:themeColor="text1"/>
          <w:sz w:val="24"/>
          <w:szCs w:val="24"/>
          <w:highlight w:val="yellow"/>
          <w:lang w:val="en-US" w:eastAsia="zh-CN"/>
          <w14:textFill>
            <w14:solidFill>
              <w14:schemeClr w14:val="tx1"/>
            </w14:solidFill>
          </w14:textFill>
        </w:rPr>
      </w:pPr>
    </w:p>
    <w:p w14:paraId="331A7024">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5.2.3危废</w:t>
      </w:r>
      <w:r>
        <w:rPr>
          <w:rFonts w:hint="eastAsia" w:ascii="宋体" w:hAnsi="宋体" w:cs="宋体"/>
          <w:b/>
          <w:bCs/>
          <w:color w:val="000000" w:themeColor="text1"/>
          <w:sz w:val="24"/>
          <w:szCs w:val="24"/>
          <w:lang w:val="en-US" w:eastAsia="zh-CN"/>
          <w14:textFill>
            <w14:solidFill>
              <w14:schemeClr w14:val="tx1"/>
            </w14:solidFill>
          </w14:textFill>
        </w:rPr>
        <w:t>暂存库</w:t>
      </w:r>
    </w:p>
    <w:p w14:paraId="29E496C9">
      <w:pPr>
        <w:pStyle w:val="11"/>
        <w:keepNext w:val="0"/>
        <w:keepLines w:val="0"/>
        <w:pageBreakBefore w:val="0"/>
        <w:kinsoku/>
        <w:wordWrap/>
        <w:overflowPunct/>
        <w:topLinePunct w:val="0"/>
        <w:autoSpaceDE/>
        <w:autoSpaceDN/>
        <w:bidi w:val="0"/>
        <w:adjustRightInd/>
        <w:snapToGrid/>
        <w:spacing w:after="0" w:line="360" w:lineRule="auto"/>
        <w:textAlignment w:val="auto"/>
        <w:rPr>
          <w:rFonts w:hint="default"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拆解过程中可能产生的有机废气主要为废有机液抽取和残留于油箱内的燃料挥发产生的含C4~C10各族烃类组成的有机废气（以非甲烷总烃计）。项目在拆解过程中，首先在预处理车间对各类废油、液进行封闭抽取，抽取过程会产生少量非甲烷总烃。抽取后采用封闭罐体进行储存，封闭罐体送至危废间暂存。因此非甲烷总烃主要产生于预处理车间（采用活性炭吸附后有组织排放），抽取后采用封闭罐体送到危废暂存库，根据现有企业对厂界非甲烷总烃的监测可以看出监测值远小于标准要求。</w:t>
      </w:r>
      <w:r>
        <w:rPr>
          <w:rFonts w:hint="eastAsia" w:ascii="宋体" w:hAnsi="宋体" w:eastAsia="宋体" w:cs="宋体"/>
          <w:color w:val="000000" w:themeColor="text1"/>
          <w:spacing w:val="-2"/>
          <w:sz w:val="24"/>
          <w:szCs w:val="24"/>
          <w:lang w:val="en-US" w:eastAsia="zh-CN"/>
          <w14:textFill>
            <w14:solidFill>
              <w14:schemeClr w14:val="tx1"/>
            </w14:solidFill>
          </w14:textFill>
        </w:rPr>
        <w:t>因此本项目不属于“贮存易产生粉尘、VOCs、酸、有毒有害大气污染物和刺激性气味气体的危险废物贮存库，”</w:t>
      </w:r>
      <w:r>
        <w:rPr>
          <w:color w:val="000000" w:themeColor="text1"/>
          <w14:textFill>
            <w14:solidFill>
              <w14:schemeClr w14:val="tx1"/>
            </w14:solidFill>
          </w14:textFill>
        </w:rPr>
        <w:commentReference w:id="0"/>
      </w:r>
      <w:r>
        <w:rPr>
          <w:rFonts w:hint="eastAsia" w:ascii="宋体" w:hAnsi="宋体" w:eastAsia="宋体" w:cs="宋体"/>
          <w:color w:val="000000" w:themeColor="text1"/>
          <w:spacing w:val="-2"/>
          <w:sz w:val="24"/>
          <w:szCs w:val="24"/>
          <w:lang w:val="en-US" w:eastAsia="zh-CN"/>
          <w14:textFill>
            <w14:solidFill>
              <w14:schemeClr w14:val="tx1"/>
            </w14:solidFill>
          </w14:textFill>
        </w:rPr>
        <w:t>可不设置气体收集和气体净化设施。根据部长信箱，企业危废暂存库可不设置气体收集和气体净化设施。</w:t>
      </w:r>
    </w:p>
    <w:p w14:paraId="23016F6A">
      <w:pPr>
        <w:pStyle w:val="11"/>
        <w:keepNext w:val="0"/>
        <w:keepLines w:val="0"/>
        <w:pageBreakBefore w:val="0"/>
        <w:kinsoku/>
        <w:wordWrap/>
        <w:overflowPunct/>
        <w:topLinePunct w:val="0"/>
        <w:autoSpaceDE/>
        <w:autoSpaceDN/>
        <w:bidi w:val="0"/>
        <w:adjustRightInd/>
        <w:snapToGrid/>
        <w:spacing w:after="0" w:line="360" w:lineRule="auto"/>
        <w:textAlignment w:val="auto"/>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4674870" cy="2857500"/>
            <wp:effectExtent l="0" t="0" r="11430" b="0"/>
            <wp:docPr id="126" name="图片 126" descr="3b691afb668f8dfe7802417d42f29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3b691afb668f8dfe7802417d42f29e0f"/>
                    <pic:cNvPicPr>
                      <a:picLocks noChangeAspect="1"/>
                    </pic:cNvPicPr>
                  </pic:nvPicPr>
                  <pic:blipFill>
                    <a:blip r:embed="rId34"/>
                    <a:stretch>
                      <a:fillRect/>
                    </a:stretch>
                  </pic:blipFill>
                  <pic:spPr>
                    <a:xfrm>
                      <a:off x="0" y="0"/>
                      <a:ext cx="4674870" cy="2857500"/>
                    </a:xfrm>
                    <a:prstGeom prst="rect">
                      <a:avLst/>
                    </a:prstGeom>
                  </pic:spPr>
                </pic:pic>
              </a:graphicData>
            </a:graphic>
          </wp:inline>
        </w:drawing>
      </w:r>
    </w:p>
    <w:p w14:paraId="7B3B0A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eastAsia="宋体" w:cs="宋体"/>
          <w:color w:val="000000" w:themeColor="text1"/>
          <w:kern w:val="0"/>
          <w:sz w:val="24"/>
          <w:szCs w:val="24"/>
          <w:lang w:val="en-US" w:eastAsia="zh-CN" w:bidi="ar-SA"/>
          <w14:textFill>
            <w14:solidFill>
              <w14:schemeClr w14:val="tx1"/>
            </w14:solidFill>
          </w14:textFill>
        </w:rPr>
        <w:t>在非正常工况下(人为操作不当)可能出现电池电解液的泄漏，泄漏时采取应急措施，由专用托盘带孔洞设计（用于收集泄漏的电解液，避免污染地面）+带盖密闭专用容器（防酸、防渗）对其进行收集。密闭容器送至废铅蓄电池</w:t>
      </w:r>
      <w:r>
        <w:rPr>
          <w:rFonts w:hint="eastAsia" w:ascii="宋体" w:hAnsi="宋体" w:cs="宋体"/>
          <w:color w:val="000000" w:themeColor="text1"/>
          <w:kern w:val="0"/>
          <w:sz w:val="24"/>
          <w:szCs w:val="24"/>
          <w:lang w:val="en-US" w:eastAsia="zh-CN" w:bidi="ar-SA"/>
          <w14:textFill>
            <w14:solidFill>
              <w14:schemeClr w14:val="tx1"/>
            </w14:solidFill>
          </w14:textFill>
        </w:rPr>
        <w:t>暂存库</w:t>
      </w:r>
      <w:r>
        <w:rPr>
          <w:rFonts w:hint="eastAsia" w:ascii="宋体" w:hAnsi="宋体" w:eastAsia="宋体" w:cs="宋体"/>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color w:val="000000" w:themeColor="text1"/>
          <w:spacing w:val="-2"/>
          <w:sz w:val="24"/>
          <w:szCs w:val="24"/>
          <w14:textFill>
            <w14:solidFill>
              <w14:schemeClr w14:val="tx1"/>
            </w14:solidFill>
          </w14:textFill>
        </w:rPr>
        <w:t>保存期限不少于</w:t>
      </w:r>
      <w:r>
        <w:rPr>
          <w:rFonts w:hint="eastAsia" w:ascii="宋体" w:hAnsi="宋体" w:eastAsia="宋体" w:cs="宋体"/>
          <w:color w:val="000000" w:themeColor="text1"/>
          <w:spacing w:val="-2"/>
          <w:sz w:val="24"/>
          <w:szCs w:val="24"/>
          <w:lang w:val="en-US" w:eastAsia="zh-CN"/>
          <w14:textFill>
            <w14:solidFill>
              <w14:schemeClr w14:val="tx1"/>
            </w14:solidFill>
          </w14:textFill>
        </w:rPr>
        <w:t>1天</w:t>
      </w:r>
      <w:r>
        <w:rPr>
          <w:rFonts w:hint="eastAsia" w:ascii="宋体" w:hAnsi="宋体" w:eastAsia="宋体" w:cs="宋体"/>
          <w:color w:val="000000" w:themeColor="text1"/>
          <w:spacing w:val="-2"/>
          <w:sz w:val="24"/>
          <w:szCs w:val="24"/>
          <w14:textFill>
            <w14:solidFill>
              <w14:schemeClr w14:val="tx1"/>
            </w14:solidFill>
          </w14:textFill>
        </w:rPr>
        <w:t>。</w:t>
      </w:r>
      <w:r>
        <w:rPr>
          <w:rFonts w:hint="eastAsia" w:ascii="宋体" w:hAnsi="宋体" w:eastAsia="宋体" w:cs="宋体"/>
          <w:color w:val="000000" w:themeColor="text1"/>
          <w:spacing w:val="-2"/>
          <w:sz w:val="24"/>
          <w:szCs w:val="24"/>
          <w:lang w:val="en-US" w:eastAsia="zh-CN"/>
          <w14:textFill>
            <w14:solidFill>
              <w14:schemeClr w14:val="tx1"/>
            </w14:solidFill>
          </w14:textFill>
        </w:rPr>
        <w:t>及时与当地专业废铅酸蓄电池贮存场所联系，及时清运。暂存过程中基本无铅和酸雾产生。因此本项目不属于“贮存易产生粉尘、VOCs、酸、有毒有害大气污染物和刺激性气味气体的危险废物贮存库，”可不设置气体收集和气体净化设施。</w:t>
      </w:r>
    </w:p>
    <w:p w14:paraId="638808E9">
      <w:pPr>
        <w:pStyle w:val="11"/>
        <w:ind w:left="0" w:leftChars="0" w:firstLine="0" w:firstLineChars="0"/>
        <w:rPr>
          <w:rFonts w:hint="eastAsia"/>
          <w:color w:val="000000" w:themeColor="text1"/>
          <w:lang w:val="en-US" w:eastAsia="zh-CN"/>
          <w14:textFill>
            <w14:solidFill>
              <w14:schemeClr w14:val="tx1"/>
            </w14:solidFill>
          </w14:textFill>
        </w:rPr>
      </w:pPr>
    </w:p>
    <w:p w14:paraId="32DF9E56">
      <w:pPr>
        <w:spacing w:line="220" w:lineRule="auto"/>
        <w:rPr>
          <w:rFonts w:hint="eastAsia" w:asciiTheme="majorEastAsia" w:hAnsiTheme="majorEastAsia" w:eastAsiaTheme="majorEastAsia" w:cstheme="majorEastAsia"/>
          <w:b/>
          <w:bCs/>
          <w:color w:val="000000" w:themeColor="text1"/>
          <w:sz w:val="24"/>
          <w:szCs w:val="24"/>
          <w:u w:val="none" w:color="auto"/>
          <w14:textFill>
            <w14:solidFill>
              <w14:schemeClr w14:val="tx1"/>
            </w14:solidFill>
          </w14:textFill>
        </w:rPr>
      </w:pPr>
      <w:r>
        <w:rPr>
          <w:rFonts w:hint="eastAsia" w:asciiTheme="majorEastAsia" w:hAnsiTheme="majorEastAsia" w:eastAsiaTheme="majorEastAsia" w:cstheme="majorEastAsia"/>
          <w:b/>
          <w:bCs/>
          <w:color w:val="000000" w:themeColor="text1"/>
          <w:spacing w:val="-5"/>
          <w:sz w:val="24"/>
          <w:szCs w:val="24"/>
          <w:u w:val="none" w:color="auto"/>
          <w:lang w:val="en-US" w:eastAsia="zh-CN"/>
          <w14:textFill>
            <w14:solidFill>
              <w14:schemeClr w14:val="tx1"/>
            </w14:solidFill>
          </w14:textFill>
        </w:rPr>
        <w:t>6</w:t>
      </w:r>
      <w:r>
        <w:rPr>
          <w:rFonts w:hint="eastAsia" w:asciiTheme="majorEastAsia" w:hAnsiTheme="majorEastAsia" w:eastAsiaTheme="majorEastAsia" w:cstheme="majorEastAsia"/>
          <w:b/>
          <w:bCs/>
          <w:color w:val="000000" w:themeColor="text1"/>
          <w:spacing w:val="-26"/>
          <w:sz w:val="24"/>
          <w:szCs w:val="24"/>
          <w:u w:val="none" w:color="auto"/>
          <w:lang w:eastAsia="zh-CN"/>
          <w14:textFill>
            <w14:solidFill>
              <w14:schemeClr w14:val="tx1"/>
            </w14:solidFill>
          </w14:textFill>
        </w:rPr>
        <w:t>、</w:t>
      </w:r>
      <w:r>
        <w:rPr>
          <w:rFonts w:hint="eastAsia" w:asciiTheme="majorEastAsia" w:hAnsiTheme="majorEastAsia" w:eastAsiaTheme="majorEastAsia" w:cstheme="majorEastAsia"/>
          <w:b/>
          <w:bCs/>
          <w:color w:val="000000" w:themeColor="text1"/>
          <w:spacing w:val="-5"/>
          <w:sz w:val="24"/>
          <w:szCs w:val="24"/>
          <w:u w:val="none" w:color="auto"/>
          <w14:textFill>
            <w14:solidFill>
              <w14:schemeClr w14:val="tx1"/>
            </w14:solidFill>
          </w14:textFill>
        </w:rPr>
        <w:t>大气环境防护距离</w:t>
      </w:r>
    </w:p>
    <w:p w14:paraId="2C13A820">
      <w:pPr>
        <w:spacing w:before="180" w:line="359" w:lineRule="auto"/>
        <w:ind w:left="116" w:right="104" w:firstLine="479"/>
        <w:rPr>
          <w:rFonts w:hint="eastAsia" w:asciiTheme="majorEastAsia" w:hAnsiTheme="majorEastAsia" w:eastAsiaTheme="majorEastAsia" w:cstheme="majorEastAsia"/>
          <w:color w:val="000000" w:themeColor="text1"/>
          <w:sz w:val="24"/>
          <w:szCs w:val="24"/>
          <w:u w:val="none" w:color="auto"/>
          <w14:textFill>
            <w14:solidFill>
              <w14:schemeClr w14:val="tx1"/>
            </w14:solidFill>
          </w14:textFill>
        </w:rPr>
      </w:pPr>
      <w:r>
        <w:rPr>
          <w:rFonts w:hint="eastAsia" w:asciiTheme="majorEastAsia" w:hAnsiTheme="majorEastAsia" w:eastAsiaTheme="majorEastAsia" w:cstheme="majorEastAsia"/>
          <w:color w:val="000000" w:themeColor="text1"/>
          <w:spacing w:val="-2"/>
          <w:sz w:val="24"/>
          <w:szCs w:val="24"/>
          <w:u w:val="none" w:color="auto"/>
          <w14:textFill>
            <w14:solidFill>
              <w14:schemeClr w14:val="tx1"/>
            </w14:solidFill>
          </w14:textFill>
        </w:rPr>
        <w:t>根据《环境影响评价技术导则 大气环境》（HJ2.2-201</w:t>
      </w:r>
      <w:r>
        <w:rPr>
          <w:rFonts w:hint="eastAsia" w:asciiTheme="majorEastAsia" w:hAnsiTheme="majorEastAsia" w:eastAsiaTheme="majorEastAsia" w:cstheme="majorEastAsia"/>
          <w:color w:val="000000" w:themeColor="text1"/>
          <w:spacing w:val="-3"/>
          <w:sz w:val="24"/>
          <w:szCs w:val="24"/>
          <w:u w:val="none" w:color="auto"/>
          <w14:textFill>
            <w14:solidFill>
              <w14:schemeClr w14:val="tx1"/>
            </w14:solidFill>
          </w14:textFill>
        </w:rPr>
        <w:t>8）中对大气环境防护距离</w:t>
      </w:r>
      <w:r>
        <w:rPr>
          <w:rFonts w:hint="eastAsia" w:asciiTheme="majorEastAsia" w:hAnsiTheme="majorEastAsia" w:eastAsiaTheme="majorEastAsia" w:cstheme="majorEastAsia"/>
          <w:color w:val="000000" w:themeColor="text1"/>
          <w:spacing w:val="-1"/>
          <w:sz w:val="24"/>
          <w:szCs w:val="24"/>
          <w:u w:val="none" w:color="auto"/>
          <w14:textFill>
            <w14:solidFill>
              <w14:schemeClr w14:val="tx1"/>
            </w14:solidFill>
          </w14:textFill>
        </w:rPr>
        <w:t>的规定：对于项目厂界浓度满足大气污染物厂界浓度限值，</w:t>
      </w:r>
      <w:r>
        <w:rPr>
          <w:rFonts w:hint="eastAsia" w:asciiTheme="majorEastAsia" w:hAnsiTheme="majorEastAsia" w:eastAsiaTheme="majorEastAsia" w:cstheme="majorEastAsia"/>
          <w:color w:val="000000" w:themeColor="text1"/>
          <w:spacing w:val="-2"/>
          <w:sz w:val="24"/>
          <w:szCs w:val="24"/>
          <w:u w:val="none" w:color="auto"/>
          <w14:textFill>
            <w14:solidFill>
              <w14:schemeClr w14:val="tx1"/>
            </w14:solidFill>
          </w14:textFill>
        </w:rPr>
        <w:t>但厂界外大气污染物短期</w:t>
      </w:r>
      <w:r>
        <w:rPr>
          <w:rFonts w:hint="eastAsia" w:asciiTheme="majorEastAsia" w:hAnsiTheme="majorEastAsia" w:eastAsiaTheme="majorEastAsia" w:cstheme="majorEastAsia"/>
          <w:color w:val="000000" w:themeColor="text1"/>
          <w:spacing w:val="-1"/>
          <w:sz w:val="24"/>
          <w:szCs w:val="24"/>
          <w:u w:val="none" w:color="auto"/>
          <w14:textFill>
            <w14:solidFill>
              <w14:schemeClr w14:val="tx1"/>
            </w14:solidFill>
          </w14:textFill>
        </w:rPr>
        <w:t>贡献浓度超过环境质量浓度限值的，可以自厂界向外设置一</w:t>
      </w:r>
      <w:r>
        <w:rPr>
          <w:rFonts w:hint="eastAsia" w:asciiTheme="majorEastAsia" w:hAnsiTheme="majorEastAsia" w:eastAsiaTheme="majorEastAsia" w:cstheme="majorEastAsia"/>
          <w:color w:val="000000" w:themeColor="text1"/>
          <w:spacing w:val="-2"/>
          <w:sz w:val="24"/>
          <w:szCs w:val="24"/>
          <w:u w:val="none" w:color="auto"/>
          <w14:textFill>
            <w14:solidFill>
              <w14:schemeClr w14:val="tx1"/>
            </w14:solidFill>
          </w14:textFill>
        </w:rPr>
        <w:t>定范围的大气环境防护区</w:t>
      </w:r>
      <w:r>
        <w:rPr>
          <w:rFonts w:hint="eastAsia" w:asciiTheme="majorEastAsia" w:hAnsiTheme="majorEastAsia" w:eastAsiaTheme="majorEastAsia" w:cstheme="majorEastAsia"/>
          <w:color w:val="000000" w:themeColor="text1"/>
          <w:spacing w:val="-1"/>
          <w:sz w:val="24"/>
          <w:szCs w:val="24"/>
          <w:u w:val="none" w:color="auto"/>
          <w14:textFill>
            <w14:solidFill>
              <w14:schemeClr w14:val="tx1"/>
            </w14:solidFill>
          </w14:textFill>
        </w:rPr>
        <w:t>域，以确保大气环境防护区域外的污染物贡献浓度满足环境</w:t>
      </w:r>
      <w:r>
        <w:rPr>
          <w:rFonts w:hint="eastAsia" w:asciiTheme="majorEastAsia" w:hAnsiTheme="majorEastAsia" w:eastAsiaTheme="majorEastAsia" w:cstheme="majorEastAsia"/>
          <w:color w:val="000000" w:themeColor="text1"/>
          <w:spacing w:val="-2"/>
          <w:sz w:val="24"/>
          <w:szCs w:val="24"/>
          <w:u w:val="none" w:color="auto"/>
          <w14:textFill>
            <w14:solidFill>
              <w14:schemeClr w14:val="tx1"/>
            </w14:solidFill>
          </w14:textFill>
        </w:rPr>
        <w:t>质量标准。本项目大气污</w:t>
      </w:r>
      <w:r>
        <w:rPr>
          <w:rFonts w:hint="eastAsia" w:asciiTheme="majorEastAsia" w:hAnsiTheme="majorEastAsia" w:eastAsiaTheme="majorEastAsia" w:cstheme="majorEastAsia"/>
          <w:color w:val="000000" w:themeColor="text1"/>
          <w:spacing w:val="-1"/>
          <w:sz w:val="24"/>
          <w:szCs w:val="24"/>
          <w:u w:val="none" w:color="auto"/>
          <w14:textFill>
            <w14:solidFill>
              <w14:schemeClr w14:val="tx1"/>
            </w14:solidFill>
          </w14:textFill>
        </w:rPr>
        <w:t>染物厂界浓度满足标准限值要求，厂界外各污染物的短期贡</w:t>
      </w:r>
      <w:r>
        <w:rPr>
          <w:rFonts w:hint="eastAsia" w:asciiTheme="majorEastAsia" w:hAnsiTheme="majorEastAsia" w:eastAsiaTheme="majorEastAsia" w:cstheme="majorEastAsia"/>
          <w:color w:val="000000" w:themeColor="text1"/>
          <w:spacing w:val="-2"/>
          <w:sz w:val="24"/>
          <w:szCs w:val="24"/>
          <w:u w:val="none" w:color="auto"/>
          <w14:textFill>
            <w14:solidFill>
              <w14:schemeClr w14:val="tx1"/>
            </w14:solidFill>
          </w14:textFill>
        </w:rPr>
        <w:t>献浓度未出现超标情况，</w:t>
      </w:r>
      <w:r>
        <w:rPr>
          <w:rFonts w:hint="eastAsia" w:asciiTheme="majorEastAsia" w:hAnsiTheme="majorEastAsia" w:eastAsiaTheme="majorEastAsia" w:cstheme="majorEastAsia"/>
          <w:color w:val="000000" w:themeColor="text1"/>
          <w:spacing w:val="1"/>
          <w:sz w:val="24"/>
          <w:szCs w:val="24"/>
          <w:u w:val="none" w:color="auto"/>
          <w14:textFill>
            <w14:solidFill>
              <w14:schemeClr w14:val="tx1"/>
            </w14:solidFill>
          </w14:textFill>
        </w:rPr>
        <w:t>因此，本项目不需设置大气环境防护距离。</w:t>
      </w:r>
    </w:p>
    <w:p w14:paraId="652C803A">
      <w:pPr>
        <w:spacing w:line="220" w:lineRule="auto"/>
        <w:ind w:left="595"/>
        <w:rPr>
          <w:rFonts w:hint="eastAsia" w:asciiTheme="majorEastAsia" w:hAnsiTheme="majorEastAsia" w:eastAsiaTheme="majorEastAsia" w:cstheme="majorEastAsia"/>
          <w:color w:val="000000" w:themeColor="text1"/>
          <w:spacing w:val="-5"/>
          <w:sz w:val="24"/>
          <w:szCs w:val="24"/>
          <w:u w:val="none" w:color="auto"/>
          <w14:textFill>
            <w14:solidFill>
              <w14:schemeClr w14:val="tx1"/>
            </w14:solidFill>
          </w14:textFill>
        </w:rPr>
        <w:sectPr>
          <w:pgSz w:w="11906" w:h="16839"/>
          <w:pgMar w:top="1440" w:right="1800" w:bottom="1440" w:left="1800" w:header="0" w:footer="852" w:gutter="0"/>
          <w:pgBorders>
            <w:top w:val="none" w:sz="0" w:space="0"/>
            <w:left w:val="none" w:sz="0" w:space="0"/>
            <w:bottom w:val="none" w:sz="0" w:space="0"/>
            <w:right w:val="none" w:sz="0" w:space="0"/>
          </w:pgBorders>
          <w:cols w:space="720" w:num="1"/>
        </w:sectPr>
      </w:pPr>
    </w:p>
    <w:p w14:paraId="2A61D9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pacing w:val="-5"/>
          <w:sz w:val="24"/>
          <w:szCs w:val="24"/>
          <w:u w:val="none" w:color="auto"/>
          <w:lang w:val="en-US" w:eastAsia="zh-CN"/>
          <w14:textFill>
            <w14:solidFill>
              <w14:schemeClr w14:val="tx1"/>
            </w14:solidFill>
          </w14:textFill>
        </w:rPr>
      </w:pPr>
      <w:r>
        <w:rPr>
          <w:rFonts w:hint="eastAsia" w:ascii="宋体" w:hAnsi="宋体" w:cs="宋体"/>
          <w:b/>
          <w:bCs/>
          <w:color w:val="000000" w:themeColor="text1"/>
          <w:spacing w:val="-5"/>
          <w:sz w:val="24"/>
          <w:szCs w:val="24"/>
          <w:u w:val="none" w:color="auto"/>
          <w:lang w:val="en-US" w:eastAsia="zh-CN"/>
          <w14:textFill>
            <w14:solidFill>
              <w14:schemeClr w14:val="tx1"/>
            </w14:solidFill>
          </w14:textFill>
        </w:rPr>
        <w:t>7、</w:t>
      </w:r>
      <w:r>
        <w:rPr>
          <w:rFonts w:hint="eastAsia" w:ascii="宋体" w:hAnsi="宋体" w:eastAsia="宋体" w:cs="宋体"/>
          <w:b/>
          <w:bCs/>
          <w:color w:val="000000" w:themeColor="text1"/>
          <w:spacing w:val="-5"/>
          <w:sz w:val="24"/>
          <w:szCs w:val="24"/>
          <w:u w:val="none" w:color="auto"/>
          <w:lang w:val="en-US" w:eastAsia="zh-CN"/>
          <w14:textFill>
            <w14:solidFill>
              <w14:schemeClr w14:val="tx1"/>
            </w14:solidFill>
          </w14:textFill>
        </w:rPr>
        <w:t>废气污染防治措施</w:t>
      </w:r>
    </w:p>
    <w:p w14:paraId="32D695A3">
      <w:pPr>
        <w:pStyle w:val="3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b w:val="0"/>
          <w:color w:val="000000" w:themeColor="text1"/>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2757170</wp:posOffset>
                </wp:positionH>
                <wp:positionV relativeFrom="paragraph">
                  <wp:posOffset>295910</wp:posOffset>
                </wp:positionV>
                <wp:extent cx="1100455" cy="527050"/>
                <wp:effectExtent l="12700" t="12700" r="17145" b="19050"/>
                <wp:wrapNone/>
                <wp:docPr id="128" name="矩形 128"/>
                <wp:cNvGraphicFramePr/>
                <a:graphic xmlns:a="http://schemas.openxmlformats.org/drawingml/2006/main">
                  <a:graphicData uri="http://schemas.microsoft.com/office/word/2010/wordprocessingShape">
                    <wps:wsp>
                      <wps:cNvSpPr/>
                      <wps:spPr>
                        <a:xfrm>
                          <a:off x="0" y="0"/>
                          <a:ext cx="1100455" cy="52705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FFA330">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移动式布袋除尘器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1pt;margin-top:23.3pt;height:41.5pt;width:86.65pt;z-index:251749376;v-text-anchor:middle;mso-width-relative:page;mso-height-relative:page;" filled="f" stroked="t" coordsize="21600,21600" o:gfxdata="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&#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3bgEM2QAAAAoBAAAPAAAAAAAAAAEAIAAAACIAAABk&#10;cnMvZG93bnJldi54bWxQSwECFAAUAAAACACHTuJAIHjJXncCAADjBAAADgAAAAAAAAABACAAAAAo&#10;AQAAZHJzL2Uyb0RvYy54bWxQSwUGAAAAAAYABgBZAQAAEQYAAAAA&#10;">
                <v:fill on="f" focussize="0,0"/>
                <v:stroke weight="2pt" color="#385D8A [3204]" joinstyle="round" dashstyle="dash"/>
                <v:imagedata o:title=""/>
                <o:lock v:ext="edit" aspectratio="f"/>
                <v:textbox>
                  <w:txbxContent>
                    <w:p w14:paraId="0DFFA330">
                      <w:pPr>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移动式布袋除尘器</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1709420</wp:posOffset>
                </wp:positionH>
                <wp:positionV relativeFrom="paragraph">
                  <wp:posOffset>274955</wp:posOffset>
                </wp:positionV>
                <wp:extent cx="645160" cy="535940"/>
                <wp:effectExtent l="12700" t="12700" r="15240" b="22860"/>
                <wp:wrapNone/>
                <wp:docPr id="138" name="矩形 138"/>
                <wp:cNvGraphicFramePr/>
                <a:graphic xmlns:a="http://schemas.openxmlformats.org/drawingml/2006/main">
                  <a:graphicData uri="http://schemas.microsoft.com/office/word/2010/wordprocessingShape">
                    <wps:wsp>
                      <wps:cNvSpPr/>
                      <wps:spPr>
                        <a:xfrm>
                          <a:off x="0" y="0"/>
                          <a:ext cx="645160" cy="53594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C40DDC">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粉尘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6pt;margin-top:21.65pt;height:42.2pt;width:50.8pt;z-index:251757568;v-text-anchor:middle;mso-width-relative:page;mso-height-relative:page;" filled="f" stroked="t" coordsize="21600,21600" o:gfxdata="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7IcJC9kAAAAKAQAADwAAAAAAAAABACAAAAAiAAAAZHJz&#10;L2Rvd25yZXYueG1sUEsBAhQAFAAAAAgAh07iQKLQdd11AgAA4gQAAA4AAAAAAAAAAQAgAAAAKAEA&#10;AGRycy9lMm9Eb2MueG1sUEsFBgAAAAAGAAYAWQEAAA8GAAAAAA==&#10;">
                <v:fill on="f" focussize="0,0"/>
                <v:stroke weight="2pt" color="#385D8A [3204]" joinstyle="round" dashstyle="dash"/>
                <v:imagedata o:title=""/>
                <o:lock v:ext="edit" aspectratio="f"/>
                <v:textbox>
                  <w:txbxContent>
                    <w:p w14:paraId="38C40DDC">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粉尘</w:t>
                      </w:r>
                    </w:p>
                  </w:txbxContent>
                </v:textbox>
              </v:rect>
            </w:pict>
          </mc:Fallback>
        </mc:AlternateContent>
      </w:r>
      <w:r>
        <w:rPr>
          <w:rFonts w:hint="eastAsia" w:ascii="宋体" w:hAnsi="宋体" w:eastAsia="宋体" w:cs="宋体"/>
          <w:b w:val="0"/>
          <w:color w:val="000000" w:themeColor="text1"/>
          <w:lang w:eastAsia="zh-CN"/>
          <w14:textFill>
            <w14:solidFill>
              <w14:schemeClr w14:val="tx1"/>
            </w14:solidFill>
          </w14:textFill>
        </w:rPr>
        <w:t>本项目废气治理措施如下：</w:t>
      </w:r>
    </w:p>
    <w:p w14:paraId="1F66CE47">
      <w:pPr>
        <w:pStyle w:val="37"/>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b w:val="0"/>
          <w:color w:val="000000" w:themeColor="text1"/>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1229995</wp:posOffset>
                </wp:positionH>
                <wp:positionV relativeFrom="paragraph">
                  <wp:posOffset>269240</wp:posOffset>
                </wp:positionV>
                <wp:extent cx="450850" cy="0"/>
                <wp:effectExtent l="0" t="48895" r="6350" b="52705"/>
                <wp:wrapNone/>
                <wp:docPr id="129" name="直接箭头连接符 129"/>
                <wp:cNvGraphicFramePr/>
                <a:graphic xmlns:a="http://schemas.openxmlformats.org/drawingml/2006/main">
                  <a:graphicData uri="http://schemas.microsoft.com/office/word/2010/wordprocessingShape">
                    <wps:wsp>
                      <wps:cNvCnPr/>
                      <wps:spPr>
                        <a:xfrm>
                          <a:off x="2534920" y="5692140"/>
                          <a:ext cx="45085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85pt;margin-top:21.2pt;height:0pt;width:35.5pt;z-index:251748352;mso-width-relative:page;mso-height-relative:page;" filled="f" stroked="t" coordsize="21600,21600" o:gfxdata="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ZGJ1wAAAAkBAAAPAAAAAAAAAAEAIAAAACIAAABkcnMvZG93bnJldi54bWxQSwECFAAUAAAACACH&#10;TuJAJeNrKyUCAAAOBAAADgAAAAAAAAABACAAAAAmAQAAZHJzL2Uyb0RvYy54bWxQSwUGAAAAAAYA&#10;BgBZAQAAvQUAAAAA&#10;">
                <v:fill on="f" focussize="0,0"/>
                <v:stroke color="#4A7EBB [3204]" joinstyle="round" dashstyle="dash"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259080</wp:posOffset>
                </wp:positionH>
                <wp:positionV relativeFrom="paragraph">
                  <wp:posOffset>8255</wp:posOffset>
                </wp:positionV>
                <wp:extent cx="987425" cy="516890"/>
                <wp:effectExtent l="12700" t="12700" r="15875" b="16510"/>
                <wp:wrapNone/>
                <wp:docPr id="127" name="矩形 127"/>
                <wp:cNvGraphicFramePr/>
                <a:graphic xmlns:a="http://schemas.openxmlformats.org/drawingml/2006/main">
                  <a:graphicData uri="http://schemas.microsoft.com/office/word/2010/wordprocessingShape">
                    <wps:wsp>
                      <wps:cNvSpPr/>
                      <wps:spPr>
                        <a:xfrm>
                          <a:off x="1677670" y="6971665"/>
                          <a:ext cx="987425" cy="5168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91BF9B">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拆解车间</w:t>
                            </w:r>
                          </w:p>
                          <w:p w14:paraId="6E4F84F7">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整车切割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pt;margin-top:0.65pt;height:40.7pt;width:77.75pt;z-index:251746304;v-text-anchor:middle;mso-width-relative:page;mso-height-relative:page;" filled="f" stroked="t" coordsize="21600,21600" o:gfxdata="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HuetUAAAAHAQAADwAAAAAAAAAB&#10;ACAAAAAiAAAAZHJzL2Rvd25yZXYueG1sUEsBAhQAFAAAAAgAh07iQEREJuiFAgAA7wQAAA4AAAAA&#10;AAAAAQAgAAAAJAEAAGRycy9lMm9Eb2MueG1sUEsFBgAAAAAGAAYAWQEAABsGAAAAAA==&#10;">
                <v:fill on="f" focussize="0,0"/>
                <v:stroke weight="2pt" color="#385D8A [3204]" joinstyle="round"/>
                <v:imagedata o:title=""/>
                <o:lock v:ext="edit" aspectratio="f"/>
                <v:textbox>
                  <w:txbxContent>
                    <w:p w14:paraId="6191BF9B">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拆解车间</w:t>
                      </w:r>
                    </w:p>
                    <w:p w14:paraId="6E4F84F7">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整车切割</w:t>
                      </w:r>
                    </w:p>
                  </w:txbxContent>
                </v:textbox>
              </v:rect>
            </w:pict>
          </mc:Fallback>
        </mc:AlternateContent>
      </w:r>
    </w:p>
    <w:p w14:paraId="17EFDAA8">
      <w:pPr>
        <w:pStyle w:val="37"/>
        <w:ind w:firstLine="480"/>
        <w:jc w:val="both"/>
        <w:rPr>
          <w:rFonts w:hint="eastAsia" w:ascii="宋体" w:hAnsi="宋体" w:eastAsia="宋体" w:cs="宋体"/>
          <w:b w:val="0"/>
          <w:color w:val="000000" w:themeColor="text1"/>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2341245</wp:posOffset>
                </wp:positionH>
                <wp:positionV relativeFrom="paragraph">
                  <wp:posOffset>17145</wp:posOffset>
                </wp:positionV>
                <wp:extent cx="450850" cy="0"/>
                <wp:effectExtent l="0" t="48895" r="6350" b="52705"/>
                <wp:wrapNone/>
                <wp:docPr id="139" name="直接箭头连接符 139"/>
                <wp:cNvGraphicFramePr/>
                <a:graphic xmlns:a="http://schemas.openxmlformats.org/drawingml/2006/main">
                  <a:graphicData uri="http://schemas.microsoft.com/office/word/2010/wordprocessingShape">
                    <wps:wsp>
                      <wps:cNvCnPr/>
                      <wps:spPr>
                        <a:xfrm>
                          <a:off x="0" y="0"/>
                          <a:ext cx="45085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4.35pt;margin-top:1.35pt;height:0pt;width:35.5pt;z-index:251758592;mso-width-relative:page;mso-height-relative:page;" filled="f" stroked="t" coordsize="21600,21600" o:gfxdata="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CaFz1gAAAAcBAAAPAAAA&#10;AAAAAAEAIAAAACIAAABkcnMvZG93bnJldi54bWxQSwECFAAUAAAACACHTuJA1ZvBOBcCAAACBAAA&#10;DgAAAAAAAAABACAAAAAlAQAAZHJzL2Uyb0RvYy54bWxQSwUGAAAAAAYABgBZAQAArgUAAAAA&#10;">
                <v:fill on="f" focussize="0,0"/>
                <v:stroke color="#4A7EBB [3204]" joinstyle="round" dashstyle="dash" endarrow="open"/>
                <v:imagedata o:title=""/>
                <o:lock v:ext="edit" aspectratio="f"/>
              </v:shape>
            </w:pict>
          </mc:Fallback>
        </mc:AlternateContent>
      </w:r>
    </w:p>
    <w:p w14:paraId="39B8DF77">
      <w:pPr>
        <w:pStyle w:val="37"/>
        <w:ind w:firstLine="480"/>
        <w:jc w:val="both"/>
        <w:rPr>
          <w:rFonts w:hint="eastAsia" w:ascii="宋体" w:hAnsi="宋体" w:eastAsia="宋体" w:cs="宋体"/>
          <w:b w:val="0"/>
          <w:color w:val="000000" w:themeColor="text1"/>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3982720</wp:posOffset>
                </wp:positionH>
                <wp:positionV relativeFrom="paragraph">
                  <wp:posOffset>274320</wp:posOffset>
                </wp:positionV>
                <wp:extent cx="847090" cy="498475"/>
                <wp:effectExtent l="12700" t="12700" r="16510" b="22225"/>
                <wp:wrapNone/>
                <wp:docPr id="137" name="矩形 137"/>
                <wp:cNvGraphicFramePr/>
                <a:graphic xmlns:a="http://schemas.openxmlformats.org/drawingml/2006/main">
                  <a:graphicData uri="http://schemas.microsoft.com/office/word/2010/wordprocessingShape">
                    <wps:wsp>
                      <wps:cNvSpPr/>
                      <wps:spPr>
                        <a:xfrm>
                          <a:off x="0" y="0"/>
                          <a:ext cx="847090" cy="498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1D840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危险废物暂存库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6pt;margin-top:21.6pt;height:39.25pt;width:66.7pt;z-index:251756544;v-text-anchor:middle;mso-width-relative:page;mso-height-relative:page;" filled="f" stroked="t" coordsize="21600,21600" o:gfxdata="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btTW2AAAAAoBAAAPAAAAAAAAAAEAIAAAACIAAABkcnMvZG93&#10;bnJldi54bWxQSwECFAAUAAAACACHTuJAU2+HW3ICAADjBAAADgAAAAAAAAABACAAAAAnAQAAZHJz&#10;L2Uyb0RvYy54bWxQSwUGAAAAAAYABgBZAQAACwYAAAAA&#10;">
                <v:fill on="f" focussize="0,0"/>
                <v:stroke weight="2pt" color="#385D8A [3204]" joinstyle="round"/>
                <v:imagedata o:title=""/>
                <o:lock v:ext="edit" aspectratio="f"/>
                <v:textbox>
                  <w:txbxContent>
                    <w:p w14:paraId="2E1D840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危险废物暂存库</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1696720</wp:posOffset>
                </wp:positionH>
                <wp:positionV relativeFrom="paragraph">
                  <wp:posOffset>280670</wp:posOffset>
                </wp:positionV>
                <wp:extent cx="663575" cy="434340"/>
                <wp:effectExtent l="12700" t="12700" r="22225" b="22860"/>
                <wp:wrapNone/>
                <wp:docPr id="130" name="矩形 130"/>
                <wp:cNvGraphicFramePr/>
                <a:graphic xmlns:a="http://schemas.openxmlformats.org/drawingml/2006/main">
                  <a:graphicData uri="http://schemas.microsoft.com/office/word/2010/wordprocessingShape">
                    <wps:wsp>
                      <wps:cNvSpPr/>
                      <wps:spPr>
                        <a:xfrm>
                          <a:off x="0" y="0"/>
                          <a:ext cx="663575" cy="4343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B768E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抽取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6pt;margin-top:22.1pt;height:34.2pt;width:52.25pt;z-index:251753472;v-text-anchor:middle;mso-width-relative:page;mso-height-relative:page;" filled="f" stroked="t" coordsize="21600,21600" o:gfxdata="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IMYu2AAAAAoBAAAPAAAAAAAAAAEAIAAAACIAAABkcnMv&#10;ZG93bnJldi54bWxQSwECFAAUAAAACACHTuJAN5a1jHUCAADjBAAADgAAAAAAAAABACAAAAAnAQAA&#10;ZHJzL2Uyb0RvYy54bWxQSwUGAAAAAAYABgBZAQAADgYAAAAA&#10;">
                <v:fill on="f" focussize="0,0"/>
                <v:stroke weight="2pt" color="#385D8A [3204]" joinstyle="round"/>
                <v:imagedata o:title=""/>
                <o:lock v:ext="edit" aspectratio="f"/>
                <v:textbox>
                  <w:txbxContent>
                    <w:p w14:paraId="78B768E5">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抽取</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2839720</wp:posOffset>
                </wp:positionH>
                <wp:positionV relativeFrom="paragraph">
                  <wp:posOffset>287020</wp:posOffset>
                </wp:positionV>
                <wp:extent cx="663575" cy="459740"/>
                <wp:effectExtent l="12700" t="12700" r="22225" b="22860"/>
                <wp:wrapNone/>
                <wp:docPr id="135" name="矩形 135"/>
                <wp:cNvGraphicFramePr/>
                <a:graphic xmlns:a="http://schemas.openxmlformats.org/drawingml/2006/main">
                  <a:graphicData uri="http://schemas.microsoft.com/office/word/2010/wordprocessingShape">
                    <wps:wsp>
                      <wps:cNvSpPr/>
                      <wps:spPr>
                        <a:xfrm>
                          <a:off x="0" y="0"/>
                          <a:ext cx="663575" cy="4597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256A28">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密闭容器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6pt;margin-top:22.6pt;height:36.2pt;width:52.25pt;z-index:251754496;v-text-anchor:middle;mso-width-relative:page;mso-height-relative:page;" filled="f" stroked="t" coordsize="21600,21600" o:gfxdata="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cUDidcAAAAKAQAADwAAAAAAAAABACAAAAAiAAAAZHJz&#10;L2Rvd25yZXYueG1sUEsBAhQAFAAAAAgAh07iQDPUl0x3AgAA4wQAAA4AAAAAAAAAAQAgAAAAJgEA&#10;AGRycy9lMm9Eb2MueG1sUEsFBgAAAAAGAAYAWQEAAA8GAAAAAA==&#10;">
                <v:fill on="f" focussize="0,0"/>
                <v:stroke weight="2pt" color="#385D8A [3204]" joinstyle="round"/>
                <v:imagedata o:title=""/>
                <o:lock v:ext="edit" aspectratio="f"/>
                <v:textbox>
                  <w:txbxContent>
                    <w:p w14:paraId="09256A28">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密闭容器</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266700</wp:posOffset>
                </wp:positionH>
                <wp:positionV relativeFrom="paragraph">
                  <wp:posOffset>267335</wp:posOffset>
                </wp:positionV>
                <wp:extent cx="1021715" cy="685165"/>
                <wp:effectExtent l="12700" t="12700" r="19685" b="13335"/>
                <wp:wrapNone/>
                <wp:docPr id="132" name="矩形 132"/>
                <wp:cNvGraphicFramePr/>
                <a:graphic xmlns:a="http://schemas.openxmlformats.org/drawingml/2006/main">
                  <a:graphicData uri="http://schemas.microsoft.com/office/word/2010/wordprocessingShape">
                    <wps:wsp>
                      <wps:cNvSpPr/>
                      <wps:spPr>
                        <a:xfrm>
                          <a:off x="0" y="0"/>
                          <a:ext cx="1021715" cy="6851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B20ECA">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预处理车间</w:t>
                            </w:r>
                          </w:p>
                          <w:p w14:paraId="2CCEA5C8">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废有机溶剂、废油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pt;margin-top:21.05pt;height:53.95pt;width:80.45pt;z-index:251747328;v-text-anchor:middle;mso-width-relative:page;mso-height-relative:page;" filled="f" stroked="t" coordsize="21600,21600" o:gfxdata="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2KFIrXAAAACQEAAA8AAAAAAAAAAQAgAAAAIgAAAGRy&#10;cy9kb3ducmV2LnhtbFBLAQIUABQAAAAIAIdO4kAInCgdeAIAAOQEAAAOAAAAAAAAAAEAIAAAACYB&#10;AABkcnMvZTJvRG9jLnhtbFBLBQYAAAAABgAGAFkBAAAQBgAAAAA=&#10;">
                <v:fill on="f" focussize="0,0"/>
                <v:stroke weight="2pt" color="#385D8A [3204]" joinstyle="round"/>
                <v:imagedata o:title=""/>
                <o:lock v:ext="edit" aspectratio="f"/>
                <v:textbox>
                  <w:txbxContent>
                    <w:p w14:paraId="4FB20ECA">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预处理车间</w:t>
                      </w:r>
                    </w:p>
                    <w:p w14:paraId="2CCEA5C8">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废有机溶剂、废油</w:t>
                      </w:r>
                    </w:p>
                  </w:txbxContent>
                </v:textbox>
              </v:rect>
            </w:pict>
          </mc:Fallback>
        </mc:AlternateContent>
      </w:r>
    </w:p>
    <w:p w14:paraId="6D5AE61F">
      <w:pPr>
        <w:pStyle w:val="37"/>
        <w:ind w:firstLine="480"/>
        <w:jc w:val="both"/>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2369820</wp:posOffset>
                </wp:positionH>
                <wp:positionV relativeFrom="paragraph">
                  <wp:posOffset>169545</wp:posOffset>
                </wp:positionV>
                <wp:extent cx="450850" cy="0"/>
                <wp:effectExtent l="0" t="48895" r="6350" b="52705"/>
                <wp:wrapNone/>
                <wp:docPr id="133" name="直接箭头连接符 133"/>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6pt;margin-top:13.35pt;height:0pt;width:35.5pt;z-index:251752448;mso-width-relative:page;mso-height-relative:page;" filled="f" stroked="t" coordsize="21600,21600" o:gfxdata="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QeJgXYAAAACQEAAA8A&#10;AAAAAAAAAQAgAAAAIgAAAGRycy9kb3ducmV2LnhtbFBLAQIUABQAAAAIAIdO4kD+U1/PFwIAAAME&#10;AAAOAAAAAAAAAAEAIAAAACcBAABkcnMvZTJvRG9jLnhtbFBLBQYAAAAABgAGAFkBAACwBQAAAAA=&#10;">
                <v:fill on="f" focussize="0,0"/>
                <v:stroke color="#4A7EBB [3204]" joinstyle="round"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3519170</wp:posOffset>
                </wp:positionH>
                <wp:positionV relativeFrom="paragraph">
                  <wp:posOffset>252095</wp:posOffset>
                </wp:positionV>
                <wp:extent cx="450850" cy="0"/>
                <wp:effectExtent l="0" t="48895" r="6350" b="52705"/>
                <wp:wrapNone/>
                <wp:docPr id="136" name="直接箭头连接符 136"/>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1pt;margin-top:19.85pt;height:0pt;width:35.5pt;z-index:251755520;mso-width-relative:page;mso-height-relative:page;" filled="f" stroked="t" coordsize="21600,21600" o:gfxdata="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PgnuTYAAAACQEAAA8A&#10;AAAAAAAAAQAgAAAAIgAAAGRycy9kb3ducmV2LnhtbFBLAQIUABQAAAAIAIdO4kD97Z4OFwIAAAME&#10;AAAOAAAAAAAAAAEAIAAAACcBAABkcnMvZTJvRG9jLnhtbFBLBQYAAAAABgAGAFkBAACwBQAAAAA=&#10;">
                <v:fill on="f" focussize="0,0"/>
                <v:stroke color="#4A7EBB [3204]" joinstyle="round"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1261745</wp:posOffset>
                </wp:positionH>
                <wp:positionV relativeFrom="paragraph">
                  <wp:posOffset>134620</wp:posOffset>
                </wp:positionV>
                <wp:extent cx="450850" cy="0"/>
                <wp:effectExtent l="0" t="48895" r="6350" b="52705"/>
                <wp:wrapNone/>
                <wp:docPr id="134" name="直接箭头连接符 134"/>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9.35pt;margin-top:10.6pt;height:0pt;width:35.5pt;z-index:251750400;mso-width-relative:page;mso-height-relative:page;" filled="f" stroked="t" coordsize="21600,21600" o:gfxdata="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taK6dcAAAAJAQAADwAA&#10;AAAAAAABACAAAAAiAAAAZHJzL2Rvd25yZXYueG1sUEsBAhQAFAAAAAgAh07iQDxcZMcXAgAAAwQA&#10;AA4AAAAAAAAAAQAgAAAAJgEAAGRycy9lMm9Eb2MueG1sUEsFBgAAAAAGAAYAWQEAAK8FAAAAAA==&#10;">
                <v:fill on="f" focussize="0,0"/>
                <v:stroke color="#4A7EBB [3204]" joinstyle="round" endarrow="open"/>
                <v:imagedata o:title=""/>
                <o:lock v:ext="edit" aspectratio="f"/>
              </v:shape>
            </w:pict>
          </mc:Fallback>
        </mc:AlternateContent>
      </w:r>
    </w:p>
    <w:p w14:paraId="6C228127">
      <w:pPr>
        <w:pStyle w:val="37"/>
        <w:jc w:val="both"/>
        <w:rPr>
          <w:rFonts w:hint="eastAsia" w:ascii="宋体" w:hAnsi="宋体" w:eastAsia="宋体" w:cs="宋体"/>
          <w:b w:val="0"/>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1981200</wp:posOffset>
                </wp:positionH>
                <wp:positionV relativeFrom="paragraph">
                  <wp:posOffset>90805</wp:posOffset>
                </wp:positionV>
                <wp:extent cx="6350" cy="330200"/>
                <wp:effectExtent l="47625" t="0" r="47625" b="0"/>
                <wp:wrapNone/>
                <wp:docPr id="142" name="直接箭头连接符 142"/>
                <wp:cNvGraphicFramePr/>
                <a:graphic xmlns:a="http://schemas.openxmlformats.org/drawingml/2006/main">
                  <a:graphicData uri="http://schemas.microsoft.com/office/word/2010/wordprocessingShape">
                    <wps:wsp>
                      <wps:cNvCnPr/>
                      <wps:spPr>
                        <a:xfrm flipH="1">
                          <a:off x="0" y="0"/>
                          <a:ext cx="6350" cy="33020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6pt;margin-top:7.15pt;height:26pt;width:0.5pt;z-index:251761664;mso-width-relative:page;mso-height-relative:page;" filled="f" stroked="t" coordsize="21600,21600" o:gfxdata="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J1NK&#10;1wAAAAkBAAAPAAAAAAAAAAEAIAAAACIAAABkcnMvZG93bnJldi54bWxQSwECFAAUAAAACACHTuJA&#10;fnnwxCICAAAPBAAADgAAAAAAAAABACAAAAAmAQAAZHJzL2Uyb0RvYy54bWxQSwUGAAAAAAYABgBZ&#10;AQAAugUAAAAA&#10;">
                <v:fill on="f" focussize="0,0"/>
                <v:stroke color="#4A7EBB [3204]" joinstyle="round" dashstyle="dash" endarrow="open"/>
                <v:imagedata o:title=""/>
                <o:lock v:ext="edit" aspectratio="f"/>
              </v:shape>
            </w:pict>
          </mc:Fallback>
        </mc:AlternateContent>
      </w:r>
    </w:p>
    <w:p w14:paraId="61854A1E">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2930525</wp:posOffset>
                </wp:positionH>
                <wp:positionV relativeFrom="paragraph">
                  <wp:posOffset>163830</wp:posOffset>
                </wp:positionV>
                <wp:extent cx="2051685" cy="302260"/>
                <wp:effectExtent l="0" t="0" r="0" b="0"/>
                <wp:wrapNone/>
                <wp:docPr id="131" name="矩形 131"/>
                <wp:cNvGraphicFramePr/>
                <a:graphic xmlns:a="http://schemas.openxmlformats.org/drawingml/2006/main">
                  <a:graphicData uri="http://schemas.microsoft.com/office/word/2010/wordprocessingShape">
                    <wps:wsp>
                      <wps:cNvSpPr/>
                      <wps:spPr>
                        <a:xfrm>
                          <a:off x="0" y="0"/>
                          <a:ext cx="205168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1423F">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活性炭吸附后Da001＃排气筒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75pt;margin-top:12.9pt;height:23.8pt;width:161.55pt;z-index:251751424;v-text-anchor:middle;mso-width-relative:page;mso-height-relative:page;" filled="f" stroked="f" coordsize="21600,21600" o:gfxdata="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kHPt7ZAAAA&#10;CQEAAA8AAAAAAAAAAQAgAAAAIgAAAGRycy9kb3ducmV2LnhtbFBLAQIUABQAAAAIAIdO4kBikRhk&#10;VQIAAJoEAAAOAAAAAAAAAAEAIAAAACgBAABkcnMvZTJvRG9jLnhtbFBLBQYAAAAABgAGAFkBAADv&#10;BQAAAAA=&#10;">
                <v:fill on="f" focussize="0,0"/>
                <v:stroke on="f" weight="2pt"/>
                <v:imagedata o:title=""/>
                <o:lock v:ext="edit" aspectratio="f"/>
                <v:textbox>
                  <w:txbxContent>
                    <w:p w14:paraId="1391423F">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活性炭吸附后Da001＃排气筒</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1734820</wp:posOffset>
                </wp:positionH>
                <wp:positionV relativeFrom="paragraph">
                  <wp:posOffset>127635</wp:posOffset>
                </wp:positionV>
                <wp:extent cx="904875" cy="409575"/>
                <wp:effectExtent l="12700" t="12700" r="22225" b="22225"/>
                <wp:wrapNone/>
                <wp:docPr id="141" name="矩形 141"/>
                <wp:cNvGraphicFramePr/>
                <a:graphic xmlns:a="http://schemas.openxmlformats.org/drawingml/2006/main">
                  <a:graphicData uri="http://schemas.microsoft.com/office/word/2010/wordprocessingShape">
                    <wps:wsp>
                      <wps:cNvSpPr/>
                      <wps:spPr>
                        <a:xfrm>
                          <a:off x="0" y="0"/>
                          <a:ext cx="904875" cy="40957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3822E6">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6pt;margin-top:10.05pt;height:32.25pt;width:71.25pt;z-index:251760640;v-text-anchor:middle;mso-width-relative:page;mso-height-relative:page;" filled="f" stroked="t" coordsize="21600,21600" o:gfxdata="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UkPztkAAAAJAQAADwAAAAAAAAABACAAAAAiAAAAZHJz&#10;L2Rvd25yZXYueG1sUEsBAhQAFAAAAAgAh07iQBKnGkN1AgAA4gQAAA4AAAAAAAAAAQAgAAAAKAEA&#10;AGRycy9lMm9Eb2MueG1sUEsFBgAAAAAGAAYAWQEAAA8GAAAAAA==&#10;">
                <v:fill on="f" focussize="0,0"/>
                <v:stroke weight="2pt" color="#385D8A [3204]" joinstyle="round" dashstyle="dash"/>
                <v:imagedata o:title=""/>
                <o:lock v:ext="edit" aspectratio="f"/>
                <v:textbox>
                  <w:txbxContent>
                    <w:p w14:paraId="7E3822E6">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xbxContent>
                </v:textbox>
              </v:rect>
            </w:pict>
          </mc:Fallback>
        </mc:AlternateContent>
      </w:r>
    </w:p>
    <w:p w14:paraId="2358978D">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2703195</wp:posOffset>
                </wp:positionH>
                <wp:positionV relativeFrom="paragraph">
                  <wp:posOffset>33020</wp:posOffset>
                </wp:positionV>
                <wp:extent cx="450850" cy="0"/>
                <wp:effectExtent l="0" t="48895" r="6350" b="52705"/>
                <wp:wrapNone/>
                <wp:docPr id="140" name="直接箭头连接符 140"/>
                <wp:cNvGraphicFramePr/>
                <a:graphic xmlns:a="http://schemas.openxmlformats.org/drawingml/2006/main">
                  <a:graphicData uri="http://schemas.microsoft.com/office/word/2010/wordprocessingShape">
                    <wps:wsp>
                      <wps:cNvCnPr/>
                      <wps:spPr>
                        <a:xfrm>
                          <a:off x="0" y="0"/>
                          <a:ext cx="45085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2.85pt;margin-top:2.6pt;height:0pt;width:35.5pt;z-index:251759616;mso-width-relative:page;mso-height-relative:page;" filled="f" stroked="t" coordsize="21600,21600" o:gfxdata="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2XJCNUAAAAHAQAADwAAAAAA&#10;AAABACAAAAAiAAAAZHJzL2Rvd25yZXYueG1sUEsBAhQAFAAAAAgAh07iQMClrcoWAgAAAgQAAA4A&#10;AAAAAAAAAQAgAAAAJAEAAGRycy9lMm9Eb2MueG1sUEsFBgAAAAAGAAYAWQEAAKwFAAAAAA==&#10;">
                <v:fill on="f" focussize="0,0"/>
                <v:stroke color="#4A7EBB [3204]" joinstyle="round" dashstyle="dash" endarrow="open"/>
                <v:imagedata o:title=""/>
                <o:lock v:ext="edit" aspectratio="f"/>
              </v:shape>
            </w:pict>
          </mc:Fallback>
        </mc:AlternateContent>
      </w:r>
    </w:p>
    <w:p w14:paraId="714F79A9">
      <w:pPr>
        <w:pStyle w:val="37"/>
        <w:ind w:firstLine="480"/>
        <w:jc w:val="both"/>
        <w:rPr>
          <w:rFonts w:hint="eastAsia" w:ascii="宋体" w:hAnsi="宋体" w:cs="宋体"/>
          <w:b w:val="0"/>
          <w:color w:val="000000" w:themeColor="text1"/>
          <w:lang w:val="en-US" w:eastAsia="zh-CN"/>
          <w14:textFill>
            <w14:solidFill>
              <w14:schemeClr w14:val="tx1"/>
            </w14:solidFill>
          </w14:textFill>
        </w:rPr>
      </w:pPr>
    </w:p>
    <w:p w14:paraId="74181109">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1233170</wp:posOffset>
                </wp:positionH>
                <wp:positionV relativeFrom="paragraph">
                  <wp:posOffset>229235</wp:posOffset>
                </wp:positionV>
                <wp:extent cx="645160" cy="535940"/>
                <wp:effectExtent l="0" t="0" r="0" b="0"/>
                <wp:wrapNone/>
                <wp:docPr id="145" name="矩形 145"/>
                <wp:cNvGraphicFramePr/>
                <a:graphic xmlns:a="http://schemas.openxmlformats.org/drawingml/2006/main">
                  <a:graphicData uri="http://schemas.microsoft.com/office/word/2010/wordprocessingShape">
                    <wps:wsp>
                      <wps:cNvSpPr/>
                      <wps:spPr>
                        <a:xfrm>
                          <a:off x="0" y="0"/>
                          <a:ext cx="645160" cy="53594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691153">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正常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1pt;margin-top:18.05pt;height:42.2pt;width:50.8pt;z-index:251763712;v-text-anchor:middle;mso-width-relative:page;mso-height-relative:page;" filled="f" stroked="f" coordsize="21600,21600" o:gfxdata="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IiSMdgAAAAKAQAA&#10;DwAAAAAAAAABACAAAAAiAAAAZHJzL2Rvd25yZXYueG1sUEsBAhQAFAAAAAgAh07iQICIXT1SAgAA&#10;mAQAAA4AAAAAAAAAAQAgAAAAJwEAAGRycy9lMm9Eb2MueG1sUEsFBgAAAAAGAAYAWQEAAOsFAAAA&#10;AA==&#10;">
                <v:fill on="f" focussize="0,0"/>
                <v:stroke on="f" weight="2pt" dashstyle="dash"/>
                <v:imagedata o:title=""/>
                <o:lock v:ext="edit" aspectratio="f"/>
                <v:textbox>
                  <w:txbxContent>
                    <w:p w14:paraId="4F691153">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正常</w:t>
                      </w:r>
                    </w:p>
                  </w:txbxContent>
                </v:textbox>
              </v:rect>
            </w:pict>
          </mc:Fallback>
        </mc:AlternateContent>
      </w:r>
    </w:p>
    <w:p w14:paraId="7FD15B3F">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3659505</wp:posOffset>
                </wp:positionH>
                <wp:positionV relativeFrom="paragraph">
                  <wp:posOffset>27305</wp:posOffset>
                </wp:positionV>
                <wp:extent cx="1289685" cy="479425"/>
                <wp:effectExtent l="12700" t="12700" r="18415" b="15875"/>
                <wp:wrapNone/>
                <wp:docPr id="148" name="矩形 148"/>
                <wp:cNvGraphicFramePr/>
                <a:graphic xmlns:a="http://schemas.openxmlformats.org/drawingml/2006/main">
                  <a:graphicData uri="http://schemas.microsoft.com/office/word/2010/wordprocessingShape">
                    <wps:wsp>
                      <wps:cNvSpPr/>
                      <wps:spPr>
                        <a:xfrm>
                          <a:off x="0" y="0"/>
                          <a:ext cx="1289685" cy="479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20F401">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危险废物暂存库（废铅蓄电池间）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15pt;margin-top:2.15pt;height:37.75pt;width:101.55pt;z-index:251765760;v-text-anchor:middle;mso-width-relative:page;mso-height-relative:page;" filled="f" stroked="t" coordsize="21600,21600" o:gfxdata="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2KqnA1wAAAAgBAAAPAAAAAAAAAAEAIAAAACIAAABkcnMv&#10;ZG93bnJldi54bWxQSwECFAAUAAAACACHTuJAdfo7v3YCAADkBAAADgAAAAAAAAABACAAAAAmAQAA&#10;ZHJzL2Uyb0RvYy54bWxQSwUGAAAAAAYABgBZAQAADgYAAAAA&#10;">
                <v:fill on="f" focussize="0,0"/>
                <v:stroke weight="2pt" color="#385D8A [3204]" joinstyle="round"/>
                <v:imagedata o:title=""/>
                <o:lock v:ext="edit" aspectratio="f"/>
                <v:textbox>
                  <w:txbxContent>
                    <w:p w14:paraId="2C20F401">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危险废物暂存库（废铅蓄电池间）</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1337945</wp:posOffset>
                </wp:positionH>
                <wp:positionV relativeFrom="paragraph">
                  <wp:posOffset>273685</wp:posOffset>
                </wp:positionV>
                <wp:extent cx="450850" cy="0"/>
                <wp:effectExtent l="0" t="48895" r="6350" b="52705"/>
                <wp:wrapNone/>
                <wp:docPr id="149" name="直接箭头连接符 149"/>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5.35pt;margin-top:21.55pt;height:0pt;width:35.5pt;z-index:251766784;mso-width-relative:page;mso-height-relative:page;" filled="f" stroked="t" coordsize="21600,21600" o:gfxdata="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RX47YAAAACQEAAA8A&#10;AAAAAAAAAQAgAAAAIgAAAGRycy9kb3ducmV2LnhtbFBLAQIUABQAAAAIAIdO4kAqsc/iFwIAAAME&#10;AAAOAAAAAAAAAAEAIAAAACcBAABkcnMvZTJvRG9jLnhtbFBLBQYAAAAABgAGAFkBAACwBQAAAAA=&#10;">
                <v:fill on="f" focussize="0,0"/>
                <v:stroke color="#4A7EBB [3204]" joinstyle="round"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1790700</wp:posOffset>
                </wp:positionH>
                <wp:positionV relativeFrom="paragraph">
                  <wp:posOffset>14605</wp:posOffset>
                </wp:positionV>
                <wp:extent cx="1452880" cy="685165"/>
                <wp:effectExtent l="12700" t="12700" r="20320" b="13335"/>
                <wp:wrapNone/>
                <wp:docPr id="146" name="矩形 146"/>
                <wp:cNvGraphicFramePr/>
                <a:graphic xmlns:a="http://schemas.openxmlformats.org/drawingml/2006/main">
                  <a:graphicData uri="http://schemas.microsoft.com/office/word/2010/wordprocessingShape">
                    <wps:wsp>
                      <wps:cNvSpPr/>
                      <wps:spPr>
                        <a:xfrm>
                          <a:off x="0" y="0"/>
                          <a:ext cx="1452880" cy="6851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B70C92">
                            <w:pP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带孔洞设计托盘（用于收集泄漏的电解液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pt;margin-top:1.15pt;height:53.95pt;width:114.4pt;z-index:251764736;v-text-anchor:middle;mso-width-relative:page;mso-height-relative:page;" filled="f" stroked="t" coordsize="21600,21600" o:gfxdata="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Xdj9cAAAAJAQAADwAAAAAAAAABACAAAAAiAAAAZHJzL2Rv&#10;d25yZXYueG1sUEsBAhQAFAAAAAgAh07iQJeyBvB0AgAA5AQAAA4AAAAAAAAAAQAgAAAAJgEAAGRy&#10;cy9lMm9Eb2MueG1sUEsFBgAAAAAGAAYAWQEAAAwGAAAAAA==&#10;">
                <v:fill on="f" focussize="0,0"/>
                <v:stroke weight="2pt" color="#385D8A [3204]" joinstyle="round"/>
                <v:imagedata o:title=""/>
                <o:lock v:ext="edit" aspectratio="f"/>
                <v:textbox>
                  <w:txbxContent>
                    <w:p w14:paraId="74B70C92">
                      <w:pP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带孔洞设计托盘（用于收集泄漏的电解液</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298450</wp:posOffset>
                </wp:positionH>
                <wp:positionV relativeFrom="paragraph">
                  <wp:posOffset>20955</wp:posOffset>
                </wp:positionV>
                <wp:extent cx="1009015" cy="1110615"/>
                <wp:effectExtent l="12700" t="12700" r="19685" b="19685"/>
                <wp:wrapNone/>
                <wp:docPr id="143" name="矩形 143"/>
                <wp:cNvGraphicFramePr/>
                <a:graphic xmlns:a="http://schemas.openxmlformats.org/drawingml/2006/main">
                  <a:graphicData uri="http://schemas.microsoft.com/office/word/2010/wordprocessingShape">
                    <wps:wsp>
                      <wps:cNvSpPr/>
                      <wps:spPr>
                        <a:xfrm>
                          <a:off x="0" y="0"/>
                          <a:ext cx="1009015" cy="11106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E772F3">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预处理车间</w:t>
                            </w:r>
                          </w:p>
                          <w:p w14:paraId="641147B9">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拆解铅蓄电池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1.65pt;height:87.45pt;width:79.45pt;z-index:251762688;v-text-anchor:middle;mso-width-relative:page;mso-height-relative:page;" filled="f" stroked="t" coordsize="21600,21600" o:gfxdata="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XHo2tcAAAAIAQAADwAAAAAAAAABACAAAAAiAAAAZHJz&#10;L2Rvd25yZXYueG1sUEsBAhQAFAAAAAgAh07iQAsfift3AgAA5QQAAA4AAAAAAAAAAQAgAAAAJgEA&#10;AGRycy9lMm9Eb2MueG1sUEsFBgAAAAAGAAYAWQEAAA8GAAAAAA==&#10;">
                <v:fill on="f" focussize="0,0"/>
                <v:stroke weight="2pt" color="#385D8A [3204]" joinstyle="round"/>
                <v:imagedata o:title=""/>
                <o:lock v:ext="edit" aspectratio="f"/>
                <v:textbox>
                  <w:txbxContent>
                    <w:p w14:paraId="2AE772F3">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预处理车间</w:t>
                      </w:r>
                    </w:p>
                    <w:p w14:paraId="641147B9">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拆解铅蓄电池</w:t>
                      </w:r>
                    </w:p>
                  </w:txbxContent>
                </v:textbox>
              </v:rect>
            </w:pict>
          </mc:Fallback>
        </mc:AlternateContent>
      </w:r>
    </w:p>
    <w:p w14:paraId="22130A7D">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4001770</wp:posOffset>
                </wp:positionH>
                <wp:positionV relativeFrom="paragraph">
                  <wp:posOffset>36195</wp:posOffset>
                </wp:positionV>
                <wp:extent cx="809625" cy="535940"/>
                <wp:effectExtent l="0" t="0" r="0" b="0"/>
                <wp:wrapNone/>
                <wp:docPr id="161" name="矩形 161"/>
                <wp:cNvGraphicFramePr/>
                <a:graphic xmlns:a="http://schemas.openxmlformats.org/drawingml/2006/main">
                  <a:graphicData uri="http://schemas.microsoft.com/office/word/2010/wordprocessingShape">
                    <wps:wsp>
                      <wps:cNvSpPr/>
                      <wps:spPr>
                        <a:xfrm>
                          <a:off x="0" y="0"/>
                          <a:ext cx="809625" cy="53594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B63F02">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少于1天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1pt;margin-top:2.85pt;height:42.2pt;width:63.75pt;z-index:251779072;v-text-anchor:middle;mso-width-relative:page;mso-height-relative:page;" filled="f" stroked="f" coordsize="21600,21600" o:gfxdata="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qBsC/2AAAAAgB&#10;AAAPAAAAAAAAAAEAIAAAACIAAABkcnMvZG93bnJldi54bWxQSwECFAAUAAAACACHTuJAjx9eklQC&#10;AACYBAAADgAAAAAAAAABACAAAAAnAQAAZHJzL2Uyb0RvYy54bWxQSwUGAAAAAAYABgBZAQAA7QUA&#10;AAAA&#10;">
                <v:fill on="f" focussize="0,0"/>
                <v:stroke on="f" weight="2pt" dashstyle="dash"/>
                <v:imagedata o:title=""/>
                <o:lock v:ext="edit" aspectratio="f"/>
                <v:textbox>
                  <w:txbxContent>
                    <w:p w14:paraId="39B63F02">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少于1天</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4711700</wp:posOffset>
                </wp:positionH>
                <wp:positionV relativeFrom="paragraph">
                  <wp:posOffset>215900</wp:posOffset>
                </wp:positionV>
                <wp:extent cx="0" cy="262255"/>
                <wp:effectExtent l="48895" t="0" r="52705" b="4445"/>
                <wp:wrapNone/>
                <wp:docPr id="159" name="直接箭头连接符 159"/>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1pt;margin-top:17pt;height:20.65pt;width:0pt;z-index:251777024;mso-width-relative:page;mso-height-relative:page;" filled="f" stroked="t" coordsize="21600,21600" o:gfxdata="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tYVDXAAAACQEAAA8AAAAA&#10;AAAAAQAgAAAAIgAAAGRycy9kb3ducmV2LnhtbFBLAQIUABQAAAAIAIdO4kAYsfkZFQIAAAMEAAAO&#10;AAAAAAAAAAEAIAAAACYBAABkcnMvZTJvRG9jLnhtbFBLBQYAAAAABgAGAFkBAACtBQAAAAA=&#10;">
                <v:fill on="f" focussize="0,0"/>
                <v:stroke color="#4A7EBB [3204]" joinstyle="round"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3217545</wp:posOffset>
                </wp:positionH>
                <wp:positionV relativeFrom="paragraph">
                  <wp:posOffset>2540</wp:posOffset>
                </wp:positionV>
                <wp:extent cx="450850" cy="0"/>
                <wp:effectExtent l="0" t="48895" r="6350" b="52705"/>
                <wp:wrapNone/>
                <wp:docPr id="150" name="直接箭头连接符 150"/>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3.35pt;margin-top:0.2pt;height:0pt;width:35.5pt;z-index:251767808;mso-width-relative:page;mso-height-relative:page;" filled="f" stroked="t" coordsize="21600,21600" o:gfxdata="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8XXp1AAAAAUBAAAPAAAAAAAA&#10;AAEAIAAAACIAAABkcnMvZG93bnJldi54bWxQSwECFAAUAAAACACHTuJAByZvYRYCAAADBAAADgAA&#10;AAAAAAABACAAAAAjAQAAZHJzL2Uyb0RvYy54bWxQSwUGAAAAAAYABgBZAQAAqwUAAAAA&#10;">
                <v:fill on="f" focussize="0,0"/>
                <v:stroke color="#4A7EBB [3204]" joinstyle="round" endarrow="open"/>
                <v:imagedata o:title=""/>
                <o:lock v:ext="edit" aspectratio="f"/>
              </v:shape>
            </w:pict>
          </mc:Fallback>
        </mc:AlternateContent>
      </w:r>
    </w:p>
    <w:p w14:paraId="14EC80C9">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3289300</wp:posOffset>
                </wp:positionH>
                <wp:positionV relativeFrom="paragraph">
                  <wp:posOffset>196215</wp:posOffset>
                </wp:positionV>
                <wp:extent cx="1020445" cy="635000"/>
                <wp:effectExtent l="12700" t="12700" r="20955" b="12700"/>
                <wp:wrapNone/>
                <wp:docPr id="157" name="矩形 157"/>
                <wp:cNvGraphicFramePr/>
                <a:graphic xmlns:a="http://schemas.openxmlformats.org/drawingml/2006/main">
                  <a:graphicData uri="http://schemas.microsoft.com/office/word/2010/wordprocessingShape">
                    <wps:wsp>
                      <wps:cNvSpPr/>
                      <wps:spPr>
                        <a:xfrm>
                          <a:off x="0" y="0"/>
                          <a:ext cx="1020445" cy="635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FC8326">
                            <w:pP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应急处理后装入封闭容器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pt;margin-top:15.45pt;height:50pt;width:80.35pt;z-index:251774976;v-text-anchor:middle;mso-width-relative:page;mso-height-relative:page;" filled="f" stroked="t" coordsize="21600,21600" o:gfxdata="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j+8UdcAAAAKAQAADwAAAAAAAAABACAAAAAiAAAAZHJz&#10;L2Rvd25yZXYueG1sUEsBAhQAFAAAAAgAh07iQNJuh4h3AgAA5AQAAA4AAAAAAAAAAQAgAAAAJgEA&#10;AGRycy9lMm9Eb2MueG1sUEsFBgAAAAAGAAYAWQEAAA8GAAAAAA==&#10;">
                <v:fill on="f" focussize="0,0"/>
                <v:stroke weight="2pt" color="#385D8A [3204]" joinstyle="round"/>
                <v:imagedata o:title=""/>
                <o:lock v:ext="edit" aspectratio="f"/>
                <v:textbox>
                  <w:txbxContent>
                    <w:p w14:paraId="1BFC8326">
                      <w:pP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应急处理后装入封闭容器</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4387850</wp:posOffset>
                </wp:positionH>
                <wp:positionV relativeFrom="paragraph">
                  <wp:posOffset>196215</wp:posOffset>
                </wp:positionV>
                <wp:extent cx="1066165" cy="635000"/>
                <wp:effectExtent l="12700" t="12700" r="13335" b="12700"/>
                <wp:wrapNone/>
                <wp:docPr id="160" name="矩形 160"/>
                <wp:cNvGraphicFramePr/>
                <a:graphic xmlns:a="http://schemas.openxmlformats.org/drawingml/2006/main">
                  <a:graphicData uri="http://schemas.microsoft.com/office/word/2010/wordprocessingShape">
                    <wps:wsp>
                      <wps:cNvSpPr/>
                      <wps:spPr>
                        <a:xfrm>
                          <a:off x="0" y="0"/>
                          <a:ext cx="1066165" cy="635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F6DBF2">
                            <w:pP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由当地专业废铅酸蓄电池贮存厂家清运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5pt;margin-top:15.45pt;height:50pt;width:83.95pt;z-index:251778048;v-text-anchor:middle;mso-width-relative:page;mso-height-relative:page;" filled="f" stroked="t" coordsize="21600,21600" o:gfxdata="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lAp782AAAAAoBAAAPAAAAAAAAAAEAIAAAACIAAABkcnMv&#10;ZG93bnJldi54bWxQSwECFAAUAAAACACHTuJAc9wrlXUCAADkBAAADgAAAAAAAAABACAAAAAnAQAA&#10;ZHJzL2Uyb0RvYy54bWxQSwUGAAAAAAYABgBZAQAADgYAAAAA&#10;">
                <v:fill on="f" focussize="0,0"/>
                <v:stroke weight="2pt" color="#385D8A [3204]" joinstyle="round"/>
                <v:imagedata o:title=""/>
                <o:lock v:ext="edit" aspectratio="f"/>
                <v:textbox>
                  <w:txbxContent>
                    <w:p w14:paraId="0EF6DBF2">
                      <w:pP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由当地专业废铅酸蓄电池贮存厂家清运</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4114800</wp:posOffset>
                </wp:positionH>
                <wp:positionV relativeFrom="paragraph">
                  <wp:posOffset>-60325</wp:posOffset>
                </wp:positionV>
                <wp:extent cx="6350" cy="254635"/>
                <wp:effectExtent l="46990" t="0" r="48260" b="12065"/>
                <wp:wrapNone/>
                <wp:docPr id="158" name="直接箭头连接符 158"/>
                <wp:cNvGraphicFramePr/>
                <a:graphic xmlns:a="http://schemas.openxmlformats.org/drawingml/2006/main">
                  <a:graphicData uri="http://schemas.microsoft.com/office/word/2010/wordprocessingShape">
                    <wps:wsp>
                      <wps:cNvCnPr/>
                      <wps:spPr>
                        <a:xfrm flipH="1" flipV="1">
                          <a:off x="0" y="0"/>
                          <a:ext cx="6350" cy="254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24pt;margin-top:-4.75pt;height:20.05pt;width:0.5pt;z-index:251776000;mso-width-relative:page;mso-height-relative:page;" filled="f" stroked="t" coordsize="21600,21600" o:gfxdata="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vHi2AAAAAkBAAAPAAAAAAAAAAEAIAAAACIAAABkcnMvZG93bnJldi54bWxQSwECFAAUAAAACACH&#10;TuJAg5FPfSQCAAAaBAAADgAAAAAAAAABACAAAAAnAQAAZHJzL2Uyb0RvYy54bWxQSwUGAAAAAAYA&#10;BgBZAQAAvQUAAAAA&#10;">
                <v:fill on="f" focussize="0,0"/>
                <v:stroke color="#4A7EBB [3204]" joinstyle="round"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1784350</wp:posOffset>
                </wp:positionH>
                <wp:positionV relativeFrom="paragraph">
                  <wp:posOffset>291465</wp:posOffset>
                </wp:positionV>
                <wp:extent cx="1046480" cy="438785"/>
                <wp:effectExtent l="12700" t="12700" r="20320" b="18415"/>
                <wp:wrapNone/>
                <wp:docPr id="153" name="矩形 153"/>
                <wp:cNvGraphicFramePr/>
                <a:graphic xmlns:a="http://schemas.openxmlformats.org/drawingml/2006/main">
                  <a:graphicData uri="http://schemas.microsoft.com/office/word/2010/wordprocessingShape">
                    <wps:wsp>
                      <wps:cNvSpPr/>
                      <wps:spPr>
                        <a:xfrm>
                          <a:off x="0" y="0"/>
                          <a:ext cx="1046480" cy="438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549A71">
                            <w:pP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铅蓄电池破损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5pt;margin-top:22.95pt;height:34.55pt;width:82.4pt;z-index:251770880;v-text-anchor:middle;mso-width-relative:page;mso-height-relative:page;" filled="f" stroked="t" coordsize="21600,21600" o:gfxdata="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ZHG33YAAAACgEAAA8AAAAAAAAAAQAgAAAAIgAAAGRycy9k&#10;b3ducmV2LnhtbFBLAQIUABQAAAAIAIdO4kBvpUoBdAIAAOQEAAAOAAAAAAAAAAEAIAAAACcBAABk&#10;cnMvZTJvRG9jLnhtbFBLBQYAAAAABgAGAFkBAAANBgAAAAA=&#10;">
                <v:fill on="f" focussize="0,0"/>
                <v:stroke weight="2pt" color="#385D8A [3204]" joinstyle="round"/>
                <v:imagedata o:title=""/>
                <o:lock v:ext="edit" aspectratio="f"/>
                <v:textbox>
                  <w:txbxContent>
                    <w:p w14:paraId="09549A71">
                      <w:pP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铅蓄电池破损</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1233170</wp:posOffset>
                </wp:positionH>
                <wp:positionV relativeFrom="paragraph">
                  <wp:posOffset>57150</wp:posOffset>
                </wp:positionV>
                <wp:extent cx="645160" cy="535940"/>
                <wp:effectExtent l="0" t="0" r="0" b="0"/>
                <wp:wrapNone/>
                <wp:docPr id="152" name="矩形 152"/>
                <wp:cNvGraphicFramePr/>
                <a:graphic xmlns:a="http://schemas.openxmlformats.org/drawingml/2006/main">
                  <a:graphicData uri="http://schemas.microsoft.com/office/word/2010/wordprocessingShape">
                    <wps:wsp>
                      <wps:cNvSpPr/>
                      <wps:spPr>
                        <a:xfrm>
                          <a:off x="0" y="0"/>
                          <a:ext cx="645160" cy="53594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4B506E">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非正常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1pt;margin-top:4.5pt;height:42.2pt;width:50.8pt;z-index:251769856;v-text-anchor:middle;mso-width-relative:page;mso-height-relative:page;" filled="f" stroked="f" coordsize="21600,21600" o:gfxdata="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Ge3WvWAAAACAEAAA8A&#10;AAAAAAAAAQAgAAAAIgAAAGRycy9kb3ducmV2LnhtbFBLAQIUABQAAAAIAIdO4kBMsJXFUgIAAJgE&#10;AAAOAAAAAAAAAAEAIAAAACUBAABkcnMvZTJvRG9jLnhtbFBLBQYAAAAABgAGAFkBAADpBQAAAAA=&#10;">
                <v:fill on="f" focussize="0,0"/>
                <v:stroke on="f" weight="2pt" dashstyle="dash"/>
                <v:imagedata o:title=""/>
                <o:lock v:ext="edit" aspectratio="f"/>
                <v:textbox>
                  <w:txbxContent>
                    <w:p w14:paraId="094B506E">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非正常</w:t>
                      </w:r>
                    </w:p>
                  </w:txbxContent>
                </v:textbox>
              </v:rect>
            </w:pict>
          </mc:Fallback>
        </mc:AlternateContent>
      </w:r>
    </w:p>
    <w:p w14:paraId="140B9A50">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2823845</wp:posOffset>
                </wp:positionH>
                <wp:positionV relativeFrom="paragraph">
                  <wp:posOffset>127000</wp:posOffset>
                </wp:positionV>
                <wp:extent cx="450850" cy="0"/>
                <wp:effectExtent l="0" t="48895" r="6350" b="52705"/>
                <wp:wrapNone/>
                <wp:docPr id="156" name="直接箭头连接符 156"/>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2.35pt;margin-top:10pt;height:0pt;width:35.5pt;z-index:251773952;mso-width-relative:page;mso-height-relative:page;" filled="f" stroked="t" coordsize="21600,21600" o:gfxdata="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Bb0PtcAAAAJAQAADwAA&#10;AAAAAAABACAAAAAiAAAAZHJzL2Rvd25yZXYueG1sUEsBAhQAFAAAAAgAh07iQAXyEeAXAgAAAwQA&#10;AA4AAAAAAAAAAQAgAAAAJgEAAGRycy9lMm9Eb2MueG1sUEsFBgAAAAAGAAYAWQEAAK8FAAAAAA==&#10;">
                <v:fill on="f" focussize="0,0"/>
                <v:stroke color="#4A7EBB [3204]" joinstyle="round"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1306195</wp:posOffset>
                </wp:positionH>
                <wp:positionV relativeFrom="paragraph">
                  <wp:posOffset>95250</wp:posOffset>
                </wp:positionV>
                <wp:extent cx="450850" cy="0"/>
                <wp:effectExtent l="0" t="48895" r="6350" b="52705"/>
                <wp:wrapNone/>
                <wp:docPr id="151" name="直接箭头连接符 151"/>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85pt;margin-top:7.5pt;height:0pt;width:35.5pt;z-index:251768832;mso-width-relative:page;mso-height-relative:page;" filled="f" stroked="t" coordsize="21600,21600" o:gfxdata="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wYQwNcAAAAJAQAADwAA&#10;AAAAAAABACAAAAAiAAAAZHJzL2Rvd25yZXYueG1sUEsBAhQAFAAAAAgAh07iQMf9KugXAgAAAwQA&#10;AA4AAAAAAAAAAQAgAAAAJgEAAGRycy9lMm9Eb2MueG1sUEsFBgAAAAAGAAYAWQEAAK8FAAAAAA==&#10;">
                <v:fill on="f" focussize="0,0"/>
                <v:stroke color="#4A7EBB [3204]" joinstyle="round" endarrow="open"/>
                <v:imagedata o:title=""/>
                <o:lock v:ext="edit" aspectratio="f"/>
              </v:shape>
            </w:pict>
          </mc:Fallback>
        </mc:AlternateContent>
      </w:r>
    </w:p>
    <w:p w14:paraId="618CAABF">
      <w:pPr>
        <w:pStyle w:val="37"/>
        <w:ind w:firstLine="480"/>
        <w:jc w:val="both"/>
        <w:rPr>
          <w:rFonts w:hint="eastAsia" w:ascii="宋体" w:hAnsi="宋体" w:cs="宋体"/>
          <w:b w:val="0"/>
          <w:color w:val="000000" w:themeColor="text1"/>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1696720</wp:posOffset>
                </wp:positionH>
                <wp:positionV relativeFrom="paragraph">
                  <wp:posOffset>245110</wp:posOffset>
                </wp:positionV>
                <wp:extent cx="1267460" cy="535940"/>
                <wp:effectExtent l="0" t="0" r="0" b="0"/>
                <wp:wrapNone/>
                <wp:docPr id="155" name="矩形 155"/>
                <wp:cNvGraphicFramePr/>
                <a:graphic xmlns:a="http://schemas.openxmlformats.org/drawingml/2006/main">
                  <a:graphicData uri="http://schemas.microsoft.com/office/word/2010/wordprocessingShape">
                    <wps:wsp>
                      <wps:cNvSpPr/>
                      <wps:spPr>
                        <a:xfrm>
                          <a:off x="0" y="0"/>
                          <a:ext cx="1267460" cy="535940"/>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0C213A">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极少量铅及酸雾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6pt;margin-top:19.3pt;height:42.2pt;width:99.8pt;z-index:251772928;v-text-anchor:middle;mso-width-relative:page;mso-height-relative:page;" filled="f" stroked="f" coordsize="21600,21600" o:gfxdata="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Y2CSNkAAAAK&#10;AQAADwAAAAAAAAABACAAAAAiAAAAZHJzL2Rvd25yZXYueG1sUEsBAhQAFAAAAAgAh07iQL9IfcZU&#10;AgAAmQQAAA4AAAAAAAAAAQAgAAAAKAEAAGRycy9lMm9Eb2MueG1sUEsFBgAAAAAGAAYAWQEAAO4F&#10;AAAAAA==&#10;">
                <v:fill on="f" focussize="0,0"/>
                <v:stroke on="f" weight="2pt" dashstyle="dash"/>
                <v:imagedata o:title=""/>
                <o:lock v:ext="edit" aspectratio="f"/>
                <v:textbox>
                  <w:txbxContent>
                    <w:p w14:paraId="530C213A">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极少量铅及酸雾</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2127250</wp:posOffset>
                </wp:positionH>
                <wp:positionV relativeFrom="paragraph">
                  <wp:posOffset>111760</wp:posOffset>
                </wp:positionV>
                <wp:extent cx="12700" cy="323850"/>
                <wp:effectExtent l="40005" t="0" r="48895" b="6350"/>
                <wp:wrapNone/>
                <wp:docPr id="154" name="直接箭头连接符 154"/>
                <wp:cNvGraphicFramePr/>
                <a:graphic xmlns:a="http://schemas.openxmlformats.org/drawingml/2006/main">
                  <a:graphicData uri="http://schemas.microsoft.com/office/word/2010/wordprocessingShape">
                    <wps:wsp>
                      <wps:cNvCnPr/>
                      <wps:spPr>
                        <a:xfrm>
                          <a:off x="0" y="0"/>
                          <a:ext cx="12700" cy="3238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5pt;margin-top:8.8pt;height:25.5pt;width:1pt;z-index:251771904;mso-width-relative:page;mso-height-relative:page;" filled="f" stroked="t" coordsize="21600,21600" o:gfxdata="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EIfJPZAAAA&#10;CQEAAA8AAAAAAAAAAQAgAAAAIgAAAGRycy9kb3ducmV2LnhtbFBLAQIUABQAAAAIAIdO4kBLHAaA&#10;HAIAAAYEAAAOAAAAAAAAAAEAIAAAACgBAABkcnMvZTJvRG9jLnhtbFBLBQYAAAAABgAGAFkBAAC2&#10;BQAAAAA=&#10;">
                <v:fill on="f" focussize="0,0"/>
                <v:stroke color="#4A7EBB [3204]" joinstyle="round" dashstyle="dash" endarrow="open"/>
                <v:imagedata o:title=""/>
                <o:lock v:ext="edit" aspectratio="f"/>
              </v:shape>
            </w:pict>
          </mc:Fallback>
        </mc:AlternateContent>
      </w:r>
    </w:p>
    <w:p w14:paraId="6323C8F2">
      <w:pPr>
        <w:pStyle w:val="37"/>
        <w:ind w:firstLine="480"/>
        <w:jc w:val="both"/>
        <w:rPr>
          <w:rFonts w:hint="eastAsia" w:ascii="宋体" w:hAnsi="宋体" w:cs="宋体"/>
          <w:b w:val="0"/>
          <w:color w:val="000000" w:themeColor="text1"/>
          <w:lang w:val="en-US" w:eastAsia="zh-CN"/>
          <w14:textFill>
            <w14:solidFill>
              <w14:schemeClr w14:val="tx1"/>
            </w14:solidFill>
          </w14:textFill>
        </w:rPr>
      </w:pPr>
    </w:p>
    <w:p w14:paraId="1A06D086">
      <w:pPr>
        <w:pStyle w:val="37"/>
        <w:ind w:firstLine="480"/>
        <w:jc w:val="both"/>
        <w:rPr>
          <w:rFonts w:hint="eastAsia" w:ascii="宋体" w:hAnsi="宋体" w:cs="宋体"/>
          <w:b w:val="0"/>
          <w:color w:val="000000" w:themeColor="text1"/>
          <w:lang w:val="en-US" w:eastAsia="zh-CN"/>
          <w14:textFill>
            <w14:solidFill>
              <w14:schemeClr w14:val="tx1"/>
            </w14:solidFill>
          </w14:textFill>
        </w:rPr>
      </w:pPr>
    </w:p>
    <w:p w14:paraId="21957464">
      <w:pPr>
        <w:pStyle w:val="37"/>
        <w:numPr>
          <w:ilvl w:val="0"/>
          <w:numId w:val="0"/>
        </w:numPr>
        <w:ind w:left="720" w:leftChars="0"/>
        <w:jc w:val="both"/>
        <w:rPr>
          <w:rFonts w:hint="eastAsia" w:ascii="宋体" w:hAnsi="宋体" w:cs="宋体"/>
          <w:b w:val="0"/>
          <w:color w:val="000000" w:themeColor="text1"/>
          <w:highlight w:val="none"/>
          <w:lang w:val="en-US" w:eastAsia="zh-CN"/>
          <w14:textFill>
            <w14:solidFill>
              <w14:schemeClr w14:val="tx1"/>
            </w14:solidFill>
          </w14:textFill>
        </w:rPr>
      </w:pPr>
      <w:r>
        <w:rPr>
          <w:rFonts w:hint="eastAsia" w:ascii="宋体" w:hAnsi="宋体" w:cs="宋体"/>
          <w:b w:val="0"/>
          <w:color w:val="000000" w:themeColor="text1"/>
          <w:highlight w:val="none"/>
          <w:lang w:val="en-US" w:eastAsia="zh-CN"/>
          <w14:textFill>
            <w14:solidFill>
              <w14:schemeClr w14:val="tx1"/>
            </w14:solidFill>
          </w14:textFill>
        </w:rPr>
        <w:t>（2）去除效率可达性</w:t>
      </w:r>
    </w:p>
    <w:p w14:paraId="0F8DF6DB">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color w:val="000000" w:themeColor="text1"/>
          <w:highlight w:val="none"/>
          <w:lang w:val="en-US" w:eastAsia="zh-CN"/>
          <w14:textFill>
            <w14:solidFill>
              <w14:schemeClr w14:val="tx1"/>
            </w14:solidFill>
          </w14:textFill>
        </w:rPr>
      </w:pPr>
      <w:r>
        <w:rPr>
          <w:rFonts w:hint="eastAsia" w:ascii="宋体" w:hAnsi="宋体" w:cs="宋体"/>
          <w:b w:val="0"/>
          <w:color w:val="000000" w:themeColor="text1"/>
          <w:highlight w:val="none"/>
          <w:lang w:val="en-US" w:eastAsia="zh-CN"/>
          <w14:textFill>
            <w14:solidFill>
              <w14:schemeClr w14:val="tx1"/>
            </w14:solidFill>
          </w14:textFill>
        </w:rPr>
        <w:t xml:space="preserve">                  </w:t>
      </w:r>
      <w:r>
        <w:rPr>
          <w:rFonts w:hint="eastAsia" w:ascii="宋体" w:hAnsi="宋体" w:cs="宋体"/>
          <w:b/>
          <w:bCs/>
          <w:color w:val="000000" w:themeColor="text1"/>
          <w:sz w:val="21"/>
          <w:szCs w:val="21"/>
          <w:highlight w:val="none"/>
          <w:lang w:val="en-US" w:eastAsia="zh-CN"/>
          <w14:textFill>
            <w14:solidFill>
              <w14:schemeClr w14:val="tx1"/>
            </w14:solidFill>
          </w14:textFill>
        </w:rPr>
        <w:t xml:space="preserve">  表7-1    污染防治措施去除效率可达性分析</w:t>
      </w:r>
    </w:p>
    <w:tbl>
      <w:tblPr>
        <w:tblStyle w:val="26"/>
        <w:tblW w:w="4770" w:type="pct"/>
        <w:tblInd w:w="426"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1482"/>
        <w:gridCol w:w="4386"/>
        <w:gridCol w:w="1097"/>
      </w:tblGrid>
      <w:tr w14:paraId="6680E8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9" w:type="pct"/>
            <w:tcBorders>
              <w:tl2br w:val="nil"/>
              <w:tr2bl w:val="nil"/>
            </w:tcBorders>
          </w:tcPr>
          <w:p w14:paraId="704B7A18">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治理措施</w:t>
            </w:r>
          </w:p>
        </w:tc>
        <w:tc>
          <w:tcPr>
            <w:tcW w:w="836" w:type="pct"/>
            <w:tcBorders>
              <w:tl2br w:val="nil"/>
              <w:tr2bl w:val="nil"/>
            </w:tcBorders>
          </w:tcPr>
          <w:p w14:paraId="0EE741C7">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去除率</w:t>
            </w:r>
          </w:p>
        </w:tc>
        <w:tc>
          <w:tcPr>
            <w:tcW w:w="2474" w:type="pct"/>
            <w:tcBorders>
              <w:tl2br w:val="nil"/>
              <w:tr2bl w:val="nil"/>
            </w:tcBorders>
          </w:tcPr>
          <w:p w14:paraId="72F1FB2A">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来源</w:t>
            </w:r>
          </w:p>
        </w:tc>
        <w:tc>
          <w:tcPr>
            <w:tcW w:w="619" w:type="pct"/>
            <w:tcBorders>
              <w:tl2br w:val="nil"/>
              <w:tr2bl w:val="nil"/>
            </w:tcBorders>
          </w:tcPr>
          <w:p w14:paraId="774C4E21">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是否符合可行</w:t>
            </w:r>
          </w:p>
        </w:tc>
      </w:tr>
      <w:tr w14:paraId="685918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9" w:type="pct"/>
            <w:tcBorders>
              <w:tl2br w:val="nil"/>
              <w:tr2bl w:val="nil"/>
            </w:tcBorders>
          </w:tcPr>
          <w:p w14:paraId="43AEA8E9">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布袋除尘器</w:t>
            </w:r>
          </w:p>
        </w:tc>
        <w:tc>
          <w:tcPr>
            <w:tcW w:w="836" w:type="pct"/>
            <w:tcBorders>
              <w:tl2br w:val="nil"/>
              <w:tr2bl w:val="nil"/>
            </w:tcBorders>
          </w:tcPr>
          <w:p w14:paraId="1F4ABC31">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95%</w:t>
            </w:r>
          </w:p>
        </w:tc>
        <w:tc>
          <w:tcPr>
            <w:tcW w:w="2474" w:type="pct"/>
            <w:tcBorders>
              <w:tl2br w:val="nil"/>
              <w:tr2bl w:val="nil"/>
            </w:tcBorders>
          </w:tcPr>
          <w:p w14:paraId="5E35CFA1">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t>排放源统计调查产排污核算方法和系数手册</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中机械行业系数“C33-C37 行业核算环节”</w:t>
            </w:r>
            <w:r>
              <w:rPr>
                <w:rFonts w:hint="eastAsia" w:ascii="宋体" w:hAnsi="宋体" w:cs="宋体"/>
                <w:b w:val="0"/>
                <w:bCs w:val="0"/>
                <w:i w:val="0"/>
                <w:iCs w:val="0"/>
                <w:color w:val="000000" w:themeColor="text1"/>
                <w:kern w:val="0"/>
                <w:sz w:val="21"/>
                <w:szCs w:val="21"/>
                <w:u w:val="none"/>
                <w:lang w:val="en-US" w:eastAsia="zh-CN" w:bidi="ar"/>
                <w14:textFill>
                  <w14:solidFill>
                    <w14:schemeClr w14:val="tx1"/>
                  </w14:solidFill>
                </w14:textFill>
              </w:rPr>
              <w:t>布袋除尘器效率为95%</w:t>
            </w:r>
          </w:p>
        </w:tc>
        <w:tc>
          <w:tcPr>
            <w:tcW w:w="619" w:type="pct"/>
            <w:tcBorders>
              <w:tl2br w:val="nil"/>
              <w:tr2bl w:val="nil"/>
            </w:tcBorders>
          </w:tcPr>
          <w:p w14:paraId="75014DC6">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可行</w:t>
            </w:r>
          </w:p>
        </w:tc>
      </w:tr>
      <w:tr w14:paraId="5D1B40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9" w:type="pct"/>
            <w:tcBorders>
              <w:tl2br w:val="nil"/>
              <w:tr2bl w:val="nil"/>
            </w:tcBorders>
          </w:tcPr>
          <w:p w14:paraId="37ED7631">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集气罩+活性炭吸附</w:t>
            </w:r>
          </w:p>
        </w:tc>
        <w:tc>
          <w:tcPr>
            <w:tcW w:w="836" w:type="pct"/>
            <w:tcBorders>
              <w:tl2br w:val="nil"/>
              <w:tr2bl w:val="nil"/>
            </w:tcBorders>
          </w:tcPr>
          <w:p w14:paraId="2ED0ACB1">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集气率65%，去除率15%</w:t>
            </w:r>
          </w:p>
        </w:tc>
        <w:tc>
          <w:tcPr>
            <w:tcW w:w="2474" w:type="pct"/>
            <w:tcBorders>
              <w:tl2br w:val="nil"/>
              <w:tr2bl w:val="nil"/>
            </w:tcBorders>
          </w:tcPr>
          <w:p w14:paraId="1FB4F9CC">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t>《主要污染物总量减排核算技术指南》</w:t>
            </w: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半密闭集气效率为65%，不再生的活性炭吸附效率为15%。</w:t>
            </w:r>
          </w:p>
        </w:tc>
        <w:tc>
          <w:tcPr>
            <w:tcW w:w="619" w:type="pct"/>
            <w:tcBorders>
              <w:tl2br w:val="nil"/>
              <w:tr2bl w:val="nil"/>
            </w:tcBorders>
          </w:tcPr>
          <w:p w14:paraId="4BE20C47">
            <w:pPr>
              <w:pStyle w:val="37"/>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outlineLvl w:val="4"/>
              <w:rPr>
                <w:rFonts w:hint="default" w:ascii="宋体" w:hAnsi="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vertAlign w:val="baseline"/>
                <w:lang w:val="en-US" w:eastAsia="zh-CN"/>
                <w14:textFill>
                  <w14:solidFill>
                    <w14:schemeClr w14:val="tx1"/>
                  </w14:solidFill>
                </w14:textFill>
              </w:rPr>
              <w:t>可行</w:t>
            </w:r>
          </w:p>
        </w:tc>
      </w:tr>
    </w:tbl>
    <w:p w14:paraId="224359E9">
      <w:pPr>
        <w:pStyle w:val="37"/>
        <w:widowControl w:val="0"/>
        <w:numPr>
          <w:ilvl w:val="0"/>
          <w:numId w:val="0"/>
        </w:numPr>
        <w:spacing w:line="360" w:lineRule="auto"/>
        <w:jc w:val="both"/>
        <w:outlineLvl w:val="4"/>
        <w:rPr>
          <w:rFonts w:hint="default" w:ascii="宋体" w:hAnsi="宋体" w:cs="宋体"/>
          <w:b w:val="0"/>
          <w:color w:val="000000" w:themeColor="text1"/>
          <w:highlight w:val="none"/>
          <w:lang w:val="en-US" w:eastAsia="zh-CN"/>
          <w14:textFill>
            <w14:solidFill>
              <w14:schemeClr w14:val="tx1"/>
            </w14:solidFill>
          </w14:textFill>
        </w:rPr>
      </w:pPr>
    </w:p>
    <w:p w14:paraId="0632AAEF">
      <w:pPr>
        <w:pStyle w:val="37"/>
        <w:ind w:firstLine="480"/>
        <w:jc w:val="both"/>
        <w:rPr>
          <w:rFonts w:hint="eastAsia" w:ascii="宋体" w:hAnsi="宋体" w:eastAsia="宋体" w:cs="宋体"/>
          <w:b w:val="0"/>
          <w:color w:val="000000" w:themeColor="text1"/>
          <w:lang w:val="en-US" w:eastAsia="zh-CN"/>
          <w14:textFill>
            <w14:solidFill>
              <w14:schemeClr w14:val="tx1"/>
            </w14:solidFill>
          </w14:textFill>
        </w:rPr>
      </w:pPr>
      <w:r>
        <w:rPr>
          <w:rFonts w:hint="eastAsia" w:ascii="宋体" w:hAnsi="宋体" w:cs="宋体"/>
          <w:b w:val="0"/>
          <w:color w:val="000000" w:themeColor="text1"/>
          <w:lang w:val="en-US" w:eastAsia="zh-CN"/>
          <w14:textFill>
            <w14:solidFill>
              <w14:schemeClr w14:val="tx1"/>
            </w14:solidFill>
          </w14:textFill>
        </w:rPr>
        <w:t>（2）达标性分析</w:t>
      </w:r>
    </w:p>
    <w:p w14:paraId="76E0D413">
      <w:pPr>
        <w:pStyle w:val="37"/>
        <w:ind w:firstLine="480"/>
        <w:jc w:val="both"/>
        <w:rPr>
          <w:rFonts w:hint="eastAsia" w:ascii="宋体" w:hAnsi="宋体" w:eastAsia="宋体" w:cs="宋体"/>
          <w:b w:val="0"/>
          <w:color w:val="000000" w:themeColor="text1"/>
          <w:highlight w:val="none"/>
          <w14:textFill>
            <w14:solidFill>
              <w14:schemeClr w14:val="tx1"/>
            </w14:solidFill>
          </w14:textFill>
        </w:rPr>
      </w:pPr>
      <w:r>
        <w:rPr>
          <w:rFonts w:hint="eastAsia" w:ascii="宋体" w:hAnsi="宋体" w:eastAsia="宋体" w:cs="宋体"/>
          <w:b w:val="0"/>
          <w:color w:val="000000" w:themeColor="text1"/>
          <w14:textFill>
            <w14:solidFill>
              <w14:schemeClr w14:val="tx1"/>
            </w14:solidFill>
          </w14:textFill>
        </w:rPr>
        <w:t>根据环境质量现状调查结果，项目所在区域大气环境质量较好，周边保护目标主要为</w:t>
      </w:r>
      <w:r>
        <w:rPr>
          <w:rFonts w:hint="eastAsia" w:ascii="宋体" w:hAnsi="宋体" w:eastAsia="宋体" w:cs="宋体"/>
          <w:b w:val="0"/>
          <w:color w:val="000000" w:themeColor="text1"/>
          <w:lang w:val="en-US" w:eastAsia="zh-CN"/>
          <w14:textFill>
            <w14:solidFill>
              <w14:schemeClr w14:val="tx1"/>
            </w14:solidFill>
          </w14:textFill>
        </w:rPr>
        <w:t>东南侧的</w:t>
      </w:r>
      <w:r>
        <w:rPr>
          <w:rFonts w:hint="eastAsia" w:ascii="宋体" w:hAnsi="宋体" w:eastAsia="宋体" w:cs="宋体"/>
          <w:b w:val="0"/>
          <w:color w:val="000000" w:themeColor="text1"/>
          <w14:textFill>
            <w14:solidFill>
              <w14:schemeClr w14:val="tx1"/>
            </w14:solidFill>
          </w14:textFill>
        </w:rPr>
        <w:t>居民住宅。</w:t>
      </w:r>
      <w:r>
        <w:rPr>
          <w:rFonts w:hint="eastAsia" w:ascii="宋体" w:hAnsi="宋体" w:eastAsia="宋体" w:cs="宋体"/>
          <w:b w:val="0"/>
          <w:color w:val="000000" w:themeColor="text1"/>
          <w:highlight w:val="none"/>
          <w14:textFill>
            <w14:solidFill>
              <w14:schemeClr w14:val="tx1"/>
            </w14:solidFill>
          </w14:textFill>
        </w:rPr>
        <w:t>本项目产生粉尘</w:t>
      </w:r>
      <w:r>
        <w:rPr>
          <w:rFonts w:hint="eastAsia" w:ascii="宋体" w:hAnsi="宋体" w:cs="宋体"/>
          <w:b w:val="0"/>
          <w:color w:val="000000" w:themeColor="text1"/>
          <w:highlight w:val="none"/>
          <w:lang w:eastAsia="zh-CN"/>
          <w14:textFill>
            <w14:solidFill>
              <w14:schemeClr w14:val="tx1"/>
            </w14:solidFill>
          </w14:textFill>
        </w:rPr>
        <w:t>经布袋除尘器治理，</w:t>
      </w:r>
      <w:r>
        <w:rPr>
          <w:rFonts w:hint="eastAsia" w:ascii="宋体" w:hAnsi="宋体" w:eastAsia="宋体" w:cs="宋体"/>
          <w:b w:val="0"/>
          <w:color w:val="000000" w:themeColor="text1"/>
          <w:highlight w:val="none"/>
          <w14:textFill>
            <w14:solidFill>
              <w14:schemeClr w14:val="tx1"/>
            </w14:solidFill>
          </w14:textFill>
        </w:rPr>
        <w:t>非甲烷总烃经</w:t>
      </w:r>
      <w:r>
        <w:rPr>
          <w:rFonts w:hint="eastAsia" w:ascii="宋体" w:hAnsi="宋体" w:cs="宋体"/>
          <w:b w:val="0"/>
          <w:color w:val="000000" w:themeColor="text1"/>
          <w:highlight w:val="none"/>
          <w:lang w:eastAsia="zh-CN"/>
          <w14:textFill>
            <w14:solidFill>
              <w14:schemeClr w14:val="tx1"/>
            </w14:solidFill>
          </w14:textFill>
        </w:rPr>
        <w:t>活性炭吸附后均</w:t>
      </w:r>
      <w:r>
        <w:rPr>
          <w:rFonts w:hint="eastAsia" w:ascii="宋体" w:hAnsi="宋体" w:eastAsia="宋体" w:cs="宋体"/>
          <w:b w:val="0"/>
          <w:color w:val="000000" w:themeColor="text1"/>
          <w:highlight w:val="none"/>
          <w14:textFill>
            <w14:solidFill>
              <w14:schemeClr w14:val="tx1"/>
            </w14:solidFill>
          </w14:textFill>
        </w:rPr>
        <w:t>符合</w:t>
      </w:r>
      <w:r>
        <w:rPr>
          <w:rFonts w:hint="eastAsia" w:ascii="宋体" w:hAnsi="宋体" w:eastAsia="宋体" w:cs="宋体"/>
          <w:b w:val="0"/>
          <w:bCs/>
          <w:color w:val="000000" w:themeColor="text1"/>
          <w:highlight w:val="none"/>
          <w14:textFill>
            <w14:solidFill>
              <w14:schemeClr w14:val="tx1"/>
            </w14:solidFill>
          </w14:textFill>
        </w:rPr>
        <w:t>《大气污染物综合排放标准》（GB16927-1996）表2中的排放标准。</w:t>
      </w:r>
      <w:r>
        <w:rPr>
          <w:rFonts w:hint="eastAsia" w:ascii="宋体" w:hAnsi="宋体" w:eastAsia="宋体" w:cs="宋体"/>
          <w:b w:val="0"/>
          <w:color w:val="000000" w:themeColor="text1"/>
          <w:highlight w:val="none"/>
          <w14:textFill>
            <w14:solidFill>
              <w14:schemeClr w14:val="tx1"/>
            </w14:solidFill>
          </w14:textFill>
        </w:rPr>
        <w:t>未收集的少量粉尘和非甲烷总烃于密闭车间内无组织排放，车间距离最近</w:t>
      </w:r>
      <w:r>
        <w:rPr>
          <w:rFonts w:hint="eastAsia" w:ascii="宋体" w:hAnsi="宋体" w:eastAsia="宋体" w:cs="宋体"/>
          <w:b w:val="0"/>
          <w:color w:val="000000" w:themeColor="text1"/>
          <w:highlight w:val="none"/>
          <w:lang w:val="en-US" w:eastAsia="zh-CN"/>
          <w14:textFill>
            <w14:solidFill>
              <w14:schemeClr w14:val="tx1"/>
            </w14:solidFill>
          </w14:textFill>
        </w:rPr>
        <w:t>环境敏感点2</w:t>
      </w:r>
      <w:r>
        <w:rPr>
          <w:rFonts w:hint="eastAsia" w:ascii="宋体" w:hAnsi="宋体" w:cs="宋体"/>
          <w:b w:val="0"/>
          <w:color w:val="000000" w:themeColor="text1"/>
          <w:highlight w:val="none"/>
          <w:lang w:val="en-US" w:eastAsia="zh-CN"/>
          <w14:textFill>
            <w14:solidFill>
              <w14:schemeClr w14:val="tx1"/>
            </w14:solidFill>
          </w14:textFill>
        </w:rPr>
        <w:t>98</w:t>
      </w:r>
      <w:r>
        <w:rPr>
          <w:rFonts w:hint="eastAsia" w:ascii="宋体" w:hAnsi="宋体" w:eastAsia="宋体" w:cs="宋体"/>
          <w:b w:val="0"/>
          <w:color w:val="000000" w:themeColor="text1"/>
          <w:highlight w:val="none"/>
          <w14:textFill>
            <w14:solidFill>
              <w14:schemeClr w14:val="tx1"/>
            </w14:solidFill>
          </w14:textFill>
        </w:rPr>
        <w:t>m，对周边环境影响较小。通过采取上述治理措施，可有效降低项目生产过程中产生的废气对周边环境空气的影响。</w:t>
      </w:r>
    </w:p>
    <w:p w14:paraId="3DEEFC48">
      <w:pPr>
        <w:pStyle w:val="37"/>
        <w:ind w:firstLine="480"/>
        <w:jc w:val="both"/>
        <w:rPr>
          <w:rFonts w:hint="eastAsia" w:ascii="宋体" w:hAnsi="宋体" w:eastAsia="宋体" w:cs="宋体"/>
          <w:b w:val="0"/>
          <w:color w:val="000000" w:themeColor="text1"/>
          <w:lang w:val="en-US" w:eastAsia="zh-CN"/>
          <w14:textFill>
            <w14:solidFill>
              <w14:schemeClr w14:val="tx1"/>
            </w14:solidFill>
          </w14:textFill>
        </w:rPr>
      </w:pPr>
      <w:r>
        <w:rPr>
          <w:rFonts w:hint="eastAsia" w:ascii="宋体" w:hAnsi="宋体" w:cs="宋体"/>
          <w:b w:val="0"/>
          <w:color w:val="000000" w:themeColor="text1"/>
          <w:lang w:val="en-US" w:eastAsia="zh-CN"/>
          <w14:textFill>
            <w14:solidFill>
              <w14:schemeClr w14:val="tx1"/>
            </w14:solidFill>
          </w14:textFill>
        </w:rPr>
        <w:t>（4）与排污许可申请与核发技术规范的符合性</w:t>
      </w:r>
    </w:p>
    <w:p w14:paraId="7D079FD7">
      <w:pPr>
        <w:pStyle w:val="37"/>
        <w:ind w:firstLine="480"/>
        <w:jc w:val="both"/>
        <w:rPr>
          <w:b/>
          <w:bCs/>
          <w:color w:val="000000" w:themeColor="text1"/>
          <w:kern w:val="21"/>
          <w:sz w:val="24"/>
          <w:szCs w:val="24"/>
          <w:highlight w:val="none"/>
          <w14:textFill>
            <w14:solidFill>
              <w14:schemeClr w14:val="tx1"/>
            </w14:solidFill>
          </w14:textFill>
        </w:rPr>
      </w:pPr>
      <w:r>
        <w:rPr>
          <w:rFonts w:hint="eastAsia" w:ascii="宋体" w:hAnsi="宋体" w:eastAsia="宋体" w:cs="宋体"/>
          <w:b w:val="0"/>
          <w:color w:val="000000" w:themeColor="text1"/>
          <w:lang w:eastAsia="zh-CN"/>
          <w14:textFill>
            <w14:solidFill>
              <w14:schemeClr w14:val="tx1"/>
            </w14:solidFill>
          </w14:textFill>
        </w:rPr>
        <w:t>根据ＨＪ</w:t>
      </w:r>
      <w:r>
        <w:rPr>
          <w:rFonts w:hint="eastAsia" w:ascii="宋体" w:hAnsi="宋体" w:eastAsia="宋体" w:cs="宋体"/>
          <w:b w:val="0"/>
          <w:color w:val="000000" w:themeColor="text1"/>
          <w:lang w:val="en-US" w:eastAsia="zh-CN"/>
          <w14:textFill>
            <w14:solidFill>
              <w14:schemeClr w14:val="tx1"/>
            </w14:solidFill>
          </w14:textFill>
        </w:rPr>
        <w:t>1034－2019</w:t>
      </w:r>
      <w:r>
        <w:rPr>
          <w:rFonts w:hint="eastAsia" w:ascii="宋体" w:hAnsi="宋体" w:eastAsia="宋体" w:cs="宋体"/>
          <w:b w:val="0"/>
          <w:color w:val="000000" w:themeColor="text1"/>
          <w:lang w:eastAsia="zh-CN"/>
          <w14:textFill>
            <w14:solidFill>
              <w14:schemeClr w14:val="tx1"/>
            </w14:solidFill>
          </w14:textFill>
        </w:rPr>
        <w:t>排污许可申请与核发技术规范废弃资源加工中对废机动车加工工业废气要求</w:t>
      </w:r>
      <w:r>
        <w:rPr>
          <w:rFonts w:hint="eastAsia" w:ascii="宋体" w:hAnsi="宋体" w:cs="宋体"/>
          <w:b w:val="0"/>
          <w:color w:val="000000" w:themeColor="text1"/>
          <w:highlight w:val="none"/>
          <w:lang w:eastAsia="zh-CN"/>
          <w14:textFill>
            <w14:solidFill>
              <w14:schemeClr w14:val="tx1"/>
            </w14:solidFill>
          </w14:textFill>
        </w:rPr>
        <w:t>详见</w:t>
      </w:r>
      <w:r>
        <w:rPr>
          <w:rFonts w:hint="eastAsia" w:ascii="宋体" w:hAnsi="宋体" w:cs="宋体"/>
          <w:b w:val="0"/>
          <w:color w:val="000000" w:themeColor="text1"/>
          <w:highlight w:val="none"/>
          <w:lang w:val="en-US" w:eastAsia="zh-CN"/>
          <w14:textFill>
            <w14:solidFill>
              <w14:schemeClr w14:val="tx1"/>
            </w14:solidFill>
          </w14:textFill>
        </w:rPr>
        <w:t>下表</w:t>
      </w:r>
      <w:r>
        <w:rPr>
          <w:rFonts w:hint="eastAsia" w:ascii="宋体" w:hAnsi="宋体" w:eastAsia="宋体" w:cs="宋体"/>
          <w:b w:val="0"/>
          <w:color w:val="000000" w:themeColor="text1"/>
          <w14:textFill>
            <w14:solidFill>
              <w14:schemeClr w14:val="tx1"/>
            </w14:solidFill>
          </w14:textFill>
        </w:rPr>
        <w:t>。</w:t>
      </w:r>
    </w:p>
    <w:p w14:paraId="3A3F86CA">
      <w:pPr>
        <w:wordWrap w:val="0"/>
        <w:topLinePunct/>
        <w:jc w:val="center"/>
        <w:rPr>
          <w:b/>
          <w:bCs/>
          <w:color w:val="000000" w:themeColor="text1"/>
          <w:kern w:val="21"/>
          <w:sz w:val="24"/>
          <w:szCs w:val="24"/>
          <w:highlight w:val="none"/>
          <w14:textFill>
            <w14:solidFill>
              <w14:schemeClr w14:val="tx1"/>
            </w14:solidFill>
          </w14:textFill>
        </w:rPr>
      </w:pPr>
      <w:r>
        <w:rPr>
          <w:b/>
          <w:bCs/>
          <w:color w:val="000000" w:themeColor="text1"/>
          <w:kern w:val="21"/>
          <w:sz w:val="24"/>
          <w:szCs w:val="24"/>
          <w:highlight w:val="none"/>
          <w14:textFill>
            <w14:solidFill>
              <w14:schemeClr w14:val="tx1"/>
            </w14:solidFill>
          </w14:textFill>
        </w:rPr>
        <w:t>表</w:t>
      </w:r>
      <w:r>
        <w:rPr>
          <w:rFonts w:hint="eastAsia"/>
          <w:b/>
          <w:bCs/>
          <w:color w:val="000000" w:themeColor="text1"/>
          <w:kern w:val="21"/>
          <w:sz w:val="24"/>
          <w:szCs w:val="24"/>
          <w:highlight w:val="none"/>
          <w:lang w:val="en-US" w:eastAsia="zh-CN"/>
          <w14:textFill>
            <w14:solidFill>
              <w14:schemeClr w14:val="tx1"/>
            </w14:solidFill>
          </w14:textFill>
        </w:rPr>
        <w:t>7</w:t>
      </w:r>
      <w:r>
        <w:rPr>
          <w:b/>
          <w:bCs/>
          <w:color w:val="000000" w:themeColor="text1"/>
          <w:kern w:val="21"/>
          <w:sz w:val="24"/>
          <w:szCs w:val="24"/>
          <w:highlight w:val="none"/>
          <w14:textFill>
            <w14:solidFill>
              <w14:schemeClr w14:val="tx1"/>
            </w14:solidFill>
          </w14:textFill>
        </w:rPr>
        <w:t>-</w:t>
      </w:r>
      <w:r>
        <w:rPr>
          <w:rFonts w:hint="eastAsia"/>
          <w:b/>
          <w:bCs/>
          <w:color w:val="000000" w:themeColor="text1"/>
          <w:kern w:val="21"/>
          <w:sz w:val="24"/>
          <w:szCs w:val="24"/>
          <w:highlight w:val="none"/>
          <w:lang w:val="en-US" w:eastAsia="zh-CN"/>
          <w14:textFill>
            <w14:solidFill>
              <w14:schemeClr w14:val="tx1"/>
            </w14:solidFill>
          </w14:textFill>
        </w:rPr>
        <w:t>2</w:t>
      </w:r>
      <w:r>
        <w:rPr>
          <w:b/>
          <w:bCs/>
          <w:color w:val="000000" w:themeColor="text1"/>
          <w:kern w:val="21"/>
          <w:sz w:val="24"/>
          <w:szCs w:val="24"/>
          <w:highlight w:val="none"/>
          <w14:textFill>
            <w14:solidFill>
              <w14:schemeClr w14:val="tx1"/>
            </w14:solidFill>
          </w14:textFill>
        </w:rPr>
        <w:t xml:space="preserve"> </w:t>
      </w:r>
      <w:r>
        <w:rPr>
          <w:rFonts w:hint="eastAsia"/>
          <w:b/>
          <w:bCs/>
          <w:color w:val="000000" w:themeColor="text1"/>
          <w:kern w:val="21"/>
          <w:sz w:val="24"/>
          <w:szCs w:val="24"/>
          <w:highlight w:val="none"/>
          <w14:textFill>
            <w14:solidFill>
              <w14:schemeClr w14:val="tx1"/>
            </w14:solidFill>
          </w14:textFill>
        </w:rPr>
        <w:t xml:space="preserve"> </w:t>
      </w:r>
      <w:r>
        <w:rPr>
          <w:b/>
          <w:bCs/>
          <w:color w:val="000000" w:themeColor="text1"/>
          <w:kern w:val="21"/>
          <w:sz w:val="24"/>
          <w:szCs w:val="24"/>
          <w:highlight w:val="none"/>
          <w14:textFill>
            <w14:solidFill>
              <w14:schemeClr w14:val="tx1"/>
            </w14:solidFill>
          </w14:textFill>
        </w:rPr>
        <w:t>建设项目</w:t>
      </w:r>
      <w:r>
        <w:rPr>
          <w:rFonts w:hint="eastAsia"/>
          <w:b/>
          <w:bCs/>
          <w:color w:val="000000" w:themeColor="text1"/>
          <w:kern w:val="21"/>
          <w:sz w:val="24"/>
          <w:szCs w:val="24"/>
          <w:highlight w:val="none"/>
          <w:lang w:val="en-US" w:eastAsia="zh-CN"/>
          <w14:textFill>
            <w14:solidFill>
              <w14:schemeClr w14:val="tx1"/>
            </w14:solidFill>
          </w14:textFill>
        </w:rPr>
        <w:t>与</w:t>
      </w:r>
      <w:r>
        <w:rPr>
          <w:b/>
          <w:bCs/>
          <w:color w:val="000000" w:themeColor="text1"/>
          <w:kern w:val="21"/>
          <w:sz w:val="24"/>
          <w:szCs w:val="24"/>
          <w:highlight w:val="none"/>
          <w14:textFill>
            <w14:solidFill>
              <w14:schemeClr w14:val="tx1"/>
            </w14:solidFill>
          </w14:textFill>
        </w:rPr>
        <w:t>排污许可</w:t>
      </w:r>
      <w:r>
        <w:rPr>
          <w:rFonts w:hint="eastAsia"/>
          <w:b/>
          <w:bCs/>
          <w:color w:val="000000" w:themeColor="text1"/>
          <w:kern w:val="21"/>
          <w:sz w:val="24"/>
          <w:szCs w:val="24"/>
          <w:highlight w:val="none"/>
          <w:lang w:val="en-US" w:eastAsia="zh-CN"/>
          <w14:textFill>
            <w14:solidFill>
              <w14:schemeClr w14:val="tx1"/>
            </w14:solidFill>
          </w14:textFill>
        </w:rPr>
        <w:t>规范相符性分析</w:t>
      </w:r>
    </w:p>
    <w:tbl>
      <w:tblPr>
        <w:tblStyle w:val="25"/>
        <w:tblW w:w="4997" w:type="pct"/>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29"/>
        <w:gridCol w:w="686"/>
        <w:gridCol w:w="615"/>
        <w:gridCol w:w="1190"/>
        <w:gridCol w:w="1393"/>
        <w:gridCol w:w="2455"/>
        <w:gridCol w:w="1998"/>
      </w:tblGrid>
      <w:tr w14:paraId="02AF652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485" w:hRule="atLeast"/>
          <w:jc w:val="center"/>
        </w:trPr>
        <w:tc>
          <w:tcPr>
            <w:tcW w:w="402" w:type="pct"/>
            <w:tcBorders>
              <w:tl2br w:val="nil"/>
              <w:tr2bl w:val="nil"/>
            </w:tcBorders>
            <w:vAlign w:val="center"/>
          </w:tcPr>
          <w:p w14:paraId="3D8F4DAF">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生产线名称</w:t>
            </w:r>
          </w:p>
        </w:tc>
        <w:tc>
          <w:tcPr>
            <w:tcW w:w="378" w:type="pct"/>
            <w:tcBorders>
              <w:tl2br w:val="nil"/>
              <w:tr2bl w:val="nil"/>
            </w:tcBorders>
            <w:vAlign w:val="center"/>
          </w:tcPr>
          <w:p w14:paraId="5F91135B">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国民经济行业类别</w:t>
            </w:r>
          </w:p>
        </w:tc>
        <w:tc>
          <w:tcPr>
            <w:tcW w:w="339" w:type="pct"/>
            <w:tcBorders>
              <w:tl2br w:val="nil"/>
              <w:tr2bl w:val="nil"/>
            </w:tcBorders>
            <w:vAlign w:val="center"/>
          </w:tcPr>
          <w:p w14:paraId="46D060A0">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排污许可管理类别</w:t>
            </w:r>
          </w:p>
        </w:tc>
        <w:tc>
          <w:tcPr>
            <w:tcW w:w="656" w:type="pct"/>
            <w:tcBorders>
              <w:tl2br w:val="nil"/>
              <w:tr2bl w:val="nil"/>
            </w:tcBorders>
            <w:vAlign w:val="center"/>
          </w:tcPr>
          <w:p w14:paraId="7F6BEE27">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排污许可申请与核发技术规范</w:t>
            </w:r>
          </w:p>
        </w:tc>
        <w:tc>
          <w:tcPr>
            <w:tcW w:w="768" w:type="pct"/>
            <w:tcBorders>
              <w:tl2br w:val="nil"/>
              <w:tr2bl w:val="nil"/>
            </w:tcBorders>
            <w:vAlign w:val="center"/>
          </w:tcPr>
          <w:p w14:paraId="02595DA5">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排污许可规范要求可行技术</w:t>
            </w:r>
          </w:p>
        </w:tc>
        <w:tc>
          <w:tcPr>
            <w:tcW w:w="1353" w:type="pct"/>
            <w:tcBorders>
              <w:tl2br w:val="nil"/>
              <w:tr2bl w:val="nil"/>
            </w:tcBorders>
            <w:vAlign w:val="center"/>
          </w:tcPr>
          <w:p w14:paraId="6306453B">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本项目</w:t>
            </w:r>
          </w:p>
        </w:tc>
        <w:tc>
          <w:tcPr>
            <w:tcW w:w="1101" w:type="pct"/>
            <w:tcBorders>
              <w:tl2br w:val="nil"/>
              <w:tr2bl w:val="nil"/>
            </w:tcBorders>
            <w:vAlign w:val="center"/>
          </w:tcPr>
          <w:p w14:paraId="62031EE7">
            <w:pPr>
              <w:wordWrap w:val="0"/>
              <w:topLinePunct/>
              <w:spacing w:line="240" w:lineRule="auto"/>
              <w:jc w:val="cente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t>相符性</w:t>
            </w:r>
          </w:p>
        </w:tc>
      </w:tr>
      <w:tr w14:paraId="64B1096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63" w:hRule="atLeast"/>
          <w:jc w:val="center"/>
        </w:trPr>
        <w:tc>
          <w:tcPr>
            <w:tcW w:w="402" w:type="pct"/>
            <w:vMerge w:val="restart"/>
            <w:tcBorders>
              <w:tl2br w:val="nil"/>
              <w:tr2bl w:val="nil"/>
            </w:tcBorders>
            <w:vAlign w:val="center"/>
          </w:tcPr>
          <w:p w14:paraId="232FE09F">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报废汽车拆解线</w:t>
            </w:r>
          </w:p>
        </w:tc>
        <w:tc>
          <w:tcPr>
            <w:tcW w:w="378" w:type="pct"/>
            <w:vMerge w:val="restart"/>
            <w:tcBorders>
              <w:tl2br w:val="nil"/>
              <w:tr2bl w:val="nil"/>
            </w:tcBorders>
            <w:vAlign w:val="center"/>
          </w:tcPr>
          <w:p w14:paraId="6FEA5D3C">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C42废弃资源综合利用业</w:t>
            </w:r>
          </w:p>
        </w:tc>
        <w:tc>
          <w:tcPr>
            <w:tcW w:w="339" w:type="pct"/>
            <w:vMerge w:val="restart"/>
            <w:tcBorders>
              <w:tl2br w:val="nil"/>
              <w:tr2bl w:val="nil"/>
            </w:tcBorders>
            <w:vAlign w:val="center"/>
          </w:tcPr>
          <w:p w14:paraId="4F01318F">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简化管理</w:t>
            </w:r>
          </w:p>
        </w:tc>
        <w:tc>
          <w:tcPr>
            <w:tcW w:w="656" w:type="pct"/>
            <w:vMerge w:val="restart"/>
            <w:tcBorders>
              <w:tl2br w:val="nil"/>
              <w:tr2bl w:val="nil"/>
            </w:tcBorders>
            <w:vAlign w:val="center"/>
          </w:tcPr>
          <w:p w14:paraId="3A3862F3">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《排污许可证申请与核发技术规范 废弃资源加工工业》（HJ1034-2019）</w:t>
            </w:r>
          </w:p>
        </w:tc>
        <w:tc>
          <w:tcPr>
            <w:tcW w:w="768" w:type="pct"/>
            <w:tcBorders>
              <w:tl2br w:val="nil"/>
              <w:tr2bl w:val="nil"/>
            </w:tcBorders>
            <w:vAlign w:val="center"/>
          </w:tcPr>
          <w:p w14:paraId="720C4D5F">
            <w:pPr>
              <w:wordWrap w:val="0"/>
              <w:topLinePunct/>
              <w:spacing w:line="240" w:lineRule="auto"/>
              <w:jc w:val="both"/>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非甲烷总烃：活性炭吸附后有组织</w:t>
            </w:r>
            <w: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t>排</w:t>
            </w:r>
            <w:r>
              <w:rPr>
                <w:rFonts w:hint="eastAsia" w:ascii="宋体" w:hAnsi="宋体" w:eastAsia="宋体" w:cs="宋体"/>
                <w:color w:val="000000" w:themeColor="text1"/>
                <w:kern w:val="21"/>
                <w:sz w:val="21"/>
                <w:szCs w:val="21"/>
                <w:highlight w:val="none"/>
                <w:lang w:eastAsia="zh-CN"/>
                <w14:textFill>
                  <w14:solidFill>
                    <w14:schemeClr w14:val="tx1"/>
                  </w14:solidFill>
                </w14:textFill>
              </w:rPr>
              <w:t>放</w:t>
            </w:r>
          </w:p>
        </w:tc>
        <w:tc>
          <w:tcPr>
            <w:tcW w:w="1353" w:type="pct"/>
            <w:tcBorders>
              <w:tl2br w:val="nil"/>
              <w:tr2bl w:val="nil"/>
            </w:tcBorders>
            <w:vAlign w:val="center"/>
          </w:tcPr>
          <w:p w14:paraId="7D3F7647">
            <w:pPr>
              <w:wordWrap w:val="0"/>
              <w:topLinePunct/>
              <w:spacing w:line="240" w:lineRule="auto"/>
              <w:jc w:val="both"/>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活性炭吸附后有组织</w:t>
            </w:r>
            <w: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t>排放</w:t>
            </w:r>
          </w:p>
          <w:p w14:paraId="02004926">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p>
        </w:tc>
        <w:tc>
          <w:tcPr>
            <w:tcW w:w="1101" w:type="pct"/>
            <w:tcBorders>
              <w:tl2br w:val="nil"/>
              <w:tr2bl w:val="nil"/>
            </w:tcBorders>
            <w:vAlign w:val="center"/>
          </w:tcPr>
          <w:p w14:paraId="414CE9E8">
            <w:pPr>
              <w:wordWrap w:val="0"/>
              <w:topLinePunct/>
              <w:spacing w:line="240" w:lineRule="auto"/>
              <w:jc w:val="cente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t>相符</w:t>
            </w:r>
          </w:p>
        </w:tc>
      </w:tr>
      <w:tr w14:paraId="13D7D49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46" w:hRule="atLeast"/>
          <w:jc w:val="center"/>
        </w:trPr>
        <w:tc>
          <w:tcPr>
            <w:tcW w:w="402" w:type="pct"/>
            <w:vMerge w:val="continue"/>
            <w:tcBorders>
              <w:tl2br w:val="nil"/>
              <w:tr2bl w:val="nil"/>
            </w:tcBorders>
            <w:vAlign w:val="center"/>
          </w:tcPr>
          <w:p w14:paraId="763CE587">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p>
        </w:tc>
        <w:tc>
          <w:tcPr>
            <w:tcW w:w="378" w:type="pct"/>
            <w:vMerge w:val="continue"/>
            <w:tcBorders>
              <w:tl2br w:val="nil"/>
              <w:tr2bl w:val="nil"/>
            </w:tcBorders>
            <w:vAlign w:val="center"/>
          </w:tcPr>
          <w:p w14:paraId="6E18FB1D">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p>
        </w:tc>
        <w:tc>
          <w:tcPr>
            <w:tcW w:w="339" w:type="pct"/>
            <w:vMerge w:val="continue"/>
            <w:tcBorders>
              <w:tl2br w:val="nil"/>
              <w:tr2bl w:val="nil"/>
            </w:tcBorders>
            <w:vAlign w:val="center"/>
          </w:tcPr>
          <w:p w14:paraId="31ECD1A8">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p>
        </w:tc>
        <w:tc>
          <w:tcPr>
            <w:tcW w:w="656" w:type="pct"/>
            <w:vMerge w:val="continue"/>
            <w:tcBorders>
              <w:tl2br w:val="nil"/>
              <w:tr2bl w:val="nil"/>
            </w:tcBorders>
            <w:vAlign w:val="center"/>
          </w:tcPr>
          <w:p w14:paraId="22E942F0">
            <w:pPr>
              <w:wordWrap w:val="0"/>
              <w:topLinePunct/>
              <w:spacing w:line="240" w:lineRule="auto"/>
              <w:jc w:val="center"/>
              <w:rPr>
                <w:rFonts w:hint="eastAsia" w:ascii="宋体" w:hAnsi="宋体" w:eastAsia="宋体" w:cs="宋体"/>
                <w:color w:val="000000" w:themeColor="text1"/>
                <w:kern w:val="21"/>
                <w:sz w:val="21"/>
                <w:szCs w:val="21"/>
                <w:highlight w:val="none"/>
                <w:lang w:eastAsia="zh-CN"/>
                <w14:textFill>
                  <w14:solidFill>
                    <w14:schemeClr w14:val="tx1"/>
                  </w14:solidFill>
                </w14:textFill>
              </w:rPr>
            </w:pPr>
          </w:p>
        </w:tc>
        <w:tc>
          <w:tcPr>
            <w:tcW w:w="768" w:type="pct"/>
            <w:tcBorders>
              <w:tl2br w:val="nil"/>
              <w:tr2bl w:val="nil"/>
            </w:tcBorders>
            <w:vAlign w:val="center"/>
          </w:tcPr>
          <w:p w14:paraId="50BC6FFA">
            <w:pPr>
              <w:pStyle w:val="14"/>
              <w:rPr>
                <w:rFonts w:hint="eastAsia" w:ascii="宋体" w:hAnsi="宋体" w:eastAsia="宋体" w:cs="宋体"/>
                <w:color w:val="000000" w:themeColor="text1"/>
                <w:kern w:val="21"/>
                <w:sz w:val="21"/>
                <w:szCs w:val="21"/>
                <w:highlight w:val="none"/>
                <w:lang w:eastAsia="zh-CN"/>
                <w14:textFill>
                  <w14:solidFill>
                    <w14:schemeClr w14:val="tx1"/>
                  </w14:solidFill>
                </w14:textFill>
              </w:rPr>
            </w:pPr>
          </w:p>
          <w:p w14:paraId="66B4BFA2">
            <w:pPr>
              <w:rPr>
                <w:rFonts w:hint="eastAsia" w:ascii="宋体" w:hAnsi="宋体" w:eastAsia="宋体" w:cs="宋体"/>
                <w:color w:val="000000" w:themeColor="text1"/>
                <w:sz w:val="21"/>
                <w:szCs w:val="21"/>
                <w:lang w:eastAsia="zh-CN"/>
                <w14:textFill>
                  <w14:solidFill>
                    <w14:schemeClr w14:val="tx1"/>
                  </w14:solidFill>
                </w14:textFill>
              </w:rPr>
            </w:pPr>
          </w:p>
          <w:p w14:paraId="56D60205">
            <w:pPr>
              <w:pStyle w:val="11"/>
              <w:rPr>
                <w:rFonts w:hint="eastAsia" w:ascii="宋体" w:hAnsi="宋体" w:eastAsia="宋体" w:cs="宋体"/>
                <w:color w:val="000000" w:themeColor="text1"/>
                <w:sz w:val="21"/>
                <w:szCs w:val="21"/>
                <w:lang w:eastAsia="zh-CN"/>
                <w14:textFill>
                  <w14:solidFill>
                    <w14:schemeClr w14:val="tx1"/>
                  </w14:solidFill>
                </w14:textFill>
              </w:rPr>
            </w:pPr>
          </w:p>
          <w:p w14:paraId="73D2A6DF">
            <w:pPr>
              <w:wordWrap w:val="0"/>
              <w:topLinePunct/>
              <w:spacing w:line="240" w:lineRule="auto"/>
              <w:jc w:val="both"/>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拆解切割粉尘：有组织排放：集气收集＋布袋除尘</w:t>
            </w:r>
          </w:p>
        </w:tc>
        <w:tc>
          <w:tcPr>
            <w:tcW w:w="1353" w:type="pct"/>
            <w:tcBorders>
              <w:tl2br w:val="nil"/>
              <w:tr2bl w:val="nil"/>
            </w:tcBorders>
            <w:vAlign w:val="center"/>
          </w:tcPr>
          <w:p w14:paraId="7B3C50A4">
            <w:pPr>
              <w:wordWrap w:val="0"/>
              <w:topLinePunct/>
              <w:spacing w:line="240" w:lineRule="auto"/>
              <w:jc w:val="both"/>
              <w:rPr>
                <w:rFonts w:hint="eastAsia" w:ascii="宋体" w:hAnsi="宋体" w:eastAsia="宋体" w:cs="宋体"/>
                <w:color w:val="000000" w:themeColor="text1"/>
                <w:kern w:val="21"/>
                <w:sz w:val="21"/>
                <w:szCs w:val="21"/>
                <w:highlight w:val="none"/>
                <w:lang w:eastAsia="zh-CN"/>
                <w14:textFill>
                  <w14:solidFill>
                    <w14:schemeClr w14:val="tx1"/>
                  </w14:solidFill>
                </w14:textFill>
              </w:rPr>
            </w:pPr>
            <w:r>
              <w:rPr>
                <w:rFonts w:hint="eastAsia" w:ascii="宋体" w:hAnsi="宋体" w:eastAsia="宋体" w:cs="宋体"/>
                <w:color w:val="000000" w:themeColor="text1"/>
                <w:kern w:val="21"/>
                <w:sz w:val="21"/>
                <w:szCs w:val="21"/>
                <w:highlight w:val="none"/>
                <w:lang w:eastAsia="zh-CN"/>
                <w14:textFill>
                  <w14:solidFill>
                    <w14:schemeClr w14:val="tx1"/>
                  </w14:solidFill>
                </w14:textFill>
              </w:rPr>
              <w:t>由于汽车拆解过程中待切割件较大，采用移动式切割设备，无法实现车间内固定地点切割，因此车间无法实施有组织排放，根据</w:t>
            </w:r>
            <w: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t>&lt;大气污染物综合排放标准&gt;(ＧＢ16297－1996）中7.5新污染源的无组织排放应从严控制，一般情况不应无组织排放存在，无法避免的无组织排放应达到表2规定的标准值．故企业对每台切割机采用布袋除尘器，使无组织排放达到最小化。</w:t>
            </w:r>
          </w:p>
        </w:tc>
        <w:tc>
          <w:tcPr>
            <w:tcW w:w="1101" w:type="pct"/>
            <w:tcBorders>
              <w:tl2br w:val="nil"/>
              <w:tr2bl w:val="nil"/>
            </w:tcBorders>
            <w:vAlign w:val="center"/>
          </w:tcPr>
          <w:p w14:paraId="2F6A7A2F">
            <w:pPr>
              <w:wordWrap w:val="0"/>
              <w:topLinePunct/>
              <w:spacing w:line="240" w:lineRule="auto"/>
              <w:jc w:val="both"/>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1"/>
                <w:sz w:val="21"/>
                <w:szCs w:val="21"/>
                <w:highlight w:val="none"/>
                <w:lang w:val="en-US" w:eastAsia="zh-CN"/>
                <w14:textFill>
                  <w14:solidFill>
                    <w14:schemeClr w14:val="tx1"/>
                  </w14:solidFill>
                </w14:textFill>
              </w:rPr>
              <w:t>治理措施与排污许可规范一致，虽未采取有组织排放，但类比国内，同类汽车拆解企业，均采用此方法，均未造成环境影响。</w:t>
            </w:r>
          </w:p>
        </w:tc>
      </w:tr>
    </w:tbl>
    <w:p w14:paraId="4F6C7F2A">
      <w:pPr>
        <w:pStyle w:val="37"/>
        <w:ind w:firstLine="480"/>
        <w:jc w:val="both"/>
        <w:rPr>
          <w:rFonts w:hint="eastAsia" w:ascii="宋体" w:hAnsi="宋体" w:eastAsia="宋体" w:cs="宋体"/>
          <w:b w:val="0"/>
          <w:color w:val="000000" w:themeColor="text1"/>
          <w14:textFill>
            <w14:solidFill>
              <w14:schemeClr w14:val="tx1"/>
            </w14:solidFill>
          </w14:textFill>
        </w:rPr>
      </w:pPr>
    </w:p>
    <w:p w14:paraId="1F470A0B">
      <w:pPr>
        <w:pStyle w:val="37"/>
        <w:ind w:firstLine="480"/>
        <w:jc w:val="both"/>
        <w:rPr>
          <w:rFonts w:hint="eastAsia" w:ascii="宋体" w:hAnsi="宋体" w:eastAsia="宋体" w:cs="宋体"/>
          <w:color w:val="000000" w:themeColor="text1"/>
          <w14:textFill>
            <w14:solidFill>
              <w14:schemeClr w14:val="tx1"/>
            </w14:solidFill>
          </w14:textFill>
        </w:rPr>
      </w:pPr>
      <w:r>
        <w:rPr>
          <w:rFonts w:hint="eastAsia" w:ascii="宋体" w:hAnsi="宋体" w:cs="宋体"/>
          <w:b w:val="0"/>
          <w:color w:val="000000" w:themeColor="text1"/>
          <w:lang w:eastAsia="zh-CN"/>
          <w14:textFill>
            <w14:solidFill>
              <w14:schemeClr w14:val="tx1"/>
            </w14:solidFill>
          </w14:textFill>
        </w:rPr>
        <w:t>综上分析，本项目废气污染防治措施</w:t>
      </w:r>
      <w:r>
        <w:rPr>
          <w:rFonts w:hint="eastAsia" w:ascii="宋体" w:hAnsi="宋体" w:cs="宋体"/>
          <w:b w:val="0"/>
          <w:color w:val="000000" w:themeColor="text1"/>
          <w:lang w:val="en-US" w:eastAsia="zh-CN"/>
          <w14:textFill>
            <w14:solidFill>
              <w14:schemeClr w14:val="tx1"/>
            </w14:solidFill>
          </w14:textFill>
        </w:rPr>
        <w:t>符</w:t>
      </w:r>
      <w:r>
        <w:rPr>
          <w:rFonts w:hint="eastAsia" w:ascii="宋体" w:hAnsi="宋体" w:cs="宋体"/>
          <w:b w:val="0"/>
          <w:color w:val="000000" w:themeColor="text1"/>
          <w:lang w:eastAsia="zh-CN"/>
          <w14:textFill>
            <w14:solidFill>
              <w14:schemeClr w14:val="tx1"/>
            </w14:solidFill>
          </w14:textFill>
        </w:rPr>
        <w:t>可行</w:t>
      </w:r>
      <w:r>
        <w:rPr>
          <w:rFonts w:hint="eastAsia" w:ascii="宋体" w:hAnsi="宋体" w:eastAsia="宋体" w:cs="宋体"/>
          <w:color w:val="000000" w:themeColor="text1"/>
          <w14:textFill>
            <w14:solidFill>
              <w14:schemeClr w14:val="tx1"/>
            </w14:solidFill>
          </w14:textFill>
        </w:rPr>
        <w:t>。</w:t>
      </w:r>
    </w:p>
    <w:p w14:paraId="2AD298FD">
      <w:pPr>
        <w:pStyle w:val="37"/>
        <w:ind w:firstLine="480"/>
        <w:jc w:val="both"/>
        <w:rPr>
          <w:rFonts w:hint="eastAsia" w:ascii="宋体" w:hAnsi="宋体" w:eastAsia="宋体" w:cs="宋体"/>
          <w:color w:val="000000" w:themeColor="text1"/>
          <w14:textFill>
            <w14:solidFill>
              <w14:schemeClr w14:val="tx1"/>
            </w14:solidFill>
          </w14:textFill>
        </w:rPr>
      </w:pPr>
    </w:p>
    <w:p w14:paraId="20EAA44B">
      <w:pPr>
        <w:rPr>
          <w:rFonts w:ascii="宋体" w:hAnsi="宋体" w:eastAsia="宋体" w:cs="宋体"/>
          <w:b/>
          <w:bCs/>
          <w:color w:val="000000" w:themeColor="text1"/>
          <w:spacing w:val="-5"/>
          <w:sz w:val="24"/>
          <w:szCs w:val="24"/>
          <w:u w:val="none" w:color="auto"/>
          <w14:textFill>
            <w14:solidFill>
              <w14:schemeClr w14:val="tx1"/>
            </w14:solidFill>
          </w14:textFill>
        </w:rPr>
      </w:pPr>
      <w:r>
        <w:rPr>
          <w:rFonts w:ascii="宋体" w:hAnsi="宋体" w:eastAsia="宋体" w:cs="宋体"/>
          <w:b/>
          <w:bCs/>
          <w:color w:val="000000" w:themeColor="text1"/>
          <w:spacing w:val="-5"/>
          <w:sz w:val="24"/>
          <w:szCs w:val="24"/>
          <w:u w:val="none" w:color="auto"/>
          <w14:textFill>
            <w14:solidFill>
              <w14:schemeClr w14:val="tx1"/>
            </w14:solidFill>
          </w14:textFill>
        </w:rPr>
        <w:br w:type="page"/>
      </w:r>
    </w:p>
    <w:p w14:paraId="2E1DFE0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bCs/>
          <w:color w:val="000000" w:themeColor="text1"/>
          <w:spacing w:val="-5"/>
          <w:sz w:val="24"/>
          <w:szCs w:val="24"/>
          <w:u w:val="none" w:color="auto"/>
          <w14:textFill>
            <w14:solidFill>
              <w14:schemeClr w14:val="tx1"/>
            </w14:solidFill>
          </w14:textFill>
        </w:rPr>
      </w:pPr>
      <w:r>
        <w:rPr>
          <w:rFonts w:hint="eastAsia" w:ascii="宋体" w:hAnsi="宋体" w:cs="宋体"/>
          <w:b/>
          <w:bCs/>
          <w:color w:val="000000" w:themeColor="text1"/>
          <w:spacing w:val="-5"/>
          <w:sz w:val="24"/>
          <w:szCs w:val="24"/>
          <w:u w:val="none" w:color="auto"/>
          <w:lang w:val="en-US" w:eastAsia="zh-CN"/>
          <w14:textFill>
            <w14:solidFill>
              <w14:schemeClr w14:val="tx1"/>
            </w14:solidFill>
          </w14:textFill>
        </w:rPr>
        <w:t>8.</w:t>
      </w:r>
      <w:r>
        <w:rPr>
          <w:rFonts w:ascii="宋体" w:hAnsi="宋体" w:eastAsia="宋体" w:cs="宋体"/>
          <w:b/>
          <w:bCs/>
          <w:color w:val="000000" w:themeColor="text1"/>
          <w:spacing w:val="-5"/>
          <w:sz w:val="24"/>
          <w:szCs w:val="24"/>
          <w:u w:val="none" w:color="auto"/>
          <w14:textFill>
            <w14:solidFill>
              <w14:schemeClr w14:val="tx1"/>
            </w14:solidFill>
          </w14:textFill>
        </w:rPr>
        <w:t>环境监测计划</w:t>
      </w:r>
    </w:p>
    <w:p w14:paraId="0F4D7BD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ascii="宋体" w:hAnsi="宋体" w:eastAsia="宋体" w:cs="宋体"/>
          <w:color w:val="000000" w:themeColor="text1"/>
          <w:sz w:val="24"/>
          <w:szCs w:val="24"/>
          <w:u w:val="none" w:color="auto"/>
          <w14:textFill>
            <w14:solidFill>
              <w14:schemeClr w14:val="tx1"/>
            </w14:solidFill>
          </w14:textFill>
        </w:rPr>
      </w:pPr>
      <w:r>
        <w:rPr>
          <w:rFonts w:ascii="宋体" w:hAnsi="宋体" w:eastAsia="宋体" w:cs="宋体"/>
          <w:color w:val="000000" w:themeColor="text1"/>
          <w:spacing w:val="3"/>
          <w:sz w:val="24"/>
          <w:szCs w:val="24"/>
          <w:u w:val="none" w:color="auto"/>
          <w14:textFill>
            <w14:solidFill>
              <w14:schemeClr w14:val="tx1"/>
            </w14:solidFill>
          </w14:textFill>
        </w:rPr>
        <w:t>根据</w:t>
      </w:r>
      <w:r>
        <w:rPr>
          <w:rFonts w:ascii="宋体" w:hAnsi="宋体" w:eastAsia="宋体" w:cs="宋体"/>
          <w:color w:val="000000" w:themeColor="text1"/>
          <w:spacing w:val="-51"/>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z w:val="24"/>
          <w:szCs w:val="24"/>
          <w:u w:val="none" w:color="auto"/>
          <w14:textFill>
            <w14:solidFill>
              <w14:schemeClr w14:val="tx1"/>
            </w14:solidFill>
          </w14:textFill>
        </w:rPr>
        <w:t>HJ</w:t>
      </w:r>
      <w:r>
        <w:rPr>
          <w:rFonts w:ascii="Times New Roman" w:hAnsi="Times New Roman" w:eastAsia="Times New Roman" w:cs="Times New Roman"/>
          <w:color w:val="000000" w:themeColor="text1"/>
          <w:spacing w:val="3"/>
          <w:sz w:val="24"/>
          <w:szCs w:val="24"/>
          <w:u w:val="none" w:color="auto"/>
          <w14:textFill>
            <w14:solidFill>
              <w14:schemeClr w14:val="tx1"/>
            </w14:solidFill>
          </w14:textFill>
        </w:rPr>
        <w:t>1034—2019</w:t>
      </w:r>
      <w:r>
        <w:rPr>
          <w:rFonts w:ascii="宋体" w:hAnsi="宋体" w:eastAsia="宋体" w:cs="宋体"/>
          <w:color w:val="000000" w:themeColor="text1"/>
          <w:spacing w:val="2"/>
          <w:sz w:val="24"/>
          <w:szCs w:val="24"/>
          <w:u w:val="none" w:color="auto"/>
          <w14:textFill>
            <w14:solidFill>
              <w14:schemeClr w14:val="tx1"/>
            </w14:solidFill>
          </w14:textFill>
        </w:rPr>
        <w:t>《排污许可证申请与核发技术规范 废弃资源加工工业》、</w:t>
      </w:r>
      <w:r>
        <w:rPr>
          <w:rFonts w:ascii="宋体" w:hAnsi="宋体" w:eastAsia="宋体" w:cs="宋体"/>
          <w:color w:val="000000" w:themeColor="text1"/>
          <w:spacing w:val="-2"/>
          <w:sz w:val="24"/>
          <w:szCs w:val="24"/>
          <w:u w:val="none" w:color="auto"/>
          <w14:textFill>
            <w14:solidFill>
              <w14:schemeClr w14:val="tx1"/>
            </w14:solidFill>
          </w14:textFill>
        </w:rPr>
        <w:t>本项目污染源自行监测计划详见</w:t>
      </w:r>
      <w:r>
        <w:rPr>
          <w:rFonts w:hint="eastAsia" w:ascii="宋体" w:hAnsi="宋体" w:eastAsia="宋体" w:cs="宋体"/>
          <w:color w:val="000000" w:themeColor="text1"/>
          <w:spacing w:val="-2"/>
          <w:sz w:val="24"/>
          <w:szCs w:val="24"/>
          <w:u w:val="none" w:color="auto"/>
          <w:lang w:val="en-US" w:eastAsia="zh-CN"/>
          <w14:textFill>
            <w14:solidFill>
              <w14:schemeClr w14:val="tx1"/>
            </w14:solidFill>
          </w14:textFill>
        </w:rPr>
        <w:t>下表</w:t>
      </w:r>
      <w:r>
        <w:rPr>
          <w:rFonts w:ascii="宋体" w:hAnsi="宋体" w:eastAsia="宋体" w:cs="宋体"/>
          <w:color w:val="000000" w:themeColor="text1"/>
          <w:spacing w:val="-2"/>
          <w:sz w:val="24"/>
          <w:szCs w:val="24"/>
          <w:u w:val="none" w:color="auto"/>
          <w14:textFill>
            <w14:solidFill>
              <w14:schemeClr w14:val="tx1"/>
            </w14:solidFill>
          </w14:textFill>
        </w:rPr>
        <w:t>。</w:t>
      </w:r>
    </w:p>
    <w:p w14:paraId="63EC1358">
      <w:pPr>
        <w:spacing w:line="220" w:lineRule="auto"/>
        <w:ind w:left="3482"/>
        <w:rPr>
          <w:color w:val="000000" w:themeColor="text1"/>
          <w:u w:val="none" w:color="auto"/>
          <w14:textFill>
            <w14:solidFill>
              <w14:schemeClr w14:val="tx1"/>
            </w14:solidFill>
          </w14:textFill>
        </w:rPr>
      </w:pPr>
      <w:r>
        <w:rPr>
          <w:rFonts w:hint="eastAsia" w:ascii="宋体" w:hAnsi="宋体" w:eastAsia="宋体" w:cs="宋体"/>
          <w:b/>
          <w:bCs/>
          <w:color w:val="000000" w:themeColor="text1"/>
          <w:spacing w:val="-3"/>
          <w:sz w:val="21"/>
          <w:szCs w:val="21"/>
          <w:u w:val="none" w:color="auto"/>
          <w14:textFill>
            <w14:solidFill>
              <w14:schemeClr w14:val="tx1"/>
            </w14:solidFill>
          </w14:textFill>
        </w:rPr>
        <w:t>表</w:t>
      </w:r>
      <w:r>
        <w:rPr>
          <w:rFonts w:hint="eastAsia" w:ascii="宋体" w:hAnsi="宋体" w:cs="宋体"/>
          <w:b/>
          <w:bCs/>
          <w:color w:val="000000" w:themeColor="text1"/>
          <w:spacing w:val="-3"/>
          <w:sz w:val="21"/>
          <w:szCs w:val="21"/>
          <w:u w:val="none" w:color="auto"/>
          <w:lang w:val="en-US" w:eastAsia="zh-CN"/>
          <w14:textFill>
            <w14:solidFill>
              <w14:schemeClr w14:val="tx1"/>
            </w14:solidFill>
          </w14:textFill>
        </w:rPr>
        <w:t>8-1</w:t>
      </w:r>
      <w:r>
        <w:rPr>
          <w:rFonts w:hint="eastAsia" w:ascii="宋体" w:hAnsi="宋体" w:eastAsia="宋体" w:cs="宋体"/>
          <w:b/>
          <w:bCs/>
          <w:color w:val="000000" w:themeColor="text1"/>
          <w:spacing w:val="-3"/>
          <w:sz w:val="21"/>
          <w:szCs w:val="21"/>
          <w:u w:val="none" w:color="auto"/>
          <w14:textFill>
            <w14:solidFill>
              <w14:schemeClr w14:val="tx1"/>
            </w14:solidFill>
          </w14:textFill>
        </w:rPr>
        <w:t xml:space="preserve"> </w:t>
      </w:r>
      <w:r>
        <w:rPr>
          <w:rFonts w:hint="eastAsia" w:ascii="宋体" w:hAnsi="宋体" w:eastAsia="宋体" w:cs="宋体"/>
          <w:b/>
          <w:bCs/>
          <w:color w:val="000000" w:themeColor="text1"/>
          <w:spacing w:val="-3"/>
          <w:sz w:val="21"/>
          <w:szCs w:val="21"/>
          <w:u w:val="none" w:color="auto"/>
          <w:lang w:val="en-US" w:eastAsia="zh-CN"/>
          <w14:textFill>
            <w14:solidFill>
              <w14:schemeClr w14:val="tx1"/>
            </w14:solidFill>
          </w14:textFill>
        </w:rPr>
        <w:t xml:space="preserve">    </w:t>
      </w:r>
      <w:r>
        <w:rPr>
          <w:rFonts w:hint="eastAsia" w:ascii="宋体" w:hAnsi="宋体" w:eastAsia="宋体" w:cs="宋体"/>
          <w:b/>
          <w:bCs/>
          <w:color w:val="000000" w:themeColor="text1"/>
          <w:spacing w:val="-3"/>
          <w:sz w:val="21"/>
          <w:szCs w:val="21"/>
          <w:u w:val="none" w:color="auto"/>
          <w14:textFill>
            <w14:solidFill>
              <w14:schemeClr w14:val="tx1"/>
            </w14:solidFill>
          </w14:textFill>
        </w:rPr>
        <w:t>废气监测要求</w:t>
      </w:r>
    </w:p>
    <w:tbl>
      <w:tblPr>
        <w:tblStyle w:val="108"/>
        <w:tblW w:w="90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0"/>
        <w:gridCol w:w="1742"/>
        <w:gridCol w:w="3273"/>
        <w:gridCol w:w="1981"/>
      </w:tblGrid>
      <w:tr w14:paraId="6EAA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2060" w:type="dxa"/>
            <w:tcBorders>
              <w:top w:val="single" w:color="000000" w:sz="10" w:space="0"/>
              <w:left w:val="nil"/>
            </w:tcBorders>
            <w:vAlign w:val="center"/>
          </w:tcPr>
          <w:p w14:paraId="549D6E36">
            <w:pPr>
              <w:pStyle w:val="119"/>
              <w:spacing w:before="35" w:line="216"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7"/>
                <w:sz w:val="21"/>
                <w:szCs w:val="21"/>
                <w:u w:val="none" w:color="auto"/>
                <w14:textFill>
                  <w14:solidFill>
                    <w14:schemeClr w14:val="tx1"/>
                  </w14:solidFill>
                </w14:textFill>
              </w:rPr>
              <w:t>监测项目</w:t>
            </w:r>
          </w:p>
        </w:tc>
        <w:tc>
          <w:tcPr>
            <w:tcW w:w="1742" w:type="dxa"/>
            <w:tcBorders>
              <w:top w:val="single" w:color="000000" w:sz="10" w:space="0"/>
            </w:tcBorders>
            <w:vAlign w:val="center"/>
          </w:tcPr>
          <w:p w14:paraId="0B55698C">
            <w:pPr>
              <w:pStyle w:val="119"/>
              <w:spacing w:before="35" w:line="216"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7"/>
                <w:sz w:val="21"/>
                <w:szCs w:val="21"/>
                <w:u w:val="none" w:color="auto"/>
                <w14:textFill>
                  <w14:solidFill>
                    <w14:schemeClr w14:val="tx1"/>
                  </w14:solidFill>
                </w14:textFill>
              </w:rPr>
              <w:t>监测因子</w:t>
            </w:r>
          </w:p>
        </w:tc>
        <w:tc>
          <w:tcPr>
            <w:tcW w:w="3273" w:type="dxa"/>
            <w:tcBorders>
              <w:top w:val="single" w:color="000000" w:sz="10" w:space="0"/>
            </w:tcBorders>
            <w:vAlign w:val="center"/>
          </w:tcPr>
          <w:p w14:paraId="66F67421">
            <w:pPr>
              <w:pStyle w:val="119"/>
              <w:spacing w:before="35" w:line="216"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7"/>
                <w:sz w:val="21"/>
                <w:szCs w:val="21"/>
                <w:u w:val="none" w:color="auto"/>
                <w14:textFill>
                  <w14:solidFill>
                    <w14:schemeClr w14:val="tx1"/>
                  </w14:solidFill>
                </w14:textFill>
              </w:rPr>
              <w:t>监测点位</w:t>
            </w:r>
          </w:p>
        </w:tc>
        <w:tc>
          <w:tcPr>
            <w:tcW w:w="1981" w:type="dxa"/>
            <w:tcBorders>
              <w:top w:val="single" w:color="000000" w:sz="10" w:space="0"/>
              <w:right w:val="nil"/>
            </w:tcBorders>
            <w:vAlign w:val="center"/>
          </w:tcPr>
          <w:p w14:paraId="4F494F37">
            <w:pPr>
              <w:pStyle w:val="119"/>
              <w:spacing w:before="35" w:line="216"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7"/>
                <w:sz w:val="21"/>
                <w:szCs w:val="21"/>
                <w:u w:val="none" w:color="auto"/>
                <w14:textFill>
                  <w14:solidFill>
                    <w14:schemeClr w14:val="tx1"/>
                  </w14:solidFill>
                </w14:textFill>
              </w:rPr>
              <w:t>监测频次</w:t>
            </w:r>
          </w:p>
        </w:tc>
      </w:tr>
      <w:tr w14:paraId="2D802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2060" w:type="dxa"/>
            <w:tcBorders>
              <w:left w:val="nil"/>
            </w:tcBorders>
            <w:vAlign w:val="center"/>
          </w:tcPr>
          <w:p w14:paraId="0B0555D0">
            <w:pPr>
              <w:pStyle w:val="119"/>
              <w:spacing w:before="168" w:line="228"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5"/>
                <w:sz w:val="21"/>
                <w:szCs w:val="21"/>
                <w:u w:val="none" w:color="auto"/>
                <w:lang w:val="en-US" w:eastAsia="zh-CN"/>
                <w14:textFill>
                  <w14:solidFill>
                    <w14:schemeClr w14:val="tx1"/>
                  </w14:solidFill>
                </w14:textFill>
              </w:rPr>
              <w:t>预处理车间</w:t>
            </w:r>
            <w:r>
              <w:rPr>
                <w:rFonts w:hint="eastAsia" w:ascii="宋体" w:hAnsi="宋体" w:eastAsia="宋体" w:cs="宋体"/>
                <w:color w:val="000000" w:themeColor="text1"/>
                <w:spacing w:val="5"/>
                <w:sz w:val="21"/>
                <w:szCs w:val="21"/>
                <w:u w:val="none" w:color="auto"/>
                <w14:textFill>
                  <w14:solidFill>
                    <w14:schemeClr w14:val="tx1"/>
                  </w14:solidFill>
                </w14:textFill>
              </w:rPr>
              <w:t>1</w:t>
            </w:r>
          </w:p>
        </w:tc>
        <w:tc>
          <w:tcPr>
            <w:tcW w:w="1742" w:type="dxa"/>
            <w:vAlign w:val="center"/>
          </w:tcPr>
          <w:p w14:paraId="1B66F05F">
            <w:pPr>
              <w:pStyle w:val="119"/>
              <w:spacing w:before="34" w:line="231" w:lineRule="auto"/>
              <w:ind w:right="104"/>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5"/>
                <w:sz w:val="21"/>
                <w:szCs w:val="21"/>
                <w:u w:val="none" w:color="auto"/>
                <w14:textFill>
                  <w14:solidFill>
                    <w14:schemeClr w14:val="tx1"/>
                  </w14:solidFill>
                </w14:textFill>
              </w:rPr>
              <w:t>非甲烷总烃</w:t>
            </w:r>
          </w:p>
        </w:tc>
        <w:tc>
          <w:tcPr>
            <w:tcW w:w="3273" w:type="dxa"/>
            <w:vAlign w:val="center"/>
          </w:tcPr>
          <w:p w14:paraId="5DA05DBB">
            <w:pPr>
              <w:spacing w:before="207" w:line="195"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z w:val="21"/>
                <w:szCs w:val="21"/>
                <w:u w:val="none" w:color="auto"/>
                <w14:textFill>
                  <w14:solidFill>
                    <w14:schemeClr w14:val="tx1"/>
                  </w14:solidFill>
                </w14:textFill>
              </w:rPr>
              <w:t>DA</w:t>
            </w:r>
            <w:r>
              <w:rPr>
                <w:rFonts w:hint="eastAsia" w:ascii="宋体" w:hAnsi="宋体" w:eastAsia="宋体" w:cs="宋体"/>
                <w:color w:val="000000" w:themeColor="text1"/>
                <w:spacing w:val="8"/>
                <w:sz w:val="21"/>
                <w:szCs w:val="21"/>
                <w:u w:val="none" w:color="auto"/>
                <w14:textFill>
                  <w14:solidFill>
                    <w14:schemeClr w14:val="tx1"/>
                  </w14:solidFill>
                </w14:textFill>
              </w:rPr>
              <w:t>001</w:t>
            </w:r>
          </w:p>
        </w:tc>
        <w:tc>
          <w:tcPr>
            <w:tcW w:w="1981" w:type="dxa"/>
            <w:tcBorders>
              <w:right w:val="nil"/>
            </w:tcBorders>
            <w:vAlign w:val="center"/>
          </w:tcPr>
          <w:p w14:paraId="5B074A10">
            <w:pPr>
              <w:pStyle w:val="119"/>
              <w:spacing w:before="168" w:line="228"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2"/>
                <w:sz w:val="21"/>
                <w:szCs w:val="21"/>
                <w:u w:val="none" w:color="auto"/>
                <w14:textFill>
                  <w14:solidFill>
                    <w14:schemeClr w14:val="tx1"/>
                  </w14:solidFill>
                </w14:textFill>
              </w:rPr>
              <w:t>1年/次</w:t>
            </w:r>
          </w:p>
        </w:tc>
      </w:tr>
      <w:tr w14:paraId="2510A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2060" w:type="dxa"/>
            <w:vMerge w:val="restart"/>
            <w:tcBorders>
              <w:left w:val="nil"/>
              <w:bottom w:val="nil"/>
            </w:tcBorders>
            <w:vAlign w:val="center"/>
          </w:tcPr>
          <w:p w14:paraId="7A5F8219">
            <w:pPr>
              <w:pStyle w:val="119"/>
              <w:spacing w:before="65" w:line="228"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7"/>
                <w:sz w:val="21"/>
                <w:szCs w:val="21"/>
                <w:u w:val="none" w:color="auto"/>
                <w14:textFill>
                  <w14:solidFill>
                    <w14:schemeClr w14:val="tx1"/>
                  </w14:solidFill>
                </w14:textFill>
              </w:rPr>
              <w:t>无组织废气</w:t>
            </w:r>
          </w:p>
        </w:tc>
        <w:tc>
          <w:tcPr>
            <w:tcW w:w="1742" w:type="dxa"/>
            <w:vMerge w:val="restart"/>
            <w:tcBorders>
              <w:bottom w:val="nil"/>
            </w:tcBorders>
            <w:vAlign w:val="center"/>
          </w:tcPr>
          <w:p w14:paraId="478E95D6">
            <w:pPr>
              <w:pStyle w:val="119"/>
              <w:spacing w:before="65" w:line="228"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7"/>
                <w:sz w:val="21"/>
                <w:szCs w:val="21"/>
                <w:u w:val="none" w:color="auto"/>
                <w14:textFill>
                  <w14:solidFill>
                    <w14:schemeClr w14:val="tx1"/>
                  </w14:solidFill>
                </w14:textFill>
              </w:rPr>
              <w:t>非甲烷总烃</w:t>
            </w:r>
          </w:p>
        </w:tc>
        <w:tc>
          <w:tcPr>
            <w:tcW w:w="3273" w:type="dxa"/>
            <w:vAlign w:val="center"/>
          </w:tcPr>
          <w:p w14:paraId="0A906E25">
            <w:pPr>
              <w:pStyle w:val="119"/>
              <w:spacing w:before="25" w:line="219"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8"/>
                <w:sz w:val="21"/>
                <w:szCs w:val="21"/>
                <w:u w:val="none" w:color="auto"/>
                <w14:textFill>
                  <w14:solidFill>
                    <w14:schemeClr w14:val="tx1"/>
                  </w14:solidFill>
                </w14:textFill>
              </w:rPr>
              <w:t>厂界外</w:t>
            </w:r>
          </w:p>
        </w:tc>
        <w:tc>
          <w:tcPr>
            <w:tcW w:w="1981" w:type="dxa"/>
            <w:vMerge w:val="restart"/>
            <w:tcBorders>
              <w:bottom w:val="nil"/>
              <w:right w:val="nil"/>
            </w:tcBorders>
            <w:vAlign w:val="center"/>
          </w:tcPr>
          <w:p w14:paraId="34FE4D9E">
            <w:pPr>
              <w:pStyle w:val="119"/>
              <w:spacing w:before="65" w:line="228" w:lineRule="auto"/>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2"/>
                <w:sz w:val="21"/>
                <w:szCs w:val="21"/>
                <w:u w:val="none" w:color="auto"/>
                <w14:textFill>
                  <w14:solidFill>
                    <w14:schemeClr w14:val="tx1"/>
                  </w14:solidFill>
                </w14:textFill>
              </w:rPr>
              <w:t>1年/次</w:t>
            </w:r>
          </w:p>
        </w:tc>
      </w:tr>
      <w:tr w14:paraId="5C91F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2060" w:type="dxa"/>
            <w:vMerge w:val="continue"/>
            <w:tcBorders>
              <w:top w:val="nil"/>
              <w:left w:val="nil"/>
              <w:bottom w:val="nil"/>
            </w:tcBorders>
            <w:vAlign w:val="center"/>
          </w:tcPr>
          <w:p w14:paraId="49D828F9">
            <w:pPr>
              <w:jc w:val="center"/>
              <w:rPr>
                <w:rFonts w:hint="eastAsia" w:ascii="宋体" w:hAnsi="宋体" w:eastAsia="宋体" w:cs="宋体"/>
                <w:color w:val="000000" w:themeColor="text1"/>
                <w:sz w:val="21"/>
                <w:szCs w:val="21"/>
                <w:u w:val="none" w:color="auto"/>
                <w14:textFill>
                  <w14:solidFill>
                    <w14:schemeClr w14:val="tx1"/>
                  </w14:solidFill>
                </w14:textFill>
              </w:rPr>
            </w:pPr>
          </w:p>
        </w:tc>
        <w:tc>
          <w:tcPr>
            <w:tcW w:w="1742" w:type="dxa"/>
            <w:vMerge w:val="continue"/>
            <w:tcBorders>
              <w:top w:val="nil"/>
            </w:tcBorders>
            <w:vAlign w:val="center"/>
          </w:tcPr>
          <w:p w14:paraId="1AEAF8C5">
            <w:pPr>
              <w:jc w:val="center"/>
              <w:rPr>
                <w:rFonts w:hint="eastAsia" w:ascii="宋体" w:hAnsi="宋体" w:eastAsia="宋体" w:cs="宋体"/>
                <w:color w:val="000000" w:themeColor="text1"/>
                <w:sz w:val="21"/>
                <w:szCs w:val="21"/>
                <w:u w:val="none" w:color="auto"/>
                <w14:textFill>
                  <w14:solidFill>
                    <w14:schemeClr w14:val="tx1"/>
                  </w14:solidFill>
                </w14:textFill>
              </w:rPr>
            </w:pPr>
          </w:p>
        </w:tc>
        <w:tc>
          <w:tcPr>
            <w:tcW w:w="3273" w:type="dxa"/>
            <w:vAlign w:val="center"/>
          </w:tcPr>
          <w:p w14:paraId="1DAD81B3">
            <w:pPr>
              <w:pStyle w:val="119"/>
              <w:spacing w:before="50" w:line="198" w:lineRule="auto"/>
              <w:jc w:val="center"/>
              <w:rPr>
                <w:rFonts w:hint="eastAsia"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eastAsia="宋体" w:cs="宋体"/>
                <w:color w:val="000000" w:themeColor="text1"/>
                <w:spacing w:val="6"/>
                <w:sz w:val="21"/>
                <w:szCs w:val="21"/>
                <w:u w:val="none" w:color="auto"/>
                <w14:textFill>
                  <w14:solidFill>
                    <w14:schemeClr w14:val="tx1"/>
                  </w14:solidFill>
                </w14:textFill>
              </w:rPr>
              <w:t>厂</w:t>
            </w:r>
            <w:r>
              <w:rPr>
                <w:rFonts w:hint="eastAsia" w:ascii="宋体" w:hAnsi="宋体" w:eastAsia="宋体" w:cs="宋体"/>
                <w:color w:val="000000" w:themeColor="text1"/>
                <w:spacing w:val="6"/>
                <w:sz w:val="21"/>
                <w:szCs w:val="21"/>
                <w:u w:val="none" w:color="auto"/>
                <w:lang w:val="en-US" w:eastAsia="zh-CN"/>
                <w14:textFill>
                  <w14:solidFill>
                    <w14:schemeClr w14:val="tx1"/>
                  </w14:solidFill>
                </w14:textFill>
              </w:rPr>
              <w:t>房外</w:t>
            </w:r>
          </w:p>
        </w:tc>
        <w:tc>
          <w:tcPr>
            <w:tcW w:w="1981" w:type="dxa"/>
            <w:vMerge w:val="continue"/>
            <w:tcBorders>
              <w:top w:val="nil"/>
              <w:right w:val="nil"/>
            </w:tcBorders>
            <w:vAlign w:val="center"/>
          </w:tcPr>
          <w:p w14:paraId="0B7F18AD">
            <w:pPr>
              <w:jc w:val="center"/>
              <w:rPr>
                <w:rFonts w:hint="eastAsia" w:ascii="宋体" w:hAnsi="宋体" w:eastAsia="宋体" w:cs="宋体"/>
                <w:color w:val="000000" w:themeColor="text1"/>
                <w:sz w:val="21"/>
                <w:szCs w:val="21"/>
                <w:u w:val="none" w:color="auto"/>
                <w14:textFill>
                  <w14:solidFill>
                    <w14:schemeClr w14:val="tx1"/>
                  </w14:solidFill>
                </w14:textFill>
              </w:rPr>
            </w:pPr>
          </w:p>
        </w:tc>
      </w:tr>
      <w:tr w14:paraId="6E236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060" w:type="dxa"/>
            <w:vMerge w:val="continue"/>
            <w:tcBorders>
              <w:top w:val="nil"/>
              <w:left w:val="nil"/>
              <w:bottom w:val="single" w:color="000000" w:sz="10" w:space="0"/>
            </w:tcBorders>
            <w:vAlign w:val="center"/>
          </w:tcPr>
          <w:p w14:paraId="32F80329">
            <w:pPr>
              <w:jc w:val="center"/>
              <w:rPr>
                <w:rFonts w:hint="eastAsia" w:ascii="宋体" w:hAnsi="宋体" w:eastAsia="宋体" w:cs="宋体"/>
                <w:color w:val="000000" w:themeColor="text1"/>
                <w:sz w:val="21"/>
                <w:szCs w:val="21"/>
                <w:u w:val="none" w:color="auto"/>
                <w14:textFill>
                  <w14:solidFill>
                    <w14:schemeClr w14:val="tx1"/>
                  </w14:solidFill>
                </w14:textFill>
              </w:rPr>
            </w:pPr>
          </w:p>
        </w:tc>
        <w:tc>
          <w:tcPr>
            <w:tcW w:w="1742" w:type="dxa"/>
            <w:tcBorders>
              <w:bottom w:val="single" w:color="000000" w:sz="10" w:space="0"/>
            </w:tcBorders>
            <w:vAlign w:val="center"/>
          </w:tcPr>
          <w:p w14:paraId="34546AAC">
            <w:pPr>
              <w:pStyle w:val="119"/>
              <w:spacing w:before="52" w:line="234" w:lineRule="auto"/>
              <w:ind w:right="106"/>
              <w:jc w:val="center"/>
              <w:rPr>
                <w:rFonts w:hint="eastAsia" w:ascii="宋体" w:hAnsi="宋体" w:eastAsia="宋体" w:cs="宋体"/>
                <w:color w:val="000000" w:themeColor="text1"/>
                <w:sz w:val="21"/>
                <w:szCs w:val="21"/>
                <w:u w:val="none" w:color="auto"/>
                <w:lang w:val="en-US" w:eastAsia="zh-CN"/>
                <w14:textFill>
                  <w14:solidFill>
                    <w14:schemeClr w14:val="tx1"/>
                  </w14:solidFill>
                </w14:textFill>
              </w:rPr>
            </w:pPr>
            <w:r>
              <w:rPr>
                <w:rFonts w:hint="eastAsia" w:ascii="宋体" w:hAnsi="宋体" w:eastAsia="宋体" w:cs="宋体"/>
                <w:color w:val="000000" w:themeColor="text1"/>
                <w:sz w:val="21"/>
                <w:szCs w:val="21"/>
                <w:u w:val="none" w:color="auto"/>
                <w:lang w:val="en-US" w:eastAsia="zh-CN"/>
                <w14:textFill>
                  <w14:solidFill>
                    <w14:schemeClr w14:val="tx1"/>
                  </w14:solidFill>
                </w14:textFill>
              </w:rPr>
              <w:t>颗粒物</w:t>
            </w:r>
          </w:p>
        </w:tc>
        <w:tc>
          <w:tcPr>
            <w:tcW w:w="3273" w:type="dxa"/>
            <w:tcBorders>
              <w:bottom w:val="single" w:color="000000" w:sz="10" w:space="0"/>
            </w:tcBorders>
            <w:vAlign w:val="center"/>
          </w:tcPr>
          <w:p w14:paraId="5F97F00A">
            <w:pPr>
              <w:pStyle w:val="119"/>
              <w:spacing w:before="51" w:line="228" w:lineRule="auto"/>
              <w:ind w:left="146"/>
              <w:jc w:val="center"/>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8"/>
                <w:sz w:val="21"/>
                <w:szCs w:val="21"/>
                <w:u w:val="none" w:color="auto"/>
                <w14:textFill>
                  <w14:solidFill>
                    <w14:schemeClr w14:val="tx1"/>
                  </w14:solidFill>
                </w14:textFill>
              </w:rPr>
              <w:t>厂界外</w:t>
            </w:r>
          </w:p>
        </w:tc>
        <w:tc>
          <w:tcPr>
            <w:tcW w:w="1981" w:type="dxa"/>
            <w:tcBorders>
              <w:bottom w:val="single" w:color="000000" w:sz="10" w:space="0"/>
              <w:right w:val="nil"/>
            </w:tcBorders>
            <w:vAlign w:val="center"/>
          </w:tcPr>
          <w:p w14:paraId="54196D5A">
            <w:pPr>
              <w:pStyle w:val="119"/>
              <w:spacing w:before="187" w:line="228" w:lineRule="auto"/>
              <w:ind w:left="695"/>
              <w:jc w:val="both"/>
              <w:rPr>
                <w:rFonts w:hint="eastAsia" w:ascii="宋体" w:hAnsi="宋体" w:eastAsia="宋体" w:cs="宋体"/>
                <w:color w:val="000000" w:themeColor="text1"/>
                <w:sz w:val="21"/>
                <w:szCs w:val="21"/>
                <w:u w:val="none" w:color="auto"/>
                <w14:textFill>
                  <w14:solidFill>
                    <w14:schemeClr w14:val="tx1"/>
                  </w14:solidFill>
                </w14:textFill>
              </w:rPr>
            </w:pPr>
            <w:r>
              <w:rPr>
                <w:rFonts w:hint="eastAsia" w:ascii="宋体" w:hAnsi="宋体" w:eastAsia="宋体" w:cs="宋体"/>
                <w:color w:val="000000" w:themeColor="text1"/>
                <w:spacing w:val="-2"/>
                <w:sz w:val="21"/>
                <w:szCs w:val="21"/>
                <w:u w:val="none" w:color="auto"/>
                <w14:textFill>
                  <w14:solidFill>
                    <w14:schemeClr w14:val="tx1"/>
                  </w14:solidFill>
                </w14:textFill>
              </w:rPr>
              <w:t>1年/次</w:t>
            </w:r>
          </w:p>
        </w:tc>
      </w:tr>
    </w:tbl>
    <w:p w14:paraId="2E4DADB9">
      <w:pPr>
        <w:spacing w:before="277" w:line="218" w:lineRule="auto"/>
        <w:rPr>
          <w:rFonts w:ascii="宋体" w:hAnsi="宋体" w:eastAsia="宋体" w:cs="宋体"/>
          <w:color w:val="000000" w:themeColor="text1"/>
          <w:spacing w:val="-4"/>
          <w:sz w:val="24"/>
          <w:szCs w:val="24"/>
          <w:u w:val="single" w:color="auto"/>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p w14:paraId="19F82455">
      <w:pPr>
        <w:spacing w:before="277" w:line="218" w:lineRule="auto"/>
        <w:rPr>
          <w:rFonts w:ascii="宋体" w:hAnsi="宋体" w:eastAsia="宋体" w:cs="宋体"/>
          <w:b/>
          <w:bCs/>
          <w:color w:val="000000" w:themeColor="text1"/>
          <w:sz w:val="24"/>
          <w:szCs w:val="24"/>
          <w:u w:val="none" w:color="auto"/>
          <w14:textFill>
            <w14:solidFill>
              <w14:schemeClr w14:val="tx1"/>
            </w14:solidFill>
          </w14:textFill>
        </w:rPr>
      </w:pPr>
      <w:r>
        <w:rPr>
          <w:rFonts w:hint="eastAsia" w:ascii="宋体" w:hAnsi="宋体" w:cs="宋体"/>
          <w:b/>
          <w:bCs/>
          <w:color w:val="000000" w:themeColor="text1"/>
          <w:spacing w:val="-4"/>
          <w:sz w:val="24"/>
          <w:szCs w:val="24"/>
          <w:u w:val="none" w:color="auto"/>
          <w:lang w:val="en-US" w:eastAsia="zh-CN"/>
          <w14:textFill>
            <w14:solidFill>
              <w14:schemeClr w14:val="tx1"/>
            </w14:solidFill>
          </w14:textFill>
        </w:rPr>
        <w:t>9.</w:t>
      </w:r>
      <w:r>
        <w:rPr>
          <w:rFonts w:ascii="宋体" w:hAnsi="宋体" w:eastAsia="宋体" w:cs="宋体"/>
          <w:b/>
          <w:bCs/>
          <w:color w:val="000000" w:themeColor="text1"/>
          <w:spacing w:val="-4"/>
          <w:sz w:val="24"/>
          <w:szCs w:val="24"/>
          <w:u w:val="none" w:color="auto"/>
          <w14:textFill>
            <w14:solidFill>
              <w14:schemeClr w14:val="tx1"/>
            </w14:solidFill>
          </w14:textFill>
        </w:rPr>
        <w:t>大气环境影响评价结论与建议</w:t>
      </w:r>
    </w:p>
    <w:p w14:paraId="70D12242">
      <w:pPr>
        <w:spacing w:before="186" w:line="359" w:lineRule="auto"/>
        <w:ind w:left="117" w:right="105" w:firstLine="479"/>
        <w:rPr>
          <w:rFonts w:hint="eastAsia" w:ascii="宋体" w:hAnsi="宋体" w:eastAsia="宋体" w:cs="宋体"/>
          <w:color w:val="000000" w:themeColor="text1"/>
          <w:sz w:val="24"/>
          <w:szCs w:val="24"/>
          <w:u w:val="none" w:color="auto"/>
          <w:lang w:val="en-US" w:eastAsia="zh-CN"/>
          <w14:textFill>
            <w14:solidFill>
              <w14:schemeClr w14:val="tx1"/>
            </w14:solidFill>
          </w14:textFill>
        </w:rPr>
      </w:pPr>
      <w:r>
        <w:rPr>
          <w:rFonts w:ascii="宋体" w:hAnsi="宋体" w:eastAsia="宋体" w:cs="宋体"/>
          <w:color w:val="000000" w:themeColor="text1"/>
          <w:spacing w:val="2"/>
          <w:sz w:val="24"/>
          <w:szCs w:val="24"/>
          <w:u w:val="none" w:color="auto"/>
          <w14:textFill>
            <w14:solidFill>
              <w14:schemeClr w14:val="tx1"/>
            </w14:solidFill>
          </w14:textFill>
        </w:rPr>
        <w:t>根据收集的</w:t>
      </w:r>
      <w:r>
        <w:rPr>
          <w:rFonts w:ascii="宋体" w:hAnsi="宋体" w:eastAsia="宋体" w:cs="宋体"/>
          <w:color w:val="000000" w:themeColor="text1"/>
          <w:spacing w:val="-52"/>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 xml:space="preserve">2023 </w:t>
      </w:r>
      <w:r>
        <w:rPr>
          <w:rFonts w:ascii="宋体" w:hAnsi="宋体" w:eastAsia="宋体" w:cs="宋体"/>
          <w:color w:val="000000" w:themeColor="text1"/>
          <w:spacing w:val="2"/>
          <w:sz w:val="24"/>
          <w:szCs w:val="24"/>
          <w:u w:val="none" w:color="auto"/>
          <w14:textFill>
            <w14:solidFill>
              <w14:schemeClr w14:val="tx1"/>
            </w14:solidFill>
          </w14:textFill>
        </w:rPr>
        <w:t>年四平市环境空气质量监测数据，评价区</w:t>
      </w:r>
      <w:r>
        <w:rPr>
          <w:rFonts w:ascii="宋体" w:hAnsi="宋体" w:eastAsia="宋体" w:cs="宋体"/>
          <w:color w:val="000000" w:themeColor="text1"/>
          <w:spacing w:val="1"/>
          <w:sz w:val="24"/>
          <w:szCs w:val="24"/>
          <w:u w:val="none" w:color="auto"/>
          <w14:textFill>
            <w14:solidFill>
              <w14:schemeClr w14:val="tx1"/>
            </w14:solidFill>
          </w14:textFill>
        </w:rPr>
        <w:t>内属于环境空达标区</w:t>
      </w:r>
      <w:r>
        <w:rPr>
          <w:rFonts w:ascii="宋体" w:hAnsi="宋体" w:eastAsia="宋体" w:cs="宋体"/>
          <w:color w:val="000000" w:themeColor="text1"/>
          <w:spacing w:val="-6"/>
          <w:sz w:val="24"/>
          <w:szCs w:val="24"/>
          <w:u w:val="none" w:color="auto"/>
          <w14:textFill>
            <w14:solidFill>
              <w14:schemeClr w14:val="tx1"/>
            </w14:solidFill>
          </w14:textFill>
        </w:rPr>
        <w:t>域。补充监测的非甲烷总烃现状监测结果满足《大气污染物综合排放标准详解》；</w:t>
      </w:r>
      <w:r>
        <w:rPr>
          <w:rFonts w:ascii="Times New Roman" w:hAnsi="Times New Roman" w:eastAsia="Times New Roman" w:cs="Times New Roman"/>
          <w:color w:val="000000" w:themeColor="text1"/>
          <w:spacing w:val="-6"/>
          <w:sz w:val="24"/>
          <w:szCs w:val="24"/>
          <w:u w:val="none" w:color="auto"/>
          <w14:textFill>
            <w14:solidFill>
              <w14:schemeClr w14:val="tx1"/>
            </w14:solidFill>
          </w14:textFill>
        </w:rPr>
        <w:t>TSP</w:t>
      </w:r>
      <w:r>
        <w:rPr>
          <w:rFonts w:ascii="宋体" w:hAnsi="宋体" w:eastAsia="宋体" w:cs="宋体"/>
          <w:color w:val="000000" w:themeColor="text1"/>
          <w:sz w:val="24"/>
          <w:szCs w:val="24"/>
          <w:u w:val="none" w:color="auto"/>
          <w14:textFill>
            <w14:solidFill>
              <w14:schemeClr w14:val="tx1"/>
            </w14:solidFill>
          </w14:textFill>
        </w:rPr>
        <w:t>和铅现状监测结果能够满足</w:t>
      </w:r>
      <w:r>
        <w:rPr>
          <w:rFonts w:ascii="宋体" w:hAnsi="宋体" w:eastAsia="宋体" w:cs="宋体"/>
          <w:color w:val="000000" w:themeColor="text1"/>
          <w:spacing w:val="-39"/>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z w:val="24"/>
          <w:szCs w:val="24"/>
          <w:u w:val="none" w:color="auto"/>
          <w14:textFill>
            <w14:solidFill>
              <w14:schemeClr w14:val="tx1"/>
            </w14:solidFill>
          </w14:textFill>
        </w:rPr>
        <w:t>GB3095—2012</w:t>
      </w:r>
      <w:r>
        <w:rPr>
          <w:rFonts w:ascii="宋体" w:hAnsi="宋体" w:eastAsia="宋体" w:cs="宋体"/>
          <w:color w:val="000000" w:themeColor="text1"/>
          <w:sz w:val="24"/>
          <w:szCs w:val="24"/>
          <w:u w:val="none" w:color="auto"/>
          <w14:textFill>
            <w14:solidFill>
              <w14:schemeClr w14:val="tx1"/>
            </w14:solidFill>
          </w14:textFill>
        </w:rPr>
        <w:t>《环境空气质量标准》中二级标准</w:t>
      </w:r>
      <w:r>
        <w:rPr>
          <w:rFonts w:hint="eastAsia" w:ascii="宋体" w:hAnsi="宋体" w:eastAsia="宋体" w:cs="宋体"/>
          <w:color w:val="000000" w:themeColor="text1"/>
          <w:sz w:val="24"/>
          <w:szCs w:val="24"/>
          <w:u w:val="none" w:color="auto"/>
          <w:lang w:eastAsia="zh-CN"/>
          <w14:textFill>
            <w14:solidFill>
              <w14:schemeClr w14:val="tx1"/>
            </w14:solidFill>
          </w14:textFill>
        </w:rPr>
        <w:t>；</w:t>
      </w:r>
      <w:r>
        <w:rPr>
          <w:rFonts w:ascii="宋体" w:hAnsi="宋体" w:eastAsia="宋体" w:cs="宋体"/>
          <w:color w:val="000000" w:themeColor="text1"/>
          <w:spacing w:val="-13"/>
          <w:sz w:val="24"/>
          <w:szCs w:val="24"/>
          <w:u w:val="none" w:color="auto"/>
          <w14:textFill>
            <w14:solidFill>
              <w14:schemeClr w14:val="tx1"/>
            </w14:solidFill>
          </w14:textFill>
        </w:rPr>
        <w:t>硫酸</w:t>
      </w:r>
      <w:r>
        <w:rPr>
          <w:rFonts w:hint="eastAsia" w:ascii="宋体" w:hAnsi="宋体" w:cs="宋体"/>
          <w:color w:val="000000" w:themeColor="text1"/>
          <w:spacing w:val="-13"/>
          <w:sz w:val="24"/>
          <w:szCs w:val="24"/>
          <w:u w:val="none" w:color="auto"/>
          <w:lang w:val="en-US" w:eastAsia="zh-CN"/>
          <w14:textFill>
            <w14:solidFill>
              <w14:schemeClr w14:val="tx1"/>
            </w14:solidFill>
          </w14:textFill>
        </w:rPr>
        <w:t>满足</w:t>
      </w:r>
      <w:r>
        <w:rPr>
          <w:rFonts w:ascii="宋体" w:hAnsi="宋体" w:eastAsia="宋体" w:cs="宋体"/>
          <w:color w:val="000000" w:themeColor="text1"/>
          <w:spacing w:val="-51"/>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13"/>
          <w:sz w:val="24"/>
          <w:szCs w:val="24"/>
          <w:u w:val="none" w:color="auto"/>
          <w14:textFill>
            <w14:solidFill>
              <w14:schemeClr w14:val="tx1"/>
            </w14:solidFill>
          </w14:textFill>
        </w:rPr>
        <w:t>HJ2.2—2018</w:t>
      </w:r>
      <w:r>
        <w:rPr>
          <w:rFonts w:ascii="宋体" w:hAnsi="宋体" w:eastAsia="宋体" w:cs="宋体"/>
          <w:color w:val="000000" w:themeColor="text1"/>
          <w:spacing w:val="-13"/>
          <w:sz w:val="24"/>
          <w:szCs w:val="24"/>
          <w:u w:val="none" w:color="auto"/>
          <w14:textFill>
            <w14:solidFill>
              <w14:schemeClr w14:val="tx1"/>
            </w14:solidFill>
          </w14:textFill>
        </w:rPr>
        <w:t>《环境影响评价导则（大气环境）》</w:t>
      </w:r>
      <w:r>
        <w:rPr>
          <w:rFonts w:ascii="宋体" w:hAnsi="宋体" w:eastAsia="宋体" w:cs="宋体"/>
          <w:color w:val="000000" w:themeColor="text1"/>
          <w:spacing w:val="-2"/>
          <w:sz w:val="24"/>
          <w:szCs w:val="24"/>
          <w:u w:val="none" w:color="auto"/>
          <w14:textFill>
            <w14:solidFill>
              <w14:schemeClr w14:val="tx1"/>
            </w14:solidFill>
          </w14:textFill>
        </w:rPr>
        <w:t>中附录</w:t>
      </w:r>
      <w:r>
        <w:rPr>
          <w:rFonts w:ascii="宋体" w:hAnsi="宋体" w:eastAsia="宋体" w:cs="宋体"/>
          <w:color w:val="000000" w:themeColor="text1"/>
          <w:spacing w:val="-56"/>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u w:val="none" w:color="auto"/>
          <w14:textFill>
            <w14:solidFill>
              <w14:schemeClr w14:val="tx1"/>
            </w14:solidFill>
          </w14:textFill>
        </w:rPr>
        <w:t xml:space="preserve">D </w:t>
      </w:r>
      <w:r>
        <w:rPr>
          <w:rFonts w:ascii="宋体" w:hAnsi="宋体" w:eastAsia="宋体" w:cs="宋体"/>
          <w:color w:val="000000" w:themeColor="text1"/>
          <w:spacing w:val="-2"/>
          <w:sz w:val="24"/>
          <w:szCs w:val="24"/>
          <w:u w:val="none" w:color="auto"/>
          <w14:textFill>
            <w14:solidFill>
              <w14:schemeClr w14:val="tx1"/>
            </w14:solidFill>
          </w14:textFill>
        </w:rPr>
        <w:t>其他污染物空气质量浓度参考限</w:t>
      </w:r>
      <w:r>
        <w:rPr>
          <w:rFonts w:ascii="宋体" w:hAnsi="宋体" w:eastAsia="宋体" w:cs="宋体"/>
          <w:color w:val="000000" w:themeColor="text1"/>
          <w:spacing w:val="-3"/>
          <w:sz w:val="24"/>
          <w:szCs w:val="24"/>
          <w:u w:val="none" w:color="auto"/>
          <w14:textFill>
            <w14:solidFill>
              <w14:schemeClr w14:val="tx1"/>
            </w14:solidFill>
          </w14:textFill>
        </w:rPr>
        <w:t>值</w:t>
      </w:r>
      <w:r>
        <w:rPr>
          <w:rFonts w:hint="eastAsia" w:ascii="宋体" w:hAnsi="宋体" w:cs="宋体"/>
          <w:color w:val="000000" w:themeColor="text1"/>
          <w:spacing w:val="-3"/>
          <w:sz w:val="24"/>
          <w:szCs w:val="24"/>
          <w:u w:val="none" w:color="auto"/>
          <w:lang w:eastAsia="zh-CN"/>
          <w14:textFill>
            <w14:solidFill>
              <w14:schemeClr w14:val="tx1"/>
            </w14:solidFill>
          </w14:textFill>
        </w:rPr>
        <w:t>。</w:t>
      </w:r>
    </w:p>
    <w:p w14:paraId="50FC051C">
      <w:pPr>
        <w:spacing w:before="7" w:line="359" w:lineRule="auto"/>
        <w:ind w:left="115" w:right="6" w:firstLine="481"/>
        <w:jc w:val="both"/>
        <w:rPr>
          <w:rFonts w:ascii="宋体" w:hAnsi="宋体" w:eastAsia="宋体" w:cs="宋体"/>
          <w:color w:val="000000" w:themeColor="text1"/>
          <w:sz w:val="24"/>
          <w:szCs w:val="24"/>
          <w:u w:val="none" w:color="auto"/>
          <w14:textFill>
            <w14:solidFill>
              <w14:schemeClr w14:val="tx1"/>
            </w14:solidFill>
          </w14:textFill>
        </w:rPr>
      </w:pPr>
      <w:r>
        <w:rPr>
          <w:rFonts w:ascii="宋体" w:hAnsi="宋体" w:eastAsia="宋体" w:cs="宋体"/>
          <w:color w:val="000000" w:themeColor="text1"/>
          <w:spacing w:val="-1"/>
          <w:sz w:val="24"/>
          <w:szCs w:val="24"/>
          <w:u w:val="none" w:color="auto"/>
          <w14:textFill>
            <w14:solidFill>
              <w14:schemeClr w14:val="tx1"/>
            </w14:solidFill>
          </w14:textFill>
        </w:rPr>
        <w:t>本项目废气主要为生产过程中废油液挥发有机废气</w:t>
      </w:r>
      <w:r>
        <w:rPr>
          <w:rFonts w:ascii="宋体" w:hAnsi="宋体" w:eastAsia="宋体" w:cs="宋体"/>
          <w:color w:val="000000" w:themeColor="text1"/>
          <w:spacing w:val="-2"/>
          <w:sz w:val="24"/>
          <w:szCs w:val="24"/>
          <w:u w:val="none" w:color="auto"/>
          <w14:textFill>
            <w14:solidFill>
              <w14:schemeClr w14:val="tx1"/>
            </w14:solidFill>
          </w14:textFill>
        </w:rPr>
        <w:t>、切割粉尘、</w:t>
      </w:r>
      <w:r>
        <w:rPr>
          <w:rFonts w:hint="eastAsia" w:ascii="宋体" w:hAnsi="宋体" w:eastAsia="宋体" w:cs="宋体"/>
          <w:color w:val="000000" w:themeColor="text1"/>
          <w:spacing w:val="-2"/>
          <w:sz w:val="24"/>
          <w:szCs w:val="24"/>
          <w:u w:val="none" w:color="auto"/>
          <w:lang w:val="en-US" w:eastAsia="zh-CN"/>
          <w14:textFill>
            <w14:solidFill>
              <w14:schemeClr w14:val="tx1"/>
            </w14:solidFill>
          </w14:textFill>
        </w:rPr>
        <w:t>非正常情况下拆解过程产生破损的</w:t>
      </w:r>
      <w:r>
        <w:rPr>
          <w:rFonts w:ascii="宋体" w:hAnsi="宋体" w:eastAsia="宋体" w:cs="宋体"/>
          <w:color w:val="000000" w:themeColor="text1"/>
          <w:spacing w:val="-1"/>
          <w:sz w:val="24"/>
          <w:szCs w:val="24"/>
          <w:u w:val="none" w:color="auto"/>
          <w14:textFill>
            <w14:solidFill>
              <w14:schemeClr w14:val="tx1"/>
            </w14:solidFill>
          </w14:textFill>
        </w:rPr>
        <w:t>废铅蓄电池</w:t>
      </w:r>
      <w:r>
        <w:rPr>
          <w:rFonts w:hint="eastAsia" w:ascii="宋体" w:hAnsi="宋体" w:eastAsia="宋体" w:cs="宋体"/>
          <w:color w:val="000000" w:themeColor="text1"/>
          <w:spacing w:val="-1"/>
          <w:sz w:val="24"/>
          <w:szCs w:val="24"/>
          <w:u w:val="none" w:color="auto"/>
          <w:lang w:eastAsia="zh-CN"/>
          <w14:textFill>
            <w14:solidFill>
              <w14:schemeClr w14:val="tx1"/>
            </w14:solidFill>
          </w14:textFill>
        </w:rPr>
        <w:t>，</w:t>
      </w:r>
      <w:r>
        <w:rPr>
          <w:rFonts w:ascii="宋体" w:hAnsi="宋体" w:eastAsia="宋体" w:cs="宋体"/>
          <w:color w:val="000000" w:themeColor="text1"/>
          <w:spacing w:val="-1"/>
          <w:sz w:val="24"/>
          <w:szCs w:val="24"/>
          <w:u w:val="none" w:color="auto"/>
          <w14:textFill>
            <w14:solidFill>
              <w14:schemeClr w14:val="tx1"/>
            </w14:solidFill>
          </w14:textFill>
        </w:rPr>
        <w:t>产生</w:t>
      </w:r>
      <w:r>
        <w:rPr>
          <w:rFonts w:hint="eastAsia" w:ascii="宋体" w:hAnsi="宋体" w:eastAsia="宋体" w:cs="宋体"/>
          <w:color w:val="000000" w:themeColor="text1"/>
          <w:spacing w:val="-1"/>
          <w:sz w:val="24"/>
          <w:szCs w:val="24"/>
          <w:u w:val="none" w:color="auto"/>
          <w:lang w:val="en-US" w:eastAsia="zh-CN"/>
          <w14:textFill>
            <w14:solidFill>
              <w14:schemeClr w14:val="tx1"/>
            </w14:solidFill>
          </w14:textFill>
        </w:rPr>
        <w:t>少量</w:t>
      </w:r>
      <w:r>
        <w:rPr>
          <w:rFonts w:ascii="宋体" w:hAnsi="宋体" w:eastAsia="宋体" w:cs="宋体"/>
          <w:color w:val="000000" w:themeColor="text1"/>
          <w:spacing w:val="-1"/>
          <w:sz w:val="24"/>
          <w:szCs w:val="24"/>
          <w:u w:val="none" w:color="auto"/>
          <w14:textFill>
            <w14:solidFill>
              <w14:schemeClr w14:val="tx1"/>
            </w14:solidFill>
          </w14:textFill>
        </w:rPr>
        <w:t>硫酸雾及铅废气等。废油</w:t>
      </w:r>
      <w:r>
        <w:rPr>
          <w:rFonts w:ascii="宋体" w:hAnsi="宋体" w:eastAsia="宋体" w:cs="宋体"/>
          <w:color w:val="000000" w:themeColor="text1"/>
          <w:spacing w:val="-2"/>
          <w:sz w:val="24"/>
          <w:szCs w:val="24"/>
          <w:u w:val="none" w:color="auto"/>
          <w14:textFill>
            <w14:solidFill>
              <w14:schemeClr w14:val="tx1"/>
            </w14:solidFill>
          </w14:textFill>
        </w:rPr>
        <w:t>液挥发有机废气采用</w:t>
      </w:r>
      <w:r>
        <w:rPr>
          <w:rFonts w:ascii="宋体" w:hAnsi="宋体" w:eastAsia="宋体" w:cs="宋体"/>
          <w:color w:val="000000" w:themeColor="text1"/>
          <w:spacing w:val="-1"/>
          <w:sz w:val="24"/>
          <w:szCs w:val="24"/>
          <w:u w:val="none" w:color="auto"/>
          <w14:textFill>
            <w14:solidFill>
              <w14:schemeClr w14:val="tx1"/>
            </w14:solidFill>
          </w14:textFill>
        </w:rPr>
        <w:t>活性炭吸附处理后经</w:t>
      </w:r>
      <w:r>
        <w:rPr>
          <w:rFonts w:ascii="宋体" w:hAnsi="宋体" w:eastAsia="宋体" w:cs="宋体"/>
          <w:color w:val="000000" w:themeColor="text1"/>
          <w:spacing w:val="-27"/>
          <w:sz w:val="24"/>
          <w:szCs w:val="24"/>
          <w:u w:val="none" w:color="auto"/>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u w:val="none" w:color="auto"/>
          <w14:textFill>
            <w14:solidFill>
              <w14:schemeClr w14:val="tx1"/>
            </w14:solidFill>
          </w14:textFill>
        </w:rPr>
        <w:t>15m</w:t>
      </w:r>
      <w:r>
        <w:rPr>
          <w:rFonts w:ascii="Times New Roman" w:hAnsi="Times New Roman" w:eastAsia="Times New Roman" w:cs="Times New Roman"/>
          <w:color w:val="000000" w:themeColor="text1"/>
          <w:spacing w:val="19"/>
          <w:sz w:val="24"/>
          <w:szCs w:val="24"/>
          <w:u w:val="none" w:color="auto"/>
          <w14:textFill>
            <w14:solidFill>
              <w14:schemeClr w14:val="tx1"/>
            </w14:solidFill>
          </w14:textFill>
        </w:rPr>
        <w:t xml:space="preserve"> </w:t>
      </w:r>
      <w:r>
        <w:rPr>
          <w:rFonts w:ascii="宋体" w:hAnsi="宋体" w:eastAsia="宋体" w:cs="宋体"/>
          <w:color w:val="000000" w:themeColor="text1"/>
          <w:spacing w:val="-1"/>
          <w:sz w:val="24"/>
          <w:szCs w:val="24"/>
          <w:u w:val="none" w:color="auto"/>
          <w14:textFill>
            <w14:solidFill>
              <w14:schemeClr w14:val="tx1"/>
            </w14:solidFill>
          </w14:textFill>
        </w:rPr>
        <w:t>高排气筒排放、切割粉尘采用布袋除尘器处理后排放，液态危险废物暂存</w:t>
      </w:r>
      <w:r>
        <w:rPr>
          <w:rFonts w:hint="eastAsia" w:ascii="宋体" w:hAnsi="宋体" w:eastAsia="宋体" w:cs="宋体"/>
          <w:color w:val="000000" w:themeColor="text1"/>
          <w:spacing w:val="-1"/>
          <w:sz w:val="24"/>
          <w:szCs w:val="24"/>
          <w:u w:val="none" w:color="auto"/>
          <w:lang w:val="en-US" w:eastAsia="zh-CN"/>
          <w14:textFill>
            <w14:solidFill>
              <w14:schemeClr w14:val="tx1"/>
            </w14:solidFill>
          </w14:textFill>
        </w:rPr>
        <w:t>库加强管理，在暂存库内密闭暂存；破损的废铅蓄电池在暂存库内密闭暂存</w:t>
      </w:r>
      <w:r>
        <w:rPr>
          <w:rFonts w:hint="eastAsia" w:ascii="宋体" w:hAnsi="宋体" w:cs="宋体"/>
          <w:color w:val="000000" w:themeColor="text1"/>
          <w:spacing w:val="-1"/>
          <w:sz w:val="24"/>
          <w:szCs w:val="24"/>
          <w:u w:val="none" w:color="auto"/>
          <w:lang w:val="en-US" w:eastAsia="zh-CN"/>
          <w14:textFill>
            <w14:solidFill>
              <w14:schemeClr w14:val="tx1"/>
            </w14:solidFill>
          </w14:textFill>
        </w:rPr>
        <w:t>，</w:t>
      </w:r>
      <w:r>
        <w:rPr>
          <w:rFonts w:hint="eastAsia" w:ascii="宋体" w:hAnsi="宋体" w:eastAsia="宋体" w:cs="宋体"/>
          <w:color w:val="000000" w:themeColor="text1"/>
          <w:spacing w:val="-2"/>
          <w:sz w:val="24"/>
          <w:szCs w:val="24"/>
          <w:u w:val="none" w:color="auto"/>
          <w14:textFill>
            <w14:solidFill>
              <w14:schemeClr w14:val="tx1"/>
            </w14:solidFill>
          </w14:textFill>
        </w:rPr>
        <w:t>保存期限少于</w:t>
      </w:r>
      <w:r>
        <w:rPr>
          <w:rFonts w:hint="eastAsia" w:ascii="宋体" w:hAnsi="宋体" w:eastAsia="宋体" w:cs="宋体"/>
          <w:color w:val="000000" w:themeColor="text1"/>
          <w:spacing w:val="-2"/>
          <w:sz w:val="24"/>
          <w:szCs w:val="24"/>
          <w:u w:val="none" w:color="auto"/>
          <w:lang w:val="en-US" w:eastAsia="zh-CN"/>
          <w14:textFill>
            <w14:solidFill>
              <w14:schemeClr w14:val="tx1"/>
            </w14:solidFill>
          </w14:textFill>
        </w:rPr>
        <w:t>1天</w:t>
      </w:r>
      <w:r>
        <w:rPr>
          <w:rFonts w:hint="eastAsia" w:ascii="宋体" w:hAnsi="宋体" w:eastAsia="宋体" w:cs="宋体"/>
          <w:color w:val="000000" w:themeColor="text1"/>
          <w:spacing w:val="-2"/>
          <w:sz w:val="24"/>
          <w:szCs w:val="24"/>
          <w:u w:val="none" w:color="auto"/>
          <w14:textFill>
            <w14:solidFill>
              <w14:schemeClr w14:val="tx1"/>
            </w14:solidFill>
          </w14:textFill>
        </w:rPr>
        <w:t>。</w:t>
      </w:r>
      <w:r>
        <w:rPr>
          <w:rFonts w:hint="eastAsia" w:ascii="宋体" w:hAnsi="宋体" w:eastAsia="宋体" w:cs="宋体"/>
          <w:color w:val="000000" w:themeColor="text1"/>
          <w:spacing w:val="-2"/>
          <w:sz w:val="24"/>
          <w:szCs w:val="24"/>
          <w:u w:val="none" w:color="auto"/>
          <w:lang w:val="en-US" w:eastAsia="zh-CN"/>
          <w14:textFill>
            <w14:solidFill>
              <w14:schemeClr w14:val="tx1"/>
            </w14:solidFill>
          </w14:textFill>
        </w:rPr>
        <w:t>及时与当地专业废铅酸蓄电池贮存场所联系，及时清运。</w:t>
      </w:r>
      <w:r>
        <w:rPr>
          <w:rFonts w:ascii="宋体" w:hAnsi="宋体" w:eastAsia="宋体" w:cs="宋体"/>
          <w:color w:val="000000" w:themeColor="text1"/>
          <w:spacing w:val="1"/>
          <w:sz w:val="24"/>
          <w:szCs w:val="24"/>
          <w:u w:val="none" w:color="auto"/>
          <w14:textFill>
            <w14:solidFill>
              <w14:schemeClr w14:val="tx1"/>
            </w14:solidFill>
          </w14:textFill>
        </w:rPr>
        <w:t>本项目各项</w:t>
      </w:r>
      <w:r>
        <w:rPr>
          <w:rFonts w:ascii="宋体" w:hAnsi="宋体" w:eastAsia="宋体" w:cs="宋体"/>
          <w:color w:val="000000" w:themeColor="text1"/>
          <w:spacing w:val="-11"/>
          <w:sz w:val="24"/>
          <w:szCs w:val="24"/>
          <w:u w:val="none" w:color="auto"/>
          <w14:textFill>
            <w14:solidFill>
              <w14:schemeClr w14:val="tx1"/>
            </w14:solidFill>
          </w14:textFill>
        </w:rPr>
        <w:t>废气污染物得到处理，废气排放能够满足《大气污染物综合排放标准》（</w:t>
      </w:r>
      <w:r>
        <w:rPr>
          <w:rFonts w:ascii="Times New Roman" w:hAnsi="Times New Roman" w:eastAsia="Times New Roman" w:cs="Times New Roman"/>
          <w:color w:val="000000" w:themeColor="text1"/>
          <w:spacing w:val="-11"/>
          <w:sz w:val="24"/>
          <w:szCs w:val="24"/>
          <w:u w:val="none" w:color="auto"/>
          <w14:textFill>
            <w14:solidFill>
              <w14:schemeClr w14:val="tx1"/>
            </w14:solidFill>
          </w14:textFill>
        </w:rPr>
        <w:t>GB16297-1996</w:t>
      </w:r>
      <w:r>
        <w:rPr>
          <w:rFonts w:ascii="宋体" w:hAnsi="宋体" w:eastAsia="宋体" w:cs="宋体"/>
          <w:color w:val="000000" w:themeColor="text1"/>
          <w:spacing w:val="-11"/>
          <w:sz w:val="24"/>
          <w:szCs w:val="24"/>
          <w:u w:val="none" w:color="auto"/>
          <w14:textFill>
            <w14:solidFill>
              <w14:schemeClr w14:val="tx1"/>
            </w14:solidFill>
          </w14:textFill>
        </w:rPr>
        <w:t>）</w:t>
      </w:r>
      <w:r>
        <w:rPr>
          <w:rFonts w:hint="eastAsia" w:ascii="宋体" w:hAnsi="宋体" w:eastAsia="宋体" w:cs="宋体"/>
          <w:color w:val="000000" w:themeColor="text1"/>
          <w:spacing w:val="-11"/>
          <w:sz w:val="24"/>
          <w:szCs w:val="24"/>
          <w:u w:val="none" w:color="auto"/>
          <w:lang w:val="en-US" w:eastAsia="zh-CN"/>
          <w14:textFill>
            <w14:solidFill>
              <w14:schemeClr w14:val="tx1"/>
            </w14:solidFill>
          </w14:textFill>
        </w:rPr>
        <w:t>以及</w:t>
      </w:r>
      <w:r>
        <w:rPr>
          <w:rFonts w:hint="eastAsia" w:ascii="宋体" w:hAnsi="宋体" w:eastAsia="宋体" w:cs="宋体"/>
          <w:color w:val="000000" w:themeColor="text1"/>
          <w:u w:val="none" w:color="auto"/>
          <w14:textFill>
            <w14:solidFill>
              <w14:schemeClr w14:val="tx1"/>
            </w14:solidFill>
          </w14:textFill>
        </w:rPr>
        <w:t>《挥发性有机物无组织排放控制标准》（GB37822-2019</w:t>
      </w:r>
      <w:r>
        <w:rPr>
          <w:rFonts w:ascii="宋体" w:hAnsi="宋体" w:eastAsia="宋体" w:cs="宋体"/>
          <w:color w:val="000000" w:themeColor="text1"/>
          <w:spacing w:val="1"/>
          <w:sz w:val="24"/>
          <w:szCs w:val="24"/>
          <w:u w:val="none" w:color="auto"/>
          <w14:textFill>
            <w14:solidFill>
              <w14:schemeClr w14:val="tx1"/>
            </w14:solidFill>
          </w14:textFill>
        </w:rPr>
        <w:t>要求，</w:t>
      </w:r>
      <w:r>
        <w:rPr>
          <w:rFonts w:hint="eastAsia" w:ascii="宋体" w:hAnsi="宋体" w:eastAsia="宋体" w:cs="宋体"/>
          <w:color w:val="000000" w:themeColor="text1"/>
          <w:spacing w:val="1"/>
          <w:sz w:val="24"/>
          <w:szCs w:val="24"/>
          <w:u w:val="none" w:color="auto"/>
          <w:lang w:val="en-US" w:eastAsia="zh-CN"/>
          <w14:textFill>
            <w14:solidFill>
              <w14:schemeClr w14:val="tx1"/>
            </w14:solidFill>
          </w14:textFill>
        </w:rPr>
        <w:t>且不会对周边居民产生不良影响，综上所述，本项目</w:t>
      </w:r>
      <w:r>
        <w:rPr>
          <w:rFonts w:ascii="宋体" w:hAnsi="宋体" w:eastAsia="宋体" w:cs="宋体"/>
          <w:color w:val="000000" w:themeColor="text1"/>
          <w:spacing w:val="1"/>
          <w:sz w:val="24"/>
          <w:szCs w:val="24"/>
          <w:u w:val="none" w:color="auto"/>
          <w14:textFill>
            <w14:solidFill>
              <w14:schemeClr w14:val="tx1"/>
            </w14:solidFill>
          </w14:textFill>
        </w:rPr>
        <w:t>对周围环境空气影响可接受。</w:t>
      </w:r>
    </w:p>
    <w:p w14:paraId="5378EF7A">
      <w:pPr>
        <w:pStyle w:val="11"/>
        <w:ind w:left="0" w:leftChars="0" w:firstLine="0" w:firstLineChars="0"/>
        <w:rPr>
          <w:rFonts w:hint="default"/>
          <w:color w:val="000000" w:themeColor="text1"/>
          <w:lang w:val="en-US" w:eastAsia="zh-CN"/>
          <w14:textFill>
            <w14:solidFill>
              <w14:schemeClr w14:val="tx1"/>
            </w14:solidFill>
          </w14:textFill>
        </w:rPr>
      </w:pPr>
    </w:p>
    <w:p w14:paraId="749B4F0C">
      <w:pPr>
        <w:pStyle w:val="11"/>
        <w:rPr>
          <w:rFonts w:hint="default"/>
          <w:color w:val="000000" w:themeColor="text1"/>
          <w:lang w:val="en-US"/>
          <w14:textFill>
            <w14:solidFill>
              <w14:schemeClr w14:val="tx1"/>
            </w14:solidFill>
          </w14:textFill>
        </w:rPr>
      </w:pPr>
    </w:p>
    <w:p w14:paraId="4BE5D0D6">
      <w:pPr>
        <w:pStyle w:val="11"/>
        <w:rPr>
          <w:rFonts w:hint="eastAsia"/>
          <w:color w:val="000000" w:themeColor="text1"/>
          <w:lang w:val="en-US" w:eastAsia="zh-CN"/>
          <w14:textFill>
            <w14:solidFill>
              <w14:schemeClr w14:val="tx1"/>
            </w14:solidFill>
          </w14:textFill>
        </w:rPr>
      </w:pPr>
    </w:p>
    <w:p w14:paraId="35F0AA3D">
      <w:pPr>
        <w:pStyle w:val="11"/>
        <w:rPr>
          <w:rFonts w:hint="eastAsia"/>
          <w:color w:val="000000" w:themeColor="text1"/>
          <w:lang w:val="en-US" w:eastAsia="zh-CN"/>
          <w14:textFill>
            <w14:solidFill>
              <w14:schemeClr w14:val="tx1"/>
            </w14:solidFill>
          </w14:textFill>
        </w:rPr>
      </w:pPr>
    </w:p>
    <w:p w14:paraId="711DDF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val="0"/>
        <w:spacing w:beforeAutospacing="0" w:afterAutospacing="0" w:line="500" w:lineRule="exact"/>
        <w:ind w:right="0" w:rightChars="0"/>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575E5750">
      <w:pPr>
        <w:pStyle w:val="33"/>
        <w:rPr>
          <w:rFonts w:hint="eastAsia"/>
          <w:color w:val="000000" w:themeColor="text1"/>
          <w:lang w:val="en-US" w:eastAsia="zh-CN"/>
          <w14:textFill>
            <w14:solidFill>
              <w14:schemeClr w14:val="tx1"/>
            </w14:solidFill>
          </w14:textFill>
        </w:rPr>
        <w:sectPr>
          <w:pgSz w:w="11905"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12" w:charSpace="0"/>
        </w:sectPr>
      </w:pPr>
    </w:p>
    <w:p w14:paraId="1E5AE488">
      <w:pPr>
        <w:pStyle w:val="2"/>
        <w:spacing w:before="120" w:after="12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附表</w:t>
      </w:r>
    </w:p>
    <w:p w14:paraId="0818CC57">
      <w:pPr>
        <w:pStyle w:val="20"/>
        <w:adjustRightInd w:val="0"/>
        <w:snapToGrid w:val="0"/>
        <w:spacing w:before="0" w:beforeAutospacing="0" w:after="0" w:afterAutospacing="0" w:line="552" w:lineRule="auto"/>
        <w:jc w:val="center"/>
        <w:outlineLvl w:val="0"/>
        <w:rPr>
          <w:rFonts w:hint="eastAsia" w:ascii="宋体" w:hAnsi="宋体" w:eastAsia="宋体" w:cs="宋体"/>
          <w:snapToGrid w:val="0"/>
          <w:color w:val="000000" w:themeColor="text1"/>
          <w:sz w:val="38"/>
          <w:szCs w:val="38"/>
          <w:lang w:val="en-US" w:eastAsia="zh-CN"/>
          <w14:textFill>
            <w14:solidFill>
              <w14:schemeClr w14:val="tx1"/>
            </w14:solidFill>
          </w14:textFill>
        </w:rPr>
      </w:pPr>
      <w:r>
        <w:rPr>
          <w:rFonts w:hint="eastAsia" w:ascii="宋体" w:hAnsi="宋体" w:eastAsia="宋体" w:cs="宋体"/>
          <w:snapToGrid w:val="0"/>
          <w:color w:val="000000" w:themeColor="text1"/>
          <w:sz w:val="38"/>
          <w:szCs w:val="38"/>
          <w14:textFill>
            <w14:solidFill>
              <w14:schemeClr w14:val="tx1"/>
            </w14:solidFill>
          </w14:textFill>
        </w:rPr>
        <w:t>建设项目污染物排放量汇总表</w:t>
      </w:r>
      <w:r>
        <w:rPr>
          <w:rFonts w:hint="eastAsia" w:ascii="宋体" w:hAnsi="宋体" w:eastAsia="宋体" w:cs="宋体"/>
          <w:snapToGrid w:val="0"/>
          <w:color w:val="000000" w:themeColor="text1"/>
          <w:sz w:val="38"/>
          <w:szCs w:val="38"/>
          <w:lang w:val="en-US" w:eastAsia="zh-CN"/>
          <w14:textFill>
            <w14:solidFill>
              <w14:schemeClr w14:val="tx1"/>
            </w14:solidFill>
          </w14:textFill>
        </w:rPr>
        <w:t xml:space="preserve">  单位（吨/年）</w:t>
      </w:r>
    </w:p>
    <w:tbl>
      <w:tblPr>
        <w:tblStyle w:val="25"/>
        <w:tblW w:w="123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1588"/>
        <w:gridCol w:w="1701"/>
        <w:gridCol w:w="1276"/>
        <w:gridCol w:w="1701"/>
        <w:gridCol w:w="1559"/>
        <w:gridCol w:w="1761"/>
        <w:gridCol w:w="1959"/>
        <w:gridCol w:w="826"/>
      </w:tblGrid>
      <w:tr w14:paraId="160EE02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794" w:hRule="atLeast"/>
        </w:trPr>
        <w:tc>
          <w:tcPr>
            <w:tcW w:w="1588" w:type="dxa"/>
            <w:tcBorders>
              <w:tl2br w:val="nil"/>
              <w:tr2bl w:val="nil"/>
            </w:tcBorders>
            <w:tcMar>
              <w:left w:w="28" w:type="dxa"/>
              <w:right w:w="28" w:type="dxa"/>
            </w:tcMar>
            <w:vAlign w:val="center"/>
          </w:tcPr>
          <w:p w14:paraId="6CA4FEA7">
            <w:pPr>
              <w:pStyle w:val="109"/>
              <w:spacing w:beforeLines="0" w:afterLines="0" w:line="240" w:lineRule="auto"/>
              <w:jc w:val="right"/>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项目</w:t>
            </w:r>
          </w:p>
          <w:p w14:paraId="1F14EE05">
            <w:pPr>
              <w:pStyle w:val="109"/>
              <w:spacing w:beforeLines="0" w:afterLines="0" w:line="240" w:lineRule="auto"/>
              <w:jc w:val="left"/>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分类</w:t>
            </w:r>
          </w:p>
        </w:tc>
        <w:tc>
          <w:tcPr>
            <w:tcW w:w="1701" w:type="dxa"/>
            <w:tcBorders>
              <w:tl2br w:val="nil"/>
              <w:tr2bl w:val="nil"/>
            </w:tcBorders>
            <w:tcMar>
              <w:left w:w="28" w:type="dxa"/>
              <w:right w:w="28" w:type="dxa"/>
            </w:tcMar>
            <w:vAlign w:val="center"/>
          </w:tcPr>
          <w:p w14:paraId="23B7CF88">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现有工程</w:t>
            </w:r>
          </w:p>
          <w:p w14:paraId="63F9C944">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排放量（固体废物产生量）</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 w:val="21"/>
                <w:szCs w:val="21"/>
                <w14:textFill>
                  <w14:solidFill>
                    <w14:schemeClr w14:val="tx1"/>
                  </w14:solidFill>
                </w14:textFill>
              </w:rPr>
              <w:instrText xml:space="preserve"> = 1 \* GB3 \* MERGEFORMAT </w:instrTex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s="宋体"/>
                <w:color w:val="000000" w:themeColor="text1"/>
                <w:kern w:val="2"/>
                <w:sz w:val="21"/>
                <w:szCs w:val="21"/>
                <w14:textFill>
                  <w14:solidFill>
                    <w14:schemeClr w14:val="tx1"/>
                  </w14:solidFill>
                </w14:textFill>
              </w:rPr>
              <w:t>①</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end"/>
            </w:r>
          </w:p>
        </w:tc>
        <w:tc>
          <w:tcPr>
            <w:tcW w:w="1276" w:type="dxa"/>
            <w:tcBorders>
              <w:tl2br w:val="nil"/>
              <w:tr2bl w:val="nil"/>
            </w:tcBorders>
            <w:tcMar>
              <w:left w:w="28" w:type="dxa"/>
              <w:right w:w="28" w:type="dxa"/>
            </w:tcMar>
            <w:vAlign w:val="center"/>
          </w:tcPr>
          <w:p w14:paraId="71C70345">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现有工程</w:t>
            </w:r>
          </w:p>
          <w:p w14:paraId="67744F2E">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许可排放量</w:t>
            </w:r>
          </w:p>
          <w:p w14:paraId="23E68646">
            <w:pPr>
              <w:pStyle w:val="109"/>
              <w:spacing w:beforeLines="0" w:afterLines="0"/>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 w:val="21"/>
                <w:szCs w:val="21"/>
                <w14:textFill>
                  <w14:solidFill>
                    <w14:schemeClr w14:val="tx1"/>
                  </w14:solidFill>
                </w14:textFill>
              </w:rPr>
              <w:instrText xml:space="preserve"> = 2 \* GB3 \* MERGEFORMAT </w:instrTex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s="宋体"/>
                <w:snapToGrid w:val="0"/>
                <w:color w:val="000000" w:themeColor="text1"/>
                <w:spacing w:val="-6"/>
                <w:kern w:val="21"/>
                <w:sz w:val="21"/>
                <w:szCs w:val="21"/>
                <w14:textFill>
                  <w14:solidFill>
                    <w14:schemeClr w14:val="tx1"/>
                  </w14:solidFill>
                </w14:textFill>
              </w:rPr>
              <w:t>②</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end"/>
            </w:r>
          </w:p>
        </w:tc>
        <w:tc>
          <w:tcPr>
            <w:tcW w:w="1701" w:type="dxa"/>
            <w:tcBorders>
              <w:tl2br w:val="nil"/>
              <w:tr2bl w:val="nil"/>
            </w:tcBorders>
            <w:tcMar>
              <w:left w:w="28" w:type="dxa"/>
              <w:right w:w="28" w:type="dxa"/>
            </w:tcMar>
            <w:vAlign w:val="center"/>
          </w:tcPr>
          <w:p w14:paraId="3B36363B">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在建工程</w:t>
            </w:r>
          </w:p>
          <w:p w14:paraId="1043F6E8">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排放量（固体废物产生量）</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 w:val="21"/>
                <w:szCs w:val="21"/>
                <w14:textFill>
                  <w14:solidFill>
                    <w14:schemeClr w14:val="tx1"/>
                  </w14:solidFill>
                </w14:textFill>
              </w:rPr>
              <w:instrText xml:space="preserve"> = 3 \* GB3 \* MERGEFORMAT </w:instrTex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s="宋体"/>
                <w:color w:val="000000" w:themeColor="text1"/>
                <w:kern w:val="2"/>
                <w:sz w:val="21"/>
                <w:szCs w:val="21"/>
                <w14:textFill>
                  <w14:solidFill>
                    <w14:schemeClr w14:val="tx1"/>
                  </w14:solidFill>
                </w14:textFill>
              </w:rPr>
              <w:t>③</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end"/>
            </w:r>
          </w:p>
        </w:tc>
        <w:tc>
          <w:tcPr>
            <w:tcW w:w="1559" w:type="dxa"/>
            <w:tcBorders>
              <w:tl2br w:val="nil"/>
              <w:tr2bl w:val="nil"/>
            </w:tcBorders>
            <w:tcMar>
              <w:left w:w="28" w:type="dxa"/>
              <w:right w:w="28" w:type="dxa"/>
            </w:tcMar>
            <w:vAlign w:val="center"/>
          </w:tcPr>
          <w:p w14:paraId="6FA31CC2">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本项目</w:t>
            </w:r>
          </w:p>
          <w:p w14:paraId="4442A13E">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排放量（固体废物产生量）</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 w:val="21"/>
                <w:szCs w:val="21"/>
                <w14:textFill>
                  <w14:solidFill>
                    <w14:schemeClr w14:val="tx1"/>
                  </w14:solidFill>
                </w14:textFill>
              </w:rPr>
              <w:instrText xml:space="preserve"> = 4 \* GB3 \* MERGEFORMAT </w:instrTex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s="宋体"/>
                <w:color w:val="000000" w:themeColor="text1"/>
                <w:kern w:val="2"/>
                <w:sz w:val="21"/>
                <w:szCs w:val="21"/>
                <w14:textFill>
                  <w14:solidFill>
                    <w14:schemeClr w14:val="tx1"/>
                  </w14:solidFill>
                </w14:textFill>
              </w:rPr>
              <w:t>④</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end"/>
            </w:r>
          </w:p>
        </w:tc>
        <w:tc>
          <w:tcPr>
            <w:tcW w:w="1761" w:type="dxa"/>
            <w:tcBorders>
              <w:tl2br w:val="nil"/>
              <w:tr2bl w:val="nil"/>
            </w:tcBorders>
            <w:tcMar>
              <w:left w:w="28" w:type="dxa"/>
              <w:right w:w="28" w:type="dxa"/>
            </w:tcMar>
            <w:vAlign w:val="center"/>
          </w:tcPr>
          <w:p w14:paraId="232EFC31">
            <w:pPr>
              <w:pStyle w:val="109"/>
              <w:spacing w:beforeLines="0" w:afterLines="0" w:line="240" w:lineRule="auto"/>
              <w:rPr>
                <w:rFonts w:hint="eastAsia" w:ascii="宋体" w:hAnsi="宋体" w:eastAsia="宋体" w:cs="宋体"/>
                <w:snapToGrid w:val="0"/>
                <w:color w:val="000000" w:themeColor="text1"/>
                <w:spacing w:val="-16"/>
                <w:kern w:val="21"/>
                <w:sz w:val="21"/>
                <w:szCs w:val="21"/>
                <w14:textFill>
                  <w14:solidFill>
                    <w14:schemeClr w14:val="tx1"/>
                  </w14:solidFill>
                </w14:textFill>
              </w:rPr>
            </w:pPr>
            <w:r>
              <w:rPr>
                <w:rFonts w:hint="eastAsia" w:ascii="宋体" w:hAnsi="宋体" w:eastAsia="宋体" w:cs="宋体"/>
                <w:snapToGrid w:val="0"/>
                <w:color w:val="000000" w:themeColor="text1"/>
                <w:spacing w:val="-16"/>
                <w:kern w:val="21"/>
                <w:sz w:val="21"/>
                <w:szCs w:val="21"/>
                <w14:textFill>
                  <w14:solidFill>
                    <w14:schemeClr w14:val="tx1"/>
                  </w14:solidFill>
                </w14:textFill>
              </w:rPr>
              <w:t>以新带老削减量</w:t>
            </w:r>
          </w:p>
          <w:p w14:paraId="73893300">
            <w:pPr>
              <w:pStyle w:val="109"/>
              <w:spacing w:beforeLines="0" w:afterLines="0" w:line="240" w:lineRule="auto"/>
              <w:rPr>
                <w:rFonts w:hint="eastAsia" w:ascii="宋体" w:hAnsi="宋体" w:eastAsia="宋体" w:cs="宋体"/>
                <w:snapToGrid w:val="0"/>
                <w:color w:val="000000" w:themeColor="text1"/>
                <w:spacing w:val="-16"/>
                <w:kern w:val="21"/>
                <w:sz w:val="21"/>
                <w:szCs w:val="21"/>
                <w14:textFill>
                  <w14:solidFill>
                    <w14:schemeClr w14:val="tx1"/>
                  </w14:solidFill>
                </w14:textFill>
              </w:rPr>
            </w:pPr>
            <w:r>
              <w:rPr>
                <w:rFonts w:hint="eastAsia" w:ascii="宋体" w:hAnsi="宋体" w:eastAsia="宋体" w:cs="宋体"/>
                <w:snapToGrid w:val="0"/>
                <w:color w:val="000000" w:themeColor="text1"/>
                <w:spacing w:val="-16"/>
                <w:kern w:val="21"/>
                <w:sz w:val="21"/>
                <w:szCs w:val="21"/>
                <w14:textFill>
                  <w14:solidFill>
                    <w14:schemeClr w14:val="tx1"/>
                  </w14:solidFill>
                </w14:textFill>
              </w:rPr>
              <w:t>（新建项目不填）</w:t>
            </w:r>
            <w:r>
              <w:rPr>
                <w:rFonts w:hint="eastAsia" w:ascii="宋体" w:hAnsi="宋体" w:eastAsia="宋体" w:cs="宋体"/>
                <w:snapToGrid w:val="0"/>
                <w:color w:val="000000" w:themeColor="text1"/>
                <w:spacing w:val="-16"/>
                <w:kern w:val="21"/>
                <w:sz w:val="21"/>
                <w:szCs w:val="21"/>
                <w14:textFill>
                  <w14:solidFill>
                    <w14:schemeClr w14:val="tx1"/>
                  </w14:solidFill>
                </w14:textFill>
              </w:rPr>
              <w:fldChar w:fldCharType="begin"/>
            </w:r>
            <w:r>
              <w:rPr>
                <w:rFonts w:hint="eastAsia" w:ascii="宋体" w:hAnsi="宋体" w:eastAsia="宋体" w:cs="宋体"/>
                <w:snapToGrid w:val="0"/>
                <w:color w:val="000000" w:themeColor="text1"/>
                <w:spacing w:val="-16"/>
                <w:kern w:val="21"/>
                <w:sz w:val="21"/>
                <w:szCs w:val="21"/>
                <w14:textFill>
                  <w14:solidFill>
                    <w14:schemeClr w14:val="tx1"/>
                  </w14:solidFill>
                </w14:textFill>
              </w:rPr>
              <w:instrText xml:space="preserve"> = 5 \* GB3 \* MERGEFORMAT </w:instrText>
            </w:r>
            <w:r>
              <w:rPr>
                <w:rFonts w:hint="eastAsia" w:ascii="宋体" w:hAnsi="宋体" w:eastAsia="宋体" w:cs="宋体"/>
                <w:snapToGrid w:val="0"/>
                <w:color w:val="000000" w:themeColor="text1"/>
                <w:spacing w:val="-16"/>
                <w:kern w:val="21"/>
                <w:sz w:val="21"/>
                <w:szCs w:val="21"/>
                <w14:textFill>
                  <w14:solidFill>
                    <w14:schemeClr w14:val="tx1"/>
                  </w14:solidFill>
                </w14:textFill>
              </w:rPr>
              <w:fldChar w:fldCharType="separate"/>
            </w:r>
            <w:r>
              <w:rPr>
                <w:rFonts w:hint="eastAsia" w:ascii="宋体" w:hAnsi="宋体" w:eastAsia="宋体" w:cs="宋体"/>
                <w:color w:val="000000" w:themeColor="text1"/>
                <w:kern w:val="2"/>
                <w:sz w:val="21"/>
                <w:szCs w:val="21"/>
                <w14:textFill>
                  <w14:solidFill>
                    <w14:schemeClr w14:val="tx1"/>
                  </w14:solidFill>
                </w14:textFill>
              </w:rPr>
              <w:t>⑤</w:t>
            </w:r>
            <w:r>
              <w:rPr>
                <w:rFonts w:hint="eastAsia" w:ascii="宋体" w:hAnsi="宋体" w:eastAsia="宋体" w:cs="宋体"/>
                <w:snapToGrid w:val="0"/>
                <w:color w:val="000000" w:themeColor="text1"/>
                <w:spacing w:val="-16"/>
                <w:kern w:val="21"/>
                <w:sz w:val="21"/>
                <w:szCs w:val="21"/>
                <w14:textFill>
                  <w14:solidFill>
                    <w14:schemeClr w14:val="tx1"/>
                  </w14:solidFill>
                </w14:textFill>
              </w:rPr>
              <w:fldChar w:fldCharType="end"/>
            </w:r>
          </w:p>
        </w:tc>
        <w:tc>
          <w:tcPr>
            <w:tcW w:w="1959" w:type="dxa"/>
            <w:tcBorders>
              <w:tl2br w:val="nil"/>
              <w:tr2bl w:val="nil"/>
            </w:tcBorders>
            <w:tcMar>
              <w:left w:w="28" w:type="dxa"/>
              <w:right w:w="28" w:type="dxa"/>
            </w:tcMar>
            <w:vAlign w:val="center"/>
          </w:tcPr>
          <w:p w14:paraId="6EF3CA0A">
            <w:pPr>
              <w:pStyle w:val="109"/>
              <w:spacing w:beforeLines="0" w:afterLines="0" w:line="240" w:lineRule="auto"/>
              <w:rPr>
                <w:rFonts w:hint="eastAsia" w:ascii="宋体" w:hAnsi="宋体" w:eastAsia="宋体" w:cs="宋体"/>
                <w:snapToGrid w:val="0"/>
                <w:color w:val="000000" w:themeColor="text1"/>
                <w:spacing w:val="-16"/>
                <w:kern w:val="21"/>
                <w:sz w:val="21"/>
                <w:szCs w:val="21"/>
                <w14:textFill>
                  <w14:solidFill>
                    <w14:schemeClr w14:val="tx1"/>
                  </w14:solidFill>
                </w14:textFill>
              </w:rPr>
            </w:pPr>
            <w:r>
              <w:rPr>
                <w:rFonts w:hint="eastAsia" w:ascii="宋体" w:hAnsi="宋体" w:eastAsia="宋体" w:cs="宋体"/>
                <w:snapToGrid w:val="0"/>
                <w:color w:val="000000" w:themeColor="text1"/>
                <w:spacing w:val="-16"/>
                <w:kern w:val="21"/>
                <w:sz w:val="21"/>
                <w:szCs w:val="21"/>
                <w14:textFill>
                  <w14:solidFill>
                    <w14:schemeClr w14:val="tx1"/>
                  </w14:solidFill>
                </w14:textFill>
              </w:rPr>
              <w:t>本项目建成后</w:t>
            </w:r>
          </w:p>
          <w:p w14:paraId="5A449792">
            <w:pPr>
              <w:pStyle w:val="109"/>
              <w:spacing w:beforeLines="0" w:afterLines="0" w:line="240" w:lineRule="auto"/>
              <w:rPr>
                <w:rFonts w:hint="eastAsia" w:ascii="宋体" w:hAnsi="宋体" w:eastAsia="宋体" w:cs="宋体"/>
                <w:snapToGrid w:val="0"/>
                <w:color w:val="000000" w:themeColor="text1"/>
                <w:spacing w:val="-16"/>
                <w:kern w:val="21"/>
                <w:sz w:val="21"/>
                <w:szCs w:val="21"/>
                <w14:textFill>
                  <w14:solidFill>
                    <w14:schemeClr w14:val="tx1"/>
                  </w14:solidFill>
                </w14:textFill>
              </w:rPr>
            </w:pPr>
            <w:r>
              <w:rPr>
                <w:rFonts w:hint="eastAsia" w:ascii="宋体" w:hAnsi="宋体" w:eastAsia="宋体" w:cs="宋体"/>
                <w:snapToGrid w:val="0"/>
                <w:color w:val="000000" w:themeColor="text1"/>
                <w:spacing w:val="-16"/>
                <w:kern w:val="21"/>
                <w:sz w:val="21"/>
                <w:szCs w:val="21"/>
                <w14:textFill>
                  <w14:solidFill>
                    <w14:schemeClr w14:val="tx1"/>
                  </w14:solidFill>
                </w14:textFill>
              </w:rPr>
              <w:t>全厂排放量（固体废物产生量）</w:t>
            </w:r>
            <w:r>
              <w:rPr>
                <w:rFonts w:hint="eastAsia" w:ascii="宋体" w:hAnsi="宋体" w:eastAsia="宋体" w:cs="宋体"/>
                <w:snapToGrid w:val="0"/>
                <w:color w:val="000000" w:themeColor="text1"/>
                <w:spacing w:val="-16"/>
                <w:kern w:val="21"/>
                <w:sz w:val="21"/>
                <w:szCs w:val="21"/>
                <w14:textFill>
                  <w14:solidFill>
                    <w14:schemeClr w14:val="tx1"/>
                  </w14:solidFill>
                </w14:textFill>
              </w:rPr>
              <w:fldChar w:fldCharType="begin"/>
            </w:r>
            <w:r>
              <w:rPr>
                <w:rFonts w:hint="eastAsia" w:ascii="宋体" w:hAnsi="宋体" w:eastAsia="宋体" w:cs="宋体"/>
                <w:snapToGrid w:val="0"/>
                <w:color w:val="000000" w:themeColor="text1"/>
                <w:spacing w:val="-16"/>
                <w:kern w:val="21"/>
                <w:sz w:val="21"/>
                <w:szCs w:val="21"/>
                <w14:textFill>
                  <w14:solidFill>
                    <w14:schemeClr w14:val="tx1"/>
                  </w14:solidFill>
                </w14:textFill>
              </w:rPr>
              <w:instrText xml:space="preserve"> = 6 \* GB3 \* MERGEFORMAT </w:instrText>
            </w:r>
            <w:r>
              <w:rPr>
                <w:rFonts w:hint="eastAsia" w:ascii="宋体" w:hAnsi="宋体" w:eastAsia="宋体" w:cs="宋体"/>
                <w:snapToGrid w:val="0"/>
                <w:color w:val="000000" w:themeColor="text1"/>
                <w:spacing w:val="-16"/>
                <w:kern w:val="21"/>
                <w:sz w:val="21"/>
                <w:szCs w:val="21"/>
                <w14:textFill>
                  <w14:solidFill>
                    <w14:schemeClr w14:val="tx1"/>
                  </w14:solidFill>
                </w14:textFill>
              </w:rPr>
              <w:fldChar w:fldCharType="separate"/>
            </w:r>
            <w:r>
              <w:rPr>
                <w:rFonts w:hint="eastAsia" w:ascii="宋体" w:hAnsi="宋体" w:eastAsia="宋体" w:cs="宋体"/>
                <w:color w:val="000000" w:themeColor="text1"/>
                <w:kern w:val="2"/>
                <w:sz w:val="21"/>
                <w:szCs w:val="21"/>
                <w14:textFill>
                  <w14:solidFill>
                    <w14:schemeClr w14:val="tx1"/>
                  </w14:solidFill>
                </w14:textFill>
              </w:rPr>
              <w:t>⑥</w:t>
            </w:r>
            <w:r>
              <w:rPr>
                <w:rFonts w:hint="eastAsia" w:ascii="宋体" w:hAnsi="宋体" w:eastAsia="宋体" w:cs="宋体"/>
                <w:snapToGrid w:val="0"/>
                <w:color w:val="000000" w:themeColor="text1"/>
                <w:spacing w:val="-16"/>
                <w:kern w:val="21"/>
                <w:sz w:val="21"/>
                <w:szCs w:val="21"/>
                <w14:textFill>
                  <w14:solidFill>
                    <w14:schemeClr w14:val="tx1"/>
                  </w14:solidFill>
                </w14:textFill>
              </w:rPr>
              <w:fldChar w:fldCharType="end"/>
            </w:r>
          </w:p>
        </w:tc>
        <w:tc>
          <w:tcPr>
            <w:tcW w:w="826" w:type="dxa"/>
            <w:tcBorders>
              <w:tl2br w:val="nil"/>
              <w:tr2bl w:val="nil"/>
            </w:tcBorders>
            <w:tcMar>
              <w:left w:w="28" w:type="dxa"/>
              <w:right w:w="28" w:type="dxa"/>
            </w:tcMar>
            <w:vAlign w:val="center"/>
          </w:tcPr>
          <w:p w14:paraId="026F3BE7">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t>变化量</w:t>
            </w:r>
          </w:p>
          <w:p w14:paraId="7E340315">
            <w:pPr>
              <w:pStyle w:val="109"/>
              <w:spacing w:beforeLines="0" w:afterLines="0" w:line="240" w:lineRule="auto"/>
              <w:rPr>
                <w:rFonts w:hint="eastAsia" w:ascii="宋体" w:hAnsi="宋体" w:eastAsia="宋体" w:cs="宋体"/>
                <w:snapToGrid w:val="0"/>
                <w:color w:val="000000" w:themeColor="text1"/>
                <w:spacing w:val="-6"/>
                <w:kern w:val="21"/>
                <w:sz w:val="21"/>
                <w:szCs w:val="21"/>
                <w14:textFill>
                  <w14:solidFill>
                    <w14:schemeClr w14:val="tx1"/>
                  </w14:solidFill>
                </w14:textFill>
              </w:rPr>
            </w:pP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 w:val="21"/>
                <w:szCs w:val="21"/>
                <w14:textFill>
                  <w14:solidFill>
                    <w14:schemeClr w14:val="tx1"/>
                  </w14:solidFill>
                </w14:textFill>
              </w:rPr>
              <w:instrText xml:space="preserve"> = 7 \* GB3 \* MERGEFORMAT </w:instrTex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separate"/>
            </w:r>
            <w:r>
              <w:rPr>
                <w:rFonts w:hint="eastAsia" w:ascii="宋体" w:hAnsi="宋体" w:eastAsia="宋体" w:cs="宋体"/>
                <w:color w:val="000000" w:themeColor="text1"/>
                <w:kern w:val="2"/>
                <w:sz w:val="21"/>
                <w:szCs w:val="21"/>
                <w14:textFill>
                  <w14:solidFill>
                    <w14:schemeClr w14:val="tx1"/>
                  </w14:solidFill>
                </w14:textFill>
              </w:rPr>
              <w:t>⑦</w:t>
            </w:r>
            <w:r>
              <w:rPr>
                <w:rFonts w:hint="eastAsia" w:ascii="宋体" w:hAnsi="宋体" w:eastAsia="宋体" w:cs="宋体"/>
                <w:snapToGrid w:val="0"/>
                <w:color w:val="000000" w:themeColor="text1"/>
                <w:spacing w:val="-6"/>
                <w:kern w:val="21"/>
                <w:sz w:val="21"/>
                <w:szCs w:val="21"/>
                <w14:textFill>
                  <w14:solidFill>
                    <w14:schemeClr w14:val="tx1"/>
                  </w14:solidFill>
                </w14:textFill>
              </w:rPr>
              <w:fldChar w:fldCharType="end"/>
            </w:r>
          </w:p>
        </w:tc>
      </w:tr>
      <w:tr w14:paraId="35366372">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vAlign w:val="center"/>
          </w:tcPr>
          <w:p w14:paraId="09DE57BE">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r>
              <w:rPr>
                <w:rFonts w:hint="eastAsia" w:ascii="宋体" w:hAnsi="宋体" w:eastAsia="宋体" w:cs="宋体"/>
                <w:snapToGrid w:val="0"/>
                <w:color w:val="000000" w:themeColor="text1"/>
                <w:kern w:val="21"/>
                <w:sz w:val="21"/>
                <w:szCs w:val="21"/>
                <w14:textFill>
                  <w14:solidFill>
                    <w14:schemeClr w14:val="tx1"/>
                  </w14:solidFill>
                </w14:textFill>
              </w:rPr>
              <w:t>废气</w:t>
            </w:r>
          </w:p>
        </w:tc>
        <w:tc>
          <w:tcPr>
            <w:tcW w:w="1701" w:type="dxa"/>
            <w:tcBorders>
              <w:tl2br w:val="nil"/>
              <w:tr2bl w:val="nil"/>
            </w:tcBorders>
            <w:vAlign w:val="center"/>
          </w:tcPr>
          <w:p w14:paraId="08D5B484">
            <w:pPr>
              <w:pStyle w:val="109"/>
              <w:spacing w:beforeLines="0" w:afterLines="0" w:line="240" w:lineRule="auto"/>
              <w:rPr>
                <w:rFonts w:hint="default" w:ascii="宋体"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hAnsi="宋体" w:eastAsia="宋体" w:cs="宋体"/>
                <w:bCs/>
                <w:snapToGrid w:val="0"/>
                <w:color w:val="000000" w:themeColor="text1"/>
                <w:kern w:val="21"/>
                <w:sz w:val="21"/>
                <w:szCs w:val="21"/>
                <w:lang w:val="en-US" w:eastAsia="zh-CN" w:bidi="ar-SA"/>
                <w14:textFill>
                  <w14:solidFill>
                    <w14:schemeClr w14:val="tx1"/>
                  </w14:solidFill>
                </w14:textFill>
              </w:rPr>
              <w:t>非甲烷总烃</w:t>
            </w:r>
            <w:r>
              <w:rPr>
                <w:rFonts w:hint="eastAsia" w:hAnsi="宋体" w:eastAsia="宋体" w:cs="宋体"/>
                <w:snapToGrid w:val="0"/>
                <w:color w:val="000000" w:themeColor="text1"/>
                <w:kern w:val="21"/>
                <w:sz w:val="21"/>
                <w:szCs w:val="21"/>
                <w:lang w:val="en-US" w:eastAsia="zh-CN"/>
                <w14:textFill>
                  <w14:solidFill>
                    <w14:schemeClr w14:val="tx1"/>
                  </w14:solidFill>
                </w14:textFill>
              </w:rPr>
              <w:t>0.358</w:t>
            </w:r>
          </w:p>
        </w:tc>
        <w:tc>
          <w:tcPr>
            <w:tcW w:w="1276" w:type="dxa"/>
            <w:tcBorders>
              <w:tl2br w:val="nil"/>
              <w:tr2bl w:val="nil"/>
            </w:tcBorders>
            <w:vAlign w:val="center"/>
          </w:tcPr>
          <w:p w14:paraId="3ADBD952">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701" w:type="dxa"/>
            <w:tcBorders>
              <w:tl2br w:val="nil"/>
              <w:tr2bl w:val="nil"/>
            </w:tcBorders>
            <w:vAlign w:val="center"/>
          </w:tcPr>
          <w:p w14:paraId="6ECE3093">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559" w:type="dxa"/>
            <w:tcBorders>
              <w:tl2br w:val="nil"/>
              <w:tr2bl w:val="nil"/>
            </w:tcBorders>
            <w:vAlign w:val="center"/>
          </w:tcPr>
          <w:p w14:paraId="6E15FBEF">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0.18</w:t>
            </w:r>
          </w:p>
        </w:tc>
        <w:tc>
          <w:tcPr>
            <w:tcW w:w="1761" w:type="dxa"/>
            <w:tcBorders>
              <w:tl2br w:val="nil"/>
              <w:tr2bl w:val="nil"/>
            </w:tcBorders>
            <w:vAlign w:val="center"/>
          </w:tcPr>
          <w:p w14:paraId="17AFD483">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959" w:type="dxa"/>
            <w:tcBorders>
              <w:tl2br w:val="nil"/>
              <w:tr2bl w:val="nil"/>
            </w:tcBorders>
            <w:vAlign w:val="center"/>
          </w:tcPr>
          <w:p w14:paraId="0F2A35BE">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0.538</w:t>
            </w:r>
          </w:p>
        </w:tc>
        <w:tc>
          <w:tcPr>
            <w:tcW w:w="826" w:type="dxa"/>
            <w:tcBorders>
              <w:tl2br w:val="nil"/>
              <w:tr2bl w:val="nil"/>
            </w:tcBorders>
            <w:vAlign w:val="center"/>
          </w:tcPr>
          <w:p w14:paraId="5A8A7D93">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r>
      <w:tr w14:paraId="584E690A">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20972F38">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701" w:type="dxa"/>
            <w:tcBorders>
              <w:tl2br w:val="nil"/>
              <w:tr2bl w:val="nil"/>
            </w:tcBorders>
            <w:vAlign w:val="center"/>
          </w:tcPr>
          <w:p w14:paraId="532E4867">
            <w:pPr>
              <w:pStyle w:val="109"/>
              <w:spacing w:beforeLines="0" w:afterLines="0" w:line="240" w:lineRule="auto"/>
              <w:rPr>
                <w:rFonts w:hint="default" w:ascii="宋体"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hAnsi="宋体" w:eastAsia="宋体" w:cs="宋体"/>
                <w:bCs/>
                <w:snapToGrid w:val="0"/>
                <w:color w:val="000000" w:themeColor="text1"/>
                <w:kern w:val="21"/>
                <w:sz w:val="21"/>
                <w:szCs w:val="21"/>
                <w:lang w:val="en-US" w:eastAsia="zh-CN" w:bidi="ar-SA"/>
                <w14:textFill>
                  <w14:solidFill>
                    <w14:schemeClr w14:val="tx1"/>
                  </w14:solidFill>
                </w14:textFill>
              </w:rPr>
              <w:t>颗粒物</w:t>
            </w:r>
            <w:r>
              <w:rPr>
                <w:rFonts w:hint="eastAsia" w:hAnsi="宋体" w:eastAsia="宋体" w:cs="宋体"/>
                <w:snapToGrid w:val="0"/>
                <w:color w:val="000000" w:themeColor="text1"/>
                <w:kern w:val="21"/>
                <w:sz w:val="21"/>
                <w:szCs w:val="21"/>
                <w:lang w:val="en-US" w:eastAsia="zh-CN"/>
                <w14:textFill>
                  <w14:solidFill>
                    <w14:schemeClr w14:val="tx1"/>
                  </w14:solidFill>
                </w14:textFill>
              </w:rPr>
              <w:t>0.018</w:t>
            </w:r>
          </w:p>
        </w:tc>
        <w:tc>
          <w:tcPr>
            <w:tcW w:w="1276" w:type="dxa"/>
            <w:tcBorders>
              <w:tl2br w:val="nil"/>
              <w:tr2bl w:val="nil"/>
            </w:tcBorders>
            <w:vAlign w:val="center"/>
          </w:tcPr>
          <w:p w14:paraId="0C5BB011">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701" w:type="dxa"/>
            <w:tcBorders>
              <w:tl2br w:val="nil"/>
              <w:tr2bl w:val="nil"/>
            </w:tcBorders>
            <w:vAlign w:val="center"/>
          </w:tcPr>
          <w:p w14:paraId="6B0C8743">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559" w:type="dxa"/>
            <w:tcBorders>
              <w:tl2br w:val="nil"/>
              <w:tr2bl w:val="nil"/>
            </w:tcBorders>
            <w:vAlign w:val="center"/>
          </w:tcPr>
          <w:p w14:paraId="335F198D">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0.009</w:t>
            </w:r>
          </w:p>
        </w:tc>
        <w:tc>
          <w:tcPr>
            <w:tcW w:w="1761" w:type="dxa"/>
            <w:tcBorders>
              <w:tl2br w:val="nil"/>
              <w:tr2bl w:val="nil"/>
            </w:tcBorders>
            <w:vAlign w:val="center"/>
          </w:tcPr>
          <w:p w14:paraId="70335185">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959" w:type="dxa"/>
            <w:tcBorders>
              <w:tl2br w:val="nil"/>
              <w:tr2bl w:val="nil"/>
            </w:tcBorders>
            <w:vAlign w:val="center"/>
          </w:tcPr>
          <w:p w14:paraId="28F12624">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0.027</w:t>
            </w:r>
          </w:p>
        </w:tc>
        <w:tc>
          <w:tcPr>
            <w:tcW w:w="826" w:type="dxa"/>
            <w:tcBorders>
              <w:tl2br w:val="nil"/>
              <w:tr2bl w:val="nil"/>
            </w:tcBorders>
            <w:vAlign w:val="center"/>
          </w:tcPr>
          <w:p w14:paraId="02B553B0">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r>
      <w:tr w14:paraId="4FB48DEF">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77259DF6">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701" w:type="dxa"/>
            <w:tcBorders>
              <w:tl2br w:val="nil"/>
              <w:tr2bl w:val="nil"/>
            </w:tcBorders>
            <w:vAlign w:val="center"/>
          </w:tcPr>
          <w:p w14:paraId="77A34531">
            <w:pPr>
              <w:pStyle w:val="109"/>
              <w:spacing w:beforeLines="0" w:afterLines="0" w:line="240" w:lineRule="auto"/>
              <w:rPr>
                <w:rFonts w:hint="default" w:ascii="宋体"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hAnsi="宋体" w:eastAsia="宋体" w:cs="宋体"/>
                <w:bCs/>
                <w:snapToGrid w:val="0"/>
                <w:color w:val="000000" w:themeColor="text1"/>
                <w:kern w:val="21"/>
                <w:sz w:val="21"/>
                <w:szCs w:val="21"/>
                <w:lang w:val="en-US" w:eastAsia="zh-CN" w:bidi="ar-SA"/>
                <w14:textFill>
                  <w14:solidFill>
                    <w14:schemeClr w14:val="tx1"/>
                  </w14:solidFill>
                </w14:textFill>
              </w:rPr>
              <w:t>铅</w:t>
            </w:r>
            <w:r>
              <w:rPr>
                <w:rFonts w:hint="eastAsia" w:hAnsi="宋体" w:eastAsia="宋体" w:cs="宋体"/>
                <w:snapToGrid w:val="0"/>
                <w:color w:val="000000" w:themeColor="text1"/>
                <w:kern w:val="21"/>
                <w:sz w:val="21"/>
                <w:szCs w:val="21"/>
                <w:lang w:val="en-US" w:eastAsia="zh-CN"/>
                <w14:textFill>
                  <w14:solidFill>
                    <w14:schemeClr w14:val="tx1"/>
                  </w14:solidFill>
                </w14:textFill>
              </w:rPr>
              <w:t>0</w:t>
            </w:r>
          </w:p>
        </w:tc>
        <w:tc>
          <w:tcPr>
            <w:tcW w:w="1276" w:type="dxa"/>
            <w:tcBorders>
              <w:tl2br w:val="nil"/>
              <w:tr2bl w:val="nil"/>
            </w:tcBorders>
            <w:vAlign w:val="center"/>
          </w:tcPr>
          <w:p w14:paraId="75857CFC">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701" w:type="dxa"/>
            <w:tcBorders>
              <w:tl2br w:val="nil"/>
              <w:tr2bl w:val="nil"/>
            </w:tcBorders>
            <w:vAlign w:val="center"/>
          </w:tcPr>
          <w:p w14:paraId="042C11EB">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559" w:type="dxa"/>
            <w:tcBorders>
              <w:tl2br w:val="nil"/>
              <w:tr2bl w:val="nil"/>
            </w:tcBorders>
            <w:vAlign w:val="center"/>
          </w:tcPr>
          <w:p w14:paraId="74387717">
            <w:pPr>
              <w:pStyle w:val="109"/>
              <w:spacing w:beforeLines="0" w:afterLines="0" w:line="240" w:lineRule="auto"/>
              <w:rPr>
                <w:rFonts w:hint="eastAsia" w:ascii="宋体"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0.009k</w:t>
            </w:r>
            <w:r>
              <w:rPr>
                <w:rFonts w:hint="eastAsia" w:ascii="宋体" w:hAnsi="宋体" w:eastAsia="宋体" w:cs="宋体"/>
                <w:color w:val="000000" w:themeColor="text1"/>
                <w:sz w:val="18"/>
                <w:szCs w:val="18"/>
                <w14:textFill>
                  <w14:solidFill>
                    <w14:schemeClr w14:val="tx1"/>
                  </w14:solidFill>
                </w14:textFill>
              </w:rPr>
              <w:t>g/</w:t>
            </w:r>
            <w:r>
              <w:rPr>
                <w:rFonts w:hint="eastAsia" w:ascii="宋体" w:hAnsi="宋体" w:cs="宋体"/>
                <w:color w:val="000000" w:themeColor="text1"/>
                <w:sz w:val="18"/>
                <w:szCs w:val="18"/>
                <w:lang w:val="en-US" w:eastAsia="zh-CN"/>
                <w14:textFill>
                  <w14:solidFill>
                    <w14:schemeClr w14:val="tx1"/>
                  </w14:solidFill>
                </w14:textFill>
              </w:rPr>
              <w:t>a</w:t>
            </w:r>
          </w:p>
        </w:tc>
        <w:tc>
          <w:tcPr>
            <w:tcW w:w="1761" w:type="dxa"/>
            <w:tcBorders>
              <w:tl2br w:val="nil"/>
              <w:tr2bl w:val="nil"/>
            </w:tcBorders>
            <w:vAlign w:val="center"/>
          </w:tcPr>
          <w:p w14:paraId="7094356A">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bidi="ar-SA"/>
                <w14:textFill>
                  <w14:solidFill>
                    <w14:schemeClr w14:val="tx1"/>
                  </w14:solidFill>
                </w14:textFill>
              </w:rPr>
            </w:pPr>
          </w:p>
        </w:tc>
        <w:tc>
          <w:tcPr>
            <w:tcW w:w="1959" w:type="dxa"/>
            <w:tcBorders>
              <w:tl2br w:val="nil"/>
              <w:tr2bl w:val="nil"/>
            </w:tcBorders>
            <w:vAlign w:val="center"/>
          </w:tcPr>
          <w:p w14:paraId="51DD7BE1">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0.009k</w:t>
            </w:r>
            <w:r>
              <w:rPr>
                <w:rFonts w:hint="eastAsia" w:ascii="宋体" w:hAnsi="宋体" w:eastAsia="宋体" w:cs="宋体"/>
                <w:color w:val="000000" w:themeColor="text1"/>
                <w:sz w:val="18"/>
                <w:szCs w:val="18"/>
                <w14:textFill>
                  <w14:solidFill>
                    <w14:schemeClr w14:val="tx1"/>
                  </w14:solidFill>
                </w14:textFill>
              </w:rPr>
              <w:t>g/</w:t>
            </w:r>
            <w:r>
              <w:rPr>
                <w:rFonts w:hint="eastAsia" w:ascii="宋体" w:hAnsi="宋体" w:cs="宋体"/>
                <w:color w:val="000000" w:themeColor="text1"/>
                <w:sz w:val="18"/>
                <w:szCs w:val="18"/>
                <w:lang w:val="en-US" w:eastAsia="zh-CN"/>
                <w14:textFill>
                  <w14:solidFill>
                    <w14:schemeClr w14:val="tx1"/>
                  </w14:solidFill>
                </w14:textFill>
              </w:rPr>
              <w:t>a</w:t>
            </w:r>
          </w:p>
        </w:tc>
        <w:tc>
          <w:tcPr>
            <w:tcW w:w="826" w:type="dxa"/>
            <w:tcBorders>
              <w:tl2br w:val="nil"/>
              <w:tr2bl w:val="nil"/>
            </w:tcBorders>
            <w:vAlign w:val="center"/>
          </w:tcPr>
          <w:p w14:paraId="4B6572F1">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0.009k</w:t>
            </w:r>
            <w:r>
              <w:rPr>
                <w:rFonts w:hint="eastAsia" w:ascii="宋体" w:hAnsi="宋体" w:eastAsia="宋体" w:cs="宋体"/>
                <w:color w:val="000000" w:themeColor="text1"/>
                <w:sz w:val="18"/>
                <w:szCs w:val="18"/>
                <w14:textFill>
                  <w14:solidFill>
                    <w14:schemeClr w14:val="tx1"/>
                  </w14:solidFill>
                </w14:textFill>
              </w:rPr>
              <w:t>g/</w:t>
            </w:r>
            <w:r>
              <w:rPr>
                <w:rFonts w:hint="eastAsia" w:ascii="宋体" w:hAnsi="宋体" w:cs="宋体"/>
                <w:color w:val="000000" w:themeColor="text1"/>
                <w:sz w:val="18"/>
                <w:szCs w:val="18"/>
                <w:lang w:val="en-US" w:eastAsia="zh-CN"/>
                <w14:textFill>
                  <w14:solidFill>
                    <w14:schemeClr w14:val="tx1"/>
                  </w14:solidFill>
                </w14:textFill>
              </w:rPr>
              <w:t>a</w:t>
            </w:r>
          </w:p>
        </w:tc>
      </w:tr>
      <w:tr w14:paraId="6952C9AE">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6C3BC720">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701" w:type="dxa"/>
            <w:tcBorders>
              <w:tl2br w:val="nil"/>
              <w:tr2bl w:val="nil"/>
            </w:tcBorders>
            <w:vAlign w:val="center"/>
          </w:tcPr>
          <w:p w14:paraId="679EB9E9">
            <w:pPr>
              <w:pStyle w:val="109"/>
              <w:spacing w:beforeLines="0" w:afterLines="0" w:line="240" w:lineRule="auto"/>
              <w:rPr>
                <w:rFonts w:hint="default"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hAnsi="宋体" w:eastAsia="宋体" w:cs="宋体"/>
                <w:bCs/>
                <w:snapToGrid w:val="0"/>
                <w:color w:val="000000" w:themeColor="text1"/>
                <w:kern w:val="21"/>
                <w:sz w:val="21"/>
                <w:szCs w:val="21"/>
                <w:lang w:val="en-US" w:eastAsia="zh-CN" w:bidi="ar-SA"/>
                <w14:textFill>
                  <w14:solidFill>
                    <w14:schemeClr w14:val="tx1"/>
                  </w14:solidFill>
                </w14:textFill>
              </w:rPr>
              <w:t>酸雾</w:t>
            </w:r>
            <w:r>
              <w:rPr>
                <w:rFonts w:hint="eastAsia" w:hAnsi="宋体" w:eastAsia="宋体" w:cs="宋体"/>
                <w:snapToGrid w:val="0"/>
                <w:color w:val="000000" w:themeColor="text1"/>
                <w:kern w:val="21"/>
                <w:sz w:val="21"/>
                <w:szCs w:val="21"/>
                <w:lang w:val="en-US" w:eastAsia="zh-CN"/>
                <w14:textFill>
                  <w14:solidFill>
                    <w14:schemeClr w14:val="tx1"/>
                  </w14:solidFill>
                </w14:textFill>
              </w:rPr>
              <w:t>0</w:t>
            </w:r>
          </w:p>
        </w:tc>
        <w:tc>
          <w:tcPr>
            <w:tcW w:w="1276" w:type="dxa"/>
            <w:tcBorders>
              <w:tl2br w:val="nil"/>
              <w:tr2bl w:val="nil"/>
            </w:tcBorders>
            <w:vAlign w:val="center"/>
          </w:tcPr>
          <w:p w14:paraId="73C6DE41">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701" w:type="dxa"/>
            <w:tcBorders>
              <w:tl2br w:val="nil"/>
              <w:tr2bl w:val="nil"/>
            </w:tcBorders>
            <w:vAlign w:val="center"/>
          </w:tcPr>
          <w:p w14:paraId="26E35A4F">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559" w:type="dxa"/>
            <w:tcBorders>
              <w:tl2br w:val="nil"/>
              <w:tr2bl w:val="nil"/>
            </w:tcBorders>
            <w:vAlign w:val="center"/>
          </w:tcPr>
          <w:p w14:paraId="5B2C9463">
            <w:pPr>
              <w:pStyle w:val="109"/>
              <w:spacing w:beforeLines="0" w:afterLines="0" w:line="240" w:lineRule="auto"/>
              <w:rPr>
                <w:rFonts w:hint="eastAsia" w:ascii="宋体"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0.0008</w:t>
            </w:r>
          </w:p>
        </w:tc>
        <w:tc>
          <w:tcPr>
            <w:tcW w:w="1761" w:type="dxa"/>
            <w:tcBorders>
              <w:tl2br w:val="nil"/>
              <w:tr2bl w:val="nil"/>
            </w:tcBorders>
            <w:vAlign w:val="center"/>
          </w:tcPr>
          <w:p w14:paraId="0E7C9F6A">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bidi="ar-SA"/>
                <w14:textFill>
                  <w14:solidFill>
                    <w14:schemeClr w14:val="tx1"/>
                  </w14:solidFill>
                </w14:textFill>
              </w:rPr>
            </w:pPr>
          </w:p>
        </w:tc>
        <w:tc>
          <w:tcPr>
            <w:tcW w:w="1959" w:type="dxa"/>
            <w:tcBorders>
              <w:tl2br w:val="nil"/>
              <w:tr2bl w:val="nil"/>
            </w:tcBorders>
            <w:vAlign w:val="center"/>
          </w:tcPr>
          <w:p w14:paraId="07B09417">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0.0008</w:t>
            </w:r>
          </w:p>
        </w:tc>
        <w:tc>
          <w:tcPr>
            <w:tcW w:w="826" w:type="dxa"/>
            <w:tcBorders>
              <w:tl2br w:val="nil"/>
              <w:tr2bl w:val="nil"/>
            </w:tcBorders>
            <w:vAlign w:val="center"/>
          </w:tcPr>
          <w:p w14:paraId="1A8A3375">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0.0008</w:t>
            </w:r>
          </w:p>
        </w:tc>
      </w:tr>
      <w:tr w14:paraId="526CD703">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vAlign w:val="center"/>
          </w:tcPr>
          <w:p w14:paraId="5F018B76">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r>
              <w:rPr>
                <w:rFonts w:hint="eastAsia" w:ascii="宋体" w:hAnsi="宋体" w:eastAsia="宋体" w:cs="宋体"/>
                <w:snapToGrid w:val="0"/>
                <w:color w:val="000000" w:themeColor="text1"/>
                <w:kern w:val="21"/>
                <w:sz w:val="21"/>
                <w:szCs w:val="21"/>
                <w14:textFill>
                  <w14:solidFill>
                    <w14:schemeClr w14:val="tx1"/>
                  </w14:solidFill>
                </w14:textFill>
              </w:rPr>
              <w:t>废水</w:t>
            </w:r>
          </w:p>
        </w:tc>
        <w:tc>
          <w:tcPr>
            <w:tcW w:w="1701" w:type="dxa"/>
            <w:tcBorders>
              <w:tl2br w:val="nil"/>
              <w:tr2bl w:val="nil"/>
            </w:tcBorders>
            <w:vAlign w:val="center"/>
          </w:tcPr>
          <w:p w14:paraId="2CB9C6CB">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COD</w:t>
            </w:r>
            <w:r>
              <w:rPr>
                <w:rFonts w:hint="eastAsia" w:ascii="宋体" w:hAnsi="宋体" w:eastAsia="宋体" w:cs="宋体"/>
                <w:snapToGrid w:val="0"/>
                <w:color w:val="000000" w:themeColor="text1"/>
                <w:kern w:val="21"/>
                <w:sz w:val="21"/>
                <w:szCs w:val="21"/>
                <w:lang w:val="en-US" w:eastAsia="zh-CN"/>
                <w14:textFill>
                  <w14:solidFill>
                    <w14:schemeClr w14:val="tx1"/>
                  </w14:solidFill>
                </w14:textFill>
              </w:rPr>
              <w:t>0.0</w:t>
            </w:r>
            <w:r>
              <w:rPr>
                <w:rFonts w:hint="eastAsia" w:hAnsi="宋体" w:eastAsia="宋体" w:cs="宋体"/>
                <w:snapToGrid w:val="0"/>
                <w:color w:val="000000" w:themeColor="text1"/>
                <w:kern w:val="21"/>
                <w:sz w:val="21"/>
                <w:szCs w:val="21"/>
                <w:lang w:val="en-US" w:eastAsia="zh-CN"/>
                <w14:textFill>
                  <w14:solidFill>
                    <w14:schemeClr w14:val="tx1"/>
                  </w14:solidFill>
                </w14:textFill>
              </w:rPr>
              <w:t>8</w:t>
            </w:r>
          </w:p>
        </w:tc>
        <w:tc>
          <w:tcPr>
            <w:tcW w:w="1276" w:type="dxa"/>
            <w:tcBorders>
              <w:tl2br w:val="nil"/>
              <w:tr2bl w:val="nil"/>
            </w:tcBorders>
            <w:vAlign w:val="center"/>
          </w:tcPr>
          <w:p w14:paraId="53DC87FF">
            <w:pPr>
              <w:pStyle w:val="109"/>
              <w:spacing w:beforeLines="0" w:afterLines="0" w:line="240" w:lineRule="auto"/>
              <w:rPr>
                <w:rFonts w:hint="default" w:ascii="宋体" w:hAnsi="宋体" w:eastAsia="宋体" w:cs="宋体"/>
                <w:snapToGrid w:val="0"/>
                <w:color w:val="000000" w:themeColor="text1"/>
                <w:kern w:val="21"/>
                <w:sz w:val="21"/>
                <w:szCs w:val="21"/>
                <w:lang w:val="en-US"/>
                <w14:textFill>
                  <w14:solidFill>
                    <w14:schemeClr w14:val="tx1"/>
                  </w14:solidFill>
                </w14:textFill>
              </w:rPr>
            </w:pPr>
          </w:p>
        </w:tc>
        <w:tc>
          <w:tcPr>
            <w:tcW w:w="1701" w:type="dxa"/>
            <w:tcBorders>
              <w:tl2br w:val="nil"/>
              <w:tr2bl w:val="nil"/>
            </w:tcBorders>
            <w:vAlign w:val="center"/>
          </w:tcPr>
          <w:p w14:paraId="44E39186">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559" w:type="dxa"/>
            <w:tcBorders>
              <w:tl2br w:val="nil"/>
              <w:tr2bl w:val="nil"/>
            </w:tcBorders>
            <w:vAlign w:val="center"/>
          </w:tcPr>
          <w:p w14:paraId="45B169BB">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w:t>
            </w:r>
          </w:p>
        </w:tc>
        <w:tc>
          <w:tcPr>
            <w:tcW w:w="1761" w:type="dxa"/>
            <w:tcBorders>
              <w:tl2br w:val="nil"/>
              <w:tr2bl w:val="nil"/>
            </w:tcBorders>
            <w:vAlign w:val="center"/>
          </w:tcPr>
          <w:p w14:paraId="2A46C04F">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959" w:type="dxa"/>
            <w:tcBorders>
              <w:tl2br w:val="nil"/>
              <w:tr2bl w:val="nil"/>
            </w:tcBorders>
            <w:vAlign w:val="center"/>
          </w:tcPr>
          <w:p w14:paraId="3517B389">
            <w:pPr>
              <w:pStyle w:val="109"/>
              <w:spacing w:beforeLines="0" w:afterLines="0" w:line="240" w:lineRule="auto"/>
              <w:rPr>
                <w:rFonts w:hint="eastAsia" w:ascii="宋体"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ascii="宋体" w:hAnsi="宋体" w:eastAsia="宋体" w:cs="宋体"/>
                <w:snapToGrid w:val="0"/>
                <w:color w:val="000000" w:themeColor="text1"/>
                <w:kern w:val="21"/>
                <w:sz w:val="21"/>
                <w:szCs w:val="21"/>
                <w:lang w:val="en-US" w:eastAsia="zh-CN"/>
                <w14:textFill>
                  <w14:solidFill>
                    <w14:schemeClr w14:val="tx1"/>
                  </w14:solidFill>
                </w14:textFill>
              </w:rPr>
              <w:t>0.0</w:t>
            </w:r>
            <w:r>
              <w:rPr>
                <w:rFonts w:hint="eastAsia" w:hAnsi="宋体" w:eastAsia="宋体" w:cs="宋体"/>
                <w:snapToGrid w:val="0"/>
                <w:color w:val="000000" w:themeColor="text1"/>
                <w:kern w:val="21"/>
                <w:sz w:val="21"/>
                <w:szCs w:val="21"/>
                <w:lang w:val="en-US" w:eastAsia="zh-CN"/>
                <w14:textFill>
                  <w14:solidFill>
                    <w14:schemeClr w14:val="tx1"/>
                  </w14:solidFill>
                </w14:textFill>
              </w:rPr>
              <w:t>8</w:t>
            </w:r>
          </w:p>
        </w:tc>
        <w:tc>
          <w:tcPr>
            <w:tcW w:w="826" w:type="dxa"/>
            <w:tcBorders>
              <w:tl2br w:val="nil"/>
              <w:tr2bl w:val="nil"/>
            </w:tcBorders>
            <w:vAlign w:val="center"/>
          </w:tcPr>
          <w:p w14:paraId="1CB73507">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w:t>
            </w:r>
          </w:p>
        </w:tc>
      </w:tr>
      <w:tr w14:paraId="3C5D40AA">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614602FE">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701" w:type="dxa"/>
            <w:tcBorders>
              <w:tl2br w:val="nil"/>
              <w:tr2bl w:val="nil"/>
            </w:tcBorders>
            <w:vAlign w:val="center"/>
          </w:tcPr>
          <w:p w14:paraId="2E8167C6">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氨氮0.005</w:t>
            </w:r>
          </w:p>
        </w:tc>
        <w:tc>
          <w:tcPr>
            <w:tcW w:w="1276" w:type="dxa"/>
            <w:tcBorders>
              <w:tl2br w:val="nil"/>
              <w:tr2bl w:val="nil"/>
            </w:tcBorders>
            <w:vAlign w:val="center"/>
          </w:tcPr>
          <w:p w14:paraId="335BF64B">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701" w:type="dxa"/>
            <w:tcBorders>
              <w:tl2br w:val="nil"/>
              <w:tr2bl w:val="nil"/>
            </w:tcBorders>
            <w:vAlign w:val="center"/>
          </w:tcPr>
          <w:p w14:paraId="22847ECE">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559" w:type="dxa"/>
            <w:tcBorders>
              <w:tl2br w:val="nil"/>
              <w:tr2bl w:val="nil"/>
            </w:tcBorders>
            <w:vAlign w:val="center"/>
          </w:tcPr>
          <w:p w14:paraId="3635A5B7">
            <w:pPr>
              <w:pStyle w:val="109"/>
              <w:spacing w:beforeLines="0" w:afterLines="0" w:line="240" w:lineRule="auto"/>
              <w:rPr>
                <w:rFonts w:hint="default" w:ascii="宋体" w:hAnsi="宋体" w:eastAsia="宋体" w:cs="宋体"/>
                <w:snapToGrid w:val="0"/>
                <w:color w:val="000000" w:themeColor="text1"/>
                <w:kern w:val="21"/>
                <w:sz w:val="21"/>
                <w:szCs w:val="21"/>
                <w:lang w:val="en-US" w:eastAsia="zh-CN" w:bidi="ar-SA"/>
                <w14:textFill>
                  <w14:solidFill>
                    <w14:schemeClr w14:val="tx1"/>
                  </w14:solidFill>
                </w14:textFill>
              </w:rPr>
            </w:pPr>
            <w:r>
              <w:rPr>
                <w:rFonts w:hint="eastAsia" w:hAnsi="宋体" w:eastAsia="宋体" w:cs="宋体"/>
                <w:snapToGrid w:val="0"/>
                <w:color w:val="000000" w:themeColor="text1"/>
                <w:kern w:val="21"/>
                <w:sz w:val="21"/>
                <w:szCs w:val="21"/>
                <w:lang w:val="en-US" w:eastAsia="zh-CN" w:bidi="ar-SA"/>
                <w14:textFill>
                  <w14:solidFill>
                    <w14:schemeClr w14:val="tx1"/>
                  </w14:solidFill>
                </w14:textFill>
              </w:rPr>
              <w:t>0</w:t>
            </w:r>
          </w:p>
        </w:tc>
        <w:tc>
          <w:tcPr>
            <w:tcW w:w="1761" w:type="dxa"/>
            <w:tcBorders>
              <w:tl2br w:val="nil"/>
              <w:tr2bl w:val="nil"/>
            </w:tcBorders>
            <w:vAlign w:val="center"/>
          </w:tcPr>
          <w:p w14:paraId="2D910C09">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959" w:type="dxa"/>
            <w:tcBorders>
              <w:tl2br w:val="nil"/>
              <w:tr2bl w:val="nil"/>
            </w:tcBorders>
            <w:vAlign w:val="center"/>
          </w:tcPr>
          <w:p w14:paraId="6E549074">
            <w:pPr>
              <w:pStyle w:val="109"/>
              <w:spacing w:beforeLines="0" w:afterLines="0" w:line="240" w:lineRule="auto"/>
              <w:rPr>
                <w:rFonts w:hint="eastAsia" w:ascii="宋体" w:hAnsi="宋体" w:eastAsia="宋体" w:cs="宋体"/>
                <w:bCs/>
                <w:snapToGrid w:val="0"/>
                <w:color w:val="000000" w:themeColor="text1"/>
                <w:kern w:val="21"/>
                <w:sz w:val="21"/>
                <w:szCs w:val="21"/>
                <w:lang w:val="en-US" w:eastAsia="zh-CN" w:bidi="ar-SA"/>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0.005</w:t>
            </w:r>
          </w:p>
        </w:tc>
        <w:tc>
          <w:tcPr>
            <w:tcW w:w="826" w:type="dxa"/>
            <w:tcBorders>
              <w:tl2br w:val="nil"/>
              <w:tr2bl w:val="nil"/>
            </w:tcBorders>
            <w:vAlign w:val="center"/>
          </w:tcPr>
          <w:p w14:paraId="1286C138">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0</w:t>
            </w:r>
          </w:p>
        </w:tc>
      </w:tr>
      <w:tr w14:paraId="55844F3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vAlign w:val="center"/>
          </w:tcPr>
          <w:p w14:paraId="551B614A">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r>
              <w:rPr>
                <w:rFonts w:hint="eastAsia" w:ascii="宋体" w:hAnsi="宋体" w:eastAsia="宋体" w:cs="宋体"/>
                <w:snapToGrid w:val="0"/>
                <w:color w:val="000000" w:themeColor="text1"/>
                <w:kern w:val="21"/>
                <w:sz w:val="21"/>
                <w:szCs w:val="21"/>
                <w14:textFill>
                  <w14:solidFill>
                    <w14:schemeClr w14:val="tx1"/>
                  </w14:solidFill>
                </w14:textFill>
              </w:rPr>
              <w:t>一般工业</w:t>
            </w:r>
          </w:p>
          <w:p w14:paraId="52F16E47">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r>
              <w:rPr>
                <w:rFonts w:hint="eastAsia" w:ascii="宋体" w:hAnsi="宋体" w:eastAsia="宋体" w:cs="宋体"/>
                <w:snapToGrid w:val="0"/>
                <w:color w:val="000000" w:themeColor="text1"/>
                <w:kern w:val="21"/>
                <w:sz w:val="21"/>
                <w:szCs w:val="21"/>
                <w14:textFill>
                  <w14:solidFill>
                    <w14:schemeClr w14:val="tx1"/>
                  </w14:solidFill>
                </w14:textFill>
              </w:rPr>
              <w:t>固体废物</w:t>
            </w:r>
          </w:p>
        </w:tc>
        <w:tc>
          <w:tcPr>
            <w:tcW w:w="1701" w:type="dxa"/>
            <w:tcBorders>
              <w:tl2br w:val="nil"/>
              <w:tr2bl w:val="nil"/>
            </w:tcBorders>
            <w:vAlign w:val="center"/>
          </w:tcPr>
          <w:p w14:paraId="5899B02B">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cs="宋体"/>
                <w:snapToGrid w:val="0"/>
                <w:color w:val="000000" w:themeColor="text1"/>
                <w:kern w:val="21"/>
                <w:sz w:val="21"/>
                <w:szCs w:val="21"/>
                <w:lang w:val="en-US" w:eastAsia="zh-CN"/>
                <w14:textFill>
                  <w14:solidFill>
                    <w14:schemeClr w14:val="tx1"/>
                  </w14:solidFill>
                </w14:textFill>
              </w:rPr>
              <w:t>2200</w:t>
            </w:r>
          </w:p>
        </w:tc>
        <w:tc>
          <w:tcPr>
            <w:tcW w:w="1276" w:type="dxa"/>
            <w:tcBorders>
              <w:tl2br w:val="nil"/>
              <w:tr2bl w:val="nil"/>
            </w:tcBorders>
            <w:vAlign w:val="center"/>
          </w:tcPr>
          <w:p w14:paraId="236B1C48">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701" w:type="dxa"/>
            <w:tcBorders>
              <w:tl2br w:val="nil"/>
              <w:tr2bl w:val="nil"/>
            </w:tcBorders>
            <w:vAlign w:val="center"/>
          </w:tcPr>
          <w:p w14:paraId="5F1AEFAA">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559" w:type="dxa"/>
            <w:tcBorders>
              <w:tl2br w:val="nil"/>
              <w:tr2bl w:val="nil"/>
            </w:tcBorders>
            <w:vAlign w:val="center"/>
          </w:tcPr>
          <w:p w14:paraId="13D01B15">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bidi="ar-SA"/>
                <w14:textFill>
                  <w14:solidFill>
                    <w14:schemeClr w14:val="tx1"/>
                  </w14:solidFill>
                </w14:textFill>
              </w:rPr>
            </w:pPr>
            <w:r>
              <w:rPr>
                <w:rFonts w:hint="eastAsia" w:hAnsi="宋体" w:eastAsia="宋体" w:cs="宋体"/>
                <w:i w:val="0"/>
                <w:color w:val="000000" w:themeColor="text1"/>
                <w:kern w:val="0"/>
                <w:sz w:val="24"/>
                <w:szCs w:val="24"/>
                <w:highlight w:val="none"/>
                <w:u w:val="none"/>
                <w:lang w:val="en-US" w:eastAsia="zh-CN" w:bidi="ar"/>
                <w14:textFill>
                  <w14:solidFill>
                    <w14:schemeClr w14:val="tx1"/>
                  </w14:solidFill>
                </w14:textFill>
              </w:rPr>
              <w:t>30</w:t>
            </w: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11.38</w:t>
            </w:r>
          </w:p>
        </w:tc>
        <w:tc>
          <w:tcPr>
            <w:tcW w:w="1761" w:type="dxa"/>
            <w:tcBorders>
              <w:tl2br w:val="nil"/>
              <w:tr2bl w:val="nil"/>
            </w:tcBorders>
            <w:vAlign w:val="center"/>
          </w:tcPr>
          <w:p w14:paraId="18EBD6AF">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959" w:type="dxa"/>
            <w:tcBorders>
              <w:tl2br w:val="nil"/>
              <w:tr2bl w:val="nil"/>
            </w:tcBorders>
            <w:vAlign w:val="center"/>
          </w:tcPr>
          <w:p w14:paraId="1413B877">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r>
              <w:rPr>
                <w:rFonts w:hint="eastAsia" w:hAnsi="宋体" w:cs="宋体"/>
                <w:snapToGrid w:val="0"/>
                <w:color w:val="000000" w:themeColor="text1"/>
                <w:kern w:val="21"/>
                <w:sz w:val="21"/>
                <w:szCs w:val="21"/>
                <w:lang w:val="en-US" w:eastAsia="zh-CN" w:bidi="ar-SA"/>
                <w14:textFill>
                  <w14:solidFill>
                    <w14:schemeClr w14:val="tx1"/>
                  </w14:solidFill>
                </w14:textFill>
              </w:rPr>
              <w:t>3207</w:t>
            </w:r>
          </w:p>
        </w:tc>
        <w:tc>
          <w:tcPr>
            <w:tcW w:w="826" w:type="dxa"/>
            <w:tcBorders>
              <w:tl2br w:val="nil"/>
              <w:tr2bl w:val="nil"/>
            </w:tcBorders>
            <w:vAlign w:val="center"/>
          </w:tcPr>
          <w:p w14:paraId="41FBB587">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cs="宋体"/>
                <w:snapToGrid w:val="0"/>
                <w:color w:val="000000" w:themeColor="text1"/>
                <w:kern w:val="21"/>
                <w:sz w:val="21"/>
                <w:szCs w:val="21"/>
                <w:lang w:val="en-US" w:eastAsia="zh-CN"/>
                <w14:textFill>
                  <w14:solidFill>
                    <w14:schemeClr w14:val="tx1"/>
                  </w14:solidFill>
                </w14:textFill>
              </w:rPr>
              <w:t>1584</w:t>
            </w:r>
          </w:p>
        </w:tc>
      </w:tr>
      <w:tr w14:paraId="7B1DD88B">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vAlign w:val="center"/>
          </w:tcPr>
          <w:p w14:paraId="1F3BA026">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701" w:type="dxa"/>
            <w:tcBorders>
              <w:tl2br w:val="nil"/>
              <w:tr2bl w:val="nil"/>
            </w:tcBorders>
            <w:vAlign w:val="center"/>
          </w:tcPr>
          <w:p w14:paraId="795A3B6C">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8.2</w:t>
            </w:r>
          </w:p>
        </w:tc>
        <w:tc>
          <w:tcPr>
            <w:tcW w:w="1276" w:type="dxa"/>
            <w:tcBorders>
              <w:tl2br w:val="nil"/>
              <w:tr2bl w:val="nil"/>
            </w:tcBorders>
            <w:vAlign w:val="center"/>
          </w:tcPr>
          <w:p w14:paraId="0EFA43CA">
            <w:pPr>
              <w:pStyle w:val="109"/>
              <w:spacing w:beforeLines="0" w:afterLines="0" w:line="240" w:lineRule="auto"/>
              <w:rPr>
                <w:rFonts w:hint="eastAsia" w:ascii="宋体" w:hAnsi="宋体" w:eastAsia="宋体" w:cs="宋体"/>
                <w:snapToGrid w:val="0"/>
                <w:color w:val="000000" w:themeColor="text1"/>
                <w:kern w:val="21"/>
                <w:sz w:val="21"/>
                <w:szCs w:val="21"/>
                <w:lang w:val="en-US" w:eastAsia="zh-CN"/>
                <w14:textFill>
                  <w14:solidFill>
                    <w14:schemeClr w14:val="tx1"/>
                  </w14:solidFill>
                </w14:textFill>
              </w:rPr>
            </w:pPr>
          </w:p>
        </w:tc>
        <w:tc>
          <w:tcPr>
            <w:tcW w:w="1701" w:type="dxa"/>
            <w:tcBorders>
              <w:tl2br w:val="nil"/>
              <w:tr2bl w:val="nil"/>
            </w:tcBorders>
            <w:vAlign w:val="center"/>
          </w:tcPr>
          <w:p w14:paraId="58E00A56">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559" w:type="dxa"/>
            <w:tcBorders>
              <w:tl2br w:val="nil"/>
              <w:tr2bl w:val="nil"/>
            </w:tcBorders>
            <w:vAlign w:val="center"/>
          </w:tcPr>
          <w:p w14:paraId="1DEF0619">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4.11</w:t>
            </w:r>
          </w:p>
        </w:tc>
        <w:tc>
          <w:tcPr>
            <w:tcW w:w="1761" w:type="dxa"/>
            <w:tcBorders>
              <w:tl2br w:val="nil"/>
              <w:tr2bl w:val="nil"/>
            </w:tcBorders>
            <w:vAlign w:val="center"/>
          </w:tcPr>
          <w:p w14:paraId="28D6B91B">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959" w:type="dxa"/>
            <w:tcBorders>
              <w:tl2br w:val="nil"/>
              <w:tr2bl w:val="nil"/>
            </w:tcBorders>
            <w:vAlign w:val="center"/>
          </w:tcPr>
          <w:p w14:paraId="11241D88">
            <w:pPr>
              <w:pStyle w:val="109"/>
              <w:spacing w:beforeLines="0" w:afterLines="0" w:line="240" w:lineRule="auto"/>
              <w:rPr>
                <w:rFonts w:hint="default" w:ascii="宋体" w:hAnsi="宋体" w:eastAsia="宋体" w:cs="宋体"/>
                <w:snapToGrid w:val="0"/>
                <w:color w:val="000000" w:themeColor="text1"/>
                <w:kern w:val="21"/>
                <w:sz w:val="21"/>
                <w:szCs w:val="21"/>
                <w:lang w:val="en-US"/>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12.31</w:t>
            </w:r>
          </w:p>
        </w:tc>
        <w:tc>
          <w:tcPr>
            <w:tcW w:w="826" w:type="dxa"/>
            <w:tcBorders>
              <w:tl2br w:val="nil"/>
              <w:tr2bl w:val="nil"/>
            </w:tcBorders>
            <w:vAlign w:val="center"/>
          </w:tcPr>
          <w:p w14:paraId="10902A49">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4.11</w:t>
            </w:r>
          </w:p>
        </w:tc>
      </w:tr>
      <w:tr w14:paraId="5830A67F">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482" w:hRule="atLeast"/>
        </w:trPr>
        <w:tc>
          <w:tcPr>
            <w:tcW w:w="1588" w:type="dxa"/>
            <w:tcBorders>
              <w:tl2br w:val="nil"/>
              <w:tr2bl w:val="nil"/>
            </w:tcBorders>
            <w:vAlign w:val="center"/>
          </w:tcPr>
          <w:p w14:paraId="6D4EA81A">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r>
              <w:rPr>
                <w:rFonts w:hint="eastAsia" w:ascii="宋体" w:hAnsi="宋体" w:eastAsia="宋体" w:cs="宋体"/>
                <w:snapToGrid w:val="0"/>
                <w:color w:val="000000" w:themeColor="text1"/>
                <w:kern w:val="21"/>
                <w:sz w:val="21"/>
                <w:szCs w:val="21"/>
                <w14:textFill>
                  <w14:solidFill>
                    <w14:schemeClr w14:val="tx1"/>
                  </w14:solidFill>
                </w14:textFill>
              </w:rPr>
              <w:t>危险废物</w:t>
            </w:r>
          </w:p>
        </w:tc>
        <w:tc>
          <w:tcPr>
            <w:tcW w:w="1701" w:type="dxa"/>
            <w:tcBorders>
              <w:tl2br w:val="nil"/>
              <w:tr2bl w:val="nil"/>
            </w:tcBorders>
            <w:vAlign w:val="center"/>
          </w:tcPr>
          <w:p w14:paraId="71813D87">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150</w:t>
            </w:r>
          </w:p>
        </w:tc>
        <w:tc>
          <w:tcPr>
            <w:tcW w:w="1276" w:type="dxa"/>
            <w:tcBorders>
              <w:tl2br w:val="nil"/>
              <w:tr2bl w:val="nil"/>
            </w:tcBorders>
            <w:vAlign w:val="center"/>
          </w:tcPr>
          <w:p w14:paraId="0A7611E9">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701" w:type="dxa"/>
            <w:tcBorders>
              <w:tl2br w:val="nil"/>
              <w:tr2bl w:val="nil"/>
            </w:tcBorders>
            <w:vAlign w:val="center"/>
          </w:tcPr>
          <w:p w14:paraId="76598EF3">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559" w:type="dxa"/>
            <w:tcBorders>
              <w:tl2br w:val="nil"/>
              <w:tr2bl w:val="nil"/>
            </w:tcBorders>
            <w:shd w:val="clear" w:color="auto" w:fill="auto"/>
            <w:vAlign w:val="center"/>
          </w:tcPr>
          <w:p w14:paraId="32AADA78">
            <w:pPr>
              <w:keepNext w:val="0"/>
              <w:keepLines w:val="0"/>
              <w:widowControl/>
              <w:suppressLineNumbers w:val="0"/>
              <w:jc w:val="center"/>
              <w:textAlignment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301.153</w:t>
            </w:r>
          </w:p>
        </w:tc>
        <w:tc>
          <w:tcPr>
            <w:tcW w:w="1761" w:type="dxa"/>
            <w:tcBorders>
              <w:tl2br w:val="nil"/>
              <w:tr2bl w:val="nil"/>
            </w:tcBorders>
            <w:vAlign w:val="center"/>
          </w:tcPr>
          <w:p w14:paraId="25752C16">
            <w:pPr>
              <w:pStyle w:val="109"/>
              <w:spacing w:beforeLines="0" w:afterLines="0" w:line="240" w:lineRule="auto"/>
              <w:rPr>
                <w:rFonts w:hint="eastAsia" w:ascii="宋体" w:hAnsi="宋体" w:eastAsia="宋体" w:cs="宋体"/>
                <w:snapToGrid w:val="0"/>
                <w:color w:val="000000" w:themeColor="text1"/>
                <w:kern w:val="21"/>
                <w:sz w:val="21"/>
                <w:szCs w:val="21"/>
                <w14:textFill>
                  <w14:solidFill>
                    <w14:schemeClr w14:val="tx1"/>
                  </w14:solidFill>
                </w14:textFill>
              </w:rPr>
            </w:pPr>
          </w:p>
        </w:tc>
        <w:tc>
          <w:tcPr>
            <w:tcW w:w="1959" w:type="dxa"/>
            <w:tcBorders>
              <w:tl2br w:val="nil"/>
              <w:tr2bl w:val="nil"/>
            </w:tcBorders>
            <w:shd w:val="clear" w:color="auto" w:fill="auto"/>
            <w:vAlign w:val="center"/>
          </w:tcPr>
          <w:p w14:paraId="6F9665C2">
            <w:pPr>
              <w:keepNext w:val="0"/>
              <w:keepLines w:val="0"/>
              <w:widowControl/>
              <w:suppressLineNumbers w:val="0"/>
              <w:jc w:val="center"/>
              <w:textAlignment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451.153</w:t>
            </w:r>
          </w:p>
        </w:tc>
        <w:tc>
          <w:tcPr>
            <w:tcW w:w="826" w:type="dxa"/>
            <w:tcBorders>
              <w:tl2br w:val="nil"/>
              <w:tr2bl w:val="nil"/>
            </w:tcBorders>
            <w:vAlign w:val="center"/>
          </w:tcPr>
          <w:p w14:paraId="725ACA46">
            <w:pPr>
              <w:pStyle w:val="109"/>
              <w:spacing w:beforeLines="0" w:afterLines="0" w:line="240" w:lineRule="auto"/>
              <w:rPr>
                <w:rFonts w:hint="default" w:ascii="宋体" w:hAnsi="宋体" w:eastAsia="宋体" w:cs="宋体"/>
                <w:snapToGrid w:val="0"/>
                <w:color w:val="000000" w:themeColor="text1"/>
                <w:kern w:val="21"/>
                <w:sz w:val="21"/>
                <w:szCs w:val="21"/>
                <w:lang w:val="en-US" w:eastAsia="zh-CN"/>
                <w14:textFill>
                  <w14:solidFill>
                    <w14:schemeClr w14:val="tx1"/>
                  </w14:solidFill>
                </w14:textFill>
              </w:rPr>
            </w:pPr>
            <w:r>
              <w:rPr>
                <w:rFonts w:hint="eastAsia" w:hAnsi="宋体" w:eastAsia="宋体" w:cs="宋体"/>
                <w:snapToGrid w:val="0"/>
                <w:color w:val="000000" w:themeColor="text1"/>
                <w:kern w:val="21"/>
                <w:sz w:val="21"/>
                <w:szCs w:val="21"/>
                <w:lang w:val="en-US" w:eastAsia="zh-CN"/>
                <w14:textFill>
                  <w14:solidFill>
                    <w14:schemeClr w14:val="tx1"/>
                  </w14:solidFill>
                </w14:textFill>
              </w:rPr>
              <w:t>301.153</w:t>
            </w:r>
          </w:p>
        </w:tc>
      </w:tr>
    </w:tbl>
    <w:p w14:paraId="10BBAB47">
      <w:pPr>
        <w:pStyle w:val="109"/>
        <w:spacing w:before="192" w:beforeLines="80" w:after="24"/>
        <w:jc w:val="left"/>
        <w:rPr>
          <w:rFonts w:hint="eastAsia" w:ascii="宋体" w:hAnsi="宋体" w:eastAsia="宋体" w:cs="宋体"/>
          <w:snapToGrid w:val="0"/>
          <w:color w:val="000000" w:themeColor="text1"/>
          <w:spacing w:val="-6"/>
          <w:kern w:val="21"/>
          <w:szCs w:val="21"/>
          <w14:textFill>
            <w14:solidFill>
              <w14:schemeClr w14:val="tx1"/>
            </w14:solidFill>
          </w14:textFill>
        </w:rPr>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snapToGrid w:val="0"/>
          <w:color w:val="000000" w:themeColor="text1"/>
          <w:kern w:val="21"/>
          <w:szCs w:val="21"/>
          <w14:textFill>
            <w14:solidFill>
              <w14:schemeClr w14:val="tx1"/>
            </w14:solidFill>
          </w14:textFill>
        </w:rPr>
        <w:t>注：</w: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16"/>
          <w:kern w:val="21"/>
          <w:szCs w:val="21"/>
          <w14:textFill>
            <w14:solidFill>
              <w14:schemeClr w14:val="tx1"/>
            </w14:solidFill>
          </w14:textFill>
        </w:rPr>
        <w:instrText xml:space="preserve"> = 6 \* GB3 \* MERGEFORMAT </w:instrTex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⑥</w: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end"/>
      </w:r>
      <w:r>
        <w:rPr>
          <w:rFonts w:hint="eastAsia" w:ascii="宋体" w:hAnsi="宋体" w:eastAsia="宋体" w:cs="宋体"/>
          <w:snapToGrid w:val="0"/>
          <w:color w:val="000000" w:themeColor="text1"/>
          <w:spacing w:val="-16"/>
          <w:kern w:val="21"/>
          <w:szCs w:val="21"/>
          <w14:textFill>
            <w14:solidFill>
              <w14:schemeClr w14:val="tx1"/>
            </w14:solidFill>
          </w14:textFill>
        </w:rPr>
        <w:t>=</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Cs w:val="21"/>
          <w14:textFill>
            <w14:solidFill>
              <w14:schemeClr w14:val="tx1"/>
            </w14:solidFill>
          </w14:textFill>
        </w:rPr>
        <w:instrText xml:space="preserve"> = 1 \* GB3 \* MERGEFORMAT </w:instrTex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①</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end"/>
      </w:r>
      <w:r>
        <w:rPr>
          <w:rFonts w:hint="eastAsia" w:ascii="宋体" w:hAnsi="宋体" w:eastAsia="宋体" w:cs="宋体"/>
          <w:snapToGrid w:val="0"/>
          <w:color w:val="000000" w:themeColor="text1"/>
          <w:spacing w:val="-6"/>
          <w:kern w:val="21"/>
          <w:szCs w:val="21"/>
          <w14:textFill>
            <w14:solidFill>
              <w14:schemeClr w14:val="tx1"/>
            </w14:solidFill>
          </w14:textFill>
        </w:rPr>
        <w:t>+</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Cs w:val="21"/>
          <w14:textFill>
            <w14:solidFill>
              <w14:schemeClr w14:val="tx1"/>
            </w14:solidFill>
          </w14:textFill>
        </w:rPr>
        <w:instrText xml:space="preserve"> = 3 \* GB3 \* MERGEFORMAT </w:instrTex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③</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end"/>
      </w:r>
      <w:r>
        <w:rPr>
          <w:rFonts w:hint="eastAsia" w:ascii="宋体" w:hAnsi="宋体" w:eastAsia="宋体" w:cs="宋体"/>
          <w:snapToGrid w:val="0"/>
          <w:color w:val="000000" w:themeColor="text1"/>
          <w:spacing w:val="-6"/>
          <w:kern w:val="21"/>
          <w:szCs w:val="21"/>
          <w14:textFill>
            <w14:solidFill>
              <w14:schemeClr w14:val="tx1"/>
            </w14:solidFill>
          </w14:textFill>
        </w:rPr>
        <w:t>+</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Cs w:val="21"/>
          <w14:textFill>
            <w14:solidFill>
              <w14:schemeClr w14:val="tx1"/>
            </w14:solidFill>
          </w14:textFill>
        </w:rPr>
        <w:instrText xml:space="preserve"> = 4 \* GB3 \* MERGEFORMAT </w:instrTex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④</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end"/>
      </w:r>
      <w:r>
        <w:rPr>
          <w:rFonts w:hint="eastAsia" w:ascii="宋体" w:hAnsi="宋体" w:eastAsia="宋体" w:cs="宋体"/>
          <w:snapToGrid w:val="0"/>
          <w:color w:val="000000" w:themeColor="text1"/>
          <w:spacing w:val="-6"/>
          <w:kern w:val="21"/>
          <w:szCs w:val="21"/>
          <w14:textFill>
            <w14:solidFill>
              <w14:schemeClr w14:val="tx1"/>
            </w14:solidFill>
          </w14:textFill>
        </w:rPr>
        <w:t>-</w: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16"/>
          <w:kern w:val="21"/>
          <w:szCs w:val="21"/>
          <w14:textFill>
            <w14:solidFill>
              <w14:schemeClr w14:val="tx1"/>
            </w14:solidFill>
          </w14:textFill>
        </w:rPr>
        <w:instrText xml:space="preserve"> = 5 \* GB3 \* MERGEFORMAT </w:instrTex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⑤</w: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end"/>
      </w:r>
      <w:r>
        <w:rPr>
          <w:rFonts w:hint="eastAsia" w:ascii="宋体" w:hAnsi="宋体" w:eastAsia="宋体" w:cs="宋体"/>
          <w:snapToGrid w:val="0"/>
          <w:color w:val="000000" w:themeColor="text1"/>
          <w:spacing w:val="-16"/>
          <w:kern w:val="21"/>
          <w:szCs w:val="21"/>
          <w14:textFill>
            <w14:solidFill>
              <w14:schemeClr w14:val="tx1"/>
            </w14:solidFill>
          </w14:textFill>
        </w:rPr>
        <w:t>；</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Cs w:val="21"/>
          <w14:textFill>
            <w14:solidFill>
              <w14:schemeClr w14:val="tx1"/>
            </w14:solidFill>
          </w14:textFill>
        </w:rPr>
        <w:instrText xml:space="preserve"> = 7 \* GB3 \* MERGEFORMAT </w:instrTex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⑦</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end"/>
      </w:r>
      <w:r>
        <w:rPr>
          <w:rFonts w:hint="eastAsia" w:ascii="宋体" w:hAnsi="宋体" w:eastAsia="宋体" w:cs="宋体"/>
          <w:snapToGrid w:val="0"/>
          <w:color w:val="000000" w:themeColor="text1"/>
          <w:spacing w:val="-6"/>
          <w:kern w:val="21"/>
          <w:szCs w:val="21"/>
          <w14:textFill>
            <w14:solidFill>
              <w14:schemeClr w14:val="tx1"/>
            </w14:solidFill>
          </w14:textFill>
        </w:rPr>
        <w:t>=</w: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16"/>
          <w:kern w:val="21"/>
          <w:szCs w:val="21"/>
          <w14:textFill>
            <w14:solidFill>
              <w14:schemeClr w14:val="tx1"/>
            </w14:solidFill>
          </w14:textFill>
        </w:rPr>
        <w:instrText xml:space="preserve"> = 6 \* GB3 \* MERGEFORMAT </w:instrTex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⑥</w:t>
      </w:r>
      <w:r>
        <w:rPr>
          <w:rFonts w:hint="eastAsia" w:ascii="宋体" w:hAnsi="宋体" w:eastAsia="宋体" w:cs="宋体"/>
          <w:snapToGrid w:val="0"/>
          <w:color w:val="000000" w:themeColor="text1"/>
          <w:spacing w:val="-16"/>
          <w:kern w:val="21"/>
          <w:szCs w:val="21"/>
          <w14:textFill>
            <w14:solidFill>
              <w14:schemeClr w14:val="tx1"/>
            </w14:solidFill>
          </w14:textFill>
        </w:rPr>
        <w:fldChar w:fldCharType="end"/>
      </w:r>
      <w:r>
        <w:rPr>
          <w:rFonts w:hint="eastAsia" w:ascii="宋体" w:hAnsi="宋体" w:eastAsia="宋体" w:cs="宋体"/>
          <w:snapToGrid w:val="0"/>
          <w:color w:val="000000" w:themeColor="text1"/>
          <w:spacing w:val="-16"/>
          <w:kern w:val="21"/>
          <w:szCs w:val="21"/>
          <w14:textFill>
            <w14:solidFill>
              <w14:schemeClr w14:val="tx1"/>
            </w14:solidFill>
          </w14:textFill>
        </w:rPr>
        <w:t>-</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begin"/>
      </w:r>
      <w:r>
        <w:rPr>
          <w:rFonts w:hint="eastAsia" w:ascii="宋体" w:hAnsi="宋体" w:eastAsia="宋体" w:cs="宋体"/>
          <w:snapToGrid w:val="0"/>
          <w:color w:val="000000" w:themeColor="text1"/>
          <w:spacing w:val="-6"/>
          <w:kern w:val="21"/>
          <w:szCs w:val="21"/>
          <w14:textFill>
            <w14:solidFill>
              <w14:schemeClr w14:val="tx1"/>
            </w14:solidFill>
          </w14:textFill>
        </w:rPr>
        <w:instrText xml:space="preserve"> = 1 \* GB3 \* MERGEFORMAT </w:instrTex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separate"/>
      </w:r>
      <w:r>
        <w:rPr>
          <w:rFonts w:hint="eastAsia" w:ascii="宋体" w:hAnsi="宋体" w:eastAsia="宋体" w:cs="宋体"/>
          <w:color w:val="000000" w:themeColor="text1"/>
          <w:szCs w:val="21"/>
          <w14:textFill>
            <w14:solidFill>
              <w14:schemeClr w14:val="tx1"/>
            </w14:solidFill>
          </w14:textFill>
        </w:rPr>
        <w:t>①</w:t>
      </w:r>
      <w:r>
        <w:rPr>
          <w:rFonts w:hint="eastAsia" w:ascii="宋体" w:hAnsi="宋体" w:eastAsia="宋体" w:cs="宋体"/>
          <w:snapToGrid w:val="0"/>
          <w:color w:val="000000" w:themeColor="text1"/>
          <w:spacing w:val="-6"/>
          <w:kern w:val="21"/>
          <w:szCs w:val="21"/>
          <w14:textFill>
            <w14:solidFill>
              <w14:schemeClr w14:val="tx1"/>
            </w14:solidFill>
          </w14:textFill>
        </w:rPr>
        <w:fldChar w:fldCharType="end"/>
      </w:r>
    </w:p>
    <w:p w14:paraId="426C0990">
      <w:pPr>
        <w:rPr>
          <w:rFonts w:hint="eastAsia" w:eastAsia="宋体"/>
          <w:color w:val="000000" w:themeColor="text1"/>
          <w:lang w:eastAsia="zh-CN"/>
          <w14:textFill>
            <w14:solidFill>
              <w14:schemeClr w14:val="tx1"/>
            </w14:solidFill>
          </w14:textFill>
        </w:rPr>
      </w:pPr>
    </w:p>
    <w:p w14:paraId="1200F474">
      <w:pPr>
        <w:rPr>
          <w:rFonts w:hint="eastAsia" w:ascii="宋体" w:hAnsi="宋体" w:eastAsia="宋体" w:cs="宋体"/>
          <w:color w:val="000000" w:themeColor="text1"/>
          <w14:textFill>
            <w14:solidFill>
              <w14:schemeClr w14:val="tx1"/>
            </w14:solidFill>
          </w14:textFill>
        </w:rPr>
      </w:pPr>
    </w:p>
    <w:p w14:paraId="2A2D2EB6">
      <w:pPr>
        <w:rPr>
          <w:rFonts w:hint="eastAsia" w:ascii="宋体" w:hAnsi="宋体" w:eastAsia="宋体" w:cs="宋体"/>
          <w:color w:val="000000" w:themeColor="text1"/>
          <w14:textFill>
            <w14:solidFill>
              <w14:schemeClr w14:val="tx1"/>
            </w14:solidFill>
          </w14:textFill>
        </w:rPr>
        <w:sectPr>
          <w:pgSz w:w="11906" w:h="16838"/>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62EAA0E3">
      <w:pPr>
        <w:pStyle w:val="24"/>
        <w:ind w:left="0" w:leftChars="0" w:firstLine="0" w:firstLineChars="0"/>
        <w:rPr>
          <w:rFonts w:hint="eastAsia" w:ascii="宋体" w:hAnsi="宋体" w:eastAsia="宋体" w:cs="宋体"/>
          <w:color w:val="000000" w:themeColor="text1"/>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962660</wp:posOffset>
                </wp:positionH>
                <wp:positionV relativeFrom="paragraph">
                  <wp:posOffset>1729105</wp:posOffset>
                </wp:positionV>
                <wp:extent cx="861060" cy="281940"/>
                <wp:effectExtent l="12700" t="53340" r="1183640" b="15240"/>
                <wp:wrapNone/>
                <wp:docPr id="144" name="矩形标注 144"/>
                <wp:cNvGraphicFramePr/>
                <a:graphic xmlns:a="http://schemas.openxmlformats.org/drawingml/2006/main">
                  <a:graphicData uri="http://schemas.microsoft.com/office/word/2010/wordprocessingShape">
                    <wps:wsp>
                      <wps:cNvSpPr/>
                      <wps:spPr>
                        <a:xfrm>
                          <a:off x="1862455" y="2628900"/>
                          <a:ext cx="861060" cy="281940"/>
                        </a:xfrm>
                        <a:prstGeom prst="wedgeRectCallout">
                          <a:avLst>
                            <a:gd name="adj1" fmla="val 184513"/>
                            <a:gd name="adj2" fmla="val -644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0B95A">
                            <w:pPr>
                              <w:jc w:val="center"/>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5.8pt;margin-top:136.15pt;height:22.2pt;width:67.8pt;z-index:251780096;v-text-anchor:middle;mso-width-relative:page;mso-height-relative:page;" fillcolor="#4F81BD [3204]" filled="t" stroked="t" coordsize="21600,21600" o:gfxdata="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B+nQo9oAAAALAQAA&#10;DwAAAAAAAAABACAAAAAiAAAAZHJzL2Rvd25yZXYueG1sUEsBAhQAFAAAAAgAh07iQPZNuMvCAgAA&#10;fQUAAA4AAAAAAAAAAQAgAAAAKQEAAGRycy9lMm9Eb2MueG1sUEsFBgAAAAAGAAYAWQEAAF0GAAAA&#10;AA==&#10;" adj="50655,-3113">
                <v:fill on="t" focussize="0,0"/>
                <v:stroke weight="2pt" color="#385D8A [3204]" joinstyle="round"/>
                <v:imagedata o:title=""/>
                <o:lock v:ext="edit" aspectratio="f"/>
                <v:textbox>
                  <w:txbxContent>
                    <w:p w14:paraId="6AB0B95A">
                      <w:pPr>
                        <w:jc w:val="center"/>
                        <w:rPr>
                          <w:rFonts w:hint="default" w:eastAsia="宋体"/>
                          <w:lang w:val="en-US" w:eastAsia="zh-CN"/>
                        </w:rPr>
                      </w:pPr>
                      <w:r>
                        <w:rPr>
                          <w:rFonts w:hint="eastAsia"/>
                          <w:lang w:val="en-US" w:eastAsia="zh-CN"/>
                        </w:rPr>
                        <w:t>本项目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3448685</wp:posOffset>
                </wp:positionH>
                <wp:positionV relativeFrom="paragraph">
                  <wp:posOffset>2047875</wp:posOffset>
                </wp:positionV>
                <wp:extent cx="75565" cy="75565"/>
                <wp:effectExtent l="12700" t="12700" r="13335" b="13335"/>
                <wp:wrapNone/>
                <wp:docPr id="95" name="椭圆 95"/>
                <wp:cNvGraphicFramePr/>
                <a:graphic xmlns:a="http://schemas.openxmlformats.org/drawingml/2006/main">
                  <a:graphicData uri="http://schemas.microsoft.com/office/word/2010/wordprocessingShape">
                    <wps:wsp>
                      <wps:cNvSpPr/>
                      <wps:spPr>
                        <a:xfrm>
                          <a:off x="4361180" y="2922270"/>
                          <a:ext cx="75565" cy="75565"/>
                        </a:xfrm>
                        <a:prstGeom prst="ellipse">
                          <a:avLst/>
                        </a:prstGeom>
                        <a:solidFill>
                          <a:srgbClr val="FFC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1.55pt;margin-top:161.25pt;height:5.95pt;width:5.95pt;z-index:251708416;v-text-anchor:middle;mso-width-relative:page;mso-height-relative:page;" fillcolor="#FFC000" filled="t" stroked="t" coordsize="21600,21600" o:gfxdata="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4aBMNgAAAALAQAADwAAAAAAAAABACAAAAAiAAAAZHJzL2Rvd25y&#10;ZXYueG1sUEsBAhQAFAAAAAgAh07iQCB5hc5wAgAA6wQAAA4AAAAAAAAAAQAgAAAAJwEAAGRycy9l&#10;Mm9Eb2MueG1sUEsFBgAAAAAGAAYAWQEAAAkGAAAAAA==&#10;">
                <v:fill on="t" focussize="0,0"/>
                <v:stroke weight="2pt" color="#C00000 [2404]" joinstyle="round"/>
                <v:imagedata o:title=""/>
                <o:lock v:ext="edit" aspectratio="f"/>
              </v:shape>
            </w:pict>
          </mc:Fallback>
        </mc:AlternateContent>
      </w:r>
      <w:r>
        <w:rPr>
          <w:rFonts w:hint="eastAsia" w:ascii="宋体" w:hAnsi="宋体" w:eastAsia="宋体" w:cs="宋体"/>
          <w:color w:val="000000" w:themeColor="text1"/>
          <w:lang w:eastAsia="zh-CN"/>
          <w14:textFill>
            <w14:solidFill>
              <w14:schemeClr w14:val="tx1"/>
            </w14:solidFill>
          </w14:textFill>
        </w:rPr>
        <w:drawing>
          <wp:inline distT="0" distB="0" distL="114300" distR="114300">
            <wp:extent cx="8891270" cy="4655185"/>
            <wp:effectExtent l="0" t="0" r="3810" b="8255"/>
            <wp:docPr id="17" name="图片 17" descr="163947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39470556(1)"/>
                    <pic:cNvPicPr>
                      <a:picLocks noChangeAspect="1"/>
                    </pic:cNvPicPr>
                  </pic:nvPicPr>
                  <pic:blipFill>
                    <a:blip r:embed="rId35"/>
                    <a:stretch>
                      <a:fillRect/>
                    </a:stretch>
                  </pic:blipFill>
                  <pic:spPr>
                    <a:xfrm>
                      <a:off x="0" y="0"/>
                      <a:ext cx="8891270" cy="4655185"/>
                    </a:xfrm>
                    <a:prstGeom prst="rect">
                      <a:avLst/>
                    </a:prstGeom>
                  </pic:spPr>
                </pic:pic>
              </a:graphicData>
            </a:graphic>
          </wp:inline>
        </w:drawing>
      </w:r>
      <w:r>
        <w:rPr>
          <w:rFonts w:hint="eastAsia" w:ascii="宋体" w:hAnsi="宋体" w:eastAsia="宋体" w:cs="宋体"/>
          <w:color w:val="000000" w:themeColor="text1"/>
          <w:sz w:val="28"/>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81915</wp:posOffset>
                </wp:positionH>
                <wp:positionV relativeFrom="paragraph">
                  <wp:posOffset>171450</wp:posOffset>
                </wp:positionV>
                <wp:extent cx="1211580" cy="1212215"/>
                <wp:effectExtent l="0" t="0" r="0" b="0"/>
                <wp:wrapNone/>
                <wp:docPr id="41" name="矩形 41"/>
                <wp:cNvGraphicFramePr/>
                <a:graphic xmlns:a="http://schemas.openxmlformats.org/drawingml/2006/main">
                  <a:graphicData uri="http://schemas.microsoft.com/office/word/2010/wordprocessingShape">
                    <wps:wsp>
                      <wps:cNvSpPr/>
                      <wps:spPr>
                        <a:xfrm>
                          <a:off x="1061085" y="1346835"/>
                          <a:ext cx="1211580" cy="1212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B5680">
                            <w:pPr>
                              <w:jc w:val="center"/>
                            </w:pPr>
                            <w:r>
                              <w:rPr>
                                <w:rFonts w:hint="eastAsia" w:eastAsia="宋体"/>
                                <w:lang w:eastAsia="zh-CN"/>
                              </w:rPr>
                              <w:drawing>
                                <wp:inline distT="0" distB="0" distL="114300" distR="114300">
                                  <wp:extent cx="689610" cy="935990"/>
                                  <wp:effectExtent l="0" t="0" r="1270" b="3175"/>
                                  <wp:docPr id="40"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13.5pt;height:95.45pt;width:95.4pt;z-index:251675648;v-text-anchor:middle;mso-width-relative:page;mso-height-relative:page;" filled="f" stroked="f" coordsize="21600,21600" o:gfxdata="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5uOx9cAAAAJAQAADwAAAAAAAAABACAAAAAiAAAAZHJzL2Rvd25yZXYueG1sUEsBAhQAFAAAAAgA&#10;h07iQH+zhYdfAgAApQQAAA4AAAAAAAAAAQAgAAAAJgEAAGRycy9lMm9Eb2MueG1sUEsFBgAAAAAG&#10;AAYAWQEAAPcFAAAAAA==&#10;">
                <v:fill on="f" focussize="0,0"/>
                <v:stroke on="f" weight="2pt"/>
                <v:imagedata o:title=""/>
                <o:lock v:ext="edit" aspectratio="f"/>
                <v:textbox>
                  <w:txbxContent>
                    <w:p w14:paraId="02EB5680">
                      <w:pPr>
                        <w:jc w:val="center"/>
                      </w:pPr>
                      <w:r>
                        <w:rPr>
                          <w:rFonts w:hint="eastAsia" w:eastAsia="宋体"/>
                          <w:lang w:eastAsia="zh-CN"/>
                        </w:rPr>
                        <w:drawing>
                          <wp:inline distT="0" distB="0" distL="114300" distR="114300">
                            <wp:extent cx="689610" cy="935990"/>
                            <wp:effectExtent l="0" t="0" r="1270" b="3175"/>
                            <wp:docPr id="40"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v:textbox>
              </v:rect>
            </w:pict>
          </mc:Fallback>
        </mc:AlternateContent>
      </w:r>
      <w:r>
        <w:rPr>
          <w:rFonts w:hint="eastAsia" w:ascii="宋体" w:hAnsi="宋体" w:eastAsia="宋体" w:cs="宋体"/>
          <w:color w:val="000000" w:themeColor="text1"/>
          <w:sz w:val="28"/>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-16510</wp:posOffset>
                </wp:positionH>
                <wp:positionV relativeFrom="paragraph">
                  <wp:posOffset>48260</wp:posOffset>
                </wp:positionV>
                <wp:extent cx="8862695" cy="4633595"/>
                <wp:effectExtent l="28575" t="28575" r="36830" b="36830"/>
                <wp:wrapNone/>
                <wp:docPr id="6" name="矩形 6"/>
                <wp:cNvGraphicFramePr/>
                <a:graphic xmlns:a="http://schemas.openxmlformats.org/drawingml/2006/main">
                  <a:graphicData uri="http://schemas.microsoft.com/office/word/2010/wordprocessingShape">
                    <wps:wsp>
                      <wps:cNvSpPr/>
                      <wps:spPr>
                        <a:xfrm>
                          <a:off x="929640" y="894080"/>
                          <a:ext cx="8862695" cy="463359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580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3.8pt;height:364.85pt;width:697.85pt;z-index:251672576;v-text-anchor:middle;mso-width-relative:page;mso-height-relative:page;" filled="f" stroked="t" coordsize="21600,21600" o:gfxdata="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2C9KG9kAAAAJAQAADwAAAAAAAAABACAAAAAiAAAAZHJzL2Rvd25y&#10;ZXYueG1sUEsBAhQAFAAAAAgAh07iQBcQkdFvAgAAygQAAA4AAAAAAAAAAQAgAAAAKAEAAGRycy9l&#10;Mm9Eb2MueG1sUEsFBgAAAAAGAAYAWQEAAAkGAAAAAA==&#10;">
                <v:fill on="f" focussize="0,0"/>
                <v:stroke weight="4.5pt" color="#000000 [3213]" joinstyle="round"/>
                <v:imagedata o:title=""/>
                <o:lock v:ext="edit" aspectratio="f"/>
                <v:textbox>
                  <w:txbxContent>
                    <w:p w14:paraId="79E58095">
                      <w:pPr>
                        <w:jc w:val="center"/>
                      </w:pPr>
                    </w:p>
                  </w:txbxContent>
                </v:textbox>
              </v:rect>
            </w:pict>
          </mc:Fallback>
        </mc:AlternateContent>
      </w:r>
      <w:r>
        <w:rPr>
          <w:rFonts w:hint="eastAsia" w:ascii="宋体" w:hAnsi="宋体" w:eastAsia="宋体" w:cs="宋体"/>
          <w:color w:val="000000" w:themeColor="text1"/>
          <w:sz w:val="2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2982595</wp:posOffset>
                </wp:positionH>
                <wp:positionV relativeFrom="paragraph">
                  <wp:posOffset>1623060</wp:posOffset>
                </wp:positionV>
                <wp:extent cx="93980" cy="75565"/>
                <wp:effectExtent l="12700" t="12700" r="22860" b="19685"/>
                <wp:wrapNone/>
                <wp:docPr id="4" name="矩形 4"/>
                <wp:cNvGraphicFramePr/>
                <a:graphic xmlns:a="http://schemas.openxmlformats.org/drawingml/2006/main">
                  <a:graphicData uri="http://schemas.microsoft.com/office/word/2010/wordprocessingShape">
                    <wps:wsp>
                      <wps:cNvSpPr/>
                      <wps:spPr>
                        <a:xfrm>
                          <a:off x="3896995" y="2457450"/>
                          <a:ext cx="9398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9F662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85pt;margin-top:127.8pt;height:5.95pt;width:7.4pt;z-index:251671552;v-text-anchor:middle;mso-width-relative:page;mso-height-relative:page;" fillcolor="#4F81BD [3204]" filled="t" stroked="t" coordsize="21600,21600" o:gfxdata="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jofEU2wAAAAsBAAAP&#10;AAAAAAAAAAEAIAAAACIAAABkcnMvZG93bnJldi54bWxQSwECFAAUAAAACACHTuJAYMcqe4cCAAAS&#10;BQAADgAAAAAAAAABACAAAAAqAQAAZHJzL2Uyb0RvYy54bWxQSwUGAAAAAAYABgBZAQAAIwYAAAAA&#10;">
                <v:fill on="t" focussize="0,0"/>
                <v:stroke weight="2pt" color="#385D8A [3204]" joinstyle="round"/>
                <v:imagedata o:title=""/>
                <o:lock v:ext="edit" aspectratio="f"/>
                <v:textbox>
                  <w:txbxContent>
                    <w:p w14:paraId="5C9F6624">
                      <w:pPr>
                        <w:jc w:val="center"/>
                      </w:pPr>
                    </w:p>
                  </w:txbxContent>
                </v:textbox>
              </v:rect>
            </w:pict>
          </mc:Fallback>
        </mc:AlternateContent>
      </w:r>
    </w:p>
    <w:p w14:paraId="783F6167">
      <w:pPr>
        <w:rPr>
          <w:rFonts w:hint="eastAsia" w:ascii="宋体" w:hAnsi="宋体" w:eastAsia="宋体" w:cs="宋体"/>
          <w:color w:val="000000" w:themeColor="text1"/>
          <w:lang w:eastAsia="zh-CN"/>
          <w14:textFill>
            <w14:solidFill>
              <w14:schemeClr w14:val="tx1"/>
            </w14:solidFill>
          </w14:textFill>
        </w:rPr>
      </w:pPr>
    </w:p>
    <w:p w14:paraId="1F551221">
      <w:pPr>
        <w:widowControl/>
        <w:ind w:firstLine="2891" w:firstLineChars="1200"/>
        <w:jc w:val="center"/>
        <w:rPr>
          <w:rFonts w:hint="eastAsia" w:ascii="宋体" w:hAnsi="宋体" w:eastAsia="宋体" w:cs="宋体"/>
          <w:b/>
          <w:bCs/>
          <w:color w:val="000000" w:themeColor="text1"/>
          <w:kern w:val="44"/>
          <w:sz w:val="32"/>
          <w:szCs w:val="36"/>
          <w:lang w:val="en-US" w:eastAsia="zh-CN"/>
          <w14:textFill>
            <w14:solidFill>
              <w14:schemeClr w14:val="tx1"/>
            </w14:solidFill>
          </w14:textFill>
        </w:rPr>
      </w:pPr>
      <w:r>
        <w:rPr>
          <w:rFonts w:hint="eastAsia" w:ascii="宋体" w:hAnsi="宋体" w:eastAsia="宋体" w:cs="宋体"/>
          <w:b/>
          <w:bCs/>
          <w:color w:val="000000" w:themeColor="text1"/>
          <w:kern w:val="44"/>
          <w:sz w:val="24"/>
          <w:szCs w:val="24"/>
          <w:lang w:val="en-US" w:eastAsia="zh-CN"/>
          <w14:textFill>
            <w14:solidFill>
              <w14:schemeClr w14:val="tx1"/>
            </w14:solidFill>
          </w14:textFill>
        </w:rPr>
        <w:t>附图1   建设项目地理位置图</w:t>
      </w:r>
    </w:p>
    <w:p w14:paraId="2F55625F">
      <w:pPr>
        <w:rPr>
          <w:rFonts w:hint="eastAsia" w:ascii="宋体" w:hAnsi="宋体" w:eastAsia="宋体" w:cs="宋体"/>
          <w:b/>
          <w:bCs/>
          <w:color w:val="000000" w:themeColor="text1"/>
          <w:kern w:val="44"/>
          <w:sz w:val="32"/>
          <w:szCs w:val="36"/>
          <w:lang w:val="en-US" w:eastAsia="zh-CN"/>
          <w14:textFill>
            <w14:solidFill>
              <w14:schemeClr w14:val="tx1"/>
            </w14:solidFill>
          </w14:textFill>
        </w:rPr>
      </w:pPr>
      <w:r>
        <w:rPr>
          <w:rFonts w:hint="eastAsia" w:ascii="宋体" w:hAnsi="宋体" w:eastAsia="宋体" w:cs="宋体"/>
          <w:b/>
          <w:bCs/>
          <w:color w:val="000000" w:themeColor="text1"/>
          <w:kern w:val="44"/>
          <w:sz w:val="32"/>
          <w:szCs w:val="36"/>
          <w:lang w:val="en-US" w:eastAsia="zh-CN"/>
          <w14:textFill>
            <w14:solidFill>
              <w14:schemeClr w14:val="tx1"/>
            </w14:solidFill>
          </w14:textFill>
        </w:rPr>
        <w:br w:type="page"/>
      </w:r>
    </w:p>
    <w:p w14:paraId="3D5734BC">
      <w:pPr>
        <w:widowControl/>
        <w:ind w:firstLine="3855" w:firstLineChars="1200"/>
        <w:jc w:val="left"/>
        <w:rPr>
          <w:rFonts w:hint="eastAsia" w:ascii="宋体" w:hAnsi="宋体" w:eastAsia="宋体" w:cs="宋体"/>
          <w:b/>
          <w:bCs/>
          <w:color w:val="000000" w:themeColor="text1"/>
          <w:kern w:val="44"/>
          <w:sz w:val="32"/>
          <w:szCs w:val="36"/>
          <w:lang w:val="en-US" w:eastAsia="zh-CN"/>
          <w14:textFill>
            <w14:solidFill>
              <w14:schemeClr w14:val="tx1"/>
            </w14:solidFill>
          </w14:textFill>
        </w:rPr>
        <w:sectPr>
          <w:headerReference r:id="rId9" w:type="default"/>
          <w:footerReference r:id="rId10" w:type="default"/>
          <w:pgSz w:w="16839"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26" w:charSpace="0"/>
        </w:sectPr>
      </w:pPr>
    </w:p>
    <w:p w14:paraId="5D991AAE">
      <w:pPr>
        <w:widowControl/>
        <w:ind w:firstLine="3360" w:firstLineChars="1200"/>
        <w:jc w:val="left"/>
        <w:rPr>
          <w:rFonts w:hint="eastAsia" w:ascii="宋体" w:hAnsi="宋体" w:eastAsia="宋体" w:cs="宋体"/>
          <w:b/>
          <w:bCs/>
          <w:color w:val="000000" w:themeColor="text1"/>
          <w:kern w:val="44"/>
          <w:sz w:val="32"/>
          <w:szCs w:val="36"/>
          <w:lang w:val="en-US" w:eastAsia="zh-CN"/>
          <w14:textFill>
            <w14:solidFill>
              <w14:schemeClr w14:val="tx1"/>
            </w14:solidFill>
          </w14:textFill>
        </w:rPr>
        <w:sectPr>
          <w:pgSz w:w="16839"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26" w:charSpace="0"/>
        </w:sectPr>
      </w:pPr>
      <w:r>
        <w:rPr>
          <w:sz w:val="28"/>
        </w:rPr>
        <mc:AlternateContent>
          <mc:Choice Requires="wps">
            <w:drawing>
              <wp:anchor distT="0" distB="0" distL="114300" distR="114300" simplePos="0" relativeHeight="251804672" behindDoc="0" locked="0" layoutInCell="1" allowOverlap="1">
                <wp:simplePos x="0" y="0"/>
                <wp:positionH relativeFrom="column">
                  <wp:posOffset>3583305</wp:posOffset>
                </wp:positionH>
                <wp:positionV relativeFrom="paragraph">
                  <wp:posOffset>5146675</wp:posOffset>
                </wp:positionV>
                <wp:extent cx="3709035" cy="483235"/>
                <wp:effectExtent l="0" t="0" r="12065" b="12065"/>
                <wp:wrapNone/>
                <wp:docPr id="170" name="矩形 170"/>
                <wp:cNvGraphicFramePr/>
                <a:graphic xmlns:a="http://schemas.openxmlformats.org/drawingml/2006/main">
                  <a:graphicData uri="http://schemas.microsoft.com/office/word/2010/wordprocessingShape">
                    <wps:wsp>
                      <wps:cNvSpPr/>
                      <wps:spPr>
                        <a:xfrm>
                          <a:off x="4483100" y="6046470"/>
                          <a:ext cx="3709035" cy="4832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83D10AA">
                            <w:pPr>
                              <w:shd w:val="clear"/>
                              <w:tabs>
                                <w:tab w:val="left" w:pos="1680"/>
                              </w:tabs>
                              <w:jc w:val="center"/>
                              <w:rPr>
                                <w:rFonts w:hint="default" w:eastAsia="宋体"/>
                                <w:b/>
                                <w:bCs/>
                                <w:color w:val="auto"/>
                                <w:lang w:val="en-US" w:eastAsia="zh-CN"/>
                              </w:rPr>
                            </w:pPr>
                            <w:r>
                              <w:rPr>
                                <w:rFonts w:hint="eastAsia"/>
                                <w:b/>
                                <w:bCs/>
                                <w:color w:val="auto"/>
                                <w:lang w:val="en-US" w:eastAsia="zh-CN"/>
                              </w:rPr>
                              <w:t>附图2    四平市环境管控单元分布图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15pt;margin-top:405.25pt;height:38.05pt;width:292.05pt;z-index:251804672;v-text-anchor:middle;mso-width-relative:page;mso-height-relative:page;" filled="f" stroked="f" coordsize="21600,21600" o:gfxdata="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k9YJ2QAAAAwBAAAPAAAAAAAAAAEAIAAAACIAAABkcnMvZG93bnJldi54bWxQSwECFAAUAAAA&#10;CACHTuJALFRLQl8CAACmBAAADgAAAAAAAAABACAAAAAoAQAAZHJzL2Uyb0RvYy54bWxQSwUGAAAA&#10;AAYABgBZAQAA+QUAAAAA&#10;">
                <v:fill on="f" focussize="0,0"/>
                <v:stroke on="f" weight="2pt"/>
                <v:imagedata o:title=""/>
                <o:lock v:ext="edit" aspectratio="f"/>
                <v:textbox>
                  <w:txbxContent>
                    <w:p w14:paraId="683D10AA">
                      <w:pPr>
                        <w:shd w:val="clear"/>
                        <w:tabs>
                          <w:tab w:val="left" w:pos="1680"/>
                        </w:tabs>
                        <w:jc w:val="center"/>
                        <w:rPr>
                          <w:rFonts w:hint="default" w:eastAsia="宋体"/>
                          <w:b/>
                          <w:bCs/>
                          <w:color w:val="auto"/>
                          <w:lang w:val="en-US" w:eastAsia="zh-CN"/>
                        </w:rPr>
                      </w:pPr>
                      <w:r>
                        <w:rPr>
                          <w:rFonts w:hint="eastAsia"/>
                          <w:b/>
                          <w:bCs/>
                          <w:color w:val="auto"/>
                          <w:lang w:val="en-US" w:eastAsia="zh-CN"/>
                        </w:rPr>
                        <w:t>附图2    四平市环境管控单元分布图</w:t>
                      </w:r>
                    </w:p>
                  </w:txbxContent>
                </v:textbox>
              </v:rect>
            </w:pict>
          </mc:Fallback>
        </mc:AlternateContent>
      </w:r>
      <w:r>
        <w:rPr>
          <w:sz w:val="28"/>
        </w:rPr>
        <mc:AlternateContent>
          <mc:Choice Requires="wps">
            <w:drawing>
              <wp:anchor distT="0" distB="0" distL="114300" distR="114300" simplePos="0" relativeHeight="251803648" behindDoc="0" locked="0" layoutInCell="1" allowOverlap="1">
                <wp:simplePos x="0" y="0"/>
                <wp:positionH relativeFrom="column">
                  <wp:posOffset>4262755</wp:posOffset>
                </wp:positionH>
                <wp:positionV relativeFrom="paragraph">
                  <wp:posOffset>-635</wp:posOffset>
                </wp:positionV>
                <wp:extent cx="4057650" cy="349250"/>
                <wp:effectExtent l="0" t="0" r="6350" b="6350"/>
                <wp:wrapNone/>
                <wp:docPr id="169" name="矩形 169"/>
                <wp:cNvGraphicFramePr/>
                <a:graphic xmlns:a="http://schemas.openxmlformats.org/drawingml/2006/main">
                  <a:graphicData uri="http://schemas.microsoft.com/office/word/2010/wordprocessingShape">
                    <wps:wsp>
                      <wps:cNvSpPr/>
                      <wps:spPr>
                        <a:xfrm>
                          <a:off x="5162550" y="899160"/>
                          <a:ext cx="4057650" cy="3492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5pt;margin-top:-0.05pt;height:27.5pt;width:319.5pt;z-index:251803648;v-text-anchor:middle;mso-width-relative:page;mso-height-relative:page;" fillcolor="#FFFFFF [3212]" filled="t" stroked="f" coordsize="21600,21600" o:gfxdata="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gykgE1QAAAAkBAAAPAAAAAAAAAAEAIAAAACIAAABkcnMvZG93bnJldi54bWxQSwEC&#10;FAAUAAAACACHTuJAZjQzbGkCAADDBAAADgAAAAAAAAABACAAAAAkAQAAZHJzL2Uyb0RvYy54bWxQ&#10;SwUGAAAAAAYABgBZAQAA/wUAAAAA&#10;">
                <v:fill on="t" focussize="0,0"/>
                <v:stroke on="f" weight="2pt"/>
                <v:imagedata o:title=""/>
                <o:lock v:ext="edit" aspectratio="f"/>
              </v:rect>
            </w:pict>
          </mc:Fallback>
        </mc:AlternateContent>
      </w:r>
      <w:r>
        <w:rPr>
          <w:sz w:val="28"/>
        </w:rPr>
        <mc:AlternateContent>
          <mc:Choice Requires="wps">
            <w:drawing>
              <wp:anchor distT="0" distB="0" distL="114300" distR="114300" simplePos="0" relativeHeight="251802624" behindDoc="0" locked="0" layoutInCell="1" allowOverlap="1">
                <wp:simplePos x="0" y="0"/>
                <wp:positionH relativeFrom="column">
                  <wp:posOffset>4051300</wp:posOffset>
                </wp:positionH>
                <wp:positionV relativeFrom="paragraph">
                  <wp:posOffset>3858895</wp:posOffset>
                </wp:positionV>
                <wp:extent cx="717550" cy="330200"/>
                <wp:effectExtent l="12700" t="454025" r="336550" b="15875"/>
                <wp:wrapNone/>
                <wp:docPr id="168" name="矩形标注 168"/>
                <wp:cNvGraphicFramePr/>
                <a:graphic xmlns:a="http://schemas.openxmlformats.org/drawingml/2006/main">
                  <a:graphicData uri="http://schemas.microsoft.com/office/word/2010/wordprocessingShape">
                    <wps:wsp>
                      <wps:cNvSpPr/>
                      <wps:spPr>
                        <a:xfrm>
                          <a:off x="4951095" y="4758690"/>
                          <a:ext cx="717550" cy="330200"/>
                        </a:xfrm>
                        <a:prstGeom prst="wedgeRectCallout">
                          <a:avLst>
                            <a:gd name="adj1" fmla="val 94690"/>
                            <a:gd name="adj2" fmla="val -183653"/>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BE83EC9">
                            <w:pPr>
                              <w:jc w:val="center"/>
                              <w:rPr>
                                <w:rFonts w:hint="default" w:eastAsia="宋体"/>
                                <w:lang w:val="en-US" w:eastAsia="zh-CN"/>
                              </w:rPr>
                            </w:pPr>
                            <w:r>
                              <w:rPr>
                                <w:rFonts w:hint="eastAsia"/>
                                <w:sz w:val="21"/>
                                <w:szCs w:val="21"/>
                                <w:lang w:val="en-US" w:eastAsia="zh-CN"/>
                              </w:rPr>
                              <w:t>本项</w:t>
                            </w:r>
                            <w:r>
                              <w:rPr>
                                <w:rFonts w:hint="eastAsia"/>
                                <w:lang w:val="en-US" w:eastAsia="zh-CN"/>
                              </w:rPr>
                              <w:t>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9pt;margin-top:303.85pt;height:26pt;width:56.5pt;z-index:251802624;v-text-anchor:middle;mso-width-relative:page;mso-height-relative:page;" fillcolor="#4F81BD [3204]" filled="t" stroked="t" coordsize="21600,21600" o:gfxdata="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UcmeotkAAAALAQAA&#10;DwAAAAAAAAABACAAAAAiAAAAZHJzL2Rvd25yZXYueG1sUEsBAhQAFAAAAAgAh07iQMf1TgHDAgAA&#10;fgUAAA4AAAAAAAAAAQAgAAAAKAEAAGRycy9lMm9Eb2MueG1sUEsFBgAAAAAGAAYAWQEAAF0GAAAA&#10;AA==&#10;" adj="31253,-28869">
                <v:fill on="t" focussize="0,0"/>
                <v:stroke weight="2pt" color="#376092 [2404]" joinstyle="round"/>
                <v:imagedata o:title=""/>
                <o:lock v:ext="edit" aspectratio="f"/>
                <v:textbox>
                  <w:txbxContent>
                    <w:p w14:paraId="3BE83EC9">
                      <w:pPr>
                        <w:jc w:val="center"/>
                        <w:rPr>
                          <w:rFonts w:hint="default" w:eastAsia="宋体"/>
                          <w:lang w:val="en-US" w:eastAsia="zh-CN"/>
                        </w:rPr>
                      </w:pPr>
                      <w:r>
                        <w:rPr>
                          <w:rFonts w:hint="eastAsia"/>
                          <w:sz w:val="21"/>
                          <w:szCs w:val="21"/>
                          <w:lang w:val="en-US" w:eastAsia="zh-CN"/>
                        </w:rPr>
                        <w:t>本项</w:t>
                      </w:r>
                      <w:r>
                        <w:rPr>
                          <w:rFonts w:hint="eastAsia"/>
                          <w:lang w:val="en-US" w:eastAsia="zh-CN"/>
                        </w:rPr>
                        <w:t>目</w:t>
                      </w:r>
                    </w:p>
                  </w:txbxContent>
                </v:textbox>
              </v:shape>
            </w:pict>
          </mc:Fallback>
        </mc:AlternateContent>
      </w:r>
      <w:r>
        <w:rPr>
          <w:rFonts w:hint="default"/>
          <w:b/>
          <w:bCs/>
          <w:color w:val="000000"/>
          <w:sz w:val="28"/>
          <w:szCs w:val="28"/>
          <w:lang w:val="en-US" w:eastAsia="zh-CN"/>
        </w:rPr>
        <w:drawing>
          <wp:inline distT="0" distB="0" distL="114300" distR="114300">
            <wp:extent cx="8521700" cy="5043170"/>
            <wp:effectExtent l="0" t="0" r="0" b="11430"/>
            <wp:docPr id="167" name="图片 4" descr="c66a30f4-bd0e-4939-a126-f6bbf4988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descr="c66a30f4-bd0e-4939-a126-f6bbf4988f45"/>
                    <pic:cNvPicPr>
                      <a:picLocks noChangeAspect="1"/>
                    </pic:cNvPicPr>
                  </pic:nvPicPr>
                  <pic:blipFill>
                    <a:blip r:embed="rId37"/>
                    <a:stretch>
                      <a:fillRect/>
                    </a:stretch>
                  </pic:blipFill>
                  <pic:spPr>
                    <a:xfrm>
                      <a:off x="0" y="0"/>
                      <a:ext cx="8521700" cy="5043170"/>
                    </a:xfrm>
                    <a:prstGeom prst="rect">
                      <a:avLst/>
                    </a:prstGeom>
                    <a:noFill/>
                    <a:ln>
                      <a:noFill/>
                    </a:ln>
                  </pic:spPr>
                </pic:pic>
              </a:graphicData>
            </a:graphic>
          </wp:inline>
        </w:drawing>
      </w:r>
    </w:p>
    <w:p w14:paraId="64333996">
      <w:pPr>
        <w:widowControl/>
        <w:jc w:val="left"/>
        <w:rPr>
          <w:rFonts w:hint="eastAsia" w:ascii="宋体" w:hAnsi="宋体" w:eastAsia="宋体" w:cs="宋体"/>
          <w:b/>
          <w:bCs/>
          <w:color w:val="000000" w:themeColor="text1"/>
          <w:kern w:val="44"/>
          <w:sz w:val="32"/>
          <w:szCs w:val="36"/>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-54610</wp:posOffset>
                </wp:positionH>
                <wp:positionV relativeFrom="paragraph">
                  <wp:posOffset>-9525</wp:posOffset>
                </wp:positionV>
                <wp:extent cx="8953500" cy="3784600"/>
                <wp:effectExtent l="9525" t="9525" r="15875" b="15875"/>
                <wp:wrapNone/>
                <wp:docPr id="15" name="矩形 15"/>
                <wp:cNvGraphicFramePr/>
                <a:graphic xmlns:a="http://schemas.openxmlformats.org/drawingml/2006/main">
                  <a:graphicData uri="http://schemas.microsoft.com/office/word/2010/wordprocessingShape">
                    <wps:wsp>
                      <wps:cNvSpPr/>
                      <wps:spPr>
                        <a:xfrm>
                          <a:off x="845185" y="890270"/>
                          <a:ext cx="8953500" cy="3784600"/>
                        </a:xfrm>
                        <a:prstGeom prst="rect">
                          <a:avLst/>
                        </a:prstGeom>
                        <a:no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pt;margin-top:-0.75pt;height:298pt;width:705pt;z-index:251785216;v-text-anchor:middle;mso-width-relative:page;mso-height-relative:page;" filled="f" stroked="t" coordsize="21600,21600" o:gfxdata="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2QGXfaAAAACgEAAA8AAAAAAAAAAQAgAAAAIgAAAGRycy9kb3ducmV2LnhtbFBL&#10;AQIUABQAAAAIAIdO4kDvUwd2ZgIAAMEEAAAOAAAAAAAAAAEAIAAAACkBAABkcnMvZTJvRG9jLnht&#10;bFBLBQYAAAAABgAGAFkBAAABBgAAAAA=&#10;">
                <v:fill on="f" focussize="0,0"/>
                <v:stroke weight="1.5pt" color="#000000 [3213]" joinstyle="round"/>
                <v:imagedata o:title=""/>
                <o:lock v:ext="edit" aspectratio="f"/>
              </v:rect>
            </w:pict>
          </mc:Fallback>
        </mc:AlternateContent>
      </w:r>
      <w:r>
        <w:rPr>
          <w:rFonts w:hint="eastAsia" w:ascii="宋体" w:hAnsi="宋体" w:eastAsia="宋体" w:cs="宋体"/>
          <w:b/>
          <w:bCs/>
          <w:color w:val="000000" w:themeColor="text1"/>
          <w:kern w:val="44"/>
          <w:sz w:val="32"/>
          <w:szCs w:val="36"/>
          <w:lang w:val="en-US" w:eastAsia="zh-CN"/>
          <w14:textFill>
            <w14:solidFill>
              <w14:schemeClr w14:val="tx1"/>
            </w14:solidFill>
          </w14:textFill>
        </w:rPr>
        <w:drawing>
          <wp:inline distT="0" distB="0" distL="114300" distR="114300">
            <wp:extent cx="8882380" cy="3796665"/>
            <wp:effectExtent l="0" t="0" r="7620" b="635"/>
            <wp:docPr id="7" name="图片 7" descr="002e963a-6fd9-44b7-988a-3dc100595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2e963a-6fd9-44b7-988a-3dc100595adc"/>
                    <pic:cNvPicPr>
                      <a:picLocks noChangeAspect="1"/>
                    </pic:cNvPicPr>
                  </pic:nvPicPr>
                  <pic:blipFill>
                    <a:blip r:embed="rId38"/>
                    <a:stretch>
                      <a:fillRect/>
                    </a:stretch>
                  </pic:blipFill>
                  <pic:spPr>
                    <a:xfrm>
                      <a:off x="0" y="0"/>
                      <a:ext cx="8882380" cy="3796665"/>
                    </a:xfrm>
                    <a:prstGeom prst="rect">
                      <a:avLst/>
                    </a:prstGeom>
                  </pic:spPr>
                </pic:pic>
              </a:graphicData>
            </a:graphic>
          </wp:inline>
        </w:drawing>
      </w:r>
    </w:p>
    <w:p w14:paraId="60E2DB57">
      <w:pPr>
        <w:widowControl/>
        <w:jc w:val="left"/>
        <w:rPr>
          <w:rFonts w:hint="eastAsia" w:ascii="宋体" w:hAnsi="宋体" w:eastAsia="宋体" w:cs="宋体"/>
          <w:b/>
          <w:bCs/>
          <w:color w:val="000000" w:themeColor="text1"/>
          <w:kern w:val="44"/>
          <w:sz w:val="32"/>
          <w:szCs w:val="36"/>
          <w:lang w:val="en-US" w:eastAsia="zh-CN"/>
          <w14:textFill>
            <w14:solidFill>
              <w14:schemeClr w14:val="tx1"/>
            </w14:solidFill>
          </w14:textFill>
        </w:rPr>
      </w:pPr>
    </w:p>
    <w:p w14:paraId="75FD365E">
      <w:pPr>
        <w:widowControl/>
        <w:jc w:val="center"/>
        <w:rPr>
          <w:rFonts w:hint="eastAsia" w:ascii="宋体" w:hAnsi="宋体" w:eastAsia="宋体" w:cs="宋体"/>
          <w:b/>
          <w:bCs/>
          <w:color w:val="000000" w:themeColor="text1"/>
          <w:kern w:val="44"/>
          <w:sz w:val="32"/>
          <w:szCs w:val="36"/>
          <w:lang w:val="en-US" w:eastAsia="zh-CN"/>
          <w14:textFill>
            <w14:solidFill>
              <w14:schemeClr w14:val="tx1"/>
            </w14:solidFill>
          </w14:textFill>
        </w:rPr>
      </w:pPr>
    </w:p>
    <w:p w14:paraId="60416348">
      <w:pPr>
        <w:widowControl/>
        <w:ind w:firstLine="2891" w:firstLineChars="1200"/>
        <w:jc w:val="center"/>
        <w:rPr>
          <w:rFonts w:hint="eastAsia" w:ascii="宋体" w:hAnsi="宋体" w:eastAsia="宋体" w:cs="宋体"/>
          <w:b/>
          <w:bCs/>
          <w:color w:val="000000" w:themeColor="text1"/>
          <w:kern w:val="44"/>
          <w:sz w:val="24"/>
          <w:szCs w:val="24"/>
          <w:lang w:val="en-US" w:eastAsia="zh-CN"/>
          <w14:textFill>
            <w14:solidFill>
              <w14:schemeClr w14:val="tx1"/>
            </w14:solidFill>
          </w14:textFill>
        </w:rPr>
        <w:sectPr>
          <w:headerReference r:id="rId11" w:type="default"/>
          <w:footerReference r:id="rId12" w:type="default"/>
          <w:pgSz w:w="16839"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26" w:charSpace="0"/>
        </w:sectPr>
      </w:pPr>
      <w:r>
        <w:rPr>
          <w:rFonts w:hint="eastAsia" w:ascii="宋体" w:hAnsi="宋体" w:eastAsia="宋体" w:cs="宋体"/>
          <w:b/>
          <w:bCs/>
          <w:color w:val="000000" w:themeColor="text1"/>
          <w:kern w:val="44"/>
          <w:sz w:val="24"/>
          <w:szCs w:val="24"/>
          <w:lang w:val="en-US" w:eastAsia="zh-CN"/>
          <w14:textFill>
            <w14:solidFill>
              <w14:schemeClr w14:val="tx1"/>
            </w14:solidFill>
          </w14:textFill>
        </w:rPr>
        <w:t>附图</w:t>
      </w:r>
      <w:r>
        <w:rPr>
          <w:rFonts w:hint="eastAsia" w:ascii="宋体" w:hAnsi="宋体" w:cs="宋体"/>
          <w:b/>
          <w:bCs/>
          <w:color w:val="000000" w:themeColor="text1"/>
          <w:kern w:val="44"/>
          <w:sz w:val="24"/>
          <w:szCs w:val="24"/>
          <w:lang w:val="en-US" w:eastAsia="zh-CN"/>
          <w14:textFill>
            <w14:solidFill>
              <w14:schemeClr w14:val="tx1"/>
            </w14:solidFill>
          </w14:textFill>
        </w:rPr>
        <w:t>3</w:t>
      </w:r>
      <w:r>
        <w:rPr>
          <w:rFonts w:hint="eastAsia" w:ascii="宋体" w:hAnsi="宋体" w:eastAsia="宋体" w:cs="宋体"/>
          <w:b/>
          <w:bCs/>
          <w:color w:val="000000" w:themeColor="text1"/>
          <w:kern w:val="44"/>
          <w:sz w:val="24"/>
          <w:szCs w:val="24"/>
          <w:lang w:val="en-US" w:eastAsia="zh-CN"/>
          <w14:textFill>
            <w14:solidFill>
              <w14:schemeClr w14:val="tx1"/>
            </w14:solidFill>
          </w14:textFill>
        </w:rPr>
        <w:t xml:space="preserve">  </w:t>
      </w:r>
      <w:r>
        <w:rPr>
          <w:rFonts w:hint="eastAsia"/>
          <w:b/>
          <w:bCs/>
          <w:color w:val="000000" w:themeColor="text1"/>
          <w:sz w:val="24"/>
          <w:szCs w:val="24"/>
          <w:lang w:val="en-US" w:eastAsia="zh-CN"/>
          <w14:textFill>
            <w14:solidFill>
              <w14:schemeClr w14:val="tx1"/>
            </w14:solidFill>
          </w14:textFill>
        </w:rPr>
        <w:t>吉林省“三线一单”公众端应用平台</w:t>
      </w:r>
      <w:r>
        <w:rPr>
          <w:rFonts w:hint="eastAsia" w:ascii="宋体" w:hAnsi="宋体" w:eastAsia="宋体" w:cs="宋体"/>
          <w:b/>
          <w:bCs/>
          <w:color w:val="000000" w:themeColor="text1"/>
          <w:kern w:val="44"/>
          <w:sz w:val="24"/>
          <w:szCs w:val="24"/>
          <w:lang w:val="en-US" w:eastAsia="zh-CN"/>
          <w14:textFill>
            <w14:solidFill>
              <w14:schemeClr w14:val="tx1"/>
            </w14:solidFill>
          </w14:textFill>
        </w:rPr>
        <w:t>图</w:t>
      </w:r>
    </w:p>
    <w:p w14:paraId="7AA5C7B4">
      <w:pPr>
        <w:widowControl/>
        <w:ind w:firstLine="3855" w:firstLineChars="1200"/>
        <w:jc w:val="left"/>
        <w:rPr>
          <w:rFonts w:hint="eastAsia" w:ascii="宋体" w:hAnsi="宋体" w:eastAsia="宋体" w:cs="宋体"/>
          <w:b/>
          <w:bCs/>
          <w:color w:val="000000" w:themeColor="text1"/>
          <w:kern w:val="44"/>
          <w:sz w:val="32"/>
          <w:szCs w:val="36"/>
          <w:lang w:val="en-US" w:eastAsia="zh-CN"/>
          <w14:textFill>
            <w14:solidFill>
              <w14:schemeClr w14:val="tx1"/>
            </w14:solidFill>
          </w14:textFill>
        </w:rPr>
      </w:pPr>
    </w:p>
    <w:p w14:paraId="25B34F02">
      <w:pPr>
        <w:rPr>
          <w:rFonts w:hint="eastAsia" w:ascii="宋体" w:hAnsi="宋体" w:eastAsia="宋体" w:cs="宋体"/>
          <w:color w:val="000000" w:themeColor="text1"/>
          <w:lang w:eastAsia="zh-CN"/>
          <w14:textFill>
            <w14:solidFill>
              <w14:schemeClr w14:val="tx1"/>
            </w14:solidFill>
          </w14:textFill>
        </w:rPr>
      </w:pPr>
    </w:p>
    <w:p w14:paraId="5CBD793A">
      <w:pPr>
        <w:rPr>
          <w:rFonts w:hint="eastAsia" w:ascii="宋体" w:hAnsi="宋体" w:eastAsia="宋体" w:cs="宋体"/>
          <w:color w:val="000000" w:themeColor="text1"/>
          <w14:textFill>
            <w14:solidFill>
              <w14:schemeClr w14:val="tx1"/>
            </w14:solidFill>
          </w14:textFill>
        </w:rPr>
      </w:pPr>
    </w:p>
    <w:p w14:paraId="6F549298">
      <w:pPr>
        <w:rPr>
          <w:rFonts w:hint="eastAsia" w:ascii="宋体" w:hAnsi="宋体" w:eastAsia="宋体" w:cs="宋体"/>
          <w:color w:val="000000" w:themeColor="text1"/>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122555</wp:posOffset>
                </wp:positionH>
                <wp:positionV relativeFrom="paragraph">
                  <wp:posOffset>3702050</wp:posOffset>
                </wp:positionV>
                <wp:extent cx="75565" cy="75565"/>
                <wp:effectExtent l="0" t="0" r="635" b="635"/>
                <wp:wrapNone/>
                <wp:docPr id="23" name="等腰三角形 23"/>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FF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9.65pt;margin-top:291.5pt;height:5.95pt;width:5.95pt;z-index:251787264;v-text-anchor:middle;mso-width-relative:page;mso-height-relative:page;" fillcolor="#FF0000" filled="t" stroked="f" coordsize="21600,21600" o:gfxdata="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BVDJPXAAAACQEAAA8AAAAAAAAAAQAgAAAAIgAAAGRycy9kb3ducmV2&#10;LnhtbFBLAQIUABQAAAAIAIdO4kC7YsxCbwIAAMAEAAAOAAAAAAAAAAEAIAAAACYBAABkcnMvZTJv&#10;RG9jLnhtbFBLBQYAAAAABgAGAFkBAAAHBgAAAAA=&#10;" adj="10800">
                <v:fill on="t" focussize="0,0"/>
                <v:stroke on="f" weight="2p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165735</wp:posOffset>
                </wp:positionH>
                <wp:positionV relativeFrom="paragraph">
                  <wp:posOffset>4093210</wp:posOffset>
                </wp:positionV>
                <wp:extent cx="75565" cy="75565"/>
                <wp:effectExtent l="0" t="0" r="635" b="635"/>
                <wp:wrapNone/>
                <wp:docPr id="24" name="等腰三角形 24"/>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3.05pt;margin-top:322.3pt;height:5.95pt;width:5.95pt;z-index:251788288;v-text-anchor:middle;mso-width-relative:page;mso-height-relative:page;" fillcolor="#FFFF00" filled="t" stroked="f" coordsize="21600,21600" o:gfxdata="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AfrKq1wAAAAkBAAAPAAAAAAAAAAEAIAAAACIAAABkcnMvZG93bnJl&#10;di54bWxQSwECFAAUAAAACACHTuJA3EN8DnACAADABAAADgAAAAAAAAABACAAAAAmAQAAZHJzL2Uy&#10;b0RvYy54bWxQSwUGAAAAAAYABgBZAQAACAYAAAAA&#10;" adj="10800">
                <v:fill on="t" focussize="0,0"/>
                <v:stroke on="f" weight="2p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34290</wp:posOffset>
                </wp:positionH>
                <wp:positionV relativeFrom="paragraph">
                  <wp:posOffset>3345180</wp:posOffset>
                </wp:positionV>
                <wp:extent cx="1778000" cy="1054100"/>
                <wp:effectExtent l="12700" t="12700" r="12700" b="12700"/>
                <wp:wrapNone/>
                <wp:docPr id="16" name="矩形 16"/>
                <wp:cNvGraphicFramePr/>
                <a:graphic xmlns:a="http://schemas.openxmlformats.org/drawingml/2006/main">
                  <a:graphicData uri="http://schemas.microsoft.com/office/word/2010/wordprocessingShape">
                    <wps:wsp>
                      <wps:cNvSpPr/>
                      <wps:spPr>
                        <a:xfrm>
                          <a:off x="7741285" y="4827270"/>
                          <a:ext cx="1778000" cy="1054100"/>
                        </a:xfrm>
                        <a:prstGeom prst="rect">
                          <a:avLst/>
                        </a:prstGeom>
                        <a:solidFill>
                          <a:schemeClr val="bg1">
                            <a:lumMod val="65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7C5CFFE6">
                            <w:pPr>
                              <w:keepNext w:val="0"/>
                              <w:keepLines w:val="0"/>
                              <w:pageBreakBefore w:val="0"/>
                              <w:widowControl w:val="0"/>
                              <w:kinsoku/>
                              <w:wordWrap/>
                              <w:overflowPunct/>
                              <w:topLinePunct w:val="0"/>
                              <w:bidi w:val="0"/>
                              <w:adjustRightInd/>
                              <w:snapToGrid/>
                              <w:spacing w:line="360" w:lineRule="auto"/>
                              <w:jc w:val="center"/>
                              <w:textAlignment w:val="auto"/>
                            </w:pPr>
                          </w:p>
                          <w:p w14:paraId="3C1B971D">
                            <w:pPr>
                              <w:keepNext w:val="0"/>
                              <w:keepLines w:val="0"/>
                              <w:pageBreakBefore w:val="0"/>
                              <w:widowControl w:val="0"/>
                              <w:kinsoku/>
                              <w:wordWrap/>
                              <w:overflowPunct/>
                              <w:topLinePunct w:val="0"/>
                              <w:bidi w:val="0"/>
                              <w:adjustRightInd/>
                              <w:snapToGrid/>
                              <w:spacing w:line="360" w:lineRule="auto"/>
                              <w:jc w:val="both"/>
                              <w:textAlignment w:val="auto"/>
                              <w:rPr>
                                <w:rFonts w:hint="eastAsia"/>
                                <w:color w:val="000000" w:themeColor="text1"/>
                                <w:lang w:val="en-US" w:eastAsia="zh-CN"/>
                                <w14:textFill>
                                  <w14:solidFill>
                                    <w14:schemeClr w14:val="tx1"/>
                                  </w14:solidFill>
                                </w14:textFill>
                              </w:rPr>
                            </w:pPr>
                            <w:r>
                              <w:rPr>
                                <w:rFonts w:hint="eastAsia"/>
                                <w:lang w:val="en-US" w:eastAsia="zh-CN"/>
                              </w:rPr>
                              <w:t xml:space="preserve"> </w:t>
                            </w:r>
                            <w:r>
                              <w:rPr>
                                <w:rFonts w:hint="eastAsia"/>
                                <w:color w:val="000000" w:themeColor="text1"/>
                                <w:lang w:val="en-US" w:eastAsia="zh-CN"/>
                                <w14:textFill>
                                  <w14:solidFill>
                                    <w14:schemeClr w14:val="tx1"/>
                                  </w14:solidFill>
                                </w14:textFill>
                              </w:rPr>
                              <w:t xml:space="preserve"> 地下水监测点位</w:t>
                            </w:r>
                          </w:p>
                          <w:p w14:paraId="58DCA32A">
                            <w:pPr>
                              <w:keepNext w:val="0"/>
                              <w:keepLines w:val="0"/>
                              <w:pageBreakBefore w:val="0"/>
                              <w:widowControl w:val="0"/>
                              <w:kinsoku/>
                              <w:wordWrap/>
                              <w:overflowPunct/>
                              <w:topLinePunct w:val="0"/>
                              <w:bidi w:val="0"/>
                              <w:adjustRightInd/>
                              <w:snapToGrid/>
                              <w:spacing w:line="360" w:lineRule="auto"/>
                              <w:jc w:val="both"/>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土壤监测点位</w:t>
                            </w:r>
                          </w:p>
                          <w:p w14:paraId="6560646C">
                            <w:pPr>
                              <w:jc w:val="both"/>
                              <w:rPr>
                                <w:rFonts w:hint="eastAsia"/>
                                <w:lang w:val="en-US" w:eastAsia="zh-CN"/>
                              </w:rPr>
                            </w:pPr>
                          </w:p>
                          <w:p w14:paraId="576D867E">
                            <w:pPr>
                              <w:jc w:val="both"/>
                              <w:rPr>
                                <w:rFonts w:hint="default" w:eastAsia="宋体"/>
                                <w:lang w:val="en-US" w:eastAsia="zh-CN"/>
                              </w:rPr>
                            </w:pPr>
                            <w:r>
                              <w:rPr>
                                <w:rFonts w:hint="eastAsia"/>
                                <w:color w:val="000000" w:themeColor="text1"/>
                                <w:lang w:val="en-US" w:eastAsia="zh-CN"/>
                                <w14:textFill>
                                  <w14:solidFill>
                                    <w14:schemeClr w14:val="tx1"/>
                                  </w14:solidFill>
                                </w14:textFill>
                              </w:rPr>
                              <w:t xml:space="preserve"> </w:t>
                            </w:r>
                          </w:p>
                          <w:p w14:paraId="109F8935">
                            <w:pPr>
                              <w:jc w:val="center"/>
                            </w:pPr>
                          </w:p>
                          <w:p w14:paraId="57C9035E">
                            <w:pPr>
                              <w:jc w:val="center"/>
                            </w:pPr>
                          </w:p>
                          <w:p w14:paraId="542C6B4C">
                            <w:pPr>
                              <w:jc w:val="center"/>
                            </w:pPr>
                          </w:p>
                          <w:p w14:paraId="11380E8E">
                            <w:pPr>
                              <w:jc w:val="center"/>
                            </w:pPr>
                          </w:p>
                          <w:p w14:paraId="0C96D973">
                            <w:pPr>
                              <w:jc w:val="center"/>
                            </w:pPr>
                          </w:p>
                          <w:p w14:paraId="52520B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263.4pt;height:83pt;width:140pt;z-index:251786240;v-text-anchor:middle;mso-width-relative:page;mso-height-relative:page;" fillcolor="#A6A6A6 [2092]" filled="t" stroked="t" coordsize="21600,21600" o:gfxdata="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Fa9eDYAAAA&#10;CQEAAA8AAAAAAAAAAQAgAAAAIgAAAGRycy9kb3ducmV2LnhtbFBLAQIUABQAAAAIAIdO4kAkXOBw&#10;jwIAADsFAAAOAAAAAAAAAAEAIAAAACcBAABkcnMvZTJvRG9jLnhtbFBLBQYAAAAABgAGAFkBAAAo&#10;BgAAAAA=&#10;">
                <v:fill on="t" focussize="0,0"/>
                <v:stroke weight="2pt" color="#376092 [2404]" joinstyle="round"/>
                <v:imagedata o:title=""/>
                <o:lock v:ext="edit" aspectratio="f"/>
                <v:textbox>
                  <w:txbxContent>
                    <w:p w14:paraId="7C5CFFE6">
                      <w:pPr>
                        <w:keepNext w:val="0"/>
                        <w:keepLines w:val="0"/>
                        <w:pageBreakBefore w:val="0"/>
                        <w:widowControl w:val="0"/>
                        <w:kinsoku/>
                        <w:wordWrap/>
                        <w:overflowPunct/>
                        <w:topLinePunct w:val="0"/>
                        <w:bidi w:val="0"/>
                        <w:adjustRightInd/>
                        <w:snapToGrid/>
                        <w:spacing w:line="360" w:lineRule="auto"/>
                        <w:jc w:val="center"/>
                        <w:textAlignment w:val="auto"/>
                      </w:pPr>
                    </w:p>
                    <w:p w14:paraId="3C1B971D">
                      <w:pPr>
                        <w:keepNext w:val="0"/>
                        <w:keepLines w:val="0"/>
                        <w:pageBreakBefore w:val="0"/>
                        <w:widowControl w:val="0"/>
                        <w:kinsoku/>
                        <w:wordWrap/>
                        <w:overflowPunct/>
                        <w:topLinePunct w:val="0"/>
                        <w:bidi w:val="0"/>
                        <w:adjustRightInd/>
                        <w:snapToGrid/>
                        <w:spacing w:line="360" w:lineRule="auto"/>
                        <w:jc w:val="both"/>
                        <w:textAlignment w:val="auto"/>
                        <w:rPr>
                          <w:rFonts w:hint="eastAsia"/>
                          <w:color w:val="000000" w:themeColor="text1"/>
                          <w:lang w:val="en-US" w:eastAsia="zh-CN"/>
                          <w14:textFill>
                            <w14:solidFill>
                              <w14:schemeClr w14:val="tx1"/>
                            </w14:solidFill>
                          </w14:textFill>
                        </w:rPr>
                      </w:pPr>
                      <w:r>
                        <w:rPr>
                          <w:rFonts w:hint="eastAsia"/>
                          <w:lang w:val="en-US" w:eastAsia="zh-CN"/>
                        </w:rPr>
                        <w:t xml:space="preserve"> </w:t>
                      </w:r>
                      <w:r>
                        <w:rPr>
                          <w:rFonts w:hint="eastAsia"/>
                          <w:color w:val="000000" w:themeColor="text1"/>
                          <w:lang w:val="en-US" w:eastAsia="zh-CN"/>
                          <w14:textFill>
                            <w14:solidFill>
                              <w14:schemeClr w14:val="tx1"/>
                            </w14:solidFill>
                          </w14:textFill>
                        </w:rPr>
                        <w:t xml:space="preserve"> 地下水监测点位</w:t>
                      </w:r>
                    </w:p>
                    <w:p w14:paraId="58DCA32A">
                      <w:pPr>
                        <w:keepNext w:val="0"/>
                        <w:keepLines w:val="0"/>
                        <w:pageBreakBefore w:val="0"/>
                        <w:widowControl w:val="0"/>
                        <w:kinsoku/>
                        <w:wordWrap/>
                        <w:overflowPunct/>
                        <w:topLinePunct w:val="0"/>
                        <w:bidi w:val="0"/>
                        <w:adjustRightInd/>
                        <w:snapToGrid/>
                        <w:spacing w:line="360" w:lineRule="auto"/>
                        <w:jc w:val="both"/>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土壤监测点位</w:t>
                      </w:r>
                    </w:p>
                    <w:p w14:paraId="6560646C">
                      <w:pPr>
                        <w:jc w:val="both"/>
                        <w:rPr>
                          <w:rFonts w:hint="eastAsia"/>
                          <w:lang w:val="en-US" w:eastAsia="zh-CN"/>
                        </w:rPr>
                      </w:pPr>
                    </w:p>
                    <w:p w14:paraId="576D867E">
                      <w:pPr>
                        <w:jc w:val="both"/>
                        <w:rPr>
                          <w:rFonts w:hint="default" w:eastAsia="宋体"/>
                          <w:lang w:val="en-US" w:eastAsia="zh-CN"/>
                        </w:rPr>
                      </w:pPr>
                      <w:r>
                        <w:rPr>
                          <w:rFonts w:hint="eastAsia"/>
                          <w:color w:val="000000" w:themeColor="text1"/>
                          <w:lang w:val="en-US" w:eastAsia="zh-CN"/>
                          <w14:textFill>
                            <w14:solidFill>
                              <w14:schemeClr w14:val="tx1"/>
                            </w14:solidFill>
                          </w14:textFill>
                        </w:rPr>
                        <w:t xml:space="preserve"> </w:t>
                      </w:r>
                    </w:p>
                    <w:p w14:paraId="109F8935">
                      <w:pPr>
                        <w:jc w:val="center"/>
                      </w:pPr>
                    </w:p>
                    <w:p w14:paraId="57C9035E">
                      <w:pPr>
                        <w:jc w:val="center"/>
                      </w:pPr>
                    </w:p>
                    <w:p w14:paraId="542C6B4C">
                      <w:pPr>
                        <w:jc w:val="center"/>
                      </w:pPr>
                    </w:p>
                    <w:p w14:paraId="11380E8E">
                      <w:pPr>
                        <w:jc w:val="center"/>
                      </w:pPr>
                    </w:p>
                    <w:p w14:paraId="0C96D973">
                      <w:pPr>
                        <w:jc w:val="center"/>
                      </w:pPr>
                    </w:p>
                    <w:p w14:paraId="52520BE8">
                      <w:pPr>
                        <w:jc w:val="center"/>
                      </w:pP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5497830</wp:posOffset>
                </wp:positionH>
                <wp:positionV relativeFrom="paragraph">
                  <wp:posOffset>3064510</wp:posOffset>
                </wp:positionV>
                <wp:extent cx="631825" cy="407035"/>
                <wp:effectExtent l="396875" t="407035" r="22860" b="24130"/>
                <wp:wrapNone/>
                <wp:docPr id="48" name="矩形标注 48"/>
                <wp:cNvGraphicFramePr/>
                <a:graphic xmlns:a="http://schemas.openxmlformats.org/drawingml/2006/main">
                  <a:graphicData uri="http://schemas.microsoft.com/office/word/2010/wordprocessingShape">
                    <wps:wsp>
                      <wps:cNvSpPr/>
                      <wps:spPr>
                        <a:xfrm>
                          <a:off x="0" y="0"/>
                          <a:ext cx="631825" cy="407035"/>
                        </a:xfrm>
                        <a:prstGeom prst="wedgeRectCallout">
                          <a:avLst>
                            <a:gd name="adj1" fmla="val -110767"/>
                            <a:gd name="adj2" fmla="val -14696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F8CF4">
                            <w:pPr>
                              <w:jc w:val="center"/>
                              <w:rPr>
                                <w:rFonts w:hint="default" w:eastAsia="宋体"/>
                                <w:b/>
                                <w:bCs/>
                                <w:sz w:val="21"/>
                                <w:szCs w:val="21"/>
                                <w:lang w:val="en-US" w:eastAsia="zh-CN"/>
                              </w:rPr>
                            </w:pPr>
                            <w:r>
                              <w:rPr>
                                <w:rFonts w:hint="eastAsia"/>
                                <w:b/>
                                <w:bCs/>
                                <w:sz w:val="21"/>
                                <w:szCs w:val="21"/>
                                <w:lang w:val="en-US" w:eastAsia="zh-CN"/>
                              </w:rPr>
                              <w:t>居民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32.9pt;margin-top:241.3pt;height:32.05pt;width:49.75pt;z-index:251679744;v-text-anchor:middle;mso-width-relative:page;mso-height-relative:page;" fillcolor="#4F81BD [3204]" filled="t" stroked="t" coordsize="21600,21600" o:gfxdata="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NbBdB2gAAAAsBAAAPAAAAAAAAAAEA&#10;IAAAACIAAABkcnMvZG93bnJldi54bWxQSwECFAAUAAAACACHTuJAoDCdPbgCAABxBQAADgAAAAAA&#10;AAABACAAAAApAQAAZHJzL2Uyb0RvYy54bWxQSwUGAAAAAAYABgBZAQAAUwYAAAAA&#10;" adj="-13126,-20945">
                <v:fill on="t" focussize="0,0"/>
                <v:stroke weight="2pt" color="#385D8A [3204]" joinstyle="round"/>
                <v:imagedata o:title=""/>
                <o:lock v:ext="edit" aspectratio="f"/>
                <v:textbox>
                  <w:txbxContent>
                    <w:p w14:paraId="50BF8CF4">
                      <w:pPr>
                        <w:jc w:val="center"/>
                        <w:rPr>
                          <w:rFonts w:hint="default" w:eastAsia="宋体"/>
                          <w:b/>
                          <w:bCs/>
                          <w:sz w:val="21"/>
                          <w:szCs w:val="21"/>
                          <w:lang w:val="en-US" w:eastAsia="zh-CN"/>
                        </w:rPr>
                      </w:pPr>
                      <w:r>
                        <w:rPr>
                          <w:rFonts w:hint="eastAsia"/>
                          <w:b/>
                          <w:bCs/>
                          <w:sz w:val="21"/>
                          <w:szCs w:val="21"/>
                          <w:lang w:val="en-US" w:eastAsia="zh-CN"/>
                        </w:rPr>
                        <w:t>居民</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3551555</wp:posOffset>
                </wp:positionH>
                <wp:positionV relativeFrom="paragraph">
                  <wp:posOffset>2317750</wp:posOffset>
                </wp:positionV>
                <wp:extent cx="75565" cy="75565"/>
                <wp:effectExtent l="0" t="0" r="635" b="635"/>
                <wp:wrapNone/>
                <wp:docPr id="164" name="等腰三角形 164"/>
                <wp:cNvGraphicFramePr/>
                <a:graphic xmlns:a="http://schemas.openxmlformats.org/drawingml/2006/main">
                  <a:graphicData uri="http://schemas.microsoft.com/office/word/2010/wordprocessingShape">
                    <wps:wsp>
                      <wps:cNvSpPr/>
                      <wps:spPr>
                        <a:xfrm>
                          <a:off x="0" y="0"/>
                          <a:ext cx="75565" cy="75565"/>
                        </a:xfrm>
                        <a:prstGeom prst="triangle">
                          <a:avLst/>
                        </a:prstGeom>
                        <a:solidFill>
                          <a:srgbClr val="FF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79.65pt;margin-top:182.5pt;height:5.95pt;width:5.95pt;z-index:251784192;v-text-anchor:middle;mso-width-relative:page;mso-height-relative:page;" fillcolor="#FF0000" filled="t" stroked="f" coordsize="21600,21600" o:gfxdata="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Hkm1p2QAAAAsBAAAPAAAAAAAAAAEAIAAAACIAAABkcnMvZG93&#10;bnJldi54bWxQSwECFAAUAAAACACHTuJA4sINxnECAADCBAAADgAAAAAAAAABACAAAAAoAQAAZHJz&#10;L2Uyb0RvYy54bWxQSwUGAAAAAAYABgBZAQAACwYAAAAA&#10;" adj="10800">
                <v:fill on="t" focussize="0,0"/>
                <v:stroke on="f" weight="2p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3924935</wp:posOffset>
                </wp:positionH>
                <wp:positionV relativeFrom="paragraph">
                  <wp:posOffset>2378710</wp:posOffset>
                </wp:positionV>
                <wp:extent cx="75565" cy="75565"/>
                <wp:effectExtent l="0" t="0" r="635" b="635"/>
                <wp:wrapNone/>
                <wp:docPr id="163" name="等腰三角形 163"/>
                <wp:cNvGraphicFramePr/>
                <a:graphic xmlns:a="http://schemas.openxmlformats.org/drawingml/2006/main">
                  <a:graphicData uri="http://schemas.microsoft.com/office/word/2010/wordprocessingShape">
                    <wps:wsp>
                      <wps:cNvSpPr/>
                      <wps:spPr>
                        <a:xfrm>
                          <a:off x="4824730" y="3278505"/>
                          <a:ext cx="75565" cy="75565"/>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9.05pt;margin-top:187.3pt;height:5.95pt;width:5.95pt;z-index:251783168;v-text-anchor:middle;mso-width-relative:page;mso-height-relative:page;" fillcolor="#FFFF00" filled="t" stroked="f" coordsize="21600,21600" o:gfxdata="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MupZ3YAAAACwEAAA8AAAAAAAAAAQAg&#10;AAAAIgAAAGRycy9kb3ducmV2LnhtbFBLAQIUABQAAAAIAIdO4kDwHwp8gAIAAM4EAAAOAAAAAAAA&#10;AAEAIAAAACcBAABkcnMvZTJvRG9jLnhtbFBLBQYAAAAABgAGAFkBAAAZBgAAAAA=&#10;" adj="10800">
                <v:fill on="t" focussize="0,0"/>
                <v:stroke on="f" weight="2pt"/>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2501265</wp:posOffset>
                </wp:positionH>
                <wp:positionV relativeFrom="paragraph">
                  <wp:posOffset>1751330</wp:posOffset>
                </wp:positionV>
                <wp:extent cx="870585" cy="383540"/>
                <wp:effectExtent l="0" t="0" r="0" b="0"/>
                <wp:wrapNone/>
                <wp:docPr id="162" name="矩形 162"/>
                <wp:cNvGraphicFramePr/>
                <a:graphic xmlns:a="http://schemas.openxmlformats.org/drawingml/2006/main">
                  <a:graphicData uri="http://schemas.microsoft.com/office/word/2010/wordprocessingShape">
                    <wps:wsp>
                      <wps:cNvSpPr/>
                      <wps:spPr>
                        <a:xfrm>
                          <a:off x="0" y="0"/>
                          <a:ext cx="870585"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D8750">
                            <w:pPr>
                              <w:jc w:val="center"/>
                              <w:rPr>
                                <w:rFonts w:hint="default" w:eastAsia="宋体"/>
                                <w:b/>
                                <w:bCs/>
                                <w:highlight w:val="black"/>
                                <w:lang w:val="en-US" w:eastAsia="zh-CN"/>
                              </w:rPr>
                            </w:pPr>
                            <w:r>
                              <w:rPr>
                                <w:rFonts w:hint="eastAsia"/>
                                <w:b/>
                                <w:bCs/>
                                <w:highlight w:val="black"/>
                                <w:lang w:val="en-US" w:eastAsia="zh-CN"/>
                              </w:rPr>
                              <w:t>烟厂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95pt;margin-top:137.9pt;height:30.2pt;width:68.55pt;z-index:251782144;v-text-anchor:middle;mso-width-relative:page;mso-height-relative:page;" filled="f" stroked="f" coordsize="21600,21600" o:gfxdata="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E+2vvaAAAA&#10;CwEAAA8AAAAAAAAAAQAgAAAAIgAAAGRycy9kb3ducmV2LnhtbFBLAQIUABQAAAAIAIdO4kCEzeK7&#10;VAIAAJkEAAAOAAAAAAAAAAEAIAAAACkBAABkcnMvZTJvRG9jLnhtbFBLBQYAAAAABgAGAFkBAADv&#10;BQAAAAA=&#10;">
                <v:fill on="f" focussize="0,0"/>
                <v:stroke on="f" weight="2pt"/>
                <v:imagedata o:title=""/>
                <o:lock v:ext="edit" aspectratio="f"/>
                <v:textbox>
                  <w:txbxContent>
                    <w:p w14:paraId="2E4D8750">
                      <w:pPr>
                        <w:jc w:val="center"/>
                        <w:rPr>
                          <w:rFonts w:hint="default" w:eastAsia="宋体"/>
                          <w:b/>
                          <w:bCs/>
                          <w:highlight w:val="black"/>
                          <w:lang w:val="en-US" w:eastAsia="zh-CN"/>
                        </w:rPr>
                      </w:pPr>
                      <w:r>
                        <w:rPr>
                          <w:rFonts w:hint="eastAsia"/>
                          <w:b/>
                          <w:bCs/>
                          <w:highlight w:val="black"/>
                          <w:lang w:val="en-US" w:eastAsia="zh-CN"/>
                        </w:rPr>
                        <w:t>烟厂</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3636645</wp:posOffset>
                </wp:positionH>
                <wp:positionV relativeFrom="paragraph">
                  <wp:posOffset>2848610</wp:posOffset>
                </wp:positionV>
                <wp:extent cx="870585" cy="383540"/>
                <wp:effectExtent l="0" t="0" r="0" b="0"/>
                <wp:wrapNone/>
                <wp:docPr id="147" name="矩形 147"/>
                <wp:cNvGraphicFramePr/>
                <a:graphic xmlns:a="http://schemas.openxmlformats.org/drawingml/2006/main">
                  <a:graphicData uri="http://schemas.microsoft.com/office/word/2010/wordprocessingShape">
                    <wps:wsp>
                      <wps:cNvSpPr/>
                      <wps:spPr>
                        <a:xfrm>
                          <a:off x="0" y="0"/>
                          <a:ext cx="870585"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406CF">
                            <w:pPr>
                              <w:jc w:val="center"/>
                              <w:rPr>
                                <w:rFonts w:hint="default" w:eastAsia="宋体"/>
                                <w:b/>
                                <w:bCs/>
                                <w:highlight w:val="black"/>
                                <w:lang w:val="en-US" w:eastAsia="zh-CN"/>
                              </w:rPr>
                            </w:pPr>
                            <w:r>
                              <w:rPr>
                                <w:rFonts w:hint="eastAsia"/>
                                <w:b/>
                                <w:bCs/>
                                <w:highlight w:val="black"/>
                                <w:lang w:val="en-US" w:eastAsia="zh-CN"/>
                              </w:rPr>
                              <w:t>砖厂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35pt;margin-top:224.3pt;height:30.2pt;width:68.55pt;z-index:251781120;v-text-anchor:middle;mso-width-relative:page;mso-height-relative:page;" filled="f" stroked="f" coordsize="21600,21600" o:gfxdata="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X2nW9kAAAAL&#10;AQAADwAAAAAAAAABACAAAAAiAAAAZHJzL2Rvd25yZXYueG1sUEsBAhQAFAAAAAgAh07iQFE47ddU&#10;AgAAmQQAAA4AAAAAAAAAAQAgAAAAKAEAAGRycy9lMm9Eb2MueG1sUEsFBgAAAAAGAAYAWQEAAO4F&#10;AAAAAA==&#10;">
                <v:fill on="f" focussize="0,0"/>
                <v:stroke on="f" weight="2pt"/>
                <v:imagedata o:title=""/>
                <o:lock v:ext="edit" aspectratio="f"/>
                <v:textbox>
                  <w:txbxContent>
                    <w:p w14:paraId="401406CF">
                      <w:pPr>
                        <w:jc w:val="center"/>
                        <w:rPr>
                          <w:rFonts w:hint="default" w:eastAsia="宋体"/>
                          <w:b/>
                          <w:bCs/>
                          <w:highlight w:val="black"/>
                          <w:lang w:val="en-US" w:eastAsia="zh-CN"/>
                        </w:rPr>
                      </w:pPr>
                      <w:r>
                        <w:rPr>
                          <w:rFonts w:hint="eastAsia"/>
                          <w:b/>
                          <w:bCs/>
                          <w:highlight w:val="black"/>
                          <w:lang w:val="en-US" w:eastAsia="zh-CN"/>
                        </w:rPr>
                        <w:t>砖厂</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4040505</wp:posOffset>
                </wp:positionH>
                <wp:positionV relativeFrom="paragraph">
                  <wp:posOffset>2559050</wp:posOffset>
                </wp:positionV>
                <wp:extent cx="870585" cy="383540"/>
                <wp:effectExtent l="0" t="0" r="0" b="0"/>
                <wp:wrapNone/>
                <wp:docPr id="46" name="矩形 46"/>
                <wp:cNvGraphicFramePr/>
                <a:graphic xmlns:a="http://schemas.openxmlformats.org/drawingml/2006/main">
                  <a:graphicData uri="http://schemas.microsoft.com/office/word/2010/wordprocessingShape">
                    <wps:wsp>
                      <wps:cNvSpPr/>
                      <wps:spPr>
                        <a:xfrm>
                          <a:off x="4834890" y="3393440"/>
                          <a:ext cx="870585"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522C9">
                            <w:pPr>
                              <w:jc w:val="center"/>
                              <w:rPr>
                                <w:rFonts w:hint="default" w:eastAsia="宋体"/>
                                <w:b/>
                                <w:bCs/>
                                <w:lang w:val="en-US" w:eastAsia="zh-CN"/>
                              </w:rPr>
                            </w:pPr>
                            <w:r>
                              <w:rPr>
                                <w:rFonts w:hint="eastAsia"/>
                                <w:b/>
                                <w:bCs/>
                                <w:lang w:val="en-US" w:eastAsia="zh-CN"/>
                              </w:rPr>
                              <w:t>298m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15pt;margin-top:201.5pt;height:30.2pt;width:68.55pt;z-index:251678720;v-text-anchor:middle;mso-width-relative:page;mso-height-relative:page;" filled="f" stroked="f" coordsize="21600,21600" o:gfxdata="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VjEm9kAAAALAQAADwAAAAAAAAABACAAAAAiAAAAZHJzL2Rvd25yZXYueG1sUEsBAhQAFAAAAAgA&#10;h07iQNNcTyFdAgAAowQAAA4AAAAAAAAAAQAgAAAAKAEAAGRycy9lMm9Eb2MueG1sUEsFBgAAAAAG&#10;AAYAWQEAAPcFAAAAAA==&#10;">
                <v:fill on="f" focussize="0,0"/>
                <v:stroke on="f" weight="2pt"/>
                <v:imagedata o:title=""/>
                <o:lock v:ext="edit" aspectratio="f"/>
                <v:textbox>
                  <w:txbxContent>
                    <w:p w14:paraId="6D0522C9">
                      <w:pPr>
                        <w:jc w:val="center"/>
                        <w:rPr>
                          <w:rFonts w:hint="default" w:eastAsia="宋体"/>
                          <w:b/>
                          <w:bCs/>
                          <w:lang w:val="en-US" w:eastAsia="zh-CN"/>
                        </w:rPr>
                      </w:pPr>
                      <w:r>
                        <w:rPr>
                          <w:rFonts w:hint="eastAsia"/>
                          <w:b/>
                          <w:bCs/>
                          <w:lang w:val="en-US" w:eastAsia="zh-CN"/>
                        </w:rPr>
                        <w:t>298m</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-22860</wp:posOffset>
                </wp:positionH>
                <wp:positionV relativeFrom="paragraph">
                  <wp:posOffset>-9525</wp:posOffset>
                </wp:positionV>
                <wp:extent cx="8917305" cy="4617720"/>
                <wp:effectExtent l="19050" t="19050" r="23495" b="26670"/>
                <wp:wrapNone/>
                <wp:docPr id="22" name="矩形 22"/>
                <wp:cNvGraphicFramePr/>
                <a:graphic xmlns:a="http://schemas.openxmlformats.org/drawingml/2006/main">
                  <a:graphicData uri="http://schemas.microsoft.com/office/word/2010/wordprocessingShape">
                    <wps:wsp>
                      <wps:cNvSpPr/>
                      <wps:spPr>
                        <a:xfrm>
                          <a:off x="866140" y="911860"/>
                          <a:ext cx="8917305" cy="461772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350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pt;margin-top:-0.75pt;height:363.6pt;width:702.15pt;z-index:251673600;v-text-anchor:middle;mso-width-relative:page;mso-height-relative:page;" filled="f" stroked="t" coordsize="21600,21600" o:gfxdata="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BlTHzXAAAACgEAAA8AAAAAAAAAAQAgAAAAIgAAAGRycy9kb3ducmV2&#10;LnhtbFBLAQIUABQAAAAIAIdO4kD6eoSKbwIAAMwEAAAOAAAAAAAAAAEAIAAAACYBAABkcnMvZTJv&#10;RG9jLnhtbFBLBQYAAAAABgAGAFkBAAAHBgAAAAA=&#10;">
                <v:fill on="f" focussize="0,0"/>
                <v:stroke weight="3pt" color="#000000 [3213]" joinstyle="round"/>
                <v:imagedata o:title=""/>
                <o:lock v:ext="edit" aspectratio="f"/>
                <v:textbox>
                  <w:txbxContent>
                    <w:p w14:paraId="7C035074">
                      <w:pPr>
                        <w:jc w:val="center"/>
                      </w:pP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2005330</wp:posOffset>
                </wp:positionH>
                <wp:positionV relativeFrom="paragraph">
                  <wp:posOffset>2874645</wp:posOffset>
                </wp:positionV>
                <wp:extent cx="1241425" cy="377190"/>
                <wp:effectExtent l="12700" t="299720" r="386715" b="13970"/>
                <wp:wrapNone/>
                <wp:docPr id="50" name="矩形标注 50"/>
                <wp:cNvGraphicFramePr/>
                <a:graphic xmlns:a="http://schemas.openxmlformats.org/drawingml/2006/main">
                  <a:graphicData uri="http://schemas.microsoft.com/office/word/2010/wordprocessingShape">
                    <wps:wsp>
                      <wps:cNvSpPr/>
                      <wps:spPr>
                        <a:xfrm>
                          <a:off x="0" y="0"/>
                          <a:ext cx="1241425" cy="377190"/>
                        </a:xfrm>
                        <a:prstGeom prst="wedgeRectCallout">
                          <a:avLst>
                            <a:gd name="adj1" fmla="val 79769"/>
                            <a:gd name="adj2" fmla="val -1260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0856DB">
                            <w:pPr>
                              <w:jc w:val="center"/>
                              <w:rPr>
                                <w:rFonts w:hint="default" w:eastAsia="宋体"/>
                                <w:b/>
                                <w:bCs/>
                                <w:sz w:val="21"/>
                                <w:szCs w:val="21"/>
                                <w:lang w:val="en-US" w:eastAsia="zh-CN"/>
                              </w:rPr>
                            </w:pPr>
                            <w:r>
                              <w:rPr>
                                <w:rFonts w:hint="eastAsia"/>
                                <w:b/>
                                <w:bCs/>
                                <w:sz w:val="21"/>
                                <w:szCs w:val="21"/>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7.9pt;margin-top:226.35pt;height:29.7pt;width:97.75pt;z-index:251681792;v-text-anchor:middle;mso-width-relative:page;mso-height-relative:page;" fillcolor="#4F81BD [3204]" filled="t" stroked="t" coordsize="21600,21600" o:gfxdata="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XwmB31wAAAAsBAAAPAAAAAAAAAAEAIAAA&#10;ACIAAABkcnMvZG93bnJldi54bWxQSwECFAAUAAAACACHTuJAK3rjkLgCAABwBQAADgAAAAAAAAAB&#10;ACAAAAAmAQAAZHJzL2Uyb0RvYy54bWxQSwUGAAAAAAYABgBZAQAAUAYAAAAA&#10;" adj="28030,-16436">
                <v:fill on="t" focussize="0,0"/>
                <v:stroke weight="2pt" color="#385D8A [3204]" joinstyle="round"/>
                <v:imagedata o:title=""/>
                <o:lock v:ext="edit" aspectratio="f"/>
                <v:textbox>
                  <w:txbxContent>
                    <w:p w14:paraId="7F0856DB">
                      <w:pPr>
                        <w:jc w:val="center"/>
                        <w:rPr>
                          <w:rFonts w:hint="default" w:eastAsia="宋体"/>
                          <w:b/>
                          <w:bCs/>
                          <w:sz w:val="21"/>
                          <w:szCs w:val="21"/>
                          <w:lang w:val="en-US" w:eastAsia="zh-CN"/>
                        </w:rPr>
                      </w:pPr>
                      <w:r>
                        <w:rPr>
                          <w:rFonts w:hint="eastAsia"/>
                          <w:b/>
                          <w:bCs/>
                          <w:sz w:val="21"/>
                          <w:szCs w:val="21"/>
                          <w:lang w:val="en-US" w:eastAsia="zh-CN"/>
                        </w:rPr>
                        <w:t>项目所在地</w:t>
                      </w:r>
                    </w:p>
                  </w:txbxContent>
                </v:textbox>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3429000</wp:posOffset>
                </wp:positionH>
                <wp:positionV relativeFrom="paragraph">
                  <wp:posOffset>2308860</wp:posOffset>
                </wp:positionV>
                <wp:extent cx="484505" cy="353695"/>
                <wp:effectExtent l="82550" t="107315" r="91440" b="111125"/>
                <wp:wrapNone/>
                <wp:docPr id="49" name="矩形 49"/>
                <wp:cNvGraphicFramePr/>
                <a:graphic xmlns:a="http://schemas.openxmlformats.org/drawingml/2006/main">
                  <a:graphicData uri="http://schemas.microsoft.com/office/word/2010/wordprocessingShape">
                    <wps:wsp>
                      <wps:cNvSpPr/>
                      <wps:spPr>
                        <a:xfrm rot="20460000">
                          <a:off x="4333240" y="3233420"/>
                          <a:ext cx="484505" cy="353695"/>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pt;margin-top:181.8pt;height:27.85pt;width:38.15pt;rotation:-1245184f;z-index:251680768;v-text-anchor:middle;mso-width-relative:page;mso-height-relative:page;" filled="f" stroked="t" coordsize="21600,21600" o:gfxdata="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JREKbbAAAACwEAAA8AAAAAAAAAAQAgAAAAIgAAAGRycy9k&#10;b3ducmV2LnhtbFBLAQIUABQAAAAIAIdO4kDCb22JcQIAANAEAAAOAAAAAAAAAAEAIAAAACoBAABk&#10;cnMvZTJvRG9jLnhtbFBLBQYAAAAABgAGAFkBAAANBgAAAAA=&#10;">
                <v:fill on="f" focussize="0,0"/>
                <v:stroke weight="6pt" color="#000000 [3213]" joinstyle="round"/>
                <v:imagedata o:title=""/>
                <o:lock v:ext="edit" aspectratio="f"/>
              </v:rect>
            </w:pict>
          </mc:Fallback>
        </mc:AlternateContent>
      </w:r>
      <w:r>
        <w:rPr>
          <w:rFonts w:hint="eastAsia" w:ascii="宋体" w:hAnsi="宋体" w:eastAsia="宋体" w:cs="宋体"/>
          <w:color w:val="000000" w:themeColor="text1"/>
          <w:lang w:eastAsia="zh-CN"/>
          <w14:textFill>
            <w14:solidFill>
              <w14:schemeClr w14:val="tx1"/>
            </w14:solidFill>
          </w14:textFill>
        </w:rPr>
        <w:drawing>
          <wp:inline distT="0" distB="0" distL="114300" distR="114300">
            <wp:extent cx="8891270" cy="4634865"/>
            <wp:effectExtent l="0" t="0" r="3810" b="6985"/>
            <wp:docPr id="14" name="图片 14" descr="1639470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39470345(1)"/>
                    <pic:cNvPicPr>
                      <a:picLocks noChangeAspect="1"/>
                    </pic:cNvPicPr>
                  </pic:nvPicPr>
                  <pic:blipFill>
                    <a:blip r:embed="rId39"/>
                    <a:stretch>
                      <a:fillRect/>
                    </a:stretch>
                  </pic:blipFill>
                  <pic:spPr>
                    <a:xfrm>
                      <a:off x="0" y="0"/>
                      <a:ext cx="8891270" cy="4634865"/>
                    </a:xfrm>
                    <a:prstGeom prst="rect">
                      <a:avLst/>
                    </a:prstGeom>
                  </pic:spPr>
                </pic:pic>
              </a:graphicData>
            </a:graphic>
          </wp:inline>
        </w:drawing>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3891280</wp:posOffset>
                </wp:positionH>
                <wp:positionV relativeFrom="paragraph">
                  <wp:posOffset>2609850</wp:posOffset>
                </wp:positionV>
                <wp:extent cx="515620" cy="500380"/>
                <wp:effectExtent l="0" t="0" r="2540" b="2540"/>
                <wp:wrapNone/>
                <wp:docPr id="45" name="直接箭头连接符 45"/>
                <wp:cNvGraphicFramePr/>
                <a:graphic xmlns:a="http://schemas.openxmlformats.org/drawingml/2006/main">
                  <a:graphicData uri="http://schemas.microsoft.com/office/word/2010/wordprocessingShape">
                    <wps:wsp>
                      <wps:cNvCnPr/>
                      <wps:spPr>
                        <a:xfrm>
                          <a:off x="4791075" y="3509645"/>
                          <a:ext cx="515620" cy="500380"/>
                        </a:xfrm>
                        <a:prstGeom prst="straightConnector1">
                          <a:avLst/>
                        </a:prstGeom>
                        <a:ln>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6.4pt;margin-top:205.5pt;height:39.4pt;width:40.6pt;z-index:251677696;mso-width-relative:page;mso-height-relative:page;" filled="f" stroked="t" coordsize="21600,21600" o:gfxdata="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Cs7PNgAAAALAQAADwAAAAAA&#10;AAABACAAAAAiAAAAZHJzL2Rvd25yZXYueG1sUEsBAhQAFAAAAAgAh07iQJVSJr4TAgAA8gMAAA4A&#10;AAAAAAAAAQAgAAAAJwEAAGRycy9lMm9Eb2MueG1sUEsFBgAAAAAGAAYAWQEAAKwFAAAAAA==&#10;">
                <v:fill on="f" focussize="0,0"/>
                <v:stroke color="#FFFF00 [3204]" joinstyle="round" startarrow="open" endarrow="open"/>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4318635</wp:posOffset>
                </wp:positionH>
                <wp:positionV relativeFrom="paragraph">
                  <wp:posOffset>2253615</wp:posOffset>
                </wp:positionV>
                <wp:extent cx="980440" cy="1096645"/>
                <wp:effectExtent l="12700" t="10795" r="21590" b="15240"/>
                <wp:wrapNone/>
                <wp:docPr id="42" name="任意多边形 42"/>
                <wp:cNvGraphicFramePr/>
                <a:graphic xmlns:a="http://schemas.openxmlformats.org/drawingml/2006/main">
                  <a:graphicData uri="http://schemas.microsoft.com/office/word/2010/wordprocessingShape">
                    <wps:wsp>
                      <wps:cNvSpPr/>
                      <wps:spPr>
                        <a:xfrm>
                          <a:off x="5218430" y="3153410"/>
                          <a:ext cx="980440" cy="1096645"/>
                        </a:xfrm>
                        <a:custGeom>
                          <a:avLst/>
                          <a:gdLst>
                            <a:gd name="connisteX0" fmla="*/ 937035 w 980460"/>
                            <a:gd name="connsiteY0" fmla="*/ 0 h 1096613"/>
                            <a:gd name="connisteX1" fmla="*/ 697640 w 980460"/>
                            <a:gd name="connsiteY1" fmla="*/ 167005 h 1096613"/>
                            <a:gd name="connisteX2" fmla="*/ 530635 w 980460"/>
                            <a:gd name="connsiteY2" fmla="*/ 434975 h 1096613"/>
                            <a:gd name="connisteX3" fmla="*/ 465230 w 980460"/>
                            <a:gd name="connsiteY3" fmla="*/ 573405 h 1096613"/>
                            <a:gd name="connisteX4" fmla="*/ 370615 w 980460"/>
                            <a:gd name="connsiteY4" fmla="*/ 733425 h 1096613"/>
                            <a:gd name="connisteX5" fmla="*/ 247425 w 980460"/>
                            <a:gd name="connsiteY5" fmla="*/ 805815 h 1096613"/>
                            <a:gd name="connisteX6" fmla="*/ 8030 w 980460"/>
                            <a:gd name="connsiteY6" fmla="*/ 993775 h 1096613"/>
                            <a:gd name="connisteX7" fmla="*/ 95025 w 980460"/>
                            <a:gd name="connsiteY7" fmla="*/ 1095375 h 1096613"/>
                            <a:gd name="connisteX8" fmla="*/ 283620 w 980460"/>
                            <a:gd name="connsiteY8" fmla="*/ 942975 h 1096613"/>
                            <a:gd name="connisteX9" fmla="*/ 573815 w 980460"/>
                            <a:gd name="connsiteY9" fmla="*/ 958215 h 1096613"/>
                            <a:gd name="connisteX10" fmla="*/ 675415 w 980460"/>
                            <a:gd name="connsiteY10" fmla="*/ 942975 h 1096613"/>
                            <a:gd name="connisteX11" fmla="*/ 726215 w 980460"/>
                            <a:gd name="connsiteY11" fmla="*/ 755015 h 1096613"/>
                            <a:gd name="connisteX12" fmla="*/ 835435 w 980460"/>
                            <a:gd name="connsiteY12" fmla="*/ 565785 h 1096613"/>
                            <a:gd name="connisteX13" fmla="*/ 980215 w 980460"/>
                            <a:gd name="connsiteY13" fmla="*/ 225425 h 1096613"/>
                            <a:gd name="connisteX14" fmla="*/ 864010 w 980460"/>
                            <a:gd name="connsiteY14" fmla="*/ 22225 h 1096613"/>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980460" h="1096614">
                              <a:moveTo>
                                <a:pt x="937035" y="0"/>
                              </a:moveTo>
                              <a:cubicBezTo>
                                <a:pt x="892585" y="27940"/>
                                <a:pt x="778920" y="80010"/>
                                <a:pt x="697640" y="167005"/>
                              </a:cubicBezTo>
                              <a:cubicBezTo>
                                <a:pt x="616360" y="254000"/>
                                <a:pt x="576990" y="353695"/>
                                <a:pt x="530635" y="434975"/>
                              </a:cubicBezTo>
                              <a:cubicBezTo>
                                <a:pt x="484280" y="516255"/>
                                <a:pt x="496980" y="513715"/>
                                <a:pt x="465230" y="573405"/>
                              </a:cubicBezTo>
                              <a:cubicBezTo>
                                <a:pt x="433480" y="633095"/>
                                <a:pt x="414430" y="687070"/>
                                <a:pt x="370615" y="733425"/>
                              </a:cubicBezTo>
                              <a:cubicBezTo>
                                <a:pt x="326800" y="779780"/>
                                <a:pt x="319815" y="753745"/>
                                <a:pt x="247425" y="805815"/>
                              </a:cubicBezTo>
                              <a:cubicBezTo>
                                <a:pt x="175035" y="857885"/>
                                <a:pt x="38510" y="935990"/>
                                <a:pt x="8030" y="993775"/>
                              </a:cubicBezTo>
                              <a:cubicBezTo>
                                <a:pt x="-22450" y="1051560"/>
                                <a:pt x="39780" y="1105535"/>
                                <a:pt x="95025" y="1095375"/>
                              </a:cubicBezTo>
                              <a:cubicBezTo>
                                <a:pt x="150270" y="1085215"/>
                                <a:pt x="187735" y="970280"/>
                                <a:pt x="283620" y="942975"/>
                              </a:cubicBezTo>
                              <a:cubicBezTo>
                                <a:pt x="379505" y="915670"/>
                                <a:pt x="495710" y="958215"/>
                                <a:pt x="573815" y="958215"/>
                              </a:cubicBezTo>
                              <a:cubicBezTo>
                                <a:pt x="651920" y="958215"/>
                                <a:pt x="644935" y="983615"/>
                                <a:pt x="675415" y="942975"/>
                              </a:cubicBezTo>
                              <a:cubicBezTo>
                                <a:pt x="705895" y="902335"/>
                                <a:pt x="694465" y="830580"/>
                                <a:pt x="726215" y="755015"/>
                              </a:cubicBezTo>
                              <a:cubicBezTo>
                                <a:pt x="757965" y="679450"/>
                                <a:pt x="784635" y="671830"/>
                                <a:pt x="835435" y="565785"/>
                              </a:cubicBezTo>
                              <a:cubicBezTo>
                                <a:pt x="886235" y="459740"/>
                                <a:pt x="974500" y="334010"/>
                                <a:pt x="980215" y="225425"/>
                              </a:cubicBezTo>
                              <a:cubicBezTo>
                                <a:pt x="985930" y="116840"/>
                                <a:pt x="890045" y="55880"/>
                                <a:pt x="864010" y="22225"/>
                              </a:cubicBezTo>
                            </a:path>
                          </a:pathLst>
                        </a:custGeom>
                        <a:gradFill>
                          <a:gsLst>
                            <a:gs pos="0">
                              <a:srgbClr val="14CD68"/>
                            </a:gs>
                            <a:gs pos="100000">
                              <a:srgbClr val="0B6E38"/>
                            </a:gs>
                          </a:gsLst>
                          <a:lin ang="4800000" scaled="0"/>
                        </a:gra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40.05pt;margin-top:177.45pt;height:86.35pt;width:77.2pt;z-index:251676672;mso-width-relative:page;mso-height-relative:page;" fillcolor="#14CD68" filled="t" stroked="t" coordsize="980460,1096614" o:gfxdata="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C7zt3zbAAAACwEAAA8AAAAAAAAAAQAgAAAAIgAAAGRycy9kb3ducmV2Lnht&#10;bFBLAQIUABQAAAAIAIdO4kB3fj8Q+AUAACAVAAAOAAAAAAAAAAEAIAAAACoBAABkcnMvZTJvRG9j&#10;LnhtbFBLBQYAAAAABgAGAFkBAACUCQAAAAA=&#10;" path="m937035,0c892585,27940,778920,80010,697640,167005c616360,254000,576990,353695,530635,434975c484280,516255,496980,513715,465230,573405c433480,633095,414430,687070,370615,733425c326800,779780,319815,753745,247425,805815c175035,857885,38510,935990,8030,993775c-22450,1051560,39780,1105535,95025,1095375c150270,1085215,187735,970280,283620,942975c379505,915670,495710,958215,573815,958215c651920,958215,644935,983615,675415,942975c705895,902335,694465,830580,726215,755015c757965,679450,784635,671830,835435,565785c886235,459740,974500,334010,980215,225425c985930,116840,890045,55880,864010,22225e">
                <v:path o:connectlocs="937015,0;697625,167009;530624,434987;465220,573421;370607,733446;247419,805838;8029,993803;95023,1095406;283614,943002;573803,958242;675401,943002;726200,755037;835417,565801;980195,225431;863992,22225" o:connectangles="0,0,0,0,0,0,0,0,0,0,0,0,0,0,0"/>
                <v:fill type="gradient" on="t" color2="#0B6E38" angle="10" focus="100%" focussize="0,0" rotate="t">
                  <o:fill type="gradientUnscaled" v:ext="backwardCompatible"/>
                </v:fill>
                <v:stroke weight="2pt" color="#385D8A [3204]" joinstyle="round"/>
                <v:imagedata o:title=""/>
                <o:lock v:ext="edit" aspectratio="f"/>
              </v:shap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264160</wp:posOffset>
                </wp:positionH>
                <wp:positionV relativeFrom="paragraph">
                  <wp:posOffset>302260</wp:posOffset>
                </wp:positionV>
                <wp:extent cx="969010" cy="1056005"/>
                <wp:effectExtent l="0" t="0" r="2540" b="1905"/>
                <wp:wrapNone/>
                <wp:docPr id="29" name="矩形 29"/>
                <wp:cNvGraphicFramePr/>
                <a:graphic xmlns:a="http://schemas.openxmlformats.org/drawingml/2006/main">
                  <a:graphicData uri="http://schemas.microsoft.com/office/word/2010/wordprocessingShape">
                    <wps:wsp>
                      <wps:cNvSpPr/>
                      <wps:spPr>
                        <a:xfrm>
                          <a:off x="1169035" y="1202055"/>
                          <a:ext cx="969010" cy="1056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0E0F7">
                            <w:pPr>
                              <w:jc w:val="center"/>
                            </w:pPr>
                            <w:r>
                              <w:rPr>
                                <w:rFonts w:hint="eastAsia" w:eastAsia="宋体"/>
                                <w:lang w:eastAsia="zh-CN"/>
                              </w:rPr>
                              <w:drawing>
                                <wp:inline distT="0" distB="0" distL="114300" distR="114300">
                                  <wp:extent cx="689610" cy="935990"/>
                                  <wp:effectExtent l="0" t="0" r="1270" b="3175"/>
                                  <wp:docPr id="30"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pt;margin-top:23.8pt;height:83.15pt;width:76.3pt;z-index:251674624;v-text-anchor:middle;mso-width-relative:page;mso-height-relative:page;" filled="f" stroked="f" coordsize="21600,21600" o:gfxdata="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z02AAAAAkBAAAPAAAAAAAAAAEAIAAAACIAAABkcnMvZG93bnJldi54bWxQSwECFAAUAAAACACH&#10;TuJAyk15il0CAACkBAAADgAAAAAAAAABACAAAAAnAQAAZHJzL2Uyb0RvYy54bWxQSwUGAAAAAAYA&#10;BgBZAQAA9gUAAAAA&#10;">
                <v:fill on="f" focussize="0,0"/>
                <v:stroke on="f" weight="2pt"/>
                <v:imagedata o:title=""/>
                <o:lock v:ext="edit" aspectratio="f"/>
                <v:textbox>
                  <w:txbxContent>
                    <w:p w14:paraId="5250E0F7">
                      <w:pPr>
                        <w:jc w:val="center"/>
                      </w:pPr>
                      <w:r>
                        <w:rPr>
                          <w:rFonts w:hint="eastAsia" w:eastAsia="宋体"/>
                          <w:lang w:eastAsia="zh-CN"/>
                        </w:rPr>
                        <w:drawing>
                          <wp:inline distT="0" distB="0" distL="114300" distR="114300">
                            <wp:extent cx="689610" cy="935990"/>
                            <wp:effectExtent l="0" t="0" r="1270" b="3175"/>
                            <wp:docPr id="30"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v:textbox>
              </v:rect>
            </w:pict>
          </mc:Fallback>
        </mc:AlternateContent>
      </w:r>
    </w:p>
    <w:p w14:paraId="53EF4576">
      <w:pPr>
        <w:pStyle w:val="33"/>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附图</w:t>
      </w:r>
      <w:r>
        <w:rPr>
          <w:rFonts w:hint="eastAsia" w:ascii="宋体" w:hAnsi="宋体" w:cs="宋体"/>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四领情况及</w:t>
      </w:r>
      <w:r>
        <w:rPr>
          <w:rFonts w:hint="eastAsia" w:ascii="宋体" w:hAnsi="宋体" w:cs="宋体"/>
          <w:b/>
          <w:bCs/>
          <w:color w:val="000000" w:themeColor="text1"/>
          <w:sz w:val="24"/>
          <w:szCs w:val="24"/>
          <w:lang w:val="en-US" w:eastAsia="zh-CN"/>
          <w14:textFill>
            <w14:solidFill>
              <w14:schemeClr w14:val="tx1"/>
            </w14:solidFill>
          </w14:textFill>
        </w:rPr>
        <w:t>监测</w:t>
      </w:r>
      <w:r>
        <w:rPr>
          <w:rFonts w:hint="eastAsia" w:ascii="宋体" w:hAnsi="宋体" w:eastAsia="宋体" w:cs="宋体"/>
          <w:b/>
          <w:bCs/>
          <w:color w:val="000000" w:themeColor="text1"/>
          <w:sz w:val="24"/>
          <w:szCs w:val="24"/>
          <w:lang w:val="en-US" w:eastAsia="zh-CN"/>
          <w14:textFill>
            <w14:solidFill>
              <w14:schemeClr w14:val="tx1"/>
            </w14:solidFill>
          </w14:textFill>
        </w:rPr>
        <w:t>点位图</w:t>
      </w:r>
    </w:p>
    <w:p w14:paraId="642CB01E">
      <w:pPr>
        <w:pStyle w:val="33"/>
        <w:rPr>
          <w:rFonts w:hint="eastAsia" w:ascii="宋体" w:hAnsi="宋体" w:eastAsia="宋体" w:cs="宋体"/>
          <w:color w:val="000000" w:themeColor="text1"/>
          <w:lang w:eastAsia="zh-CN"/>
          <w14:textFill>
            <w14:solidFill>
              <w14:schemeClr w14:val="tx1"/>
            </w14:solidFill>
          </w14:textFill>
        </w:rPr>
        <w:sectPr>
          <w:pgSz w:w="16839"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linePitch="326" w:charSpace="0"/>
        </w:sectPr>
      </w:pPr>
    </w:p>
    <w:p w14:paraId="5A908D45">
      <w:pPr>
        <w:widowControl/>
        <w:jc w:val="left"/>
        <w:rPr>
          <w:rFonts w:hint="eastAsia" w:ascii="宋体" w:hAnsi="宋体" w:eastAsia="宋体" w:cs="宋体"/>
          <w:color w:val="000000" w:themeColor="text1"/>
          <w:lang w:val="en-US" w:eastAsia="zh-CN"/>
          <w14:textFill>
            <w14:solidFill>
              <w14:schemeClr w14:val="tx1"/>
            </w14:solidFill>
          </w14:textFill>
        </w:rPr>
      </w:pPr>
      <w:r>
        <w:rPr>
          <w:sz w:val="24"/>
        </w:rPr>
        <mc:AlternateContent>
          <mc:Choice Requires="wps">
            <w:drawing>
              <wp:anchor distT="0" distB="0" distL="114300" distR="114300" simplePos="0" relativeHeight="251808768" behindDoc="0" locked="0" layoutInCell="1" allowOverlap="1">
                <wp:simplePos x="0" y="0"/>
                <wp:positionH relativeFrom="column">
                  <wp:posOffset>905510</wp:posOffset>
                </wp:positionH>
                <wp:positionV relativeFrom="paragraph">
                  <wp:posOffset>166370</wp:posOffset>
                </wp:positionV>
                <wp:extent cx="818515" cy="298450"/>
                <wp:effectExtent l="0" t="0" r="0" b="0"/>
                <wp:wrapNone/>
                <wp:docPr id="174" name="矩形 174"/>
                <wp:cNvGraphicFramePr/>
                <a:graphic xmlns:a="http://schemas.openxmlformats.org/drawingml/2006/main">
                  <a:graphicData uri="http://schemas.microsoft.com/office/word/2010/wordprocessingShape">
                    <wps:wsp>
                      <wps:cNvSpPr/>
                      <wps:spPr>
                        <a:xfrm>
                          <a:off x="1989455" y="1066165"/>
                          <a:ext cx="818515" cy="2984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B4496F9">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3pt;margin-top:13.1pt;height:23.5pt;width:64.45pt;z-index:251808768;v-text-anchor:middle;mso-width-relative:page;mso-height-relative:page;" filled="f" stroked="f" coordsize="21600,21600" o:gfxdata="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Xi9AU2AAAAAkBAAAPAAAAAAAAAAEAIAAAACIAAABkcnMvZG93bnJldi54bWxQSwECFAAUAAAA&#10;CACHTuJAuJzc0WACAAClBAAADgAAAAAAAAABACAAAAAnAQAAZHJzL2Uyb0RvYy54bWxQSwUGAAAA&#10;AAYABgBZAQAA+QUAAAAA&#10;">
                <v:fill on="f" focussize="0,0"/>
                <v:stroke on="f" weight="2pt"/>
                <v:imagedata o:title=""/>
                <o:lock v:ext="edit" aspectratio="f"/>
                <v:textbox>
                  <w:txbxContent>
                    <w:p w14:paraId="0B4496F9">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化粪池</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7686675</wp:posOffset>
                </wp:positionH>
                <wp:positionV relativeFrom="paragraph">
                  <wp:posOffset>104140</wp:posOffset>
                </wp:positionV>
                <wp:extent cx="1248410" cy="1088390"/>
                <wp:effectExtent l="0" t="0" r="0" b="0"/>
                <wp:wrapNone/>
                <wp:docPr id="63" name="矩形 63"/>
                <wp:cNvGraphicFramePr/>
                <a:graphic xmlns:a="http://schemas.openxmlformats.org/drawingml/2006/main">
                  <a:graphicData uri="http://schemas.microsoft.com/office/word/2010/wordprocessingShape">
                    <wps:wsp>
                      <wps:cNvSpPr/>
                      <wps:spPr>
                        <a:xfrm>
                          <a:off x="8586470" y="1003935"/>
                          <a:ext cx="1248410" cy="1088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51F3C">
                            <w:pPr>
                              <w:jc w:val="center"/>
                            </w:pPr>
                            <w:r>
                              <w:rPr>
                                <w:rFonts w:hint="eastAsia" w:eastAsia="宋体"/>
                                <w:lang w:eastAsia="zh-CN"/>
                              </w:rPr>
                              <w:drawing>
                                <wp:inline distT="0" distB="0" distL="114300" distR="114300">
                                  <wp:extent cx="689610" cy="935990"/>
                                  <wp:effectExtent l="0" t="0" r="8890" b="3810"/>
                                  <wp:docPr id="64"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5.25pt;margin-top:8.2pt;height:85.7pt;width:98.3pt;z-index:251694080;v-text-anchor:middle;mso-width-relative:page;mso-height-relative:page;" filled="f" stroked="f" coordsize="21600,21600" o:gfxdata="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zINJB2QAAAAwBAAAPAAAAAAAAAAEAIAAAACIAAABkcnMvZG93bnJldi54bWxQSwECFAAU&#10;AAAACACHTuJAQFre2mICAAClBAAADgAAAAAAAAABACAAAAAoAQAAZHJzL2Uyb0RvYy54bWxQSwUG&#10;AAAAAAYABgBZAQAA/AUAAAAA&#10;">
                <v:fill on="f" focussize="0,0"/>
                <v:stroke on="f" weight="2pt"/>
                <v:imagedata o:title=""/>
                <o:lock v:ext="edit" aspectratio="f"/>
                <v:textbox>
                  <w:txbxContent>
                    <w:p w14:paraId="06F51F3C">
                      <w:pPr>
                        <w:jc w:val="center"/>
                      </w:pPr>
                      <w:r>
                        <w:rPr>
                          <w:rFonts w:hint="eastAsia" w:eastAsia="宋体"/>
                          <w:lang w:eastAsia="zh-CN"/>
                        </w:rPr>
                        <w:drawing>
                          <wp:inline distT="0" distB="0" distL="114300" distR="114300">
                            <wp:extent cx="689610" cy="935990"/>
                            <wp:effectExtent l="0" t="0" r="8890" b="3810"/>
                            <wp:docPr id="64"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1831975</wp:posOffset>
                </wp:positionH>
                <wp:positionV relativeFrom="paragraph">
                  <wp:posOffset>1747520</wp:posOffset>
                </wp:positionV>
                <wp:extent cx="4375150" cy="2751455"/>
                <wp:effectExtent l="12700" t="12700" r="19050" b="17145"/>
                <wp:wrapNone/>
                <wp:docPr id="61" name="矩形 61"/>
                <wp:cNvGraphicFramePr/>
                <a:graphic xmlns:a="http://schemas.openxmlformats.org/drawingml/2006/main">
                  <a:graphicData uri="http://schemas.microsoft.com/office/word/2010/wordprocessingShape">
                    <wps:wsp>
                      <wps:cNvSpPr/>
                      <wps:spPr>
                        <a:xfrm>
                          <a:off x="0" y="0"/>
                          <a:ext cx="4375150" cy="2751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7F5179">
                            <w:pPr>
                              <w:pStyle w:val="38"/>
                              <w:ind w:firstLine="2409" w:firstLineChars="1000"/>
                              <w:jc w:val="both"/>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未拆解的报废机动车贮存区</w:t>
                            </w:r>
                          </w:p>
                          <w:p w14:paraId="6C94E113">
                            <w:pPr>
                              <w:rPr>
                                <w:rFonts w:hint="default"/>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25pt;margin-top:137.6pt;height:216.65pt;width:344.5pt;z-index:251692032;v-text-anchor:middle;mso-width-relative:page;mso-height-relative:page;" fillcolor="#4F81BD [3204]" filled="t" stroked="t" coordsize="21600,21600" o:gfxdata="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awL02QAAAAsBAAAPAAAAAAAAAAEAIAAA&#10;ACIAAABkcnMvZG93bnJldi54bWxQSwECFAAUAAAACACHTuJAeBcJkX0CAAAMBQAADgAAAAAAAAAB&#10;ACAAAAAoAQAAZHJzL2Uyb0RvYy54bWxQSwUGAAAAAAYABgBZAQAAFwYAAAAA&#10;">
                <v:fill on="t" focussize="0,0"/>
                <v:stroke weight="2pt" color="#385D8A [3204]" joinstyle="round"/>
                <v:imagedata o:title=""/>
                <o:lock v:ext="edit" aspectratio="f"/>
                <v:textbox>
                  <w:txbxContent>
                    <w:p w14:paraId="427F5179">
                      <w:pPr>
                        <w:pStyle w:val="38"/>
                        <w:ind w:firstLine="2409" w:firstLineChars="1000"/>
                        <w:jc w:val="both"/>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未拆解的报废机动车贮存区</w:t>
                      </w:r>
                    </w:p>
                    <w:p w14:paraId="6C94E113">
                      <w:pPr>
                        <w:rPr>
                          <w:rFonts w:hint="default"/>
                          <w:sz w:val="24"/>
                          <w:szCs w:val="24"/>
                          <w:lang w:val="en-US" w:eastAsia="zh-CN"/>
                        </w:rPr>
                      </w:pP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71120</wp:posOffset>
                </wp:positionH>
                <wp:positionV relativeFrom="paragraph">
                  <wp:posOffset>123825</wp:posOffset>
                </wp:positionV>
                <wp:extent cx="7369810" cy="4980940"/>
                <wp:effectExtent l="12700" t="12700" r="22860" b="15240"/>
                <wp:wrapNone/>
                <wp:docPr id="51" name="矩形 51"/>
                <wp:cNvGraphicFramePr/>
                <a:graphic xmlns:a="http://schemas.openxmlformats.org/drawingml/2006/main">
                  <a:graphicData uri="http://schemas.microsoft.com/office/word/2010/wordprocessingShape">
                    <wps:wsp>
                      <wps:cNvSpPr/>
                      <wps:spPr>
                        <a:xfrm>
                          <a:off x="1021080" y="980440"/>
                          <a:ext cx="7369810" cy="4980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pt;margin-top:9.75pt;height:392.2pt;width:580.3pt;z-index:251682816;v-text-anchor:middle;mso-width-relative:page;mso-height-relative:page;" filled="f" stroked="t" coordsize="21600,21600" o:gfxdata="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VMouNcAAAAKAQAADwAAAAAAAAABACAAAAAiAAAAZHJz&#10;L2Rvd25yZXYueG1sUEsBAhQAFAAAAAgAh07iQGcYO1V3AgAA4wQAAA4AAAAAAAAAAQAgAAAAJgEA&#10;AGRycy9lMm9Eb2MueG1sUEsFBgAAAAAGAAYAWQEAAA8GAAAAAA==&#10;">
                <v:fill on="f" focussize="0,0"/>
                <v:stroke weight="2pt" color="#385D8A [3204]" joinstyle="round"/>
                <v:imagedata o:title=""/>
                <o:lock v:ext="edit" aspectratio="f"/>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306705</wp:posOffset>
                </wp:positionH>
                <wp:positionV relativeFrom="paragraph">
                  <wp:posOffset>411480</wp:posOffset>
                </wp:positionV>
                <wp:extent cx="1243965" cy="880110"/>
                <wp:effectExtent l="12700" t="12700" r="13335" b="21590"/>
                <wp:wrapNone/>
                <wp:docPr id="54" name="矩形 54"/>
                <wp:cNvGraphicFramePr/>
                <a:graphic xmlns:a="http://schemas.openxmlformats.org/drawingml/2006/main">
                  <a:graphicData uri="http://schemas.microsoft.com/office/word/2010/wordprocessingShape">
                    <wps:wsp>
                      <wps:cNvSpPr/>
                      <wps:spPr>
                        <a:xfrm>
                          <a:off x="7688580" y="1325245"/>
                          <a:ext cx="1243965" cy="880110"/>
                        </a:xfrm>
                        <a:prstGeom prst="rect">
                          <a:avLst/>
                        </a:prstGeom>
                        <a:solidFill>
                          <a:schemeClr val="tx2">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49873">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5pt;margin-top:32.4pt;height:69.3pt;width:97.95pt;z-index:251685888;v-text-anchor:middle;mso-width-relative:page;mso-height-relative:page;" fillcolor="#C6D9F1 [671]" filled="t" stroked="t" coordsize="21600,21600" o:gfxdata="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mhrhNoAAAAJAQAADwAAAAAAAAABACAAAAAiAAAAZHJzL2Rvd25yZXYu&#10;eG1sUEsBAhQAFAAAAAgAh07iQDnJ+UmkAgAAaAUAAA4AAAAAAAAAAQAgAAAAKQEAAGRycy9lMm9E&#10;b2MueG1sUEsFBgAAAAAGAAYAWQEAAD8GAAAAAA==&#10;">
                <v:fill on="t" focussize="0,0"/>
                <v:stroke weight="2pt" color="#B9CDE5 [1300]" joinstyle="round"/>
                <v:imagedata o:title=""/>
                <o:lock v:ext="edit" aspectratio="f"/>
                <v:textbox>
                  <w:txbxContent>
                    <w:p w14:paraId="66649873">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办公室</w:t>
                      </w: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-41910</wp:posOffset>
                </wp:positionH>
                <wp:positionV relativeFrom="paragraph">
                  <wp:posOffset>1983105</wp:posOffset>
                </wp:positionV>
                <wp:extent cx="226695" cy="145415"/>
                <wp:effectExtent l="2540" t="3810" r="8255" b="12700"/>
                <wp:wrapNone/>
                <wp:docPr id="53" name="直接连接符 53"/>
                <wp:cNvGraphicFramePr/>
                <a:graphic xmlns:a="http://schemas.openxmlformats.org/drawingml/2006/main">
                  <a:graphicData uri="http://schemas.microsoft.com/office/word/2010/wordprocessingShape">
                    <wps:wsp>
                      <wps:cNvCnPr/>
                      <wps:spPr>
                        <a:xfrm flipH="1">
                          <a:off x="5356860" y="871220"/>
                          <a:ext cx="226695" cy="145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3pt;margin-top:156.15pt;height:11.45pt;width:17.85pt;z-index:251684864;mso-width-relative:page;mso-height-relative:page;" filled="f" stroked="t" coordsize="21600,21600" o:gfxdata="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1jyY2AAAAAkBAAAPAAAAAAAAAAEAIAAA&#10;ACIAAABkcnMvZG93bnJldi54bWxQSwECFAAUAAAACACHTuJA5QqyEgwCAADuAwAADgAAAAAAAAAB&#10;ACAAAAAnAQAAZHJzL2Uyb0RvYy54bWxQSwUGAAAAAAYABgBZAQAApQUAAAAA&#10;">
                <v:fill on="f" focussize="0,0"/>
                <v:stroke color="#4A7EBB [3204]" joinstyle="round"/>
                <v:imagedata o:title=""/>
                <o:lock v:ext="edit" aspectratio="f"/>
              </v:line>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-57150</wp:posOffset>
                </wp:positionH>
                <wp:positionV relativeFrom="paragraph">
                  <wp:posOffset>1571625</wp:posOffset>
                </wp:positionV>
                <wp:extent cx="199390" cy="180975"/>
                <wp:effectExtent l="3175" t="3810" r="13335" b="9525"/>
                <wp:wrapNone/>
                <wp:docPr id="52" name="直接连接符 52"/>
                <wp:cNvGraphicFramePr/>
                <a:graphic xmlns:a="http://schemas.openxmlformats.org/drawingml/2006/main">
                  <a:graphicData uri="http://schemas.microsoft.com/office/word/2010/wordprocessingShape">
                    <wps:wsp>
                      <wps:cNvCnPr/>
                      <wps:spPr>
                        <a:xfrm flipH="1" flipV="1">
                          <a:off x="4848860" y="843915"/>
                          <a:ext cx="19939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5pt;margin-top:123.75pt;height:14.25pt;width:15.7pt;z-index:251683840;mso-width-relative:page;mso-height-relative:page;" filled="f" stroked="t" coordsize="21600,21600" o:gfxdata="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SNv59gAAAAJAQAADwAA&#10;AAAAAAABACAAAAAiAAAAZHJzL2Rvd25yZXYueG1sUEsBAhQAFAAAAAgAh07iQAjMM9cWAgAA+AMA&#10;AA4AAAAAAAAAAQAgAAAAJwEAAGRycy9lMm9Eb2MueG1sUEsFBgAAAAAGAAYAWQEAAK8FAAAAAA==&#10;">
                <v:fill on="f" focussize="0,0"/>
                <v:stroke color="#4A7EBB [3204]" joinstyle="round"/>
                <v:imagedata o:title=""/>
                <o:lock v:ext="edit" aspectratio="f"/>
              </v:line>
            </w:pict>
          </mc:Fallback>
        </mc:AlternateContent>
      </w:r>
      <w:r>
        <w:rPr>
          <w:rFonts w:hint="eastAsia" w:ascii="宋体" w:hAnsi="宋体" w:eastAsia="宋体" w:cs="宋体"/>
          <w:color w:val="000000" w:themeColor="text1"/>
          <w:lang w:val="en-US" w:eastAsia="zh-CN"/>
          <w14:textFill>
            <w14:solidFill>
              <w14:schemeClr w14:val="tx1"/>
            </w14:solidFill>
          </w14:textFill>
        </w:rPr>
        <w:t xml:space="preserve"> </w:t>
      </w:r>
    </w:p>
    <w:p w14:paraId="6220F380">
      <w:pPr>
        <w:bidi w:val="0"/>
        <w:rPr>
          <w:rFonts w:hint="eastAsia" w:ascii="宋体" w:hAnsi="宋体" w:eastAsia="宋体" w:cs="宋体"/>
          <w:color w:val="000000" w:themeColor="text1"/>
          <w14:textFill>
            <w14:solidFill>
              <w14:schemeClr w14:val="tx1"/>
            </w14:solidFill>
          </w14:textFill>
        </w:rPr>
      </w:pPr>
      <w:r>
        <w:rPr>
          <w:sz w:val="24"/>
        </w:rPr>
        <mc:AlternateContent>
          <mc:Choice Requires="wps">
            <w:drawing>
              <wp:anchor distT="0" distB="0" distL="114300" distR="114300" simplePos="0" relativeHeight="251807744" behindDoc="0" locked="0" layoutInCell="1" allowOverlap="1">
                <wp:simplePos x="0" y="0"/>
                <wp:positionH relativeFrom="column">
                  <wp:posOffset>867410</wp:posOffset>
                </wp:positionH>
                <wp:positionV relativeFrom="paragraph">
                  <wp:posOffset>102870</wp:posOffset>
                </wp:positionV>
                <wp:extent cx="228600" cy="127000"/>
                <wp:effectExtent l="0" t="0" r="0" b="0"/>
                <wp:wrapNone/>
                <wp:docPr id="173" name="矩形 173"/>
                <wp:cNvGraphicFramePr/>
                <a:graphic xmlns:a="http://schemas.openxmlformats.org/drawingml/2006/main">
                  <a:graphicData uri="http://schemas.microsoft.com/office/word/2010/wordprocessingShape">
                    <wps:wsp>
                      <wps:cNvSpPr/>
                      <wps:spPr>
                        <a:xfrm>
                          <a:off x="1767205" y="1187450"/>
                          <a:ext cx="228600" cy="127000"/>
                        </a:xfrm>
                        <a:prstGeom prst="rect">
                          <a:avLst/>
                        </a:prstGeom>
                        <a:solidFill>
                          <a:schemeClr val="tx2">
                            <a:lumMod val="20000"/>
                            <a:lumOff val="8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3pt;margin-top:8.1pt;height:10pt;width:18pt;z-index:251807744;v-text-anchor:middle;mso-width-relative:page;mso-height-relative:page;" fillcolor="#C6D9F1 [671]" filled="t" stroked="f" coordsize="21600,21600" o:gfxdata="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qUf+zXAAAACQEAAA8AAAAAAAAA&#10;AQAgAAAAIgAAAGRycy9kb3ducmV2LnhtbFBLAQIUABQAAAAIAIdO4kBmXtcphAIAAPwEAAAOAAAA&#10;AAAAAAEAIAAAACYBAABkcnMvZTJvRG9jLnhtbFBLBQYAAAAABgAGAFkBAAAcBgAAAAA=&#10;">
                <v:fill on="t" focussize="0,0"/>
                <v:stroke on="f" weight="2pt"/>
                <v:imagedata o:title=""/>
                <o:lock v:ext="edit" aspectratio="f"/>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3427095</wp:posOffset>
                </wp:positionH>
                <wp:positionV relativeFrom="paragraph">
                  <wp:posOffset>166370</wp:posOffset>
                </wp:positionV>
                <wp:extent cx="3268345" cy="1014095"/>
                <wp:effectExtent l="12700" t="12700" r="20955" b="14605"/>
                <wp:wrapNone/>
                <wp:docPr id="55" name="矩形 55"/>
                <wp:cNvGraphicFramePr/>
                <a:graphic xmlns:a="http://schemas.openxmlformats.org/drawingml/2006/main">
                  <a:graphicData uri="http://schemas.microsoft.com/office/word/2010/wordprocessingShape">
                    <wps:wsp>
                      <wps:cNvSpPr/>
                      <wps:spPr>
                        <a:xfrm>
                          <a:off x="0" y="0"/>
                          <a:ext cx="3268345" cy="10140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D6196">
                            <w:pPr>
                              <w:jc w:val="center"/>
                              <w:rPr>
                                <w:rFonts w:hint="default" w:eastAsia="宋体"/>
                                <w:b/>
                                <w:bCs/>
                                <w:lang w:val="en-US" w:eastAsia="zh-CN"/>
                              </w:rPr>
                            </w:pPr>
                            <w:r>
                              <w:rPr>
                                <w:rFonts w:hint="eastAsia"/>
                                <w:b/>
                                <w:bCs/>
                                <w:lang w:val="en-US" w:eastAsia="zh-CN"/>
                              </w:rPr>
                              <w:t>拆解车间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85pt;margin-top:13.1pt;height:79.85pt;width:257.35pt;z-index:251686912;v-text-anchor:middle;mso-width-relative:page;mso-height-relative:page;" fillcolor="#4F81BD [3204]" filled="t" stroked="t" coordsize="21600,21600" o:gfxdata="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U9C/9sAAAALAQAADwAAAAAA&#10;AAABACAAAAAiAAAAZHJzL2Rvd25yZXYueG1sUEsBAhQAFAAAAAgAh07iQPUYDaiCAgAADAUAAA4A&#10;AAAAAAAAAQAgAAAAKgEAAGRycy9lMm9Eb2MueG1sUEsFBgAAAAAGAAYAWQEAAB4GAAAAAA==&#10;">
                <v:fill on="t" focussize="0,0"/>
                <v:stroke weight="2pt" color="#385D8A [3204]" joinstyle="round"/>
                <v:imagedata o:title=""/>
                <o:lock v:ext="edit" aspectratio="f"/>
                <v:textbox>
                  <w:txbxContent>
                    <w:p w14:paraId="78ED6196">
                      <w:pPr>
                        <w:jc w:val="center"/>
                        <w:rPr>
                          <w:rFonts w:hint="default" w:eastAsia="宋体"/>
                          <w:b/>
                          <w:bCs/>
                          <w:lang w:val="en-US" w:eastAsia="zh-CN"/>
                        </w:rPr>
                      </w:pPr>
                      <w:r>
                        <w:rPr>
                          <w:rFonts w:hint="eastAsia"/>
                          <w:b/>
                          <w:bCs/>
                          <w:lang w:val="en-US" w:eastAsia="zh-CN"/>
                        </w:rPr>
                        <w:t>拆解车间</w:t>
                      </w:r>
                    </w:p>
                  </w:txbxContent>
                </v:textbox>
              </v:rect>
            </w:pict>
          </mc:Fallback>
        </mc:AlternateContent>
      </w:r>
    </w:p>
    <w:p w14:paraId="68179150">
      <w:pPr>
        <w:bidi w:val="0"/>
        <w:rPr>
          <w:rFonts w:hint="eastAsia" w:ascii="宋体" w:hAnsi="宋体" w:eastAsia="宋体" w:cs="宋体"/>
          <w:color w:val="000000" w:themeColor="text1"/>
          <w14:textFill>
            <w14:solidFill>
              <w14:schemeClr w14:val="tx1"/>
            </w14:solidFill>
          </w14:textFill>
        </w:rPr>
      </w:pPr>
    </w:p>
    <w:p w14:paraId="6A6E0125">
      <w:pPr>
        <w:bidi w:val="0"/>
        <w:rPr>
          <w:rFonts w:hint="eastAsia" w:ascii="宋体" w:hAnsi="宋体" w:eastAsia="宋体" w:cs="宋体"/>
          <w:color w:val="000000" w:themeColor="text1"/>
          <w14:textFill>
            <w14:solidFill>
              <w14:schemeClr w14:val="tx1"/>
            </w14:solidFill>
          </w14:textFill>
        </w:rPr>
      </w:pPr>
    </w:p>
    <w:p w14:paraId="39E1971D">
      <w:pPr>
        <w:bidi w:val="0"/>
        <w:rPr>
          <w:rFonts w:hint="eastAsia" w:ascii="宋体" w:hAnsi="宋体" w:eastAsia="宋体" w:cs="宋体"/>
          <w:color w:val="000000" w:themeColor="text1"/>
          <w14:textFill>
            <w14:solidFill>
              <w14:schemeClr w14:val="tx1"/>
            </w14:solidFill>
          </w14:textFill>
        </w:rPr>
      </w:pPr>
    </w:p>
    <w:p w14:paraId="1191DB41">
      <w:pPr>
        <w:bidi w:val="0"/>
        <w:rPr>
          <w:rFonts w:hint="eastAsia" w:ascii="宋体" w:hAnsi="宋体" w:eastAsia="宋体" w:cs="宋体"/>
          <w:color w:val="000000" w:themeColor="text1"/>
          <w14:textFill>
            <w14:solidFill>
              <w14:schemeClr w14:val="tx1"/>
            </w14:solidFill>
          </w14:textFill>
        </w:rPr>
      </w:pPr>
    </w:p>
    <w:p w14:paraId="22916E25">
      <w:pPr>
        <w:bidi w:val="0"/>
        <w:rPr>
          <w:rFonts w:hint="eastAsia" w:ascii="宋体" w:hAnsi="宋体" w:eastAsia="宋体" w:cs="宋体"/>
          <w:color w:val="000000" w:themeColor="text1"/>
          <w14:textFill>
            <w14:solidFill>
              <w14:schemeClr w14:val="tx1"/>
            </w14:solidFill>
          </w14:textFill>
        </w:rPr>
      </w:pPr>
    </w:p>
    <w:p w14:paraId="72AB9FB8">
      <w:pPr>
        <w:bidi w:val="0"/>
        <w:rPr>
          <w:rFonts w:hint="eastAsia" w:ascii="宋体" w:hAnsi="宋体" w:eastAsia="宋体" w:cs="宋体"/>
          <w:color w:val="000000" w:themeColor="text1"/>
          <w14:textFill>
            <w14:solidFill>
              <w14:schemeClr w14:val="tx1"/>
            </w14:solidFill>
          </w14:textFill>
        </w:rPr>
      </w:pPr>
    </w:p>
    <w:p w14:paraId="17DAC2A2">
      <w:pPr>
        <w:bidi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6471285</wp:posOffset>
                </wp:positionH>
                <wp:positionV relativeFrom="paragraph">
                  <wp:posOffset>29210</wp:posOffset>
                </wp:positionV>
                <wp:extent cx="537845" cy="932180"/>
                <wp:effectExtent l="12700" t="12700" r="20955" b="20320"/>
                <wp:wrapNone/>
                <wp:docPr id="60" name="矩形 60"/>
                <wp:cNvGraphicFramePr/>
                <a:graphic xmlns:a="http://schemas.openxmlformats.org/drawingml/2006/main">
                  <a:graphicData uri="http://schemas.microsoft.com/office/word/2010/wordprocessingShape">
                    <wps:wsp>
                      <wps:cNvSpPr/>
                      <wps:spPr>
                        <a:xfrm>
                          <a:off x="0" y="0"/>
                          <a:ext cx="537845" cy="932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B982EA">
                            <w:pPr>
                              <w:jc w:val="center"/>
                              <w:rPr>
                                <w:rFonts w:hint="default" w:eastAsia="宋体"/>
                                <w:b/>
                                <w:bCs/>
                                <w:lang w:val="en-US" w:eastAsia="zh-CN"/>
                              </w:rPr>
                            </w:pPr>
                            <w:r>
                              <w:rPr>
                                <w:rFonts w:hint="eastAsia"/>
                                <w:b/>
                                <w:bCs/>
                                <w:lang w:val="en-US" w:eastAsia="zh-CN"/>
                              </w:rPr>
                              <w:t>危险固废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9.55pt;margin-top:2.3pt;height:73.4pt;width:42.35pt;z-index:251691008;v-text-anchor:middle;mso-width-relative:page;mso-height-relative:page;" fillcolor="#002060" filled="t" stroked="t" coordsize="21600,21600" o:gfxdata="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r/UtzYAAAACwEAAA8AAAAAAAAAAQAg&#10;AAAAIgAAAGRycy9kb3ducmV2LnhtbFBLAQIUABQAAAAIAIdO4kC15gKzgAIAAAoFAAAOAAAAAAAA&#10;AAEAIAAAACcBAABkcnMvZTJvRG9jLnhtbFBLBQYAAAAABgAGAFkBAAAZBgAAAAA=&#10;">
                <v:fill on="t" focussize="0,0"/>
                <v:stroke weight="2pt" color="#385D8A [3204]" joinstyle="round"/>
                <v:imagedata o:title=""/>
                <o:lock v:ext="edit" aspectratio="f"/>
                <v:textbox>
                  <w:txbxContent>
                    <w:p w14:paraId="1CB982EA">
                      <w:pPr>
                        <w:jc w:val="center"/>
                        <w:rPr>
                          <w:rFonts w:hint="default" w:eastAsia="宋体"/>
                          <w:b/>
                          <w:bCs/>
                          <w:lang w:val="en-US" w:eastAsia="zh-CN"/>
                        </w:rPr>
                      </w:pPr>
                      <w:r>
                        <w:rPr>
                          <w:rFonts w:hint="eastAsia"/>
                          <w:b/>
                          <w:bCs/>
                          <w:lang w:val="en-US" w:eastAsia="zh-CN"/>
                        </w:rPr>
                        <w:t>危险固废</w:t>
                      </w:r>
                    </w:p>
                  </w:txbxContent>
                </v:textbox>
              </v:rect>
            </w:pict>
          </mc:Fallback>
        </mc:AlternateContent>
      </w:r>
    </w:p>
    <w:p w14:paraId="2EAEF426">
      <w:pPr>
        <w:bidi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360680</wp:posOffset>
                </wp:positionH>
                <wp:positionV relativeFrom="paragraph">
                  <wp:posOffset>8890</wp:posOffset>
                </wp:positionV>
                <wp:extent cx="1193165" cy="2773045"/>
                <wp:effectExtent l="12700" t="12700" r="13970" b="20955"/>
                <wp:wrapNone/>
                <wp:docPr id="57" name="矩形 57"/>
                <wp:cNvGraphicFramePr/>
                <a:graphic xmlns:a="http://schemas.openxmlformats.org/drawingml/2006/main">
                  <a:graphicData uri="http://schemas.microsoft.com/office/word/2010/wordprocessingShape">
                    <wps:wsp>
                      <wps:cNvSpPr/>
                      <wps:spPr>
                        <a:xfrm>
                          <a:off x="0" y="0"/>
                          <a:ext cx="1193165" cy="277304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22EEB">
                            <w:pPr>
                              <w:jc w:val="center"/>
                              <w:rPr>
                                <w:rFonts w:hint="default" w:eastAsia="宋体"/>
                                <w:b/>
                                <w:bCs/>
                                <w:lang w:val="en-US" w:eastAsia="zh-CN"/>
                              </w:rPr>
                            </w:pPr>
                            <w:r>
                              <w:rPr>
                                <w:rFonts w:hint="eastAsia"/>
                                <w:b/>
                                <w:bCs/>
                                <w:lang w:val="en-US" w:eastAsia="zh-CN"/>
                              </w:rPr>
                              <w:t>预处理车间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pt;margin-top:0.7pt;height:218.35pt;width:93.95pt;z-index:251687936;v-text-anchor:middle;mso-width-relative:page;mso-height-relative:page;" fillcolor="#002060" filled="t" stroked="t" coordsize="21600,21600" o:gfxdata="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KJCs7YAAAACAEAAA8AAAAAAAAAAQAg&#10;AAAAIgAAAGRycy9kb3ducmV2LnhtbFBLAQIUABQAAAAIAIdO4kA8Uqz2gAIAAAwFAAAOAAAAAAAA&#10;AAEAIAAAACcBAABkcnMvZTJvRG9jLnhtbFBLBQYAAAAABgAGAFkBAAAZBgAAAAA=&#10;">
                <v:fill on="t" focussize="0,0"/>
                <v:stroke weight="2pt" color="#385D8A [3204]" joinstyle="round"/>
                <v:imagedata o:title=""/>
                <o:lock v:ext="edit" aspectratio="f"/>
                <v:textbox>
                  <w:txbxContent>
                    <w:p w14:paraId="3E422EEB">
                      <w:pPr>
                        <w:jc w:val="center"/>
                        <w:rPr>
                          <w:rFonts w:hint="default" w:eastAsia="宋体"/>
                          <w:b/>
                          <w:bCs/>
                          <w:lang w:val="en-US" w:eastAsia="zh-CN"/>
                        </w:rPr>
                      </w:pPr>
                      <w:r>
                        <w:rPr>
                          <w:rFonts w:hint="eastAsia"/>
                          <w:b/>
                          <w:bCs/>
                          <w:lang w:val="en-US" w:eastAsia="zh-CN"/>
                        </w:rPr>
                        <w:t>预处理车间</w:t>
                      </w:r>
                    </w:p>
                  </w:txbxContent>
                </v:textbox>
              </v:rect>
            </w:pict>
          </mc:Fallback>
        </mc:AlternateContent>
      </w:r>
    </w:p>
    <w:p w14:paraId="099A957B">
      <w:pPr>
        <w:bidi w:val="0"/>
        <w:rPr>
          <w:rFonts w:hint="eastAsia" w:ascii="宋体" w:hAnsi="宋体" w:eastAsia="宋体" w:cs="宋体"/>
          <w:color w:val="000000" w:themeColor="text1"/>
          <w14:textFill>
            <w14:solidFill>
              <w14:schemeClr w14:val="tx1"/>
            </w14:solidFill>
          </w14:textFill>
        </w:rPr>
      </w:pPr>
    </w:p>
    <w:p w14:paraId="51D8CC68">
      <w:pPr>
        <w:bidi w:val="0"/>
        <w:rPr>
          <w:rFonts w:hint="eastAsia" w:ascii="宋体" w:hAnsi="宋体" w:eastAsia="宋体" w:cs="宋体"/>
          <w:color w:val="000000" w:themeColor="text1"/>
          <w14:textFill>
            <w14:solidFill>
              <w14:schemeClr w14:val="tx1"/>
            </w14:solidFill>
          </w14:textFill>
        </w:rPr>
      </w:pPr>
    </w:p>
    <w:p w14:paraId="3902FBB5">
      <w:pPr>
        <w:bidi w:val="0"/>
        <w:rPr>
          <w:rFonts w:hint="eastAsia" w:ascii="宋体" w:hAnsi="宋体" w:eastAsia="宋体" w:cs="宋体"/>
          <w:color w:val="000000" w:themeColor="text1"/>
          <w14:textFill>
            <w14:solidFill>
              <w14:schemeClr w14:val="tx1"/>
            </w14:solidFill>
          </w14:textFill>
        </w:rPr>
      </w:pPr>
    </w:p>
    <w:p w14:paraId="18B67C37">
      <w:pPr>
        <w:bidi w:val="0"/>
        <w:rPr>
          <w:rFonts w:hint="eastAsia" w:ascii="宋体" w:hAnsi="宋体" w:eastAsia="宋体" w:cs="宋体"/>
          <w:color w:val="000000" w:themeColor="text1"/>
          <w14:textFill>
            <w14:solidFill>
              <w14:schemeClr w14:val="tx1"/>
            </w14:solidFill>
          </w14:textFill>
        </w:rPr>
      </w:pPr>
    </w:p>
    <w:p w14:paraId="308FCD48">
      <w:pPr>
        <w:bidi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6443345</wp:posOffset>
                </wp:positionH>
                <wp:positionV relativeFrom="paragraph">
                  <wp:posOffset>44450</wp:posOffset>
                </wp:positionV>
                <wp:extent cx="525780" cy="742315"/>
                <wp:effectExtent l="12700" t="12700" r="22860" b="22225"/>
                <wp:wrapNone/>
                <wp:docPr id="59" name="矩形 59"/>
                <wp:cNvGraphicFramePr/>
                <a:graphic xmlns:a="http://schemas.openxmlformats.org/drawingml/2006/main">
                  <a:graphicData uri="http://schemas.microsoft.com/office/word/2010/wordprocessingShape">
                    <wps:wsp>
                      <wps:cNvSpPr/>
                      <wps:spPr>
                        <a:xfrm>
                          <a:off x="0" y="0"/>
                          <a:ext cx="525780" cy="742315"/>
                        </a:xfrm>
                        <a:prstGeom prst="rect">
                          <a:avLst/>
                        </a:prstGeom>
                        <a:solidFill>
                          <a:srgbClr val="4F80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0BA60E">
                            <w:pPr>
                              <w:jc w:val="center"/>
                              <w:rPr>
                                <w:rFonts w:hint="default" w:eastAsia="宋体"/>
                                <w:b/>
                                <w:bCs/>
                                <w:lang w:val="en-US" w:eastAsia="zh-CN"/>
                              </w:rPr>
                            </w:pPr>
                            <w:r>
                              <w:rPr>
                                <w:rFonts w:hint="eastAsia"/>
                                <w:b/>
                                <w:bCs/>
                                <w:lang w:val="en-US" w:eastAsia="zh-CN"/>
                              </w:rPr>
                              <w:t>一般固废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7.35pt;margin-top:3.5pt;height:58.45pt;width:41.4pt;z-index:251689984;v-text-anchor:middle;mso-width-relative:page;mso-height-relative:page;" fillcolor="#4F80BD" filled="t" stroked="t" coordsize="21600,21600" o:gfxdata="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oG1aDXAAAACwEAAA8AAAAAAAAAAQAgAAAA&#10;IgAAAGRycy9kb3ducmV2LnhtbFBLAQIUABQAAAAIAIdO4kCgL9E5fgIAAAoFAAAOAAAAAAAAAAEA&#10;IAAAACYBAABkcnMvZTJvRG9jLnhtbFBLBQYAAAAABgAGAFkBAAAWBgAAAAA=&#10;">
                <v:fill on="t" focussize="0,0"/>
                <v:stroke weight="2pt" color="#385D8A [3204]" joinstyle="round"/>
                <v:imagedata o:title=""/>
                <o:lock v:ext="edit" aspectratio="f"/>
                <v:textbox>
                  <w:txbxContent>
                    <w:p w14:paraId="6A0BA60E">
                      <w:pPr>
                        <w:jc w:val="center"/>
                        <w:rPr>
                          <w:rFonts w:hint="default" w:eastAsia="宋体"/>
                          <w:b/>
                          <w:bCs/>
                          <w:lang w:val="en-US" w:eastAsia="zh-CN"/>
                        </w:rPr>
                      </w:pPr>
                      <w:r>
                        <w:rPr>
                          <w:rFonts w:hint="eastAsia"/>
                          <w:b/>
                          <w:bCs/>
                          <w:lang w:val="en-US" w:eastAsia="zh-CN"/>
                        </w:rPr>
                        <w:t>一般固废</w:t>
                      </w:r>
                    </w:p>
                  </w:txbxContent>
                </v:textbox>
              </v:rect>
            </w:pict>
          </mc:Fallback>
        </mc:AlternateContent>
      </w:r>
    </w:p>
    <w:p w14:paraId="5FF0F652">
      <w:pPr>
        <w:bidi w:val="0"/>
        <w:rPr>
          <w:rFonts w:hint="eastAsia" w:ascii="宋体" w:hAnsi="宋体" w:eastAsia="宋体" w:cs="宋体"/>
          <w:color w:val="000000" w:themeColor="text1"/>
          <w14:textFill>
            <w14:solidFill>
              <w14:schemeClr w14:val="tx1"/>
            </w14:solidFill>
          </w14:textFill>
        </w:rPr>
      </w:pPr>
    </w:p>
    <w:p w14:paraId="3C1BE6DF">
      <w:pPr>
        <w:bidi w:val="0"/>
        <w:rPr>
          <w:rFonts w:hint="eastAsia" w:ascii="宋体" w:hAnsi="宋体" w:eastAsia="宋体" w:cs="宋体"/>
          <w:color w:val="000000" w:themeColor="text1"/>
          <w14:textFill>
            <w14:solidFill>
              <w14:schemeClr w14:val="tx1"/>
            </w14:solidFill>
          </w14:textFill>
        </w:rPr>
      </w:pPr>
    </w:p>
    <w:p w14:paraId="0D2450C0">
      <w:pPr>
        <w:bidi w:val="0"/>
        <w:rPr>
          <w:rFonts w:hint="eastAsia" w:ascii="宋体" w:hAnsi="宋体" w:eastAsia="宋体" w:cs="宋体"/>
          <w:color w:val="000000" w:themeColor="text1"/>
          <w14:textFill>
            <w14:solidFill>
              <w14:schemeClr w14:val="tx1"/>
            </w14:solidFill>
          </w14:textFill>
        </w:rPr>
      </w:pPr>
    </w:p>
    <w:p w14:paraId="0BFFD71D">
      <w:pPr>
        <w:bidi w:val="0"/>
        <w:rPr>
          <w:rFonts w:hint="eastAsia" w:ascii="宋体" w:hAnsi="宋体" w:eastAsia="宋体" w:cs="宋体"/>
          <w:color w:val="000000" w:themeColor="text1"/>
          <w14:textFill>
            <w14:solidFill>
              <w14:schemeClr w14:val="tx1"/>
            </w14:solidFill>
          </w14:textFill>
        </w:rPr>
      </w:pPr>
    </w:p>
    <w:p w14:paraId="674F1958">
      <w:pPr>
        <w:bidi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6449695</wp:posOffset>
                </wp:positionH>
                <wp:positionV relativeFrom="paragraph">
                  <wp:posOffset>38735</wp:posOffset>
                </wp:positionV>
                <wp:extent cx="533400" cy="1205865"/>
                <wp:effectExtent l="12700" t="12700" r="15240" b="22860"/>
                <wp:wrapNone/>
                <wp:docPr id="58" name="矩形 58"/>
                <wp:cNvGraphicFramePr/>
                <a:graphic xmlns:a="http://schemas.openxmlformats.org/drawingml/2006/main">
                  <a:graphicData uri="http://schemas.microsoft.com/office/word/2010/wordprocessingShape">
                    <wps:wsp>
                      <wps:cNvSpPr/>
                      <wps:spPr>
                        <a:xfrm>
                          <a:off x="0" y="0"/>
                          <a:ext cx="533400" cy="1205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1BF5C0">
                            <w:pPr>
                              <w:jc w:val="center"/>
                              <w:rPr>
                                <w:rFonts w:hint="default" w:eastAsia="宋体"/>
                                <w:b/>
                                <w:bCs/>
                                <w:lang w:val="en-US" w:eastAsia="zh-CN"/>
                              </w:rPr>
                            </w:pPr>
                            <w:r>
                              <w:rPr>
                                <w:rFonts w:hint="eastAsia"/>
                                <w:b/>
                                <w:bCs/>
                                <w:lang w:val="en-US" w:eastAsia="zh-CN"/>
                              </w:rPr>
                              <w:t>产品及半成品区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7.85pt;margin-top:3.05pt;height:94.95pt;width:42pt;z-index:251688960;v-text-anchor:middle;mso-width-relative:page;mso-height-relative:page;" fillcolor="#4F81BD [3204]" filled="t" stroked="t" coordsize="21600,21600" o:gfxdata="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dKbA7YAAAACwEAAA8AAAAAAAAAAQAgAAAA&#10;IgAAAGRycy9kb3ducmV2LnhtbFBLAQIUABQAAAAIAIdO4kDYVhYafQIAAAsFAAAOAAAAAAAAAAEA&#10;IAAAACcBAABkcnMvZTJvRG9jLnhtbFBLBQYAAAAABgAGAFkBAAAWBgAAAAA=&#10;">
                <v:fill on="t" focussize="0,0"/>
                <v:stroke weight="2pt" color="#385D8A [3204]" joinstyle="round"/>
                <v:imagedata o:title=""/>
                <o:lock v:ext="edit" aspectratio="f"/>
                <v:textbox>
                  <w:txbxContent>
                    <w:p w14:paraId="4A1BF5C0">
                      <w:pPr>
                        <w:jc w:val="center"/>
                        <w:rPr>
                          <w:rFonts w:hint="default" w:eastAsia="宋体"/>
                          <w:b/>
                          <w:bCs/>
                          <w:lang w:val="en-US" w:eastAsia="zh-CN"/>
                        </w:rPr>
                      </w:pPr>
                      <w:r>
                        <w:rPr>
                          <w:rFonts w:hint="eastAsia"/>
                          <w:b/>
                          <w:bCs/>
                          <w:lang w:val="en-US" w:eastAsia="zh-CN"/>
                        </w:rPr>
                        <w:t>产品及半成品区</w:t>
                      </w:r>
                    </w:p>
                  </w:txbxContent>
                </v:textbox>
              </v:rect>
            </w:pict>
          </mc:Fallback>
        </mc:AlternateContent>
      </w:r>
    </w:p>
    <w:p w14:paraId="3BC8BE2A">
      <w:pPr>
        <w:bidi w:val="0"/>
        <w:rPr>
          <w:rFonts w:hint="eastAsia" w:ascii="宋体" w:hAnsi="宋体" w:eastAsia="宋体" w:cs="宋体"/>
          <w:color w:val="000000" w:themeColor="text1"/>
          <w14:textFill>
            <w14:solidFill>
              <w14:schemeClr w14:val="tx1"/>
            </w14:solidFill>
          </w14:textFill>
        </w:rPr>
      </w:pPr>
    </w:p>
    <w:p w14:paraId="1D8BB74F">
      <w:pPr>
        <w:bidi w:val="0"/>
        <w:rPr>
          <w:rFonts w:hint="eastAsia" w:ascii="宋体" w:hAnsi="宋体" w:eastAsia="宋体" w:cs="宋体"/>
          <w:color w:val="000000" w:themeColor="text1"/>
          <w14:textFill>
            <w14:solidFill>
              <w14:schemeClr w14:val="tx1"/>
            </w14:solidFill>
          </w14:textFill>
        </w:rPr>
      </w:pPr>
    </w:p>
    <w:p w14:paraId="48D18783">
      <w:pPr>
        <w:bidi w:val="0"/>
        <w:rPr>
          <w:rFonts w:hint="eastAsia" w:ascii="宋体" w:hAnsi="宋体" w:eastAsia="宋体" w:cs="宋体"/>
          <w:color w:val="000000" w:themeColor="text1"/>
          <w14:textFill>
            <w14:solidFill>
              <w14:schemeClr w14:val="tx1"/>
            </w14:solidFill>
          </w14:textFill>
        </w:rPr>
      </w:pPr>
    </w:p>
    <w:p w14:paraId="69728DCA">
      <w:pPr>
        <w:bidi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340995</wp:posOffset>
                </wp:positionH>
                <wp:positionV relativeFrom="paragraph">
                  <wp:posOffset>168910</wp:posOffset>
                </wp:positionV>
                <wp:extent cx="1409700" cy="380365"/>
                <wp:effectExtent l="12700" t="12700" r="12700" b="13335"/>
                <wp:wrapNone/>
                <wp:docPr id="56" name="矩形 56"/>
                <wp:cNvGraphicFramePr/>
                <a:graphic xmlns:a="http://schemas.openxmlformats.org/drawingml/2006/main">
                  <a:graphicData uri="http://schemas.microsoft.com/office/word/2010/wordprocessingShape">
                    <wps:wsp>
                      <wps:cNvSpPr/>
                      <wps:spPr>
                        <a:xfrm>
                          <a:off x="0" y="0"/>
                          <a:ext cx="1409700" cy="38036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F2D76C">
                            <w:pPr>
                              <w:jc w:val="cente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初期雨水池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5pt;margin-top:13.3pt;height:29.95pt;width:111pt;z-index:251799552;v-text-anchor:middle;mso-width-relative:page;mso-height-relative:page;" fillcolor="#002060" filled="t" stroked="t" coordsize="21600,21600" o:gfxdata="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JzJNP2AAAAAgBAAAPAAAAAAAAAAEAIAAA&#10;ACIAAABkcnMvZG93bnJldi54bWxQSwECFAAUAAAACACHTuJAY3WtI34CAAALBQAADgAAAAAAAAAB&#10;ACAAAAAnAQAAZHJzL2Uyb0RvYy54bWxQSwUGAAAAAAYABgBZAQAAFwYAAAAA&#10;">
                <v:fill on="t" focussize="0,0"/>
                <v:stroke weight="2pt" color="#385D8A [3204]" joinstyle="round"/>
                <v:imagedata o:title=""/>
                <o:lock v:ext="edit" aspectratio="f"/>
                <v:textbox>
                  <w:txbxContent>
                    <w:p w14:paraId="5CF2D76C">
                      <w:pPr>
                        <w:jc w:val="center"/>
                        <w:rPr>
                          <w:rFonts w:hint="default"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初期雨水池</w:t>
                      </w:r>
                    </w:p>
                  </w:txbxContent>
                </v:textbox>
              </v:rect>
            </w:pict>
          </mc:Fallback>
        </mc:AlternateContent>
      </w:r>
    </w:p>
    <w:p w14:paraId="6C214B63">
      <w:pPr>
        <w:bidi w:val="0"/>
        <w:rPr>
          <w:rFonts w:hint="eastAsia" w:ascii="宋体" w:hAnsi="宋体" w:eastAsia="宋体" w:cs="宋体"/>
          <w:color w:val="000000" w:themeColor="text1"/>
          <w14:textFill>
            <w14:solidFill>
              <w14:schemeClr w14:val="tx1"/>
            </w14:solidFill>
          </w14:textFill>
        </w:rPr>
      </w:pPr>
    </w:p>
    <w:p w14:paraId="079BE365">
      <w:pPr>
        <w:bidi w:val="0"/>
        <w:rPr>
          <w:rFonts w:hint="eastAsia" w:ascii="宋体" w:hAnsi="宋体" w:eastAsia="宋体" w:cs="宋体"/>
          <w:color w:val="000000" w:themeColor="text1"/>
          <w14:textFill>
            <w14:solidFill>
              <w14:schemeClr w14:val="tx1"/>
            </w14:solidFill>
          </w14:textFill>
        </w:rPr>
      </w:pPr>
    </w:p>
    <w:p w14:paraId="373352E1">
      <w:pPr>
        <w:bidi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3825240</wp:posOffset>
                </wp:positionH>
                <wp:positionV relativeFrom="paragraph">
                  <wp:posOffset>114300</wp:posOffset>
                </wp:positionV>
                <wp:extent cx="179705" cy="265430"/>
                <wp:effectExtent l="0" t="0" r="10795" b="1270"/>
                <wp:wrapNone/>
                <wp:docPr id="172" name="矩形 172"/>
                <wp:cNvGraphicFramePr/>
                <a:graphic xmlns:a="http://schemas.openxmlformats.org/drawingml/2006/main">
                  <a:graphicData uri="http://schemas.microsoft.com/office/word/2010/wordprocessingShape">
                    <wps:wsp>
                      <wps:cNvSpPr/>
                      <wps:spPr>
                        <a:xfrm>
                          <a:off x="0" y="0"/>
                          <a:ext cx="179705" cy="26543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4AE8D">
                            <w:pPr>
                              <w:jc w:val="center"/>
                              <w:rPr>
                                <w:rFonts w:hint="default" w:eastAsia="宋体"/>
                                <w:b/>
                                <w:bCs/>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2pt;margin-top:9pt;height:20.9pt;width:14.15pt;z-index:251806720;v-text-anchor:middle;mso-width-relative:page;mso-height-relative:page;" fillcolor="#C6D9F1 [671]" filled="t" stroked="f" coordsize="21600,21600" o:gfxdata="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u1I/9gAAAAJAQAADwAAAAAAAAAB&#10;ACAAAAAiAAAAZHJzL2Rvd25yZXYueG1sUEsBAhQAFAAAAAgAh07iQPFtTmiCAgAA+wQAAA4AAAAA&#10;AAAAAQAgAAAAJwEAAGRycy9lMm9Eb2MueG1sUEsFBgAAAAAGAAYAWQEAABsGAAAAAA==&#10;">
                <v:fill on="t" focussize="0,0"/>
                <v:stroke on="f" weight="2pt"/>
                <v:imagedata o:title=""/>
                <o:lock v:ext="edit" aspectratio="f"/>
                <v:textbox>
                  <w:txbxContent>
                    <w:p w14:paraId="52F4AE8D">
                      <w:pPr>
                        <w:jc w:val="center"/>
                        <w:rPr>
                          <w:rFonts w:hint="default" w:eastAsia="宋体"/>
                          <w:b/>
                          <w:bCs/>
                          <w:lang w:val="en-US" w:eastAsia="zh-CN"/>
                        </w:rPr>
                      </w:pP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2517140</wp:posOffset>
                </wp:positionH>
                <wp:positionV relativeFrom="paragraph">
                  <wp:posOffset>146050</wp:posOffset>
                </wp:positionV>
                <wp:extent cx="179705" cy="265430"/>
                <wp:effectExtent l="12700" t="12700" r="23495" b="13970"/>
                <wp:wrapNone/>
                <wp:docPr id="171" name="矩形 171"/>
                <wp:cNvGraphicFramePr/>
                <a:graphic xmlns:a="http://schemas.openxmlformats.org/drawingml/2006/main">
                  <a:graphicData uri="http://schemas.microsoft.com/office/word/2010/wordprocessingShape">
                    <wps:wsp>
                      <wps:cNvSpPr/>
                      <wps:spPr>
                        <a:xfrm>
                          <a:off x="0" y="0"/>
                          <a:ext cx="179705" cy="265430"/>
                        </a:xfrm>
                        <a:prstGeom prst="rect">
                          <a:avLst/>
                        </a:prstGeom>
                        <a:solidFill>
                          <a:srgbClr val="4F80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0236E6">
                            <w:pPr>
                              <w:jc w:val="center"/>
                              <w:rPr>
                                <w:rFonts w:hint="default" w:eastAsia="宋体"/>
                                <w:b/>
                                <w:bCs/>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2pt;margin-top:11.5pt;height:20.9pt;width:14.15pt;z-index:251805696;v-text-anchor:middle;mso-width-relative:page;mso-height-relative:page;" fillcolor="#4F80BD" filled="t" stroked="t" coordsize="21600,21600" o:gfxdata="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aTH/vYAAAACQEAAA8AAAAAAAAAAQAg&#10;AAAAIgAAAGRycy9kb3ducmV2LnhtbFBLAQIUABQAAAAIAIdO4kA3pajwgAIAAAwFAAAOAAAAAAAA&#10;AAEAIAAAACcBAABkcnMvZTJvRG9jLnhtbFBLBQYAAAAABgAGAFkBAAAZBgAAAAA=&#10;">
                <v:fill on="t" focussize="0,0"/>
                <v:stroke weight="2pt" color="#385D8A [3204]" joinstyle="round"/>
                <v:imagedata o:title=""/>
                <o:lock v:ext="edit" aspectratio="f"/>
                <v:textbox>
                  <w:txbxContent>
                    <w:p w14:paraId="530236E6">
                      <w:pPr>
                        <w:jc w:val="center"/>
                        <w:rPr>
                          <w:rFonts w:hint="default" w:eastAsia="宋体"/>
                          <w:b/>
                          <w:bCs/>
                          <w:lang w:val="en-US" w:eastAsia="zh-CN"/>
                        </w:rPr>
                      </w:pPr>
                    </w:p>
                  </w:txbxContent>
                </v:textbox>
              </v:rect>
            </w:pict>
          </mc:Fallback>
        </mc:AlternateContent>
      </w:r>
      <w:r>
        <w:rPr>
          <w:rFonts w:hint="eastAsia" w:ascii="宋体" w:hAnsi="宋体" w:eastAsia="宋体" w:cs="宋体"/>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161290</wp:posOffset>
                </wp:positionH>
                <wp:positionV relativeFrom="paragraph">
                  <wp:posOffset>76835</wp:posOffset>
                </wp:positionV>
                <wp:extent cx="205105" cy="264160"/>
                <wp:effectExtent l="12700" t="12700" r="23495" b="15240"/>
                <wp:wrapNone/>
                <wp:docPr id="62" name="矩形 62"/>
                <wp:cNvGraphicFramePr/>
                <a:graphic xmlns:a="http://schemas.openxmlformats.org/drawingml/2006/main">
                  <a:graphicData uri="http://schemas.microsoft.com/office/word/2010/wordprocessingShape">
                    <wps:wsp>
                      <wps:cNvSpPr/>
                      <wps:spPr>
                        <a:xfrm>
                          <a:off x="0" y="0"/>
                          <a:ext cx="205105" cy="26416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EBF943">
                            <w:pPr>
                              <w:jc w:val="center"/>
                              <w:rPr>
                                <w:rFonts w:hint="default" w:eastAsia="宋体"/>
                                <w:b/>
                                <w:bCs/>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pt;margin-top:6.05pt;height:20.8pt;width:16.15pt;z-index:251693056;v-text-anchor:middle;mso-width-relative:page;mso-height-relative:page;" fillcolor="#002060" filled="t" stroked="t" coordsize="21600,21600" o:gfxdata="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wR68v1gAAAAcBAAAPAAAAAAAAAAEAIAAAACIA&#10;AABkcnMvZG93bnJldi54bWxQSwECFAAUAAAACACHTuJAVDPKen0CAAAKBQAADgAAAAAAAAABACAA&#10;AAAlAQAAZHJzL2Uyb0RvYy54bWxQSwUGAAAAAAYABgBZAQAAFAYAAAAA&#10;">
                <v:fill on="t" focussize="0,0"/>
                <v:stroke weight="2pt" color="#385D8A [3204]" joinstyle="round"/>
                <v:imagedata o:title=""/>
                <o:lock v:ext="edit" aspectratio="f"/>
                <v:textbox>
                  <w:txbxContent>
                    <w:p w14:paraId="02EBF943">
                      <w:pPr>
                        <w:jc w:val="center"/>
                        <w:rPr>
                          <w:rFonts w:hint="default" w:eastAsia="宋体"/>
                          <w:b/>
                          <w:bCs/>
                          <w:lang w:val="en-US" w:eastAsia="zh-CN"/>
                        </w:rPr>
                      </w:pPr>
                    </w:p>
                  </w:txbxContent>
                </v:textbox>
              </v:rect>
            </w:pict>
          </mc:Fallback>
        </mc:AlternateContent>
      </w:r>
    </w:p>
    <w:p w14:paraId="3E82CD44">
      <w:pPr>
        <w:bidi w:val="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为污染控制区（重点防渗区），</w:t>
      </w:r>
      <w:r>
        <w:rPr>
          <w:rFonts w:hint="eastAsia" w:ascii="宋体" w:hAnsi="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为一般防渗区</w:t>
      </w:r>
      <w:r>
        <w:rPr>
          <w:rFonts w:hint="eastAsia" w:ascii="宋体" w:hAnsi="宋体" w:cs="宋体"/>
          <w:color w:val="000000" w:themeColor="text1"/>
          <w:lang w:val="en-US" w:eastAsia="zh-CN"/>
          <w14:textFill>
            <w14:solidFill>
              <w14:schemeClr w14:val="tx1"/>
            </w14:solidFill>
          </w14:textFill>
        </w:rPr>
        <w:t xml:space="preserve">     为简单防渗区</w:t>
      </w:r>
      <w:r>
        <w:rPr>
          <w:rFonts w:hint="eastAsia" w:ascii="宋体" w:hAnsi="宋体" w:eastAsia="宋体" w:cs="宋体"/>
          <w:color w:val="000000" w:themeColor="text1"/>
          <w:lang w:val="en-US" w:eastAsia="zh-CN"/>
          <w14:textFill>
            <w14:solidFill>
              <w14:schemeClr w14:val="tx1"/>
            </w14:solidFill>
          </w14:textFill>
        </w:rPr>
        <w:t xml:space="preserve">  </w:t>
      </w:r>
    </w:p>
    <w:p w14:paraId="6503A59D">
      <w:pPr>
        <w:bidi w:val="0"/>
        <w:ind w:firstLine="4080" w:firstLineChars="17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附图</w:t>
      </w:r>
      <w:r>
        <w:rPr>
          <w:rFonts w:hint="eastAsia" w:ascii="宋体" w:hAnsi="宋体" w:cs="宋体"/>
          <w:b/>
          <w:bCs/>
          <w:color w:val="000000" w:themeColor="text1"/>
          <w:sz w:val="24"/>
          <w:szCs w:val="24"/>
          <w:lang w:val="en-US" w:eastAsia="zh-CN"/>
          <w14:textFill>
            <w14:solidFill>
              <w14:schemeClr w14:val="tx1"/>
            </w14:solidFill>
          </w14:textFill>
        </w:rPr>
        <w:t>5</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厂区平面布置图</w:t>
      </w:r>
      <w:r>
        <w:rPr>
          <w:rFonts w:hint="eastAsia" w:ascii="宋体" w:hAnsi="宋体" w:eastAsia="宋体" w:cs="宋体"/>
          <w:b/>
          <w:bCs/>
          <w:color w:val="000000" w:themeColor="text1"/>
          <w:sz w:val="32"/>
          <w:szCs w:val="32"/>
          <w14:textFill>
            <w14:solidFill>
              <w14:schemeClr w14:val="tx1"/>
            </w14:solidFill>
          </w14:textFill>
        </w:rPr>
        <w:br w:type="page"/>
      </w:r>
    </w:p>
    <w:p w14:paraId="341F7286">
      <w:pPr>
        <w:pStyle w:val="24"/>
        <w:rPr>
          <w:rFonts w:hint="eastAsia" w:ascii="宋体" w:hAnsi="宋体" w:eastAsia="宋体" w:cs="宋体"/>
          <w:b/>
          <w:bCs/>
          <w:color w:val="000000" w:themeColor="text1"/>
          <w:kern w:val="0"/>
          <w:sz w:val="32"/>
          <w:szCs w:val="32"/>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871855</wp:posOffset>
                </wp:positionH>
                <wp:positionV relativeFrom="paragraph">
                  <wp:posOffset>60960</wp:posOffset>
                </wp:positionV>
                <wp:extent cx="6540500" cy="647700"/>
                <wp:effectExtent l="0" t="0" r="0" b="0"/>
                <wp:wrapNone/>
                <wp:docPr id="35" name="矩形 35"/>
                <wp:cNvGraphicFramePr/>
                <a:graphic xmlns:a="http://schemas.openxmlformats.org/drawingml/2006/main">
                  <a:graphicData uri="http://schemas.microsoft.com/office/word/2010/wordprocessingShape">
                    <wps:wsp>
                      <wps:cNvSpPr/>
                      <wps:spPr>
                        <a:xfrm>
                          <a:off x="1771650" y="998855"/>
                          <a:ext cx="6540500" cy="647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37489E9">
                            <w:pPr>
                              <w:jc w:val="center"/>
                              <w:rPr>
                                <w:rFonts w:hint="default" w:eastAsia="宋体"/>
                                <w:b/>
                                <w:bCs/>
                                <w:color w:val="000000"/>
                                <w:sz w:val="24"/>
                                <w:szCs w:val="24"/>
                                <w:lang w:val="en-US" w:eastAsia="zh-CN"/>
                              </w:rPr>
                            </w:pPr>
                            <w:r>
                              <w:rPr>
                                <w:rFonts w:hint="eastAsia"/>
                                <w:b/>
                                <w:bCs/>
                                <w:color w:val="000000"/>
                                <w:sz w:val="24"/>
                                <w:szCs w:val="24"/>
                                <w:lang w:val="en-US" w:eastAsia="zh-CN"/>
                              </w:rPr>
                              <w:t>附图6  红嘴经济技术开发区产业布局规划</w:t>
                            </w:r>
                            <w:r>
                              <w:rPr>
                                <w:rFonts w:hint="eastAsia" w:ascii="Times New Roman" w:hAnsi="Times New Roman" w:eastAsia="宋体" w:cs="Times New Roman"/>
                                <w:b/>
                                <w:bCs/>
                                <w:color w:val="000000"/>
                                <w:sz w:val="24"/>
                                <w:szCs w:val="24"/>
                                <w:lang w:val="en-US" w:eastAsia="zh-CN"/>
                              </w:rPr>
                              <w:t>（2020-2025）</w:t>
                            </w:r>
                            <w:r>
                              <w:rPr>
                                <w:rFonts w:hint="eastAsia"/>
                                <w:b/>
                                <w:bCs/>
                                <w:color w:val="000000"/>
                                <w:sz w:val="24"/>
                                <w:szCs w:val="24"/>
                                <w:lang w:val="en-US" w:eastAsia="zh-CN"/>
                              </w:rPr>
                              <w:t>图</w:t>
                            </w:r>
                          </w:p>
                          <w:p w14:paraId="5DEB7A4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65pt;margin-top:4.8pt;height:51pt;width:515pt;z-index:251793408;v-text-anchor:middle;mso-width-relative:page;mso-height-relative:page;" fillcolor="#FFFFFF [3212]" filled="t" stroked="f" coordsize="21600,21600" o:gfxdata="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aqxHnTAAAACgEAAA8AAAAAAAAAAQAgAAAAIgAAAGRycy9kb3ducmV2Lnht&#10;bFBLAQIUABQAAAAIAIdO4kCrxtcNcAIAAMwEAAAOAAAAAAAAAAEAIAAAACIBAABkcnMvZTJvRG9j&#10;LnhtbFBLBQYAAAAABgAGAFkBAAAEBgAAAAA=&#10;">
                <v:fill on="t" focussize="0,0"/>
                <v:stroke on="f" weight="2pt"/>
                <v:imagedata o:title=""/>
                <o:lock v:ext="edit" aspectratio="f"/>
                <v:textbox>
                  <w:txbxContent>
                    <w:p w14:paraId="437489E9">
                      <w:pPr>
                        <w:jc w:val="center"/>
                        <w:rPr>
                          <w:rFonts w:hint="default" w:eastAsia="宋体"/>
                          <w:b/>
                          <w:bCs/>
                          <w:color w:val="000000"/>
                          <w:sz w:val="24"/>
                          <w:szCs w:val="24"/>
                          <w:lang w:val="en-US" w:eastAsia="zh-CN"/>
                        </w:rPr>
                      </w:pPr>
                      <w:r>
                        <w:rPr>
                          <w:rFonts w:hint="eastAsia"/>
                          <w:b/>
                          <w:bCs/>
                          <w:color w:val="000000"/>
                          <w:sz w:val="24"/>
                          <w:szCs w:val="24"/>
                          <w:lang w:val="en-US" w:eastAsia="zh-CN"/>
                        </w:rPr>
                        <w:t>附图6  红嘴经济技术开发区产业布局规划</w:t>
                      </w:r>
                      <w:r>
                        <w:rPr>
                          <w:rFonts w:hint="eastAsia" w:ascii="Times New Roman" w:hAnsi="Times New Roman" w:eastAsia="宋体" w:cs="Times New Roman"/>
                          <w:b/>
                          <w:bCs/>
                          <w:color w:val="000000"/>
                          <w:sz w:val="24"/>
                          <w:szCs w:val="24"/>
                          <w:lang w:val="en-US" w:eastAsia="zh-CN"/>
                        </w:rPr>
                        <w:t>（2020-2025）</w:t>
                      </w:r>
                      <w:r>
                        <w:rPr>
                          <w:rFonts w:hint="eastAsia"/>
                          <w:b/>
                          <w:bCs/>
                          <w:color w:val="000000"/>
                          <w:sz w:val="24"/>
                          <w:szCs w:val="24"/>
                          <w:lang w:val="en-US" w:eastAsia="zh-CN"/>
                        </w:rPr>
                        <w:t>图</w:t>
                      </w:r>
                    </w:p>
                    <w:p w14:paraId="5DEB7A41">
                      <w:pPr>
                        <w:jc w:val="center"/>
                      </w:pPr>
                    </w:p>
                  </w:txbxContent>
                </v:textbox>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592455</wp:posOffset>
                </wp:positionH>
                <wp:positionV relativeFrom="paragraph">
                  <wp:posOffset>10160</wp:posOffset>
                </wp:positionV>
                <wp:extent cx="8280400" cy="5651500"/>
                <wp:effectExtent l="12700" t="12700" r="12700" b="12700"/>
                <wp:wrapNone/>
                <wp:docPr id="34" name="矩形 34"/>
                <wp:cNvGraphicFramePr/>
                <a:graphic xmlns:a="http://schemas.openxmlformats.org/drawingml/2006/main">
                  <a:graphicData uri="http://schemas.microsoft.com/office/word/2010/wordprocessingShape">
                    <wps:wsp>
                      <wps:cNvSpPr/>
                      <wps:spPr>
                        <a:xfrm>
                          <a:off x="1492250" y="909955"/>
                          <a:ext cx="8280400" cy="565150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65pt;margin-top:0.8pt;height:445pt;width:652pt;z-index:251792384;v-text-anchor:middle;mso-width-relative:page;mso-height-relative:page;" filled="f" stroked="t" coordsize="21600,21600" o:gfxdata="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0WpZHYAAAACQEAAA8AAAAAAAAAAQAgAAAAIgAAAGRycy9kb3ducmV2LnhtbFBL&#10;AQIUABQAAAAIAIdO4kA7K11saAIAAMIEAAAOAAAAAAAAAAEAIAAAACcBAABkcnMvZTJvRG9jLnht&#10;bFBLBQYAAAAABgAGAFkBAAABBgAAAAA=&#10;">
                <v:fill on="f" focussize="0,0"/>
                <v:stroke weight="2pt" color="#000000 [3213]" joinstyle="round"/>
                <v:imagedata o:title=""/>
                <o:lock v:ext="edit" aspectratio="f"/>
              </v:rect>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3297555</wp:posOffset>
                </wp:positionH>
                <wp:positionV relativeFrom="paragraph">
                  <wp:posOffset>1743710</wp:posOffset>
                </wp:positionV>
                <wp:extent cx="1282700" cy="469900"/>
                <wp:effectExtent l="616585" t="233045" r="18415" b="20955"/>
                <wp:wrapNone/>
                <wp:docPr id="33" name="矩形标注 33"/>
                <wp:cNvGraphicFramePr/>
                <a:graphic xmlns:a="http://schemas.openxmlformats.org/drawingml/2006/main">
                  <a:graphicData uri="http://schemas.microsoft.com/office/word/2010/wordprocessingShape">
                    <wps:wsp>
                      <wps:cNvSpPr/>
                      <wps:spPr>
                        <a:xfrm>
                          <a:off x="3448050" y="2846705"/>
                          <a:ext cx="1282700" cy="469900"/>
                        </a:xfrm>
                        <a:prstGeom prst="wedgeRectCallout">
                          <a:avLst>
                            <a:gd name="adj1" fmla="val -97079"/>
                            <a:gd name="adj2" fmla="val -96891"/>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571F73E">
                            <w:pPr>
                              <w:jc w:val="center"/>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9.65pt;margin-top:137.3pt;height:37pt;width:101pt;z-index:251791360;v-text-anchor:middle;mso-width-relative:page;mso-height-relative:page;" fillcolor="#4F81BD [3204]" filled="t" stroked="t" coordsize="21600,21600" o:gfxdata="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yJuS62wAAAAsB&#10;AAAPAAAAAAAAAAEAIAAAACIAAABkcnMvZG93bnJldi54bWxQSwECFAAUAAAACACHTuJAeRV8KcMC&#10;AAB9BQAADgAAAAAAAAABACAAAAAqAQAAZHJzL2Uyb0RvYy54bWxQSwUGAAAAAAYABgBZAQAAXwYA&#10;AAAA&#10;" adj="-10169,-10128">
                <v:fill on="t" focussize="0,0"/>
                <v:stroke weight="2pt" color="#376092 [2404]" joinstyle="round"/>
                <v:imagedata o:title=""/>
                <o:lock v:ext="edit" aspectratio="f"/>
                <v:textbox>
                  <w:txbxContent>
                    <w:p w14:paraId="3571F73E">
                      <w:pPr>
                        <w:jc w:val="center"/>
                        <w:rPr>
                          <w:rFonts w:hint="default" w:eastAsia="宋体"/>
                          <w:lang w:val="en-US" w:eastAsia="zh-CN"/>
                        </w:rPr>
                      </w:pPr>
                      <w:r>
                        <w:rPr>
                          <w:rFonts w:hint="eastAsia"/>
                          <w:lang w:val="en-US" w:eastAsia="zh-CN"/>
                        </w:rPr>
                        <w:t>本项目</w:t>
                      </w:r>
                    </w:p>
                  </w:txbxContent>
                </v:textbox>
              </v:shape>
            </w:pict>
          </mc:Fallback>
        </mc:AlternateContent>
      </w:r>
      <w:r>
        <w:rPr>
          <w:color w:val="000000" w:themeColor="text1"/>
          <w14:textFill>
            <w14:solidFill>
              <w14:schemeClr w14:val="tx1"/>
            </w14:solidFill>
          </w14:textFill>
        </w:rPr>
        <w:drawing>
          <wp:inline distT="0" distB="0" distL="114300" distR="114300">
            <wp:extent cx="8196580" cy="5682615"/>
            <wp:effectExtent l="0" t="0" r="7620" b="698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40"/>
                    <a:stretch>
                      <a:fillRect/>
                    </a:stretch>
                  </pic:blipFill>
                  <pic:spPr>
                    <a:xfrm>
                      <a:off x="0" y="0"/>
                      <a:ext cx="8196580" cy="5682615"/>
                    </a:xfrm>
                    <a:prstGeom prst="rect">
                      <a:avLst/>
                    </a:prstGeom>
                    <a:noFill/>
                    <a:ln>
                      <a:noFill/>
                    </a:ln>
                  </pic:spPr>
                </pic:pic>
              </a:graphicData>
            </a:graphic>
          </wp:inline>
        </w:drawing>
      </w:r>
    </w:p>
    <w:p w14:paraId="0386ECAD">
      <w:pPr>
        <w:widowControl/>
        <w:jc w:val="center"/>
        <w:rPr>
          <w:rFonts w:hint="eastAsia" w:ascii="宋体" w:hAnsi="宋体" w:eastAsia="宋体" w:cs="宋体"/>
          <w:b/>
          <w:bCs/>
          <w:color w:val="000000" w:themeColor="text1"/>
          <w:kern w:val="0"/>
          <w:sz w:val="32"/>
          <w:szCs w:val="32"/>
          <w:lang w:val="en-US" w:eastAsia="zh-CN"/>
          <w14:textFill>
            <w14:solidFill>
              <w14:schemeClr w14:val="tx1"/>
            </w14:solidFill>
          </w14:textFill>
        </w:rPr>
      </w:pPr>
    </w:p>
    <w:p w14:paraId="5FB02AFB">
      <w:pPr>
        <w:widowControl/>
        <w:jc w:val="center"/>
        <w:rPr>
          <w:rFonts w:hint="eastAsia" w:ascii="宋体" w:hAnsi="宋体" w:eastAsia="宋体" w:cs="宋体"/>
          <w:b/>
          <w:bCs/>
          <w:color w:val="000000" w:themeColor="text1"/>
          <w:kern w:val="0"/>
          <w:sz w:val="32"/>
          <w:szCs w:val="32"/>
          <w:lang w:val="en-US" w:eastAsia="zh-CN"/>
          <w14:textFill>
            <w14:solidFill>
              <w14:schemeClr w14:val="tx1"/>
            </w14:solidFill>
          </w14:textFill>
        </w:rPr>
      </w:pPr>
    </w:p>
    <w:p w14:paraId="1A690AC0">
      <w:pPr>
        <w:widowControl/>
        <w:jc w:val="center"/>
        <w:rPr>
          <w:rFonts w:hint="eastAsia" w:ascii="宋体" w:hAnsi="宋体" w:eastAsia="宋体" w:cs="宋体"/>
          <w:b/>
          <w:bCs/>
          <w:color w:val="000000" w:themeColor="text1"/>
          <w:kern w:val="0"/>
          <w:sz w:val="32"/>
          <w:szCs w:val="32"/>
          <w:lang w:val="en-US" w:eastAsia="zh-CN"/>
          <w14:textFill>
            <w14:solidFill>
              <w14:schemeClr w14:val="tx1"/>
            </w14:solidFill>
          </w14:textFill>
        </w:rPr>
      </w:pPr>
      <w:r>
        <w:rPr>
          <w:color w:val="000000" w:themeColor="text1"/>
          <w:sz w:val="72"/>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313055</wp:posOffset>
                </wp:positionH>
                <wp:positionV relativeFrom="paragraph">
                  <wp:posOffset>251460</wp:posOffset>
                </wp:positionV>
                <wp:extent cx="8191500" cy="4318635"/>
                <wp:effectExtent l="13970" t="13970" r="24130" b="23495"/>
                <wp:wrapNone/>
                <wp:docPr id="25" name="矩形 25"/>
                <wp:cNvGraphicFramePr/>
                <a:graphic xmlns:a="http://schemas.openxmlformats.org/drawingml/2006/main">
                  <a:graphicData uri="http://schemas.microsoft.com/office/word/2010/wordprocessingShape">
                    <wps:wsp>
                      <wps:cNvSpPr/>
                      <wps:spPr>
                        <a:xfrm>
                          <a:off x="1263650" y="868680"/>
                          <a:ext cx="8191500" cy="4318635"/>
                        </a:xfrm>
                        <a:prstGeom prst="rect">
                          <a:avLst/>
                        </a:prstGeom>
                        <a:noFill/>
                        <a:ln w="285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5pt;margin-top:19.8pt;height:340.05pt;width:645pt;z-index:251789312;v-text-anchor:middle;mso-width-relative:page;mso-height-relative:page;" filled="f" stroked="t" coordsize="21600,21600" o:gfxdata="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HGdVB2AAAAAoBAAAPAAAAAAAAAAEAIAAAACIAAABkcnMvZG93bnJldi54bWxQ&#10;SwECFAAUAAAACACHTuJAr+O/XGkCAADCBAAADgAAAAAAAAABACAAAAAnAQAAZHJzL2Uyb0RvYy54&#10;bWxQSwUGAAAAAAYABgBZAQAAAgYAAAAA&#10;">
                <v:fill on="f" focussize="0,0"/>
                <v:stroke weight="2.25pt" color="#000000 [3213]" joinstyle="round"/>
                <v:imagedata o:title=""/>
                <o:lock v:ext="edit" aspectratio="f"/>
              </v:rect>
            </w:pict>
          </mc:Fallback>
        </mc:AlternateContent>
      </w:r>
    </w:p>
    <w:p w14:paraId="3A57E251">
      <w:pPr>
        <w:widowControl/>
        <w:jc w:val="center"/>
        <w:rPr>
          <w:rFonts w:hint="eastAsia" w:ascii="宋体" w:hAnsi="宋体" w:eastAsia="宋体" w:cs="宋体"/>
          <w:bCs/>
          <w:color w:val="000000" w:themeColor="text1"/>
          <w:sz w:val="72"/>
          <w:szCs w:val="72"/>
          <w:lang w:eastAsia="zh-CN"/>
          <w14:textFill>
            <w14:solidFill>
              <w14:schemeClr w14:val="tx1"/>
            </w14:solidFill>
          </w14:textFill>
        </w:rPr>
      </w:pPr>
      <w:r>
        <w:rPr>
          <w:color w:val="000000" w:themeColor="text1"/>
          <w:sz w:val="72"/>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554990</wp:posOffset>
                </wp:positionH>
                <wp:positionV relativeFrom="paragraph">
                  <wp:posOffset>3788410</wp:posOffset>
                </wp:positionV>
                <wp:extent cx="323215" cy="165735"/>
                <wp:effectExtent l="12700" t="12700" r="19685" b="24765"/>
                <wp:wrapNone/>
                <wp:docPr id="38" name="任意多边形 38"/>
                <wp:cNvGraphicFramePr/>
                <a:graphic xmlns:a="http://schemas.openxmlformats.org/drawingml/2006/main">
                  <a:graphicData uri="http://schemas.microsoft.com/office/word/2010/wordprocessingShape">
                    <wps:wsp>
                      <wps:cNvSpPr/>
                      <wps:spPr>
                        <a:xfrm>
                          <a:off x="0" y="0"/>
                          <a:ext cx="323215" cy="165735"/>
                        </a:xfrm>
                        <a:custGeom>
                          <a:avLst/>
                          <a:gdLst>
                            <a:gd name="connisteX0" fmla="*/ 176530 w 1199515"/>
                            <a:gd name="connsiteY0" fmla="*/ 254000 h 254000"/>
                            <a:gd name="connisteX1" fmla="*/ 677545 w 1199515"/>
                            <a:gd name="connsiteY1" fmla="*/ 155575 h 254000"/>
                            <a:gd name="connisteX2" fmla="*/ 895985 w 1199515"/>
                            <a:gd name="connsiteY2" fmla="*/ 196850 h 254000"/>
                            <a:gd name="connisteX3" fmla="*/ 1136015 w 1199515"/>
                            <a:gd name="connsiteY3" fmla="*/ 120015 h 254000"/>
                            <a:gd name="connisteX4" fmla="*/ 1199515 w 1199515"/>
                            <a:gd name="connsiteY4" fmla="*/ 0 h 254000"/>
                            <a:gd name="connisteX5" fmla="*/ 818515 w 1199515"/>
                            <a:gd name="connsiteY5" fmla="*/ 21590 h 254000"/>
                            <a:gd name="connisteX6" fmla="*/ 310515 w 1199515"/>
                            <a:gd name="connsiteY6" fmla="*/ 106045 h 254000"/>
                            <a:gd name="connisteX7" fmla="*/ 0 w 1199515"/>
                            <a:gd name="connsiteY7" fmla="*/ 233045 h 254000"/>
                            <a:gd name="connisteX8" fmla="*/ 176530 w 1199515"/>
                            <a:gd name="connsiteY8" fmla="*/ 254000 h 254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199515" h="254000">
                              <a:moveTo>
                                <a:pt x="176530" y="254000"/>
                              </a:moveTo>
                              <a:lnTo>
                                <a:pt x="677545" y="155575"/>
                              </a:lnTo>
                              <a:lnTo>
                                <a:pt x="895985" y="196850"/>
                              </a:lnTo>
                              <a:lnTo>
                                <a:pt x="1136015" y="120015"/>
                              </a:lnTo>
                              <a:lnTo>
                                <a:pt x="1199515" y="0"/>
                              </a:lnTo>
                              <a:lnTo>
                                <a:pt x="818515" y="21590"/>
                              </a:lnTo>
                              <a:lnTo>
                                <a:pt x="310515" y="106045"/>
                              </a:lnTo>
                              <a:lnTo>
                                <a:pt x="0" y="233045"/>
                              </a:lnTo>
                              <a:lnTo>
                                <a:pt x="176530" y="254000"/>
                              </a:lnTo>
                              <a:close/>
                            </a:path>
                          </a:pathLst>
                        </a:custGeom>
                        <a:solidFill>
                          <a:srgbClr val="FFC000">
                            <a:alpha val="32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3.7pt;margin-top:298.3pt;height:13.05pt;width:25.45pt;z-index:251796480;mso-width-relative:page;mso-height-relative:page;" fillcolor="#FFC000" filled="t" stroked="t" coordsize="1199515,254000" o:gfxdata="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z9sj22QAAAAoBAAAPAAAAAAAAAAEAIAAAACIAAABkcnMvZG93bnJldi54bWxQ&#10;SwECFAAUAAAACACHTuJAWeemf74DAADxCwAADgAAAAAAAAABACAAAAAoAQAAZHJzL2Uyb0RvYy54&#10;bWxQSwUGAAAAAAYABgBZAQAAWAcAAAAA&#10;" path="m176530,254000l677545,155575,895985,196850,1136015,120015,1199515,0,818515,21590,310515,106045,0,233045,176530,254000xe">
                <v:path o:connectlocs="47566,165735;182567,101512;241427,128444;306104,78309;323215,0;220552,14087;83669,69194;0,152061;47566,165735" o:connectangles="0,0,0,0,0,0,0,0,0"/>
                <v:fill on="t" opacity="20971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580390</wp:posOffset>
                </wp:positionH>
                <wp:positionV relativeFrom="paragraph">
                  <wp:posOffset>3357245</wp:posOffset>
                </wp:positionV>
                <wp:extent cx="291465" cy="175260"/>
                <wp:effectExtent l="13970" t="13970" r="24765" b="26670"/>
                <wp:wrapNone/>
                <wp:docPr id="37" name="矩形 37"/>
                <wp:cNvGraphicFramePr/>
                <a:graphic xmlns:a="http://schemas.openxmlformats.org/drawingml/2006/main">
                  <a:graphicData uri="http://schemas.microsoft.com/office/word/2010/wordprocessingShape">
                    <wps:wsp>
                      <wps:cNvSpPr/>
                      <wps:spPr>
                        <a:xfrm>
                          <a:off x="0" y="0"/>
                          <a:ext cx="291465" cy="175260"/>
                        </a:xfrm>
                        <a:prstGeom prst="rect">
                          <a:avLst/>
                        </a:prstGeom>
                        <a:noFill/>
                        <a:ln w="28575">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7pt;margin-top:264.35pt;height:13.8pt;width:22.95pt;z-index:251795456;v-text-anchor:middle;mso-width-relative:page;mso-height-relative:page;" filled="f" stroked="t" coordsize="21600,21600" o:gfxdata="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jA2A3AAAAAoBAAAPAAAAAAAAAAEAIAAAACIAAABkcnMvZG93bnJldi54bWxQSwECFAAU&#10;AAAACACHTuJAICRRvF8CAAC1BAAADgAAAAAAAAABACAAAAArAQAAZHJzL2Uyb0RvYy54bWxQSwUG&#10;AAAAAAYABgBZAQAA/AUAAAAA&#10;">
                <v:fill on="f" focussize="0,0"/>
                <v:stroke weight="2.25pt" color="#7030A0 [2404]" joinstyle="round"/>
                <v:imagedata o:title=""/>
                <o:lock v:ext="edit" aspectratio="f"/>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541655</wp:posOffset>
                </wp:positionH>
                <wp:positionV relativeFrom="paragraph">
                  <wp:posOffset>3230245</wp:posOffset>
                </wp:positionV>
                <wp:extent cx="1270000" cy="927100"/>
                <wp:effectExtent l="12700" t="12700" r="12700" b="12700"/>
                <wp:wrapNone/>
                <wp:docPr id="36" name="矩形 36"/>
                <wp:cNvGraphicFramePr/>
                <a:graphic xmlns:a="http://schemas.openxmlformats.org/drawingml/2006/main">
                  <a:graphicData uri="http://schemas.microsoft.com/office/word/2010/wordprocessingShape">
                    <wps:wsp>
                      <wps:cNvSpPr/>
                      <wps:spPr>
                        <a:xfrm>
                          <a:off x="1441450" y="4920615"/>
                          <a:ext cx="1270000" cy="927100"/>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129B278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评价范围</w:t>
                            </w:r>
                          </w:p>
                          <w:p w14:paraId="63DEC21A">
                            <w:pPr>
                              <w:pStyle w:val="33"/>
                            </w:pPr>
                          </w:p>
                          <w:p w14:paraId="75BCAE2B"/>
                          <w:p w14:paraId="444A229A">
                            <w:pPr>
                              <w:pStyle w:val="33"/>
                              <w:rPr>
                                <w:rFonts w:hint="default" w:eastAsia="宋体"/>
                                <w:lang w:val="en-US" w:eastAsia="zh-CN"/>
                              </w:rPr>
                            </w:pPr>
                            <w:r>
                              <w:rPr>
                                <w:rFonts w:hint="eastAsia"/>
                                <w:lang w:val="en-US" w:eastAsia="zh-CN"/>
                              </w:rPr>
                              <w:t xml:space="preserve">   敏感点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5pt;margin-top:254.35pt;height:73pt;width:100pt;z-index:251794432;v-text-anchor:middle;mso-width-relative:page;mso-height-relative:page;" fillcolor="#FFFFFF [3212]" filled="t" stroked="t" coordsize="21600,21600" o:gfxdata="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PlC/doAAAAKAQAA&#10;DwAAAAAAAAABACAAAAAiAAAAZHJzL2Rvd25yZXYueG1sUEsBAhQAFAAAAAgAh07iQBQXGTKJAgAA&#10;GAUAAA4AAAAAAAAAAQAgAAAAKQEAAGRycy9lMm9Eb2MueG1sUEsFBgAAAAAGAAYAWQEAACQGAAAA&#10;AA==&#10;">
                <v:fill on="t" focussize="0,0"/>
                <v:stroke weight="2pt" color="#376092 [2404]" joinstyle="round"/>
                <v:imagedata o:title=""/>
                <o:lock v:ext="edit" aspectratio="f"/>
                <v:textbox>
                  <w:txbxContent>
                    <w:p w14:paraId="129B278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评价范围</w:t>
                      </w:r>
                    </w:p>
                    <w:p w14:paraId="63DEC21A">
                      <w:pPr>
                        <w:pStyle w:val="33"/>
                      </w:pPr>
                    </w:p>
                    <w:p w14:paraId="75BCAE2B"/>
                    <w:p w14:paraId="444A229A">
                      <w:pPr>
                        <w:pStyle w:val="33"/>
                        <w:rPr>
                          <w:rFonts w:hint="default" w:eastAsia="宋体"/>
                          <w:lang w:val="en-US" w:eastAsia="zh-CN"/>
                        </w:rPr>
                      </w:pPr>
                      <w:r>
                        <w:rPr>
                          <w:rFonts w:hint="eastAsia"/>
                          <w:lang w:val="en-US" w:eastAsia="zh-CN"/>
                        </w:rPr>
                        <w:t xml:space="preserve">   敏感点</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389255</wp:posOffset>
                </wp:positionH>
                <wp:positionV relativeFrom="paragraph">
                  <wp:posOffset>75565</wp:posOffset>
                </wp:positionV>
                <wp:extent cx="1041400" cy="1117600"/>
                <wp:effectExtent l="0" t="0" r="0" b="0"/>
                <wp:wrapNone/>
                <wp:docPr id="26" name="矩形 26"/>
                <wp:cNvGraphicFramePr/>
                <a:graphic xmlns:a="http://schemas.openxmlformats.org/drawingml/2006/main">
                  <a:graphicData uri="http://schemas.microsoft.com/office/word/2010/wordprocessingShape">
                    <wps:wsp>
                      <wps:cNvSpPr/>
                      <wps:spPr>
                        <a:xfrm>
                          <a:off x="1416050" y="1089660"/>
                          <a:ext cx="1041400" cy="11176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00CBDA6">
                            <w:pPr>
                              <w:jc w:val="center"/>
                            </w:pPr>
                            <w:r>
                              <w:rPr>
                                <w:rFonts w:hint="eastAsia" w:eastAsia="宋体"/>
                                <w:lang w:eastAsia="zh-CN"/>
                              </w:rPr>
                              <w:drawing>
                                <wp:inline distT="0" distB="0" distL="114300" distR="114300">
                                  <wp:extent cx="689610" cy="935990"/>
                                  <wp:effectExtent l="0" t="0" r="8890" b="3810"/>
                                  <wp:docPr id="27"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5pt;margin-top:5.95pt;height:88pt;width:82pt;z-index:251790336;v-text-anchor:middle;mso-width-relative:page;mso-height-relative:page;" filled="f" stroked="f" coordsize="21600,21600" o:gfxdata="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2VL&#10;etgAAAAJAQAADwAAAAAAAAABACAAAAAiAAAAZHJzL2Rvd25yZXYueG1sUEsBAhQAFAAAAAgAh07i&#10;QP8+8WNbAgAApQQAAA4AAAAAAAAAAQAgAAAAJwEAAGRycy9lMm9Eb2MueG1sUEsFBgAAAAAGAAYA&#10;WQEAAPQFAAAAAA==&#10;">
                <v:fill on="f" focussize="0,0"/>
                <v:stroke on="f" weight="2pt"/>
                <v:imagedata o:title=""/>
                <o:lock v:ext="edit" aspectratio="f"/>
                <v:textbox>
                  <w:txbxContent>
                    <w:p w14:paraId="000CBDA6">
                      <w:pPr>
                        <w:jc w:val="center"/>
                      </w:pPr>
                      <w:r>
                        <w:rPr>
                          <w:rFonts w:hint="eastAsia" w:eastAsia="宋体"/>
                          <w:lang w:eastAsia="zh-CN"/>
                        </w:rPr>
                        <w:drawing>
                          <wp:inline distT="0" distB="0" distL="114300" distR="114300">
                            <wp:extent cx="689610" cy="935990"/>
                            <wp:effectExtent l="0" t="0" r="8890" b="3810"/>
                            <wp:docPr id="27" name="图片 6" descr="1626836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1626836874(1)"/>
                                    <pic:cNvPicPr>
                                      <a:picLocks noChangeAspect="1"/>
                                    </pic:cNvPicPr>
                                  </pic:nvPicPr>
                                  <pic:blipFill>
                                    <a:blip r:embed="rId36"/>
                                    <a:stretch>
                                      <a:fillRect/>
                                    </a:stretch>
                                  </pic:blipFill>
                                  <pic:spPr>
                                    <a:xfrm>
                                      <a:off x="0" y="0"/>
                                      <a:ext cx="689610" cy="935990"/>
                                    </a:xfrm>
                                    <a:prstGeom prst="rect">
                                      <a:avLst/>
                                    </a:prstGeom>
                                    <a:noFill/>
                                    <a:ln>
                                      <a:noFill/>
                                    </a:ln>
                                  </pic:spPr>
                                </pic:pic>
                              </a:graphicData>
                            </a:graphic>
                          </wp:inline>
                        </w:drawing>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1945640</wp:posOffset>
                </wp:positionH>
                <wp:positionV relativeFrom="paragraph">
                  <wp:posOffset>1445260</wp:posOffset>
                </wp:positionV>
                <wp:extent cx="705485" cy="297180"/>
                <wp:effectExtent l="0" t="0" r="0" b="0"/>
                <wp:wrapNone/>
                <wp:docPr id="125" name="矩形 125"/>
                <wp:cNvGraphicFramePr/>
                <a:graphic xmlns:a="http://schemas.openxmlformats.org/drawingml/2006/main">
                  <a:graphicData uri="http://schemas.microsoft.com/office/word/2010/wordprocessingShape">
                    <wps:wsp>
                      <wps:cNvSpPr/>
                      <wps:spPr>
                        <a:xfrm>
                          <a:off x="0" y="0"/>
                          <a:ext cx="7054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369C5A">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新发村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2pt;margin-top:113.8pt;height:23.4pt;width:55.55pt;z-index:251745280;v-text-anchor:middle;mso-width-relative:page;mso-height-relative:page;" filled="f" stroked="f" coordsize="21600,21600" o:gfxdata="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lZ3QdoAAAAL&#10;AQAADwAAAAAAAAABACAAAAAiAAAAZHJzL2Rvd25yZXYueG1sUEsBAhQAFAAAAAgAh07iQEef3sFT&#10;AgAAmQQAAA4AAAAAAAAAAQAgAAAAKQEAAGRycy9lMm9Eb2MueG1sUEsFBgAAAAAGAAYAWQEAAO4F&#10;AAAAAA==&#10;">
                <v:fill on="f" focussize="0,0"/>
                <v:stroke on="f" weight="2pt"/>
                <v:imagedata o:title=""/>
                <o:lock v:ext="edit" aspectratio="f"/>
                <v:textbox>
                  <w:txbxContent>
                    <w:p w14:paraId="05369C5A">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新发村</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1036320</wp:posOffset>
                </wp:positionH>
                <wp:positionV relativeFrom="paragraph">
                  <wp:posOffset>1210310</wp:posOffset>
                </wp:positionV>
                <wp:extent cx="1333500" cy="676910"/>
                <wp:effectExtent l="12700" t="12700" r="12700" b="21590"/>
                <wp:wrapNone/>
                <wp:docPr id="124" name="任意多边形 124"/>
                <wp:cNvGraphicFramePr/>
                <a:graphic xmlns:a="http://schemas.openxmlformats.org/drawingml/2006/main">
                  <a:graphicData uri="http://schemas.microsoft.com/office/word/2010/wordprocessingShape">
                    <wps:wsp>
                      <wps:cNvSpPr/>
                      <wps:spPr>
                        <a:xfrm>
                          <a:off x="1936115" y="2110105"/>
                          <a:ext cx="1333500" cy="676910"/>
                        </a:xfrm>
                        <a:custGeom>
                          <a:avLst/>
                          <a:gdLst>
                            <a:gd name="connisteX0" fmla="*/ 1016000 w 1333500"/>
                            <a:gd name="connsiteY0" fmla="*/ 344805 h 676910"/>
                            <a:gd name="connisteX1" fmla="*/ 1206500 w 1333500"/>
                            <a:gd name="connsiteY1" fmla="*/ 352425 h 676910"/>
                            <a:gd name="connisteX2" fmla="*/ 1333500 w 1333500"/>
                            <a:gd name="connsiteY2" fmla="*/ 330835 h 676910"/>
                            <a:gd name="connisteX3" fmla="*/ 1156970 w 1333500"/>
                            <a:gd name="connsiteY3" fmla="*/ 197485 h 676910"/>
                            <a:gd name="connisteX4" fmla="*/ 818515 w 1333500"/>
                            <a:gd name="connsiteY4" fmla="*/ 240030 h 676910"/>
                            <a:gd name="connisteX5" fmla="*/ 422910 w 1333500"/>
                            <a:gd name="connsiteY5" fmla="*/ 161925 h 676910"/>
                            <a:gd name="connisteX6" fmla="*/ 190500 w 1333500"/>
                            <a:gd name="connsiteY6" fmla="*/ 0 h 676910"/>
                            <a:gd name="connisteX7" fmla="*/ 48895 w 1333500"/>
                            <a:gd name="connsiteY7" fmla="*/ 267335 h 676910"/>
                            <a:gd name="connisteX8" fmla="*/ 0 w 1333500"/>
                            <a:gd name="connsiteY8" fmla="*/ 521335 h 676910"/>
                            <a:gd name="connisteX9" fmla="*/ 154940 w 1333500"/>
                            <a:gd name="connsiteY9" fmla="*/ 676910 h 676910"/>
                            <a:gd name="connisteX10" fmla="*/ 345440 w 1333500"/>
                            <a:gd name="connsiteY10" fmla="*/ 508000 h 676910"/>
                            <a:gd name="connisteX11" fmla="*/ 486410 w 1333500"/>
                            <a:gd name="connsiteY11" fmla="*/ 387985 h 676910"/>
                            <a:gd name="connisteX12" fmla="*/ 740410 w 1333500"/>
                            <a:gd name="connsiteY12" fmla="*/ 381000 h 676910"/>
                            <a:gd name="connisteX13" fmla="*/ 916940 w 1333500"/>
                            <a:gd name="connsiteY13" fmla="*/ 317500 h 676910"/>
                            <a:gd name="connisteX14" fmla="*/ 1311910 w 1333500"/>
                            <a:gd name="connsiteY14" fmla="*/ 359410 h 6769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1333500" h="676910">
                              <a:moveTo>
                                <a:pt x="1016000" y="344805"/>
                              </a:moveTo>
                              <a:lnTo>
                                <a:pt x="1206500" y="352425"/>
                              </a:lnTo>
                              <a:lnTo>
                                <a:pt x="1333500" y="330835"/>
                              </a:lnTo>
                              <a:lnTo>
                                <a:pt x="1156970" y="197485"/>
                              </a:lnTo>
                              <a:lnTo>
                                <a:pt x="818515" y="240030"/>
                              </a:lnTo>
                              <a:lnTo>
                                <a:pt x="422910" y="161925"/>
                              </a:lnTo>
                              <a:lnTo>
                                <a:pt x="190500" y="0"/>
                              </a:lnTo>
                              <a:lnTo>
                                <a:pt x="48895" y="267335"/>
                              </a:lnTo>
                              <a:lnTo>
                                <a:pt x="0" y="521335"/>
                              </a:lnTo>
                              <a:lnTo>
                                <a:pt x="154940" y="676910"/>
                              </a:lnTo>
                              <a:lnTo>
                                <a:pt x="345440" y="508000"/>
                              </a:lnTo>
                              <a:lnTo>
                                <a:pt x="486410" y="387985"/>
                              </a:lnTo>
                              <a:lnTo>
                                <a:pt x="740410" y="381000"/>
                              </a:lnTo>
                              <a:lnTo>
                                <a:pt x="916940" y="317500"/>
                              </a:lnTo>
                              <a:lnTo>
                                <a:pt x="1311910" y="359410"/>
                              </a:lnTo>
                            </a:path>
                          </a:pathLst>
                        </a:custGeom>
                        <a:solidFill>
                          <a:srgbClr val="FFC000">
                            <a:alpha val="33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1.6pt;margin-top:95.3pt;height:53.3pt;width:105pt;z-index:251744256;mso-width-relative:page;mso-height-relative:page;" fillcolor="#FFC000" filled="t" stroked="t" coordsize="1333500,676910" o:gfxdata="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" path="m1016000,344805l1206500,352425,1333500,330835,1156970,197485,818515,240030,422910,161925,190500,0,48895,267335,0,521335,154940,676910,345440,508000,486410,387985,740410,381000,916940,317500,1311910,359410e">
                <v:path o:connectlocs="1016000,344805;1206500,352425;1333500,330835;1156970,197485;818515,240030;422910,161925;190500,0;48895,267335;0,521335;154940,676910;345440,508000;486410,387985;740410,381000;916940,317500;1311910,359410" o:connectangles="0,0,0,0,0,0,0,0,0,0,0,0,0,0,0"/>
                <v:fill on="t" opacity="21626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4618990</wp:posOffset>
                </wp:positionH>
                <wp:positionV relativeFrom="paragraph">
                  <wp:posOffset>1579880</wp:posOffset>
                </wp:positionV>
                <wp:extent cx="705485" cy="297180"/>
                <wp:effectExtent l="0" t="0" r="0" b="0"/>
                <wp:wrapNone/>
                <wp:docPr id="123" name="矩形 123"/>
                <wp:cNvGraphicFramePr/>
                <a:graphic xmlns:a="http://schemas.openxmlformats.org/drawingml/2006/main">
                  <a:graphicData uri="http://schemas.microsoft.com/office/word/2010/wordprocessingShape">
                    <wps:wsp>
                      <wps:cNvSpPr/>
                      <wps:spPr>
                        <a:xfrm>
                          <a:off x="0" y="0"/>
                          <a:ext cx="7054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AD4274D">
                            <w:pPr>
                              <w:jc w:val="center"/>
                              <w:rPr>
                                <w:rFonts w:hint="default" w:eastAsia="宋体"/>
                                <w:b/>
                                <w:bCs/>
                                <w:color w:val="000000" w:themeColor="text1"/>
                                <w:sz w:val="13"/>
                                <w:szCs w:val="13"/>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小孤榆树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7pt;margin-top:124.4pt;height:23.4pt;width:55.55pt;z-index:251743232;v-text-anchor:middle;mso-width-relative:page;mso-height-relative:page;" filled="f" stroked="f" coordsize="21600,21600" o:gfxdata="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B0Mc2gAA&#10;AAsBAAAPAAAAAAAAAAEAIAAAACIAAABkcnMvZG93bnJldi54bWxQSwECFAAUAAAACACHTuJAA8NT&#10;vFUCAACZBAAADgAAAAAAAAABACAAAAApAQAAZHJzL2Uyb0RvYy54bWxQSwUGAAAAAAYABgBZAQAA&#10;8AUAAAAA&#10;">
                <v:fill on="f" focussize="0,0"/>
                <v:stroke on="f" weight="2pt"/>
                <v:imagedata o:title=""/>
                <o:lock v:ext="edit" aspectratio="f"/>
                <v:textbox>
                  <w:txbxContent>
                    <w:p w14:paraId="1AD4274D">
                      <w:pPr>
                        <w:jc w:val="center"/>
                        <w:rPr>
                          <w:rFonts w:hint="default" w:eastAsia="宋体"/>
                          <w:b/>
                          <w:bCs/>
                          <w:color w:val="000000" w:themeColor="text1"/>
                          <w:sz w:val="13"/>
                          <w:szCs w:val="13"/>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小孤榆树</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4443730</wp:posOffset>
                </wp:positionH>
                <wp:positionV relativeFrom="paragraph">
                  <wp:posOffset>1456690</wp:posOffset>
                </wp:positionV>
                <wp:extent cx="832485" cy="161925"/>
                <wp:effectExtent l="7620" t="12700" r="23495" b="15875"/>
                <wp:wrapNone/>
                <wp:docPr id="122" name="任意多边形 122"/>
                <wp:cNvGraphicFramePr/>
                <a:graphic xmlns:a="http://schemas.openxmlformats.org/drawingml/2006/main">
                  <a:graphicData uri="http://schemas.microsoft.com/office/word/2010/wordprocessingShape">
                    <wps:wsp>
                      <wps:cNvSpPr/>
                      <wps:spPr>
                        <a:xfrm>
                          <a:off x="5343525" y="2356485"/>
                          <a:ext cx="832485" cy="161925"/>
                        </a:xfrm>
                        <a:custGeom>
                          <a:avLst/>
                          <a:gdLst>
                            <a:gd name="connisteX0" fmla="*/ 63500 w 832485"/>
                            <a:gd name="connsiteY0" fmla="*/ 42545 h 161925"/>
                            <a:gd name="connisteX1" fmla="*/ 402590 w 832485"/>
                            <a:gd name="connsiteY1" fmla="*/ 161925 h 161925"/>
                            <a:gd name="connisteX2" fmla="*/ 656590 w 832485"/>
                            <a:gd name="connsiteY2" fmla="*/ 161925 h 161925"/>
                            <a:gd name="connisteX3" fmla="*/ 832485 w 832485"/>
                            <a:gd name="connsiteY3" fmla="*/ 155575 h 161925"/>
                            <a:gd name="connisteX4" fmla="*/ 684530 w 832485"/>
                            <a:gd name="connsiteY4" fmla="*/ 84455 h 161925"/>
                            <a:gd name="connisteX5" fmla="*/ 395605 w 832485"/>
                            <a:gd name="connsiteY5" fmla="*/ 49530 h 161925"/>
                            <a:gd name="connisteX6" fmla="*/ 28575 w 832485"/>
                            <a:gd name="connsiteY6" fmla="*/ 0 h 161925"/>
                            <a:gd name="connisteX7" fmla="*/ 0 w 832485"/>
                            <a:gd name="connsiteY7" fmla="*/ 20955 h 1619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832485" h="161925">
                              <a:moveTo>
                                <a:pt x="63500" y="42545"/>
                              </a:moveTo>
                              <a:lnTo>
                                <a:pt x="402590" y="161925"/>
                              </a:lnTo>
                              <a:lnTo>
                                <a:pt x="656590" y="161925"/>
                              </a:lnTo>
                              <a:lnTo>
                                <a:pt x="832485" y="155575"/>
                              </a:lnTo>
                              <a:lnTo>
                                <a:pt x="684530" y="84455"/>
                              </a:lnTo>
                              <a:lnTo>
                                <a:pt x="395605" y="49530"/>
                              </a:lnTo>
                              <a:lnTo>
                                <a:pt x="28575" y="0"/>
                              </a:lnTo>
                              <a:lnTo>
                                <a:pt x="0" y="20955"/>
                              </a:lnTo>
                            </a:path>
                          </a:pathLst>
                        </a:custGeom>
                        <a:solidFill>
                          <a:srgbClr val="FFC000">
                            <a:alpha val="35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49.9pt;margin-top:114.7pt;height:12.75pt;width:65.55pt;z-index:251742208;mso-width-relative:page;mso-height-relative:page;" fillcolor="#FFC000" filled="t" stroked="t" coordsize="832485,161925" o:gfxdata="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&#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DBrtgc2gAAAAsBAAAPAAAAAAAAAAEAIAAAACIAAABk&#10;cnMvZG93bnJldi54bWxQSwECFAAUAAAACACHTuJAYjZxBZMDAAAMCwAADgAAAAAAAAABACAAAAAp&#10;AQAAZHJzL2Uyb0RvYy54bWxQSwUGAAAAAAYABgBZAQAALgcAAAAA&#10;" path="m63500,42545l402590,161925,656590,161925,832485,155575,684530,84455,395605,49530,28575,0,0,20955e">
                <v:path o:connectlocs="63500,42545;402590,161925;656590,161925;832485,155575;684530,84455;395605,49530;28575,0;0,20955" o:connectangles="0,0,0,0,0,0,0,0"/>
                <v:fill on="t" opacity="22937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1867535</wp:posOffset>
                </wp:positionH>
                <wp:positionV relativeFrom="paragraph">
                  <wp:posOffset>1946275</wp:posOffset>
                </wp:positionV>
                <wp:extent cx="845185" cy="297180"/>
                <wp:effectExtent l="0" t="0" r="0" b="0"/>
                <wp:wrapNone/>
                <wp:docPr id="121" name="矩形 121"/>
                <wp:cNvGraphicFramePr/>
                <a:graphic xmlns:a="http://schemas.openxmlformats.org/drawingml/2006/main">
                  <a:graphicData uri="http://schemas.microsoft.com/office/word/2010/wordprocessingShape">
                    <wps:wsp>
                      <wps:cNvSpPr/>
                      <wps:spPr>
                        <a:xfrm>
                          <a:off x="0" y="0"/>
                          <a:ext cx="8451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9D27E99">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小红嘴河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05pt;margin-top:153.25pt;height:23.4pt;width:66.55pt;z-index:251741184;v-text-anchor:middle;mso-width-relative:page;mso-height-relative:page;" filled="f" stroked="f" coordsize="21600,21600" o:gfxdata="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cmNsdoAAAAL&#10;AQAADwAAAAAAAAABACAAAAAiAAAAZHJzL2Rvd25yZXYueG1sUEsBAhQAFAAAAAgAh07iQPPsuQNT&#10;AgAAmQQAAA4AAAAAAAAAAQAgAAAAKQEAAGRycy9lMm9Eb2MueG1sUEsFBgAAAAAGAAYAWQEAAO4F&#10;AAAAAA==&#10;">
                <v:fill on="f" focussize="0,0"/>
                <v:stroke on="f" weight="2pt"/>
                <v:imagedata o:title=""/>
                <o:lock v:ext="edit" aspectratio="f"/>
                <v:textbox>
                  <w:txbxContent>
                    <w:p w14:paraId="19D27E99">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小红嘴河</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1812290</wp:posOffset>
                </wp:positionH>
                <wp:positionV relativeFrom="paragraph">
                  <wp:posOffset>2063115</wp:posOffset>
                </wp:positionV>
                <wp:extent cx="528955" cy="353695"/>
                <wp:effectExtent l="12700" t="12700" r="17145" b="14605"/>
                <wp:wrapNone/>
                <wp:docPr id="120" name="任意多边形 120"/>
                <wp:cNvGraphicFramePr/>
                <a:graphic xmlns:a="http://schemas.openxmlformats.org/drawingml/2006/main">
                  <a:graphicData uri="http://schemas.microsoft.com/office/word/2010/wordprocessingShape">
                    <wps:wsp>
                      <wps:cNvSpPr/>
                      <wps:spPr>
                        <a:xfrm>
                          <a:off x="2712085" y="2962910"/>
                          <a:ext cx="528955" cy="353695"/>
                        </a:xfrm>
                        <a:custGeom>
                          <a:avLst/>
                          <a:gdLst>
                            <a:gd name="connisteX0" fmla="*/ 77470 w 528955"/>
                            <a:gd name="connsiteY0" fmla="*/ 190500 h 353695"/>
                            <a:gd name="connisteX1" fmla="*/ 288925 w 528955"/>
                            <a:gd name="connsiteY1" fmla="*/ 233680 h 353695"/>
                            <a:gd name="connisteX2" fmla="*/ 451485 w 528955"/>
                            <a:gd name="connsiteY2" fmla="*/ 353695 h 353695"/>
                            <a:gd name="connisteX3" fmla="*/ 521970 w 528955"/>
                            <a:gd name="connsiteY3" fmla="*/ 190500 h 353695"/>
                            <a:gd name="connisteX4" fmla="*/ 465455 w 528955"/>
                            <a:gd name="connsiteY4" fmla="*/ 85725 h 353695"/>
                            <a:gd name="connisteX5" fmla="*/ 528955 w 528955"/>
                            <a:gd name="connsiteY5" fmla="*/ 0 h 353695"/>
                            <a:gd name="connisteX6" fmla="*/ 324485 w 528955"/>
                            <a:gd name="connsiteY6" fmla="*/ 22225 h 353695"/>
                            <a:gd name="connisteX7" fmla="*/ 197485 w 528955"/>
                            <a:gd name="connsiteY7" fmla="*/ 22225 h 353695"/>
                            <a:gd name="connisteX8" fmla="*/ 127000 w 528955"/>
                            <a:gd name="connsiteY8" fmla="*/ 22225 h 353695"/>
                            <a:gd name="connisteX9" fmla="*/ 0 w 528955"/>
                            <a:gd name="connsiteY9" fmla="*/ 92075 h 353695"/>
                            <a:gd name="connisteX10" fmla="*/ 169545 w 528955"/>
                            <a:gd name="connsiteY10" fmla="*/ 190500 h 35369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528955" h="353695">
                              <a:moveTo>
                                <a:pt x="77470" y="190500"/>
                              </a:moveTo>
                              <a:lnTo>
                                <a:pt x="288925" y="233680"/>
                              </a:lnTo>
                              <a:lnTo>
                                <a:pt x="451485" y="353695"/>
                              </a:lnTo>
                              <a:lnTo>
                                <a:pt x="521970" y="190500"/>
                              </a:lnTo>
                              <a:lnTo>
                                <a:pt x="465455" y="85725"/>
                              </a:lnTo>
                              <a:lnTo>
                                <a:pt x="528955" y="0"/>
                              </a:lnTo>
                              <a:lnTo>
                                <a:pt x="324485" y="22225"/>
                              </a:lnTo>
                              <a:lnTo>
                                <a:pt x="197485" y="22225"/>
                              </a:lnTo>
                              <a:lnTo>
                                <a:pt x="127000" y="22225"/>
                              </a:lnTo>
                              <a:lnTo>
                                <a:pt x="0" y="92075"/>
                              </a:lnTo>
                              <a:lnTo>
                                <a:pt x="169545" y="190500"/>
                              </a:lnTo>
                            </a:path>
                          </a:pathLst>
                        </a:custGeom>
                        <a:solidFill>
                          <a:srgbClr val="FFC000">
                            <a:alpha val="38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42.7pt;margin-top:162.45pt;height:27.85pt;width:41.65pt;z-index:251740160;mso-width-relative:page;mso-height-relative:page;" fillcolor="#FFC000" filled="t" stroked="t" coordsize="528955,353695" o:gfxdata="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Bm2lGr2QAAAAsBAAAPAAAAAAAAAAEAIAAAACIAAABkcnMvZG93bnJldi54bWxQSwEC&#10;FAAUAAAACACHTuJAHPTH5/QDAACDDQAADgAAAAAAAAABACAAAAAoAQAAZHJzL2Uyb0RvYy54bWxQ&#10;SwUGAAAAAAYABgBZAQAAjgcAAAAA&#10;" path="m77470,190500l288925,233680,451485,353695,521970,190500,465455,85725,528955,0,324485,22225,197485,22225,127000,22225,0,92075,169545,190500e">
                <v:path o:connectlocs="77470,190500;288925,233680;451485,353695;521970,190500;465455,85725;528955,0;324485,22225;197485,22225;127000,22225;0,92075;169545,190500" o:connectangles="0,0,0,0,0,0,0,0,0,0,0"/>
                <v:fill on="t" opacity="24903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2002790</wp:posOffset>
                </wp:positionH>
                <wp:positionV relativeFrom="paragraph">
                  <wp:posOffset>880745</wp:posOffset>
                </wp:positionV>
                <wp:extent cx="3096895" cy="2574925"/>
                <wp:effectExtent l="13970" t="13970" r="26035" b="14605"/>
                <wp:wrapNone/>
                <wp:docPr id="119" name="矩形 119"/>
                <wp:cNvGraphicFramePr/>
                <a:graphic xmlns:a="http://schemas.openxmlformats.org/drawingml/2006/main">
                  <a:graphicData uri="http://schemas.microsoft.com/office/word/2010/wordprocessingShape">
                    <wps:wsp>
                      <wps:cNvSpPr/>
                      <wps:spPr>
                        <a:xfrm>
                          <a:off x="2422525" y="1978025"/>
                          <a:ext cx="3096895" cy="2574925"/>
                        </a:xfrm>
                        <a:prstGeom prst="rect">
                          <a:avLst/>
                        </a:prstGeom>
                        <a:noFill/>
                        <a:ln w="28575">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7pt;margin-top:69.35pt;height:202.75pt;width:243.85pt;z-index:251739136;v-text-anchor:middle;mso-width-relative:page;mso-height-relative:page;" filled="f" stroked="t" coordsize="21600,21600" o:gfxdata="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wB6MbcAAAACwEAAA8AAAAAAAAAAQAgAAAAIgAAAGRycy9kb3du&#10;cmV2LnhtbFBLAQIUABQAAAAIAIdO4kDG91b8bQIAAMUEAAAOAAAAAAAAAAEAIAAAACsBAABkcnMv&#10;ZTJvRG9jLnhtbFBLBQYAAAAABgAGAFkBAAAKBgAAAAA=&#10;">
                <v:fill on="f" focussize="0,0"/>
                <v:stroke weight="2.25pt" color="#7030A0 [2404]" joinstyle="round"/>
                <v:imagedata o:title=""/>
                <o:lock v:ext="edit" aspectratio="f"/>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3519805</wp:posOffset>
                </wp:positionH>
                <wp:positionV relativeFrom="paragraph">
                  <wp:posOffset>1910715</wp:posOffset>
                </wp:positionV>
                <wp:extent cx="84455" cy="113030"/>
                <wp:effectExtent l="12700" t="12700" r="17145" b="13970"/>
                <wp:wrapNone/>
                <wp:docPr id="118" name="矩形 118"/>
                <wp:cNvGraphicFramePr/>
                <a:graphic xmlns:a="http://schemas.openxmlformats.org/drawingml/2006/main">
                  <a:graphicData uri="http://schemas.microsoft.com/office/word/2010/wordprocessingShape">
                    <wps:wsp>
                      <wps:cNvSpPr/>
                      <wps:spPr>
                        <a:xfrm>
                          <a:off x="4419600" y="2810510"/>
                          <a:ext cx="84455" cy="113030"/>
                        </a:xfrm>
                        <a:prstGeom prst="rect">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15pt;margin-top:150.45pt;height:8.9pt;width:6.65pt;z-index:251738112;v-text-anchor:middle;mso-width-relative:page;mso-height-relative:page;" fillcolor="#F79646 [3209]" filled="t" stroked="t" coordsize="21600,21600" o:gfxdata="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pa1NdcAAAALAQAADwAAAAAA&#10;AAABACAAAAAiAAAAZHJzL2Rvd25yZXYueG1sUEsBAhQAFAAAAAgAh07iQEHEZb2GAgAADQUAAA4A&#10;AAAAAAAAAQAgAAAAJgEAAGRycy9lMm9Eb2MueG1sUEsFBgAAAAAGAAYAWQEAAB4GAAAAAA==&#10;">
                <v:fill on="t" focussize="0,0"/>
                <v:stroke weight="2pt" color="#376092 [2404]" joinstyle="round"/>
                <v:imagedata o:title=""/>
                <o:lock v:ext="edit" aspectratio="f"/>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3399155</wp:posOffset>
                </wp:positionH>
                <wp:positionV relativeFrom="paragraph">
                  <wp:posOffset>1445260</wp:posOffset>
                </wp:positionV>
                <wp:extent cx="705485" cy="297180"/>
                <wp:effectExtent l="0" t="0" r="0" b="0"/>
                <wp:wrapNone/>
                <wp:docPr id="117" name="矩形 117"/>
                <wp:cNvGraphicFramePr/>
                <a:graphic xmlns:a="http://schemas.openxmlformats.org/drawingml/2006/main">
                  <a:graphicData uri="http://schemas.microsoft.com/office/word/2010/wordprocessingShape">
                    <wps:wsp>
                      <wps:cNvSpPr/>
                      <wps:spPr>
                        <a:xfrm>
                          <a:off x="0" y="0"/>
                          <a:ext cx="7054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A45D83D">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太平沟四社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65pt;margin-top:113.8pt;height:23.4pt;width:55.55pt;z-index:251737088;v-text-anchor:middle;mso-width-relative:page;mso-height-relative:page;" filled="f" stroked="f" coordsize="21600,21600" o:gfxdata="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LOjz/aAAAA&#10;CwEAAA8AAAAAAAAAAQAgAAAAIgAAAGRycy9kb3ducmV2LnhtbFBLAQIUABQAAAAIAIdO4kAxLPs/&#10;VAIAAJkEAAAOAAAAAAAAAAEAIAAAACkBAABkcnMvZTJvRG9jLnhtbFBLBQYAAAAABgAGAFkBAADv&#10;BQAAAAA=&#10;">
                <v:fill on="f" focussize="0,0"/>
                <v:stroke on="f" weight="2pt"/>
                <v:imagedata o:title=""/>
                <o:lock v:ext="edit" aspectratio="f"/>
                <v:textbox>
                  <w:txbxContent>
                    <w:p w14:paraId="1A45D83D">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太平沟四社</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2764790</wp:posOffset>
                </wp:positionH>
                <wp:positionV relativeFrom="paragraph">
                  <wp:posOffset>1426845</wp:posOffset>
                </wp:positionV>
                <wp:extent cx="1199515" cy="254000"/>
                <wp:effectExtent l="12700" t="12700" r="19685" b="12700"/>
                <wp:wrapNone/>
                <wp:docPr id="116" name="任意多边形 116"/>
                <wp:cNvGraphicFramePr/>
                <a:graphic xmlns:a="http://schemas.openxmlformats.org/drawingml/2006/main">
                  <a:graphicData uri="http://schemas.microsoft.com/office/word/2010/wordprocessingShape">
                    <wps:wsp>
                      <wps:cNvSpPr/>
                      <wps:spPr>
                        <a:xfrm>
                          <a:off x="3664585" y="2326640"/>
                          <a:ext cx="1199515" cy="254000"/>
                        </a:xfrm>
                        <a:custGeom>
                          <a:avLst/>
                          <a:gdLst>
                            <a:gd name="connisteX0" fmla="*/ 176530 w 1199515"/>
                            <a:gd name="connsiteY0" fmla="*/ 254000 h 254000"/>
                            <a:gd name="connisteX1" fmla="*/ 677545 w 1199515"/>
                            <a:gd name="connsiteY1" fmla="*/ 155575 h 254000"/>
                            <a:gd name="connisteX2" fmla="*/ 895985 w 1199515"/>
                            <a:gd name="connsiteY2" fmla="*/ 196850 h 254000"/>
                            <a:gd name="connisteX3" fmla="*/ 1136015 w 1199515"/>
                            <a:gd name="connsiteY3" fmla="*/ 120015 h 254000"/>
                            <a:gd name="connisteX4" fmla="*/ 1199515 w 1199515"/>
                            <a:gd name="connsiteY4" fmla="*/ 0 h 254000"/>
                            <a:gd name="connisteX5" fmla="*/ 818515 w 1199515"/>
                            <a:gd name="connsiteY5" fmla="*/ 21590 h 254000"/>
                            <a:gd name="connisteX6" fmla="*/ 310515 w 1199515"/>
                            <a:gd name="connsiteY6" fmla="*/ 106045 h 254000"/>
                            <a:gd name="connisteX7" fmla="*/ 0 w 1199515"/>
                            <a:gd name="connsiteY7" fmla="*/ 233045 h 254000"/>
                            <a:gd name="connisteX8" fmla="*/ 176530 w 1199515"/>
                            <a:gd name="connsiteY8" fmla="*/ 254000 h 254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199515" h="254000">
                              <a:moveTo>
                                <a:pt x="176530" y="254000"/>
                              </a:moveTo>
                              <a:lnTo>
                                <a:pt x="677545" y="155575"/>
                              </a:lnTo>
                              <a:lnTo>
                                <a:pt x="895985" y="196850"/>
                              </a:lnTo>
                              <a:lnTo>
                                <a:pt x="1136015" y="120015"/>
                              </a:lnTo>
                              <a:lnTo>
                                <a:pt x="1199515" y="0"/>
                              </a:lnTo>
                              <a:lnTo>
                                <a:pt x="818515" y="21590"/>
                              </a:lnTo>
                              <a:lnTo>
                                <a:pt x="310515" y="106045"/>
                              </a:lnTo>
                              <a:lnTo>
                                <a:pt x="0" y="233045"/>
                              </a:lnTo>
                              <a:lnTo>
                                <a:pt x="176530" y="254000"/>
                              </a:lnTo>
                              <a:close/>
                            </a:path>
                          </a:pathLst>
                        </a:custGeom>
                        <a:solidFill>
                          <a:srgbClr val="FFC000">
                            <a:alpha val="32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17.7pt;margin-top:112.35pt;height:20pt;width:94.45pt;z-index:251736064;mso-width-relative:page;mso-height-relative:page;" fillcolor="#FFC000" filled="t" stroked="t" coordsize="1199515,254000" o:gfxdata="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N1tfsLYAAAACwEAAA8AAAAAAAAAAQAgAAAAIgAAAGRycy9kb3ducmV2LnhtbFBL&#10;AQIUABQAAAAIAIdO4kBlgS4ivgMAAAAMAAAOAAAAAAAAAAEAIAAAACcBAABkcnMvZTJvRG9jLnht&#10;bFBLBQYAAAAABgAGAFkBAABXBwAAAAA=&#10;" path="m176530,254000l677545,155575,895985,196850,1136015,120015,1199515,0,818515,21590,310515,106045,0,233045,176530,254000xe">
                <v:path o:connectlocs="176530,254000;677545,155575;895985,196850;1136015,120015;1199515,0;818515,21590;310515,106045;0,233045;176530,254000" o:connectangles="0,0,0,0,0,0,0,0,0"/>
                <v:fill on="t" opacity="20971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3956685</wp:posOffset>
                </wp:positionH>
                <wp:positionV relativeFrom="paragraph">
                  <wp:posOffset>3053715</wp:posOffset>
                </wp:positionV>
                <wp:extent cx="705485" cy="297180"/>
                <wp:effectExtent l="0" t="0" r="0" b="0"/>
                <wp:wrapNone/>
                <wp:docPr id="115" name="矩形 115"/>
                <wp:cNvGraphicFramePr/>
                <a:graphic xmlns:a="http://schemas.openxmlformats.org/drawingml/2006/main">
                  <a:graphicData uri="http://schemas.microsoft.com/office/word/2010/wordprocessingShape">
                    <wps:wsp>
                      <wps:cNvSpPr/>
                      <wps:spPr>
                        <a:xfrm>
                          <a:off x="0" y="0"/>
                          <a:ext cx="7054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C3AFB46">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三合四社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55pt;margin-top:240.45pt;height:23.4pt;width:55.55pt;z-index:251735040;v-text-anchor:middle;mso-width-relative:page;mso-height-relative:page;" filled="f" stroked="f" coordsize="21600,21600" o:gfxdata="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shcqNoAAAAL&#10;AQAADwAAAAAAAAABACAAAAAiAAAAZHJzL2Rvd25yZXYueG1sUEsBAhQAFAAAAAgAh07iQA0YgBRT&#10;AgAAmQQAAA4AAAAAAAAAAQAgAAAAKQEAAGRycy9lMm9Eb2MueG1sUEsFBgAAAAAGAAYAWQEAAO4F&#10;AAAAAA==&#10;">
                <v:fill on="f" focussize="0,0"/>
                <v:stroke on="f" weight="2pt"/>
                <v:imagedata o:title=""/>
                <o:lock v:ext="edit" aspectratio="f"/>
                <v:textbox>
                  <w:txbxContent>
                    <w:p w14:paraId="3C3AFB46">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三合四社</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3971290</wp:posOffset>
                </wp:positionH>
                <wp:positionV relativeFrom="paragraph">
                  <wp:posOffset>2979420</wp:posOffset>
                </wp:positionV>
                <wp:extent cx="430530" cy="260350"/>
                <wp:effectExtent l="12700" t="6985" r="13970" b="24765"/>
                <wp:wrapNone/>
                <wp:docPr id="114" name="任意多边形 114"/>
                <wp:cNvGraphicFramePr/>
                <a:graphic xmlns:a="http://schemas.openxmlformats.org/drawingml/2006/main">
                  <a:graphicData uri="http://schemas.microsoft.com/office/word/2010/wordprocessingShape">
                    <wps:wsp>
                      <wps:cNvSpPr/>
                      <wps:spPr>
                        <a:xfrm>
                          <a:off x="4871085" y="3879215"/>
                          <a:ext cx="430530" cy="260350"/>
                        </a:xfrm>
                        <a:custGeom>
                          <a:avLst/>
                          <a:gdLst>
                            <a:gd name="connisteX0" fmla="*/ 233045 w 430530"/>
                            <a:gd name="connsiteY0" fmla="*/ 0 h 260350"/>
                            <a:gd name="connisteX1" fmla="*/ 147955 w 430530"/>
                            <a:gd name="connsiteY1" fmla="*/ 133350 h 260350"/>
                            <a:gd name="connisteX2" fmla="*/ 0 w 430530"/>
                            <a:gd name="connsiteY2" fmla="*/ 239395 h 260350"/>
                            <a:gd name="connisteX3" fmla="*/ 225425 w 430530"/>
                            <a:gd name="connsiteY3" fmla="*/ 260350 h 260350"/>
                            <a:gd name="connisteX4" fmla="*/ 430530 w 430530"/>
                            <a:gd name="connsiteY4" fmla="*/ 154940 h 260350"/>
                            <a:gd name="connisteX5" fmla="*/ 225425 w 430530"/>
                            <a:gd name="connsiteY5" fmla="*/ 41275 h 2603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430530" h="260350">
                              <a:moveTo>
                                <a:pt x="233045" y="0"/>
                              </a:moveTo>
                              <a:lnTo>
                                <a:pt x="147955" y="133350"/>
                              </a:lnTo>
                              <a:lnTo>
                                <a:pt x="0" y="239395"/>
                              </a:lnTo>
                              <a:lnTo>
                                <a:pt x="225425" y="260350"/>
                              </a:lnTo>
                              <a:lnTo>
                                <a:pt x="430530" y="154940"/>
                              </a:lnTo>
                              <a:lnTo>
                                <a:pt x="225425" y="41275"/>
                              </a:lnTo>
                            </a:path>
                          </a:pathLst>
                        </a:custGeom>
                        <a:solidFill>
                          <a:srgbClr val="FFC000">
                            <a:alpha val="34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12.7pt;margin-top:234.6pt;height:20.5pt;width:33.9pt;z-index:251734016;mso-width-relative:page;mso-height-relative:page;" fillcolor="#FFC000" filled="t" stroked="t" coordsize="430530,260350" o:gfxdata="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kG9G13gAAAAsBAAAPAAAAAAAAAAEAIAAAACIAAABk&#10;cnMvZG93bnJldi54bWxQSwECFAAUAAAACACHTuJALWu6MVYDAAB0CQAADgAAAAAAAAABACAAAAAt&#10;AQAAZHJzL2Uyb0RvYy54bWxQSwUGAAAAAAYABgBZAQAA9QYAAAAA&#10;" path="m233045,0l147955,133350,0,239395,225425,260350,430530,154940,225425,41275e">
                <v:path o:connectlocs="233045,0;147955,133350;0,239395;225425,260350;430530,154940;225425,41275" o:connectangles="0,0,0,0,0,0"/>
                <v:fill on="t" opacity="22282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3977640</wp:posOffset>
                </wp:positionH>
                <wp:positionV relativeFrom="paragraph">
                  <wp:posOffset>2630170</wp:posOffset>
                </wp:positionV>
                <wp:extent cx="705485" cy="297180"/>
                <wp:effectExtent l="0" t="0" r="0" b="0"/>
                <wp:wrapNone/>
                <wp:docPr id="113" name="矩形 113"/>
                <wp:cNvGraphicFramePr/>
                <a:graphic xmlns:a="http://schemas.openxmlformats.org/drawingml/2006/main">
                  <a:graphicData uri="http://schemas.microsoft.com/office/word/2010/wordprocessingShape">
                    <wps:wsp>
                      <wps:cNvSpPr/>
                      <wps:spPr>
                        <a:xfrm>
                          <a:off x="0" y="0"/>
                          <a:ext cx="7054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8741F78">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太平沟7社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2pt;margin-top:207.1pt;height:23.4pt;width:55.55pt;z-index:251732992;v-text-anchor:middle;mso-width-relative:page;mso-height-relative:page;" filled="f" stroked="f" coordsize="21600,21600" o:gfxdata="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3GxgTZAAAA&#10;CwEAAA8AAAAAAAAAAQAgAAAAIgAAAGRycy9kb3ducmV2LnhtbFBLAQIUABQAAAAIAIdO4kBJRA1p&#10;VQIAAJkEAAAOAAAAAAAAAAEAIAAAACgBAABkcnMvZTJvRG9jLnhtbFBLBQYAAAAABgAGAFkBAADv&#10;BQAAAAA=&#10;">
                <v:fill on="f" focussize="0,0"/>
                <v:stroke on="f" weight="2pt"/>
                <v:imagedata o:title=""/>
                <o:lock v:ext="edit" aspectratio="f"/>
                <v:textbox>
                  <w:txbxContent>
                    <w:p w14:paraId="08741F78">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太平沟7社</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4753610</wp:posOffset>
                </wp:positionH>
                <wp:positionV relativeFrom="paragraph">
                  <wp:posOffset>2594610</wp:posOffset>
                </wp:positionV>
                <wp:extent cx="705485" cy="297180"/>
                <wp:effectExtent l="0" t="0" r="0" b="0"/>
                <wp:wrapNone/>
                <wp:docPr id="111" name="矩形 111"/>
                <wp:cNvGraphicFramePr/>
                <a:graphic xmlns:a="http://schemas.openxmlformats.org/drawingml/2006/main">
                  <a:graphicData uri="http://schemas.microsoft.com/office/word/2010/wordprocessingShape">
                    <wps:wsp>
                      <wps:cNvSpPr/>
                      <wps:spPr>
                        <a:xfrm>
                          <a:off x="0" y="0"/>
                          <a:ext cx="7054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EE8EF6F">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太平沟8社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4.3pt;margin-top:204.3pt;height:23.4pt;width:55.55pt;z-index:251730944;v-text-anchor:middle;mso-width-relative:page;mso-height-relative:page;" filled="f" stroked="f" coordsize="21600,21600" o:gfxdata="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YmWhS2QAAAAsB&#10;AAAPAAAAAAAAAAEAIAAAACIAAABkcnMvZG93bnJldi54bWxQSwECFAAUAAAACACHTuJAdXB2QlMC&#10;AACZBAAADgAAAAAAAAABACAAAAAoAQAAZHJzL2Uyb0RvYy54bWxQSwUGAAAAAAYABgBZAQAA7QUA&#10;AAAA&#10;">
                <v:fill on="f" focussize="0,0"/>
                <v:stroke on="f" weight="2pt"/>
                <v:imagedata o:title=""/>
                <o:lock v:ext="edit" aspectratio="f"/>
                <v:textbox>
                  <w:txbxContent>
                    <w:p w14:paraId="7EE8EF6F">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eastAsia="宋体"/>
                          <w:b/>
                          <w:bCs/>
                          <w:color w:val="000000" w:themeColor="text1"/>
                          <w:sz w:val="15"/>
                          <w:szCs w:val="15"/>
                          <w:highlight w:val="lightGray"/>
                          <w:lang w:val="en-US" w:eastAsia="zh-CN"/>
                          <w14:textFill>
                            <w14:solidFill>
                              <w14:schemeClr w14:val="tx1"/>
                            </w14:solidFill>
                          </w14:textFill>
                        </w:rPr>
                        <w:t>太平沟8社</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4704080</wp:posOffset>
                </wp:positionH>
                <wp:positionV relativeFrom="paragraph">
                  <wp:posOffset>2439035</wp:posOffset>
                </wp:positionV>
                <wp:extent cx="670560" cy="330835"/>
                <wp:effectExtent l="12700" t="12700" r="15240" b="12065"/>
                <wp:wrapNone/>
                <wp:docPr id="112" name="任意多边形 112"/>
                <wp:cNvGraphicFramePr/>
                <a:graphic xmlns:a="http://schemas.openxmlformats.org/drawingml/2006/main">
                  <a:graphicData uri="http://schemas.microsoft.com/office/word/2010/wordprocessingShape">
                    <wps:wsp>
                      <wps:cNvSpPr/>
                      <wps:spPr>
                        <a:xfrm>
                          <a:off x="5603875" y="3338830"/>
                          <a:ext cx="670560" cy="330835"/>
                        </a:xfrm>
                        <a:custGeom>
                          <a:avLst/>
                          <a:gdLst>
                            <a:gd name="connisteX0" fmla="*/ 140970 w 670560"/>
                            <a:gd name="connsiteY0" fmla="*/ 330835 h 330835"/>
                            <a:gd name="connisteX1" fmla="*/ 394970 w 670560"/>
                            <a:gd name="connsiteY1" fmla="*/ 240030 h 330835"/>
                            <a:gd name="connisteX2" fmla="*/ 578485 w 670560"/>
                            <a:gd name="connsiteY2" fmla="*/ 182880 h 330835"/>
                            <a:gd name="connisteX3" fmla="*/ 670560 w 670560"/>
                            <a:gd name="connsiteY3" fmla="*/ 0 h 330835"/>
                            <a:gd name="connisteX4" fmla="*/ 437515 w 670560"/>
                            <a:gd name="connsiteY4" fmla="*/ 49530 h 330835"/>
                            <a:gd name="connisteX5" fmla="*/ 0 w 670560"/>
                            <a:gd name="connsiteY5" fmla="*/ 260985 h 330835"/>
                            <a:gd name="connisteX6" fmla="*/ 197485 w 670560"/>
                            <a:gd name="connsiteY6" fmla="*/ 309880 h 33083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670560" h="330835">
                              <a:moveTo>
                                <a:pt x="140970" y="330835"/>
                              </a:moveTo>
                              <a:lnTo>
                                <a:pt x="394970" y="240030"/>
                              </a:lnTo>
                              <a:lnTo>
                                <a:pt x="578485" y="182880"/>
                              </a:lnTo>
                              <a:lnTo>
                                <a:pt x="670560" y="0"/>
                              </a:lnTo>
                              <a:lnTo>
                                <a:pt x="437515" y="49530"/>
                              </a:lnTo>
                              <a:lnTo>
                                <a:pt x="0" y="260985"/>
                              </a:lnTo>
                              <a:lnTo>
                                <a:pt x="197485" y="309880"/>
                              </a:lnTo>
                            </a:path>
                          </a:pathLst>
                        </a:custGeom>
                        <a:solidFill>
                          <a:srgbClr val="FFC000">
                            <a:alpha val="31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70.4pt;margin-top:192.05pt;height:26.05pt;width:52.8pt;z-index:251731968;mso-width-relative:page;mso-height-relative:page;" fillcolor="#FFC000" filled="t" stroked="t" coordsize="670560,330835" o:gfxdata="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BLFiuvbAAAACwEAAA8AAAAAAAAAAQAgAAAAIgAAAGRycy9kb3ducmV2LnhtbFBL&#10;AQIUABQAAAAIAIdO4kDxe4lxggMAAEUKAAAOAAAAAAAAAAEAIAAAACoBAABkcnMvZTJvRG9jLnht&#10;bFBLBQYAAAAABgAGAFkBAAAeBwAAAAA=&#10;" path="m140970,330835l394970,240030,578485,182880,670560,0,437515,49530,0,260985,197485,309880e">
                <v:path o:connectlocs="140970,330835;394970,240030;578485,182880;670560,0;437515,49530;0,260985;197485,309880" o:connectangles="0,0,0,0,0,0,0"/>
                <v:fill on="t" opacity="20316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2855595</wp:posOffset>
                </wp:positionH>
                <wp:positionV relativeFrom="paragraph">
                  <wp:posOffset>2389505</wp:posOffset>
                </wp:positionV>
                <wp:extent cx="705485" cy="297180"/>
                <wp:effectExtent l="0" t="0" r="0" b="0"/>
                <wp:wrapNone/>
                <wp:docPr id="110" name="矩形 110"/>
                <wp:cNvGraphicFramePr/>
                <a:graphic xmlns:a="http://schemas.openxmlformats.org/drawingml/2006/main">
                  <a:graphicData uri="http://schemas.microsoft.com/office/word/2010/wordprocessingShape">
                    <wps:wsp>
                      <wps:cNvSpPr/>
                      <wps:spPr>
                        <a:xfrm>
                          <a:off x="4594860" y="4044315"/>
                          <a:ext cx="705485" cy="297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86D3B8">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b/>
                                <w:bCs/>
                                <w:color w:val="000000" w:themeColor="text1"/>
                                <w:sz w:val="15"/>
                                <w:szCs w:val="15"/>
                                <w:highlight w:val="lightGray"/>
                                <w:lang w:val="en-US" w:eastAsia="zh-CN"/>
                                <w14:textFill>
                                  <w14:solidFill>
                                    <w14:schemeClr w14:val="tx1"/>
                                  </w14:solidFill>
                                </w14:textFill>
                              </w:rPr>
                              <w:t>乔家屯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85pt;margin-top:188.15pt;height:23.4pt;width:55.55pt;z-index:251729920;v-text-anchor:middle;mso-width-relative:page;mso-height-relative:page;" filled="f" stroked="f" coordsize="21600,21600" o:gfxdata="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Lt1FdkAAAALAQAADwAAAAAAAAABACAAAAAiAAAAZHJzL2Rvd25yZXYueG1sUEsBAhQAFAAA&#10;AAgAh07iQIOxG6RgAgAApQQAAA4AAAAAAAAAAQAgAAAAKAEAAGRycy9lMm9Eb2MueG1sUEsFBgAA&#10;AAAGAAYAWQEAAPoFAAAAAA==&#10;">
                <v:fill on="f" focussize="0,0"/>
                <v:stroke on="f" weight="2pt"/>
                <v:imagedata o:title=""/>
                <o:lock v:ext="edit" aspectratio="f"/>
                <v:textbox>
                  <w:txbxContent>
                    <w:p w14:paraId="2586D3B8">
                      <w:pPr>
                        <w:jc w:val="center"/>
                        <w:rPr>
                          <w:rFonts w:hint="default" w:eastAsia="宋体"/>
                          <w:b/>
                          <w:bCs/>
                          <w:color w:val="000000" w:themeColor="text1"/>
                          <w:sz w:val="15"/>
                          <w:szCs w:val="15"/>
                          <w:highlight w:val="lightGray"/>
                          <w:lang w:val="en-US" w:eastAsia="zh-CN"/>
                          <w14:textFill>
                            <w14:solidFill>
                              <w14:schemeClr w14:val="tx1"/>
                            </w14:solidFill>
                          </w14:textFill>
                        </w:rPr>
                      </w:pPr>
                      <w:r>
                        <w:rPr>
                          <w:rFonts w:hint="eastAsia"/>
                          <w:b/>
                          <w:bCs/>
                          <w:color w:val="000000" w:themeColor="text1"/>
                          <w:sz w:val="15"/>
                          <w:szCs w:val="15"/>
                          <w:highlight w:val="lightGray"/>
                          <w:lang w:val="en-US" w:eastAsia="zh-CN"/>
                          <w14:textFill>
                            <w14:solidFill>
                              <w14:schemeClr w14:val="tx1"/>
                            </w14:solidFill>
                          </w14:textFill>
                        </w:rPr>
                        <w:t>乔家屯</w:t>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3871595</wp:posOffset>
                </wp:positionH>
                <wp:positionV relativeFrom="paragraph">
                  <wp:posOffset>2580640</wp:posOffset>
                </wp:positionV>
                <wp:extent cx="734060" cy="155575"/>
                <wp:effectExtent l="12700" t="12700" r="15240" b="22225"/>
                <wp:wrapNone/>
                <wp:docPr id="109" name="任意多边形 109"/>
                <wp:cNvGraphicFramePr/>
                <a:graphic xmlns:a="http://schemas.openxmlformats.org/drawingml/2006/main">
                  <a:graphicData uri="http://schemas.microsoft.com/office/word/2010/wordprocessingShape">
                    <wps:wsp>
                      <wps:cNvSpPr/>
                      <wps:spPr>
                        <a:xfrm>
                          <a:off x="4771390" y="3465830"/>
                          <a:ext cx="734060" cy="155575"/>
                        </a:xfrm>
                        <a:custGeom>
                          <a:avLst/>
                          <a:gdLst>
                            <a:gd name="connisteX0" fmla="*/ 162560 w 734060"/>
                            <a:gd name="connsiteY0" fmla="*/ 155575 h 155575"/>
                            <a:gd name="connisteX1" fmla="*/ 521970 w 734060"/>
                            <a:gd name="connsiteY1" fmla="*/ 113030 h 155575"/>
                            <a:gd name="connisteX2" fmla="*/ 734060 w 734060"/>
                            <a:gd name="connsiteY2" fmla="*/ 133985 h 155575"/>
                            <a:gd name="connisteX3" fmla="*/ 621030 w 734060"/>
                            <a:gd name="connsiteY3" fmla="*/ 0 h 155575"/>
                            <a:gd name="connisteX4" fmla="*/ 0 w 734060"/>
                            <a:gd name="connsiteY4" fmla="*/ 55880 h 155575"/>
                            <a:gd name="connisteX5" fmla="*/ 0 w 734060"/>
                            <a:gd name="connsiteY5" fmla="*/ 147955 h 1555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734060" h="155575">
                              <a:moveTo>
                                <a:pt x="162560" y="155575"/>
                              </a:moveTo>
                              <a:lnTo>
                                <a:pt x="521970" y="113030"/>
                              </a:lnTo>
                              <a:lnTo>
                                <a:pt x="734060" y="133985"/>
                              </a:lnTo>
                              <a:lnTo>
                                <a:pt x="621030" y="0"/>
                              </a:lnTo>
                              <a:lnTo>
                                <a:pt x="0" y="55880"/>
                              </a:lnTo>
                              <a:lnTo>
                                <a:pt x="0" y="147955"/>
                              </a:lnTo>
                            </a:path>
                          </a:pathLst>
                        </a:custGeom>
                        <a:solidFill>
                          <a:srgbClr val="FFC000">
                            <a:alpha val="29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04.85pt;margin-top:203.2pt;height:12.25pt;width:57.8pt;z-index:251728896;mso-width-relative:page;mso-height-relative:page;" fillcolor="#FFC000" filled="t" stroked="t" coordsize="734060,155575" o:gfxdata="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9UreA2gAAAAsBAAAPAAAAAAAAAAEAIAAAACIAAABkcnMvZG93bnJl&#10;di54bWxQSwECFAAUAAAACACHTuJAWAYj0VEDAABqCQAADgAAAAAAAAABACAAAAApAQAAZHJzL2Uy&#10;b0RvYy54bWxQSwUGAAAAAAYABgBZAQAA7AYAAAAA&#10;" path="m162560,155575l521970,113030,734060,133985,621030,0,0,55880,0,147955e">
                <v:path o:connectlocs="162560,155575;521970,113030;734060,133985;621030,0;0,55880;0,147955" o:connectangles="0,0,0,0,0,0"/>
                <v:fill on="t" opacity="19005f" focussize="0,0"/>
                <v:stroke weight="2pt" color="#376092 [2404]" joinstyle="round"/>
                <v:imagedata o:title=""/>
                <o:lock v:ext="edit" aspectratio="f"/>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2735580</wp:posOffset>
                </wp:positionH>
                <wp:positionV relativeFrom="paragraph">
                  <wp:posOffset>2312035</wp:posOffset>
                </wp:positionV>
                <wp:extent cx="967105" cy="444500"/>
                <wp:effectExtent l="5715" t="12700" r="17780" b="12700"/>
                <wp:wrapNone/>
                <wp:docPr id="108" name="任意多边形 108"/>
                <wp:cNvGraphicFramePr/>
                <a:graphic xmlns:a="http://schemas.openxmlformats.org/drawingml/2006/main">
                  <a:graphicData uri="http://schemas.microsoft.com/office/word/2010/wordprocessingShape">
                    <wps:wsp>
                      <wps:cNvSpPr/>
                      <wps:spPr>
                        <a:xfrm>
                          <a:off x="3712845" y="3183890"/>
                          <a:ext cx="967105" cy="444500"/>
                        </a:xfrm>
                        <a:custGeom>
                          <a:avLst/>
                          <a:gdLst>
                            <a:gd name="connisteX0" fmla="*/ 0 w 967105"/>
                            <a:gd name="connsiteY0" fmla="*/ 120015 h 444500"/>
                            <a:gd name="connisteX1" fmla="*/ 353060 w 967105"/>
                            <a:gd name="connsiteY1" fmla="*/ 288925 h 444500"/>
                            <a:gd name="connisteX2" fmla="*/ 522605 w 967105"/>
                            <a:gd name="connsiteY2" fmla="*/ 437515 h 444500"/>
                            <a:gd name="connisteX3" fmla="*/ 967105 w 967105"/>
                            <a:gd name="connsiteY3" fmla="*/ 444500 h 444500"/>
                            <a:gd name="connisteX4" fmla="*/ 924560 w 967105"/>
                            <a:gd name="connsiteY4" fmla="*/ 352425 h 444500"/>
                            <a:gd name="connisteX5" fmla="*/ 536575 w 967105"/>
                            <a:gd name="connsiteY5" fmla="*/ 239395 h 444500"/>
                            <a:gd name="connisteX6" fmla="*/ 141605 w 967105"/>
                            <a:gd name="connsiteY6" fmla="*/ 0 h 444500"/>
                            <a:gd name="connisteX7" fmla="*/ 21590 w 967105"/>
                            <a:gd name="connsiteY7" fmla="*/ 83820 h 444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967105" h="444500">
                              <a:moveTo>
                                <a:pt x="0" y="120015"/>
                              </a:moveTo>
                              <a:lnTo>
                                <a:pt x="353060" y="288925"/>
                              </a:lnTo>
                              <a:lnTo>
                                <a:pt x="522605" y="437515"/>
                              </a:lnTo>
                              <a:lnTo>
                                <a:pt x="967105" y="444500"/>
                              </a:lnTo>
                              <a:lnTo>
                                <a:pt x="924560" y="352425"/>
                              </a:lnTo>
                              <a:lnTo>
                                <a:pt x="536575" y="239395"/>
                              </a:lnTo>
                              <a:lnTo>
                                <a:pt x="141605" y="0"/>
                              </a:lnTo>
                              <a:lnTo>
                                <a:pt x="21590" y="83820"/>
                              </a:lnTo>
                            </a:path>
                          </a:pathLst>
                        </a:custGeom>
                        <a:solidFill>
                          <a:srgbClr val="FFC000">
                            <a:alpha val="22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15.4pt;margin-top:182.05pt;height:35pt;width:76.15pt;z-index:251727872;mso-width-relative:page;mso-height-relative:page;" fillcolor="#FFC000" filled="t" stroked="t" coordsize="967105,444500" o:gfxdata="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0sV7dkAAAALAQAADwAAAAAAAAABACAA&#10;AAAiAAAAZHJzL2Rvd25yZXYueG1sUEsBAhQAFAAAAAgAh07iQLDt54ibAwAAFAsAAA4AAAAAAAAA&#10;AQAgAAAAKAEAAGRycy9lMm9Eb2MueG1sUEsFBgAAAAAGAAYAWQEAADUHAAAAAA==&#10;" path="m0,120015l353060,288925,522605,437515,967105,444500,924560,352425,536575,239395,141605,0,21590,83820e">
                <v:path o:connectlocs="0,120015;353060,288925;522605,437515;967105,444500;924560,352425;536575,239395;141605,0;21590,83820" o:connectangles="0,0,0,0,0,0,0,0"/>
                <v:fill on="t" opacity="14417f" focussize="0,0"/>
                <v:stroke weight="2pt" color="#376092 [2404]" joinstyle="round"/>
                <v:imagedata o:title=""/>
                <o:lock v:ext="edit" aspectratio="f"/>
              </v:shape>
            </w:pict>
          </mc:Fallback>
        </mc:AlternateContent>
      </w:r>
      <w:r>
        <w:rPr>
          <w:rFonts w:hint="eastAsia" w:ascii="宋体" w:hAnsi="宋体" w:eastAsia="宋体" w:cs="宋体"/>
          <w:bCs/>
          <w:color w:val="000000" w:themeColor="text1"/>
          <w:sz w:val="72"/>
          <w:szCs w:val="72"/>
          <w:lang w:eastAsia="zh-CN"/>
          <w14:textFill>
            <w14:solidFill>
              <w14:schemeClr w14:val="tx1"/>
            </w14:solidFill>
          </w14:textFill>
        </w:rPr>
        <w:drawing>
          <wp:inline distT="0" distB="0" distL="114300" distR="114300">
            <wp:extent cx="8213090" cy="4321810"/>
            <wp:effectExtent l="0" t="0" r="3810" b="8890"/>
            <wp:docPr id="107" name="图片 107" descr="b46fd5d3-c691-41e2-9239-a6b7f1227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b46fd5d3-c691-41e2-9239-a6b7f122719a"/>
                    <pic:cNvPicPr>
                      <a:picLocks noChangeAspect="1"/>
                    </pic:cNvPicPr>
                  </pic:nvPicPr>
                  <pic:blipFill>
                    <a:blip r:embed="rId41"/>
                    <a:stretch>
                      <a:fillRect/>
                    </a:stretch>
                  </pic:blipFill>
                  <pic:spPr>
                    <a:xfrm>
                      <a:off x="0" y="0"/>
                      <a:ext cx="8213090" cy="4321810"/>
                    </a:xfrm>
                    <a:prstGeom prst="rect">
                      <a:avLst/>
                    </a:prstGeom>
                  </pic:spPr>
                </pic:pic>
              </a:graphicData>
            </a:graphic>
          </wp:inline>
        </w:drawing>
      </w:r>
    </w:p>
    <w:p w14:paraId="7CE52AAF">
      <w:pPr>
        <w:widowControl/>
        <w:jc w:val="center"/>
        <w:rPr>
          <w:rFonts w:hint="default" w:ascii="宋体" w:hAnsi="宋体" w:eastAsia="宋体" w:cs="宋体"/>
          <w:b/>
          <w:bCs w:val="0"/>
          <w:color w:val="000000" w:themeColor="text1"/>
          <w:sz w:val="30"/>
          <w:szCs w:val="30"/>
          <w:lang w:val="en-US" w:eastAsia="zh-CN"/>
          <w14:textFill>
            <w14:solidFill>
              <w14:schemeClr w14:val="tx1"/>
            </w14:solidFill>
          </w14:textFill>
        </w:rPr>
      </w:pPr>
      <w:r>
        <w:rPr>
          <w:rFonts w:hint="eastAsia" w:ascii="宋体" w:hAnsi="宋体" w:cs="宋体"/>
          <w:b/>
          <w:bCs w:val="0"/>
          <w:color w:val="000000" w:themeColor="text1"/>
          <w:sz w:val="30"/>
          <w:szCs w:val="30"/>
          <w:lang w:val="en-US" w:eastAsia="zh-CN"/>
          <w14:textFill>
            <w14:solidFill>
              <w14:schemeClr w14:val="tx1"/>
            </w14:solidFill>
          </w14:textFill>
        </w:rPr>
        <w:t>附图7   大气评价范围及敏感目标图</w:t>
      </w:r>
    </w:p>
    <w:p w14:paraId="26FFF5D6">
      <w:pPr>
        <w:rPr>
          <w:rFonts w:hint="eastAsia" w:ascii="宋体" w:hAnsi="宋体" w:eastAsia="宋体" w:cs="宋体"/>
          <w:bCs/>
          <w:color w:val="000000" w:themeColor="text1"/>
          <w:sz w:val="72"/>
          <w:szCs w:val="72"/>
          <w:lang w:eastAsia="zh-CN"/>
          <w14:textFill>
            <w14:solidFill>
              <w14:schemeClr w14:val="tx1"/>
            </w14:solidFill>
          </w14:textFill>
        </w:rPr>
      </w:pPr>
      <w:r>
        <w:rPr>
          <w:rFonts w:hint="eastAsia" w:ascii="宋体" w:hAnsi="宋体" w:eastAsia="宋体" w:cs="宋体"/>
          <w:bCs/>
          <w:color w:val="000000" w:themeColor="text1"/>
          <w:sz w:val="72"/>
          <w:szCs w:val="72"/>
          <w:lang w:eastAsia="zh-CN"/>
          <w14:textFill>
            <w14:solidFill>
              <w14:schemeClr w14:val="tx1"/>
            </w14:solidFill>
          </w14:textFill>
        </w:rPr>
        <w:br w:type="page"/>
      </w:r>
    </w:p>
    <w:p w14:paraId="11CB0F41">
      <w:pPr>
        <w:widowControl/>
        <w:jc w:val="center"/>
        <w:rPr>
          <w:rFonts w:hint="eastAsia" w:ascii="宋体" w:hAnsi="宋体" w:eastAsia="宋体" w:cs="宋体"/>
          <w:bCs/>
          <w:color w:val="000000" w:themeColor="text1"/>
          <w:sz w:val="72"/>
          <w:szCs w:val="72"/>
          <w:lang w:val="en-US" w:eastAsia="zh-CN"/>
          <w14:textFill>
            <w14:solidFill>
              <w14:schemeClr w14:val="tx1"/>
            </w14:solidFill>
          </w14:textFill>
        </w:rPr>
        <w:sectPr>
          <w:pgSz w:w="16838" w:h="11905" w:orient="landscape"/>
          <w:pgMar w:top="1417"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pPr>
    </w:p>
    <w:p w14:paraId="25E8CC6E">
      <w:pPr>
        <w:widowControl/>
        <w:tabs>
          <w:tab w:val="left" w:pos="7440"/>
        </w:tabs>
        <w:jc w:val="center"/>
        <w:rPr>
          <w:rFonts w:hint="eastAsia" w:ascii="宋体" w:hAnsi="宋体" w:eastAsia="宋体" w:cs="宋体"/>
          <w:bCs/>
          <w:color w:val="000000" w:themeColor="text1"/>
          <w:sz w:val="72"/>
          <w:szCs w:val="72"/>
          <w:lang w:val="en-US" w:eastAsia="zh-CN"/>
          <w14:textFill>
            <w14:solidFill>
              <w14:schemeClr w14:val="tx1"/>
            </w14:solidFill>
          </w14:textFill>
        </w:rPr>
      </w:pPr>
      <w:r>
        <w:rPr>
          <w:color w:val="000000" w:themeColor="text1"/>
          <w:sz w:val="72"/>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3296920</wp:posOffset>
                </wp:positionH>
                <wp:positionV relativeFrom="paragraph">
                  <wp:posOffset>1864995</wp:posOffset>
                </wp:positionV>
                <wp:extent cx="685800" cy="311150"/>
                <wp:effectExtent l="492125" t="94615" r="15875" b="13335"/>
                <wp:wrapNone/>
                <wp:docPr id="166" name="矩形标注 166"/>
                <wp:cNvGraphicFramePr/>
                <a:graphic xmlns:a="http://schemas.openxmlformats.org/drawingml/2006/main">
                  <a:graphicData uri="http://schemas.microsoft.com/office/word/2010/wordprocessingShape">
                    <wps:wsp>
                      <wps:cNvSpPr/>
                      <wps:spPr>
                        <a:xfrm>
                          <a:off x="3866515" y="2796540"/>
                          <a:ext cx="685800" cy="311150"/>
                        </a:xfrm>
                        <a:prstGeom prst="wedgeRectCallout">
                          <a:avLst>
                            <a:gd name="adj1" fmla="val -119907"/>
                            <a:gd name="adj2" fmla="val -76326"/>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63BA8B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9.6pt;margin-top:146.85pt;height:24.5pt;width:54pt;z-index:251801600;v-text-anchor:middle;mso-width-relative:page;mso-height-relative:page;" fillcolor="#FFFFFF [3212]" filled="t" stroked="t" coordsize="21600,21600" o:gfxdata="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3wibm2wAAAAsBAAAPAAAAAAAAAAEAIAAAACIA&#10;AABkcnMvZG93bnJldi54bWxQSwECFAAUAAAACACHTuJAXZpRH7ECAABdBQAADgAAAAAAAAABACAA&#10;AAAqAQAAZHJzL2Uyb0RvYy54bWxQSwUGAAAAAAYABgBZAQAATQYAAAAA&#10;" adj="-15100,-5686">
                <v:fill on="t" focussize="0,0"/>
                <v:stroke weight="2pt" color="#000000 [3213]" joinstyle="round"/>
                <v:imagedata o:title=""/>
                <o:lock v:ext="edit" aspectratio="f"/>
                <v:textbox>
                  <w:txbxContent>
                    <w:p w14:paraId="463BA8B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v:textbox>
              </v:shape>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2719070</wp:posOffset>
                </wp:positionH>
                <wp:positionV relativeFrom="paragraph">
                  <wp:posOffset>1699895</wp:posOffset>
                </wp:positionV>
                <wp:extent cx="88900" cy="139700"/>
                <wp:effectExtent l="0" t="0" r="0" b="0"/>
                <wp:wrapNone/>
                <wp:docPr id="165" name="矩形 165"/>
                <wp:cNvGraphicFramePr/>
                <a:graphic xmlns:a="http://schemas.openxmlformats.org/drawingml/2006/main">
                  <a:graphicData uri="http://schemas.microsoft.com/office/word/2010/wordprocessingShape">
                    <wps:wsp>
                      <wps:cNvSpPr/>
                      <wps:spPr>
                        <a:xfrm>
                          <a:off x="3618865" y="2599690"/>
                          <a:ext cx="88900" cy="139700"/>
                        </a:xfrm>
                        <a:prstGeom prst="rect">
                          <a:avLst/>
                        </a:prstGeom>
                        <a:solidFill>
                          <a:srgbClr val="9933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1pt;margin-top:133.85pt;height:11pt;width:7pt;z-index:251800576;v-text-anchor:middle;mso-width-relative:page;mso-height-relative:page;" fillcolor="#993300" filled="t" stroked="f" coordsize="21600,21600" o:gfxdata="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B9r/vYAAAACwEAAA8AAAAAAAAAAQAgAAAAIgAAAGRycy9kb3ducmV2LnhtbFBL&#10;AQIUABQAAAAIAIdO4kBnYL68aAIAAMIEAAAOAAAAAAAAAAEAIAAAACcBAABkcnMvZTJvRG9jLnht&#10;bFBLBQYAAAAABgAGAFkBAAABBgAAAAA=&#10;">
                <v:fill on="t" focussize="0,0"/>
                <v:stroke on="f" weight="2pt"/>
                <v:imagedata o:title=""/>
                <o:lock v:ext="edit" aspectratio="f"/>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5901055</wp:posOffset>
                </wp:positionH>
                <wp:positionV relativeFrom="paragraph">
                  <wp:posOffset>3009900</wp:posOffset>
                </wp:positionV>
                <wp:extent cx="2730500" cy="1257300"/>
                <wp:effectExtent l="12700" t="12700" r="12700" b="12700"/>
                <wp:wrapNone/>
                <wp:docPr id="44" name="矩形 44"/>
                <wp:cNvGraphicFramePr/>
                <a:graphic xmlns:a="http://schemas.openxmlformats.org/drawingml/2006/main">
                  <a:graphicData uri="http://schemas.microsoft.com/office/word/2010/wordprocessingShape">
                    <wps:wsp>
                      <wps:cNvSpPr/>
                      <wps:spPr>
                        <a:xfrm>
                          <a:off x="6813550" y="3782695"/>
                          <a:ext cx="2730500" cy="1257300"/>
                        </a:xfrm>
                        <a:prstGeom prst="rec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2E851ADE">
                            <w:pPr>
                              <w:jc w:val="center"/>
                              <w:rPr>
                                <w:rFonts w:hint="eastAsia" w:eastAsia="宋体"/>
                                <w:lang w:eastAsia="zh-CN"/>
                              </w:rPr>
                            </w:pPr>
                            <w:r>
                              <w:rPr>
                                <w:rFonts w:hint="eastAsia" w:eastAsia="宋体"/>
                                <w:lang w:eastAsia="zh-CN"/>
                              </w:rPr>
                              <w:drawing>
                                <wp:inline distT="0" distB="0" distL="114300" distR="114300">
                                  <wp:extent cx="2519045" cy="668655"/>
                                  <wp:effectExtent l="0" t="0" r="8255" b="4445"/>
                                  <wp:docPr id="47" name="图片 47" descr="18df6967-64a6-44c6-8cfd-ab5b6d9a2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8df6967-64a6-44c6-8cfd-ab5b6d9a2b87"/>
                                          <pic:cNvPicPr>
                                            <a:picLocks noChangeAspect="1"/>
                                          </pic:cNvPicPr>
                                        </pic:nvPicPr>
                                        <pic:blipFill>
                                          <a:blip r:embed="rId42"/>
                                          <a:stretch>
                                            <a:fillRect/>
                                          </a:stretch>
                                        </pic:blipFill>
                                        <pic:spPr>
                                          <a:xfrm>
                                            <a:off x="0" y="0"/>
                                            <a:ext cx="2519045" cy="668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4.65pt;margin-top:237pt;height:99pt;width:215pt;z-index:251798528;v-text-anchor:middle;mso-width-relative:page;mso-height-relative:page;" fillcolor="#FFFFFF [3212]" filled="t" stroked="t" coordsize="21600,21600" o:gfxdata="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RZMwdwAAAAM&#10;AQAADwAAAAAAAAABACAAAAAiAAAAZHJzL2Rvd25yZXYueG1sUEsBAhQAFAAAAAgAh07iQM8YZH+K&#10;AgAAGQUAAA4AAAAAAAAAAQAgAAAAKwEAAGRycy9lMm9Eb2MueG1sUEsFBgAAAAAGAAYAWQEAACcG&#10;AAAAAA==&#10;">
                <v:fill on="t" focussize="0,0"/>
                <v:stroke weight="2pt" color="#376092 [2404]" joinstyle="round"/>
                <v:imagedata o:title=""/>
                <o:lock v:ext="edit" aspectratio="f"/>
                <v:textbox>
                  <w:txbxContent>
                    <w:p w14:paraId="2E851ADE">
                      <w:pPr>
                        <w:jc w:val="center"/>
                        <w:rPr>
                          <w:rFonts w:hint="eastAsia" w:eastAsia="宋体"/>
                          <w:lang w:eastAsia="zh-CN"/>
                        </w:rPr>
                      </w:pPr>
                      <w:r>
                        <w:rPr>
                          <w:rFonts w:hint="eastAsia" w:eastAsia="宋体"/>
                          <w:lang w:eastAsia="zh-CN"/>
                        </w:rPr>
                        <w:drawing>
                          <wp:inline distT="0" distB="0" distL="114300" distR="114300">
                            <wp:extent cx="2519045" cy="668655"/>
                            <wp:effectExtent l="0" t="0" r="8255" b="4445"/>
                            <wp:docPr id="47" name="图片 47" descr="18df6967-64a6-44c6-8cfd-ab5b6d9a2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8df6967-64a6-44c6-8cfd-ab5b6d9a2b87"/>
                                    <pic:cNvPicPr>
                                      <a:picLocks noChangeAspect="1"/>
                                    </pic:cNvPicPr>
                                  </pic:nvPicPr>
                                  <pic:blipFill>
                                    <a:blip r:embed="rId42"/>
                                    <a:stretch>
                                      <a:fillRect/>
                                    </a:stretch>
                                  </pic:blipFill>
                                  <pic:spPr>
                                    <a:xfrm>
                                      <a:off x="0" y="0"/>
                                      <a:ext cx="2519045" cy="668655"/>
                                    </a:xfrm>
                                    <a:prstGeom prst="rect">
                                      <a:avLst/>
                                    </a:prstGeom>
                                  </pic:spPr>
                                </pic:pic>
                              </a:graphicData>
                            </a:graphic>
                          </wp:inline>
                        </w:drawing>
                      </w:r>
                    </w:p>
                  </w:txbxContent>
                </v:textbox>
              </v:rect>
            </w:pict>
          </mc:Fallback>
        </mc:AlternateContent>
      </w:r>
      <w:r>
        <w:rPr>
          <w:color w:val="000000" w:themeColor="text1"/>
          <w:sz w:val="72"/>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173355</wp:posOffset>
                </wp:positionH>
                <wp:positionV relativeFrom="paragraph">
                  <wp:posOffset>31750</wp:posOffset>
                </wp:positionV>
                <wp:extent cx="8610600" cy="4311650"/>
                <wp:effectExtent l="13970" t="13970" r="24130" b="17780"/>
                <wp:wrapNone/>
                <wp:docPr id="43" name="矩形 43"/>
                <wp:cNvGraphicFramePr/>
                <a:graphic xmlns:a="http://schemas.openxmlformats.org/drawingml/2006/main">
                  <a:graphicData uri="http://schemas.microsoft.com/office/word/2010/wordprocessingShape">
                    <wps:wsp>
                      <wps:cNvSpPr/>
                      <wps:spPr>
                        <a:xfrm>
                          <a:off x="1073150" y="931545"/>
                          <a:ext cx="8610600" cy="4311650"/>
                        </a:xfrm>
                        <a:prstGeom prst="rect">
                          <a:avLst/>
                        </a:prstGeom>
                        <a:noFill/>
                        <a:ln w="285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5pt;margin-top:2.5pt;height:339.5pt;width:678pt;z-index:251797504;v-text-anchor:middle;mso-width-relative:page;mso-height-relative:page;" filled="f" stroked="t" coordsize="21600,21600" o:gfxdata="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uM3Uk2AAAAAkBAAAPAAAAAAAAAAEAIAAAACIAAABkcnMvZG93bnJldi54bWxQ&#10;SwECFAAUAAAACACHTuJApNnrN2kCAADCBAAADgAAAAAAAAABACAAAAAnAQAAZHJzL2Uyb0RvYy54&#10;bWxQSwUGAAAAAAYABgBZAQAAAgYAAAAA&#10;">
                <v:fill on="f" focussize="0,0"/>
                <v:stroke weight="2.25pt" color="#000000 [3213]" joinstyle="round"/>
                <v:imagedata o:title=""/>
                <o:lock v:ext="edit" aspectratio="f"/>
              </v:rect>
            </w:pict>
          </mc:Fallback>
        </mc:AlternateContent>
      </w:r>
      <w:r>
        <w:rPr>
          <w:rFonts w:hint="eastAsia" w:ascii="宋体" w:hAnsi="宋体" w:eastAsia="宋体" w:cs="宋体"/>
          <w:bCs/>
          <w:color w:val="000000" w:themeColor="text1"/>
          <w:sz w:val="72"/>
          <w:szCs w:val="72"/>
          <w:lang w:val="en-US" w:eastAsia="zh-CN"/>
          <w14:textFill>
            <w14:solidFill>
              <w14:schemeClr w14:val="tx1"/>
            </w14:solidFill>
          </w14:textFill>
        </w:rPr>
        <w:drawing>
          <wp:inline distT="0" distB="0" distL="114300" distR="114300">
            <wp:extent cx="8572500" cy="4343400"/>
            <wp:effectExtent l="0" t="0" r="0" b="0"/>
            <wp:docPr id="39" name="图片 39" descr="8f28dc72-5c7e-41a8-b990-7ed3b5cb5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f28dc72-5c7e-41a8-b990-7ed3b5cb5bf5"/>
                    <pic:cNvPicPr>
                      <a:picLocks noChangeAspect="1"/>
                    </pic:cNvPicPr>
                  </pic:nvPicPr>
                  <pic:blipFill>
                    <a:blip r:embed="rId43"/>
                    <a:stretch>
                      <a:fillRect/>
                    </a:stretch>
                  </pic:blipFill>
                  <pic:spPr>
                    <a:xfrm>
                      <a:off x="0" y="0"/>
                      <a:ext cx="8572500" cy="4343400"/>
                    </a:xfrm>
                    <a:prstGeom prst="rect">
                      <a:avLst/>
                    </a:prstGeom>
                  </pic:spPr>
                </pic:pic>
              </a:graphicData>
            </a:graphic>
          </wp:inline>
        </w:drawing>
      </w:r>
    </w:p>
    <w:p w14:paraId="08D479EC">
      <w:pPr>
        <w:pStyle w:val="33"/>
        <w:rPr>
          <w:rFonts w:hint="eastAsia"/>
          <w:color w:val="000000" w:themeColor="text1"/>
          <w:lang w:val="en-US" w:eastAsia="zh-CN"/>
          <w14:textFill>
            <w14:solidFill>
              <w14:schemeClr w14:val="tx1"/>
            </w14:solidFill>
          </w14:textFill>
        </w:rPr>
      </w:pPr>
    </w:p>
    <w:p w14:paraId="240A210D">
      <w:pPr>
        <w:widowControl/>
        <w:jc w:val="center"/>
        <w:rPr>
          <w:rFonts w:hint="eastAsia" w:ascii="宋体" w:hAnsi="宋体" w:cs="宋体"/>
          <w:b/>
          <w:bCs w:val="0"/>
          <w:color w:val="000000" w:themeColor="text1"/>
          <w:sz w:val="30"/>
          <w:szCs w:val="30"/>
          <w:lang w:val="en-US" w:eastAsia="zh-CN"/>
          <w14:textFill>
            <w14:solidFill>
              <w14:schemeClr w14:val="tx1"/>
            </w14:solidFill>
          </w14:textFill>
        </w:rPr>
      </w:pPr>
      <w:r>
        <w:rPr>
          <w:rFonts w:hint="eastAsia" w:ascii="宋体" w:hAnsi="宋体" w:cs="宋体"/>
          <w:b/>
          <w:bCs w:val="0"/>
          <w:color w:val="000000" w:themeColor="text1"/>
          <w:sz w:val="30"/>
          <w:szCs w:val="30"/>
          <w:lang w:val="en-US" w:eastAsia="zh-CN"/>
          <w14:textFill>
            <w14:solidFill>
              <w14:schemeClr w14:val="tx1"/>
            </w14:solidFill>
          </w14:textFill>
        </w:rPr>
        <w:t>附图8   四平市中心城区声环境功能区划分(调整)图</w:t>
      </w:r>
    </w:p>
    <w:p w14:paraId="39C0D792">
      <w:pPr>
        <w:widowControl/>
        <w:jc w:val="center"/>
        <w:rPr>
          <w:rFonts w:hint="eastAsia" w:ascii="宋体" w:hAnsi="宋体" w:cs="宋体"/>
          <w:b/>
          <w:bCs w:val="0"/>
          <w:color w:val="000000" w:themeColor="text1"/>
          <w:sz w:val="30"/>
          <w:szCs w:val="30"/>
          <w:lang w:val="en-US" w:eastAsia="zh-CN"/>
          <w14:textFill>
            <w14:solidFill>
              <w14:schemeClr w14:val="tx1"/>
            </w14:solidFill>
          </w14:textFill>
        </w:rPr>
      </w:pPr>
    </w:p>
    <w:p w14:paraId="1DD61F46">
      <w:pPr>
        <w:widowControl/>
        <w:jc w:val="center"/>
        <w:rPr>
          <w:rFonts w:hint="eastAsia" w:ascii="宋体" w:hAnsi="宋体" w:cs="宋体"/>
          <w:b/>
          <w:bCs w:val="0"/>
          <w:color w:val="000000" w:themeColor="text1"/>
          <w:sz w:val="30"/>
          <w:szCs w:val="30"/>
          <w:lang w:val="en-US" w:eastAsia="zh-CN"/>
          <w14:textFill>
            <w14:solidFill>
              <w14:schemeClr w14:val="tx1"/>
            </w14:solidFill>
          </w14:textFill>
        </w:rPr>
        <w:sectPr>
          <w:pgSz w:w="16838" w:h="11905" w:orient="landscape"/>
          <w:pgMar w:top="1417"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pPr>
    </w:p>
    <w:p w14:paraId="7FE08095">
      <w:pPr>
        <w:pStyle w:val="14"/>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3520440" cy="1902460"/>
            <wp:effectExtent l="0" t="0" r="10160" b="2540"/>
            <wp:docPr id="175" name="图片 175" descr="35fadaf8511ceff2bd1456512ab63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35fadaf8511ceff2bd1456512ab6379b"/>
                    <pic:cNvPicPr>
                      <a:picLocks noChangeAspect="1"/>
                    </pic:cNvPicPr>
                  </pic:nvPicPr>
                  <pic:blipFill>
                    <a:blip r:embed="rId44"/>
                    <a:stretch>
                      <a:fillRect/>
                    </a:stretch>
                  </pic:blipFill>
                  <pic:spPr>
                    <a:xfrm>
                      <a:off x="0" y="0"/>
                      <a:ext cx="3520440" cy="1902460"/>
                    </a:xfrm>
                    <a:prstGeom prst="rect">
                      <a:avLst/>
                    </a:prstGeom>
                  </pic:spPr>
                </pic:pic>
              </a:graphicData>
            </a:graphic>
          </wp:inline>
        </w:drawing>
      </w:r>
    </w:p>
    <w:p w14:paraId="4EAC5611">
      <w:pPr>
        <w:rPr>
          <w:rFonts w:hint="eastAsia"/>
          <w:color w:val="000000" w:themeColor="text1"/>
          <w:lang w:val="en-US" w:eastAsia="zh-CN"/>
          <w14:textFill>
            <w14:solidFill>
              <w14:schemeClr w14:val="tx1"/>
            </w14:solidFill>
          </w14:textFill>
        </w:rPr>
      </w:pPr>
    </w:p>
    <w:p w14:paraId="3FCC2163">
      <w:pPr>
        <w:rPr>
          <w:rFonts w:hint="eastAsia"/>
          <w:color w:val="000000" w:themeColor="text1"/>
          <w:lang w:val="en-US" w:eastAsia="zh-CN"/>
          <w14:textFill>
            <w14:solidFill>
              <w14:schemeClr w14:val="tx1"/>
            </w14:solidFill>
          </w14:textFill>
        </w:rPr>
      </w:pPr>
    </w:p>
    <w:p w14:paraId="4E60E13B">
      <w:pPr>
        <w:rPr>
          <w:rFonts w:hint="eastAsia"/>
          <w:color w:val="000000" w:themeColor="text1"/>
          <w:lang w:val="en-US" w:eastAsia="zh-CN"/>
          <w14:textFill>
            <w14:solidFill>
              <w14:schemeClr w14:val="tx1"/>
            </w14:solidFill>
          </w14:textFill>
        </w:rPr>
      </w:pPr>
    </w:p>
    <w:p w14:paraId="6CE77995">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3605530" cy="1784985"/>
            <wp:effectExtent l="0" t="0" r="1270" b="5715"/>
            <wp:docPr id="176" name="图片 176" descr="c2f0f04e0fe3b67ace50e86e63bbd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2f0f04e0fe3b67ace50e86e63bbd399"/>
                    <pic:cNvPicPr>
                      <a:picLocks noChangeAspect="1"/>
                    </pic:cNvPicPr>
                  </pic:nvPicPr>
                  <pic:blipFill>
                    <a:blip r:embed="rId45"/>
                    <a:stretch>
                      <a:fillRect/>
                    </a:stretch>
                  </pic:blipFill>
                  <pic:spPr>
                    <a:xfrm>
                      <a:off x="0" y="0"/>
                      <a:ext cx="3605530" cy="1784985"/>
                    </a:xfrm>
                    <a:prstGeom prst="rect">
                      <a:avLst/>
                    </a:prstGeom>
                  </pic:spPr>
                </pic:pic>
              </a:graphicData>
            </a:graphic>
          </wp:inline>
        </w:drawing>
      </w:r>
    </w:p>
    <w:p w14:paraId="787E89BA">
      <w:pPr>
        <w:jc w:val="center"/>
        <w:rPr>
          <w:rFonts w:hint="eastAsia"/>
          <w:color w:val="000000" w:themeColor="text1"/>
          <w:lang w:val="en-US" w:eastAsia="zh-CN"/>
          <w14:textFill>
            <w14:solidFill>
              <w14:schemeClr w14:val="tx1"/>
            </w14:solidFill>
          </w14:textFill>
        </w:rPr>
      </w:pPr>
    </w:p>
    <w:p w14:paraId="10B6F7C3">
      <w:pPr>
        <w:jc w:val="center"/>
        <w:rPr>
          <w:rFonts w:hint="eastAsia"/>
          <w:color w:val="000000" w:themeColor="text1"/>
          <w:lang w:val="en-US" w:eastAsia="zh-CN"/>
          <w14:textFill>
            <w14:solidFill>
              <w14:schemeClr w14:val="tx1"/>
            </w14:solidFill>
          </w14:textFill>
        </w:rPr>
      </w:pPr>
    </w:p>
    <w:p w14:paraId="64C08772">
      <w:pPr>
        <w:jc w:val="center"/>
        <w:rPr>
          <w:rFonts w:hint="eastAsia"/>
          <w:color w:val="000000" w:themeColor="text1"/>
          <w:lang w:val="en-US" w:eastAsia="zh-CN"/>
          <w14:textFill>
            <w14:solidFill>
              <w14:schemeClr w14:val="tx1"/>
            </w14:solidFill>
          </w14:textFill>
        </w:rPr>
      </w:pPr>
    </w:p>
    <w:p w14:paraId="59AB0FDE">
      <w:pPr>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现场照片</w:t>
      </w:r>
    </w:p>
    <w:p w14:paraId="3DC1A356">
      <w:pP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br w:type="page"/>
      </w:r>
    </w:p>
    <w:p w14:paraId="1637B97C">
      <w:pPr>
        <w:pStyle w:val="19"/>
        <w:rPr>
          <w:rFonts w:hint="default"/>
          <w:lang w:val="en-US" w:eastAsia="zh-CN"/>
        </w:rPr>
      </w:pPr>
    </w:p>
    <w:p w14:paraId="108C9B30">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r>
        <w:rPr>
          <w:rFonts w:hint="eastAsia" w:ascii="宋体" w:hAnsi="宋体" w:eastAsia="宋体" w:cs="宋体"/>
          <w:sz w:val="18"/>
          <w:szCs w:val="18"/>
          <w:u w:val="none" w:color="auto"/>
          <w:lang w:eastAsia="zh-CN"/>
        </w:rPr>
        <w:drawing>
          <wp:inline distT="0" distB="0" distL="114300" distR="114300">
            <wp:extent cx="5189855" cy="7682865"/>
            <wp:effectExtent l="0" t="0" r="4445" b="635"/>
            <wp:docPr id="65" name="图片 65" descr="147b5206-a62b-47da-afec-528d900ef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47b5206-a62b-47da-afec-528d900ef8e6"/>
                    <pic:cNvPicPr>
                      <a:picLocks noChangeAspect="1"/>
                    </pic:cNvPicPr>
                  </pic:nvPicPr>
                  <pic:blipFill>
                    <a:blip r:embed="rId46"/>
                    <a:stretch>
                      <a:fillRect/>
                    </a:stretch>
                  </pic:blipFill>
                  <pic:spPr>
                    <a:xfrm>
                      <a:off x="0" y="0"/>
                      <a:ext cx="5189855" cy="7682865"/>
                    </a:xfrm>
                    <a:prstGeom prst="rect">
                      <a:avLst/>
                    </a:prstGeom>
                  </pic:spPr>
                </pic:pic>
              </a:graphicData>
            </a:graphic>
          </wp:inline>
        </w:drawing>
      </w:r>
    </w:p>
    <w:p w14:paraId="0E599572">
      <w:pPr>
        <w:rPr>
          <w:rFonts w:hint="eastAsia" w:ascii="宋体" w:hAnsi="宋体" w:eastAsia="宋体" w:cs="宋体"/>
          <w:sz w:val="18"/>
          <w:szCs w:val="18"/>
          <w:u w:val="none" w:color="auto"/>
        </w:rPr>
      </w:pPr>
      <w:r>
        <w:rPr>
          <w:rFonts w:hint="eastAsia" w:ascii="宋体" w:hAnsi="宋体" w:eastAsia="宋体" w:cs="宋体"/>
          <w:sz w:val="18"/>
          <w:szCs w:val="18"/>
          <w:u w:val="none" w:color="auto"/>
        </w:rPr>
        <w:br w:type="page"/>
      </w:r>
    </w:p>
    <w:p w14:paraId="6782087E">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r>
        <w:rPr>
          <w:rFonts w:hint="eastAsia" w:ascii="宋体" w:hAnsi="宋体" w:eastAsia="宋体" w:cs="宋体"/>
          <w:sz w:val="18"/>
          <w:szCs w:val="18"/>
          <w:u w:val="none" w:color="auto"/>
          <w:lang w:eastAsia="zh-CN"/>
        </w:rPr>
        <w:drawing>
          <wp:inline distT="0" distB="0" distL="114300" distR="114300">
            <wp:extent cx="5826760" cy="8362950"/>
            <wp:effectExtent l="0" t="0" r="2540" b="6350"/>
            <wp:docPr id="177" name="图片 177" descr="f7e4b134-ffd5-42ad-ac3b-892c3042b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f7e4b134-ffd5-42ad-ac3b-892c3042b13c"/>
                    <pic:cNvPicPr>
                      <a:picLocks noChangeAspect="1"/>
                    </pic:cNvPicPr>
                  </pic:nvPicPr>
                  <pic:blipFill>
                    <a:blip r:embed="rId47"/>
                    <a:stretch>
                      <a:fillRect/>
                    </a:stretch>
                  </pic:blipFill>
                  <pic:spPr>
                    <a:xfrm>
                      <a:off x="0" y="0"/>
                      <a:ext cx="5826760" cy="8362950"/>
                    </a:xfrm>
                    <a:prstGeom prst="rect">
                      <a:avLst/>
                    </a:prstGeom>
                  </pic:spPr>
                </pic:pic>
              </a:graphicData>
            </a:graphic>
          </wp:inline>
        </w:drawing>
      </w:r>
    </w:p>
    <w:p w14:paraId="3CA9710D">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046569D">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 w:val="18"/>
          <w:szCs w:val="18"/>
          <w:u w:val="none" w:color="auto"/>
          <w:lang w:eastAsia="zh-CN"/>
        </w:rPr>
        <w:drawing>
          <wp:inline distT="0" distB="0" distL="114300" distR="114300">
            <wp:extent cx="5594985" cy="8235950"/>
            <wp:effectExtent l="0" t="0" r="5715" b="6350"/>
            <wp:docPr id="178" name="图片 178" descr="d2193a6a-009e-4917-ac9a-da5b15ac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d2193a6a-009e-4917-ac9a-da5b15ac8f91"/>
                    <pic:cNvPicPr>
                      <a:picLocks noChangeAspect="1"/>
                    </pic:cNvPicPr>
                  </pic:nvPicPr>
                  <pic:blipFill>
                    <a:blip r:embed="rId48"/>
                    <a:stretch>
                      <a:fillRect/>
                    </a:stretch>
                  </pic:blipFill>
                  <pic:spPr>
                    <a:xfrm>
                      <a:off x="0" y="0"/>
                      <a:ext cx="5594985" cy="8235950"/>
                    </a:xfrm>
                    <a:prstGeom prst="rect">
                      <a:avLst/>
                    </a:prstGeom>
                  </pic:spPr>
                </pic:pic>
              </a:graphicData>
            </a:graphic>
          </wp:inline>
        </w:drawing>
      </w:r>
    </w:p>
    <w:p w14:paraId="219EAE90">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 w:val="18"/>
          <w:szCs w:val="18"/>
          <w:u w:val="none" w:color="auto"/>
          <w:lang w:eastAsia="zh-CN"/>
        </w:rPr>
        <w:drawing>
          <wp:inline distT="0" distB="0" distL="114300" distR="114300">
            <wp:extent cx="5057140" cy="7551420"/>
            <wp:effectExtent l="0" t="0" r="10160" b="5080"/>
            <wp:docPr id="179" name="图片 179" descr="8946089b-e549-409b-9e9d-9a2836030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8946089b-e549-409b-9e9d-9a2836030f6f"/>
                    <pic:cNvPicPr>
                      <a:picLocks noChangeAspect="1"/>
                    </pic:cNvPicPr>
                  </pic:nvPicPr>
                  <pic:blipFill>
                    <a:blip r:embed="rId49"/>
                    <a:stretch>
                      <a:fillRect/>
                    </a:stretch>
                  </pic:blipFill>
                  <pic:spPr>
                    <a:xfrm>
                      <a:off x="0" y="0"/>
                      <a:ext cx="5057140" cy="7551420"/>
                    </a:xfrm>
                    <a:prstGeom prst="rect">
                      <a:avLst/>
                    </a:prstGeom>
                  </pic:spPr>
                </pic:pic>
              </a:graphicData>
            </a:graphic>
          </wp:inline>
        </w:drawing>
      </w:r>
    </w:p>
    <w:p w14:paraId="632EDEC4">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r>
        <w:rPr>
          <w:rFonts w:hint="eastAsia" w:ascii="宋体" w:hAnsi="宋体" w:eastAsia="宋体" w:cs="宋体"/>
          <w:sz w:val="18"/>
          <w:szCs w:val="18"/>
          <w:u w:val="none" w:color="auto"/>
          <w:lang w:eastAsia="zh-CN"/>
        </w:rPr>
        <w:drawing>
          <wp:inline distT="0" distB="0" distL="114300" distR="114300">
            <wp:extent cx="5497830" cy="7534275"/>
            <wp:effectExtent l="0" t="0" r="1270" b="9525"/>
            <wp:docPr id="180" name="图片 180" descr="09d62476-cf4b-4d4c-9106-63627b9fd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09d62476-cf4b-4d4c-9106-63627b9fd6d3"/>
                    <pic:cNvPicPr>
                      <a:picLocks noChangeAspect="1"/>
                    </pic:cNvPicPr>
                  </pic:nvPicPr>
                  <pic:blipFill>
                    <a:blip r:embed="rId50"/>
                    <a:stretch>
                      <a:fillRect/>
                    </a:stretch>
                  </pic:blipFill>
                  <pic:spPr>
                    <a:xfrm>
                      <a:off x="0" y="0"/>
                      <a:ext cx="5497830" cy="7534275"/>
                    </a:xfrm>
                    <a:prstGeom prst="rect">
                      <a:avLst/>
                    </a:prstGeom>
                  </pic:spPr>
                </pic:pic>
              </a:graphicData>
            </a:graphic>
          </wp:inline>
        </w:drawing>
      </w:r>
    </w:p>
    <w:p w14:paraId="3D904B5D">
      <w:pPr>
        <w:rPr>
          <w:rFonts w:hint="eastAsia" w:ascii="宋体" w:hAnsi="宋体" w:eastAsia="宋体" w:cs="宋体"/>
          <w:sz w:val="18"/>
          <w:szCs w:val="18"/>
          <w:u w:val="none" w:color="auto"/>
          <w:lang w:eastAsia="zh-CN"/>
        </w:rPr>
      </w:pPr>
      <w:r>
        <w:rPr>
          <w:rFonts w:hint="eastAsia" w:ascii="宋体" w:hAnsi="宋体" w:eastAsia="宋体" w:cs="宋体"/>
          <w:sz w:val="18"/>
          <w:szCs w:val="18"/>
          <w:u w:val="none" w:color="auto"/>
          <w:lang w:eastAsia="zh-CN"/>
        </w:rPr>
        <w:br w:type="page"/>
      </w:r>
    </w:p>
    <w:p w14:paraId="12A14EDC">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r>
        <w:rPr>
          <w:rFonts w:hint="eastAsia" w:ascii="宋体" w:hAnsi="宋体" w:eastAsia="宋体" w:cs="宋体"/>
          <w:sz w:val="18"/>
          <w:szCs w:val="18"/>
          <w:u w:val="none" w:color="auto"/>
          <w:lang w:eastAsia="zh-CN"/>
        </w:rPr>
        <w:drawing>
          <wp:inline distT="0" distB="0" distL="114300" distR="114300">
            <wp:extent cx="5088890" cy="7098665"/>
            <wp:effectExtent l="0" t="0" r="3810" b="635"/>
            <wp:docPr id="181" name="图片 181" descr="0061291e6b9674099399cd14e5430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0061291e6b9674099399cd14e54302fa"/>
                    <pic:cNvPicPr>
                      <a:picLocks noChangeAspect="1"/>
                    </pic:cNvPicPr>
                  </pic:nvPicPr>
                  <pic:blipFill>
                    <a:blip r:embed="rId51"/>
                    <a:stretch>
                      <a:fillRect/>
                    </a:stretch>
                  </pic:blipFill>
                  <pic:spPr>
                    <a:xfrm>
                      <a:off x="0" y="0"/>
                      <a:ext cx="5088890" cy="7098665"/>
                    </a:xfrm>
                    <a:prstGeom prst="rect">
                      <a:avLst/>
                    </a:prstGeom>
                  </pic:spPr>
                </pic:pic>
              </a:graphicData>
            </a:graphic>
          </wp:inline>
        </w:drawing>
      </w:r>
    </w:p>
    <w:p w14:paraId="199CE8AF">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7244704D">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00AA8D6E">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68E965DD">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7BB6D1F0">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13B1C612">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67F919E3">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03B3EB8C">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2D2545C4">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026DCE8E">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6AD8E558">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1B8C803E">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6BCFA1DC">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 w:val="18"/>
          <w:szCs w:val="18"/>
          <w:u w:val="none" w:color="auto"/>
          <w:lang w:eastAsia="zh-CN"/>
        </w:rPr>
        <w:drawing>
          <wp:inline distT="0" distB="0" distL="114300" distR="114300">
            <wp:extent cx="5362575" cy="7277100"/>
            <wp:effectExtent l="0" t="0" r="9525" b="0"/>
            <wp:docPr id="182" name="图片 182" descr="2ebfaef32e296c7fb73cb177f4b80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2ebfaef32e296c7fb73cb177f4b8050e"/>
                    <pic:cNvPicPr>
                      <a:picLocks noChangeAspect="1"/>
                    </pic:cNvPicPr>
                  </pic:nvPicPr>
                  <pic:blipFill>
                    <a:blip r:embed="rId52"/>
                    <a:stretch>
                      <a:fillRect/>
                    </a:stretch>
                  </pic:blipFill>
                  <pic:spPr>
                    <a:xfrm>
                      <a:off x="0" y="0"/>
                      <a:ext cx="5362575" cy="7277100"/>
                    </a:xfrm>
                    <a:prstGeom prst="rect">
                      <a:avLst/>
                    </a:prstGeom>
                  </pic:spPr>
                </pic:pic>
              </a:graphicData>
            </a:graphic>
          </wp:inline>
        </w:drawing>
      </w:r>
    </w:p>
    <w:p w14:paraId="2335A03A">
      <w:pPr>
        <w:keepNext w:val="0"/>
        <w:keepLines w:val="0"/>
        <w:pageBreakBefore w:val="0"/>
        <w:widowControl/>
        <w:kinsoku/>
        <w:wordWrap/>
        <w:overflowPunct w:val="0"/>
        <w:topLinePunct w:val="0"/>
        <w:autoSpaceDE w:val="0"/>
        <w:autoSpaceDN w:val="0"/>
        <w:bidi w:val="0"/>
        <w:adjustRightInd w:val="0"/>
        <w:snapToGrid w:val="0"/>
        <w:spacing w:line="240" w:lineRule="atLeast"/>
        <w:textAlignment w:val="baseline"/>
        <w:rPr>
          <w:rFonts w:hint="eastAsia" w:ascii="宋体" w:hAnsi="宋体" w:eastAsia="宋体" w:cs="宋体"/>
          <w:sz w:val="18"/>
          <w:szCs w:val="18"/>
          <w:u w:val="none" w:color="auto"/>
          <w:lang w:eastAsia="zh-CN"/>
        </w:rPr>
      </w:pPr>
    </w:p>
    <w:p w14:paraId="5338DEB2">
      <w:pPr>
        <w:rPr>
          <w:rFonts w:hint="eastAsia" w:ascii="宋体" w:hAnsi="宋体" w:eastAsia="宋体" w:cs="宋体"/>
          <w:sz w:val="18"/>
          <w:szCs w:val="18"/>
          <w:u w:val="none" w:color="auto"/>
          <w:lang w:eastAsia="zh-CN"/>
        </w:rPr>
      </w:pPr>
      <w:r>
        <w:rPr>
          <w:rFonts w:hint="eastAsia" w:ascii="宋体" w:hAnsi="宋体" w:eastAsia="宋体" w:cs="宋体"/>
          <w:sz w:val="18"/>
          <w:szCs w:val="18"/>
          <w:u w:val="none" w:color="auto"/>
          <w:lang w:eastAsia="zh-CN"/>
        </w:rPr>
        <w:drawing>
          <wp:inline distT="0" distB="0" distL="114300" distR="114300">
            <wp:extent cx="8179435" cy="4392930"/>
            <wp:effectExtent l="0" t="0" r="12065" b="1270"/>
            <wp:docPr id="183" name="图片 183" descr="db802220feb04f42b862fb8ee33b2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db802220feb04f42b862fb8ee33b2c45"/>
                    <pic:cNvPicPr>
                      <a:picLocks noChangeAspect="1"/>
                    </pic:cNvPicPr>
                  </pic:nvPicPr>
                  <pic:blipFill>
                    <a:blip r:embed="rId53"/>
                    <a:stretch>
                      <a:fillRect/>
                    </a:stretch>
                  </pic:blipFill>
                  <pic:spPr>
                    <a:xfrm>
                      <a:off x="0" y="0"/>
                      <a:ext cx="8179435" cy="4392930"/>
                    </a:xfrm>
                    <a:prstGeom prst="rect">
                      <a:avLst/>
                    </a:prstGeom>
                  </pic:spPr>
                </pic:pic>
              </a:graphicData>
            </a:graphic>
          </wp:inline>
        </w:drawing>
      </w:r>
    </w:p>
    <w:p w14:paraId="403CC664">
      <w:pPr>
        <w:jc w:val="center"/>
        <w:rPr>
          <w:rFonts w:hint="eastAsia"/>
          <w:color w:val="000000" w:themeColor="text1"/>
          <w:lang w:val="en-US" w:eastAsia="zh-CN"/>
          <w14:textFill>
            <w14:solidFill>
              <w14:schemeClr w14:val="tx1"/>
            </w14:solidFill>
          </w14:textFill>
        </w:rPr>
      </w:pPr>
    </w:p>
    <w:p w14:paraId="11ECDFB2">
      <w:pPr>
        <w:jc w:val="center"/>
        <w:rPr>
          <w:rFonts w:hint="eastAsia"/>
          <w:color w:val="000000" w:themeColor="text1"/>
          <w:lang w:val="en-US" w:eastAsia="zh-CN"/>
          <w14:textFill>
            <w14:solidFill>
              <w14:schemeClr w14:val="tx1"/>
            </w14:solidFill>
          </w14:textFill>
        </w:rPr>
      </w:pPr>
    </w:p>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薄荷微凉" w:date="2026-03-26T14:48:07Z" w:initials="">
    <w:p w14:paraId="40AAE86C">
      <w:pPr>
        <w:pStyle w:val="9"/>
        <w:rPr>
          <w:rFonts w:hint="default" w:eastAsia="宋体"/>
          <w:lang w:val="en-US" w:eastAsia="zh-CN"/>
        </w:rPr>
      </w:pPr>
      <w:r>
        <w:rPr>
          <w:rFonts w:hint="eastAsia"/>
          <w:lang w:val="en-US" w:eastAsia="zh-CN"/>
        </w:rPr>
        <w:t>一个应该核实是否属于储存库，另外应该论述其是否满足GB37822-2019,，结论才能成立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0AAE86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swiss"/>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宋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0EF9">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9BBE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9B9BBE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79A0">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3AFE8">
    <w:pPr>
      <w:spacing w:line="176" w:lineRule="auto"/>
      <w:ind w:left="441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E2EE2">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17FC">
                          <w:pPr>
                            <w:pStyle w:val="16"/>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10</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7E0117FC">
                    <w:pPr>
                      <w:pStyle w:val="16"/>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10</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F44B7">
    <w:pPr>
      <w:pStyle w:val="16"/>
      <w:ind w:right="360" w:firstLine="360"/>
    </w:pPr>
    <w:r>
      <w:rPr>
        <w:rFonts w:ascii="宋体" w:hAnsi="宋体"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4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2A5CF91">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44</w:t>
                          </w:r>
                          <w:r>
                            <w:rPr>
                              <w:rFonts w:hint="eastAsia"/>
                            </w:rPr>
                            <w:fldChar w:fldCharType="end"/>
                          </w:r>
                        </w:p>
                      </w:txbxContent>
                    </wps:txbx>
                    <wps:bodyPr wrap="none" lIns="0" tIns="0" rIns="0" bIns="0" upright="0">
                      <a:spAutoFit/>
                    </wps:bodyPr>
                  </wps:wsp>
                </a:graphicData>
              </a:graphic>
            </wp:anchor>
          </w:drawing>
        </mc:Choice>
        <mc:Fallback>
          <w:pict>
            <v:rect id="文本框 4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A/vYsQxQEAAJIDAAAOAAAAAAAAAAEAIAAAAB8BAABkcnMvZTJvRG9jLnht&#10;bFBLBQYAAAAABgAGAFkBAABWBQAAAAA=&#10;">
              <v:fill on="f" focussize="0,0"/>
              <v:stroke on="f"/>
              <v:imagedata o:title=""/>
              <o:lock v:ext="edit" aspectratio="f"/>
              <v:textbox inset="0mm,0mm,0mm,0mm" style="mso-fit-shape-to-text:t;">
                <w:txbxContent>
                  <w:p w14:paraId="02A5CF91">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44</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B8A31">
    <w:pPr>
      <w:pStyle w:val="16"/>
      <w:ind w:right="360" w:firstLine="360"/>
    </w:pPr>
    <w:r>
      <w:rPr>
        <w:rFonts w:ascii="宋体" w:hAnsi="宋体" w:eastAsia="宋体" w:cs="Times New Roman"/>
        <w:kern w:val="2"/>
        <w:sz w:val="18"/>
        <w:szCs w:val="18"/>
        <w:lang w:val="en-US" w:eastAsia="zh-CN" w:bidi="ar-SA"/>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4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A0D3BFB">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44</w:t>
                          </w:r>
                          <w:r>
                            <w:rPr>
                              <w:rFonts w:hint="eastAsia"/>
                            </w:rPr>
                            <w:fldChar w:fldCharType="end"/>
                          </w:r>
                        </w:p>
                      </w:txbxContent>
                    </wps:txbx>
                    <wps:bodyPr wrap="none" lIns="0" tIns="0" rIns="0" bIns="0" upright="0">
                      <a:spAutoFit/>
                    </wps:bodyPr>
                  </wps:wsp>
                </a:graphicData>
              </a:graphic>
            </wp:anchor>
          </w:drawing>
        </mc:Choice>
        <mc:Fallback>
          <w:pict>
            <v:rect id="文本框 44" o:spid="_x0000_s1026" o:spt="1"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BX9RdGxQEAAJEDAAAOAAAAAAAAAAEAIAAAAB8BAABkcnMvZTJvRG9jLnht&#10;bFBLBQYAAAAABgAGAFkBAABWBQAAAAA=&#10;">
              <v:fill on="f" focussize="0,0"/>
              <v:stroke on="f"/>
              <v:imagedata o:title=""/>
              <o:lock v:ext="edit" aspectratio="f"/>
              <v:textbox inset="0mm,0mm,0mm,0mm" style="mso-fit-shape-to-text:t;">
                <w:txbxContent>
                  <w:p w14:paraId="5A0D3BFB">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44</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AC8F">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C105A">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D32CB"/>
    <w:multiLevelType w:val="singleLevel"/>
    <w:tmpl w:val="848D32CB"/>
    <w:lvl w:ilvl="0" w:tentative="0">
      <w:start w:val="1"/>
      <w:numFmt w:val="decimal"/>
      <w:suff w:val="nothing"/>
      <w:lvlText w:val="%1、"/>
      <w:lvlJc w:val="left"/>
    </w:lvl>
  </w:abstractNum>
  <w:abstractNum w:abstractNumId="1">
    <w:nsid w:val="B2AFFBD1"/>
    <w:multiLevelType w:val="singleLevel"/>
    <w:tmpl w:val="B2AFFBD1"/>
    <w:lvl w:ilvl="0" w:tentative="0">
      <w:start w:val="9"/>
      <w:numFmt w:val="decimal"/>
      <w:suff w:val="nothing"/>
      <w:lvlText w:val="%1、"/>
      <w:lvlJc w:val="left"/>
    </w:lvl>
  </w:abstractNum>
  <w:abstractNum w:abstractNumId="2">
    <w:nsid w:val="B4C678FC"/>
    <w:multiLevelType w:val="singleLevel"/>
    <w:tmpl w:val="B4C678FC"/>
    <w:lvl w:ilvl="0" w:tentative="0">
      <w:start w:val="1"/>
      <w:numFmt w:val="chineseCounting"/>
      <w:suff w:val="nothing"/>
      <w:lvlText w:val="(%1）"/>
      <w:lvlJc w:val="left"/>
      <w:rPr>
        <w:rFonts w:hint="eastAsia"/>
      </w:rPr>
    </w:lvl>
  </w:abstractNum>
  <w:abstractNum w:abstractNumId="3">
    <w:nsid w:val="D6325248"/>
    <w:multiLevelType w:val="singleLevel"/>
    <w:tmpl w:val="D6325248"/>
    <w:lvl w:ilvl="0" w:tentative="0">
      <w:start w:val="5"/>
      <w:numFmt w:val="decimal"/>
      <w:suff w:val="nothing"/>
      <w:lvlText w:val="（%1）"/>
      <w:lvlJc w:val="left"/>
    </w:lvl>
  </w:abstractNum>
  <w:abstractNum w:abstractNumId="4">
    <w:nsid w:val="219DDD86"/>
    <w:multiLevelType w:val="singleLevel"/>
    <w:tmpl w:val="219DDD86"/>
    <w:lvl w:ilvl="0" w:tentative="0">
      <w:start w:val="1"/>
      <w:numFmt w:val="decimal"/>
      <w:suff w:val="nothing"/>
      <w:lvlText w:val="%1、"/>
      <w:lvlJc w:val="left"/>
    </w:lvl>
  </w:abstractNum>
  <w:abstractNum w:abstractNumId="5">
    <w:nsid w:val="3C5924A1"/>
    <w:multiLevelType w:val="singleLevel"/>
    <w:tmpl w:val="3C5924A1"/>
    <w:lvl w:ilvl="0" w:tentative="0">
      <w:start w:val="1"/>
      <w:numFmt w:val="decimal"/>
      <w:suff w:val="nothing"/>
      <w:lvlText w:val="%1、"/>
      <w:lvlJc w:val="left"/>
    </w:lvl>
  </w:abstractNum>
  <w:abstractNum w:abstractNumId="6">
    <w:nsid w:val="60C3256E"/>
    <w:multiLevelType w:val="singleLevel"/>
    <w:tmpl w:val="60C3256E"/>
    <w:lvl w:ilvl="0" w:tentative="0">
      <w:start w:val="1"/>
      <w:numFmt w:val="chineseCounting"/>
      <w:suff w:val="nothing"/>
      <w:lvlText w:val="%1、"/>
      <w:lvlJc w:val="left"/>
    </w:lvl>
  </w:abstractNum>
  <w:abstractNum w:abstractNumId="7">
    <w:nsid w:val="60C32584"/>
    <w:multiLevelType w:val="singleLevel"/>
    <w:tmpl w:val="60C32584"/>
    <w:lvl w:ilvl="0" w:tentative="0">
      <w:start w:val="1"/>
      <w:numFmt w:val="decimal"/>
      <w:suff w:val="nothing"/>
      <w:lvlText w:val="%1、"/>
      <w:lvlJc w:val="left"/>
    </w:lvl>
  </w:abstractNum>
  <w:abstractNum w:abstractNumId="8">
    <w:nsid w:val="60C325C9"/>
    <w:multiLevelType w:val="singleLevel"/>
    <w:tmpl w:val="60C325C9"/>
    <w:lvl w:ilvl="0" w:tentative="0">
      <w:start w:val="2"/>
      <w:numFmt w:val="chineseCounting"/>
      <w:suff w:val="nothing"/>
      <w:lvlText w:val="%1、"/>
      <w:lvlJc w:val="left"/>
    </w:lvl>
  </w:abstractNum>
  <w:abstractNum w:abstractNumId="9">
    <w:nsid w:val="61B9A1B3"/>
    <w:multiLevelType w:val="singleLevel"/>
    <w:tmpl w:val="61B9A1B3"/>
    <w:lvl w:ilvl="0" w:tentative="0">
      <w:start w:val="1"/>
      <w:numFmt w:val="decimal"/>
      <w:suff w:val="nothing"/>
      <w:lvlText w:val="（%1）"/>
      <w:lvlJc w:val="left"/>
      <w:pPr>
        <w:ind w:left="238"/>
      </w:pPr>
    </w:lvl>
  </w:abstractNum>
  <w:abstractNum w:abstractNumId="10">
    <w:nsid w:val="61CC054C"/>
    <w:multiLevelType w:val="singleLevel"/>
    <w:tmpl w:val="61CC054C"/>
    <w:lvl w:ilvl="0" w:tentative="0">
      <w:start w:val="2"/>
      <w:numFmt w:val="decimal"/>
      <w:suff w:val="nothing"/>
      <w:lvlText w:val="（%1）"/>
      <w:lvlJc w:val="left"/>
    </w:lvl>
  </w:abstractNum>
  <w:abstractNum w:abstractNumId="11">
    <w:nsid w:val="63B5EA67"/>
    <w:multiLevelType w:val="singleLevel"/>
    <w:tmpl w:val="63B5EA67"/>
    <w:lvl w:ilvl="0" w:tentative="0">
      <w:start w:val="1"/>
      <w:numFmt w:val="decimal"/>
      <w:suff w:val="nothing"/>
      <w:lvlText w:val="%1、"/>
      <w:lvlJc w:val="left"/>
    </w:lvl>
  </w:abstractNum>
  <w:num w:numId="1">
    <w:abstractNumId w:val="11"/>
  </w:num>
  <w:num w:numId="2">
    <w:abstractNumId w:val="5"/>
  </w:num>
  <w:num w:numId="3">
    <w:abstractNumId w:val="4"/>
  </w:num>
  <w:num w:numId="4">
    <w:abstractNumId w:val="0"/>
  </w:num>
  <w:num w:numId="5">
    <w:abstractNumId w:val="1"/>
  </w:num>
  <w:num w:numId="6">
    <w:abstractNumId w:val="10"/>
  </w:num>
  <w:num w:numId="7">
    <w:abstractNumId w:val="6"/>
  </w:num>
  <w:num w:numId="8">
    <w:abstractNumId w:val="7"/>
  </w:num>
  <w:num w:numId="9">
    <w:abstractNumId w:val="8"/>
  </w:num>
  <w:num w:numId="10">
    <w:abstractNumId w:val="2"/>
  </w:num>
  <w:num w:numId="11">
    <w:abstractNumId w:val="9"/>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薄荷微凉">
    <w15:presenceInfo w15:providerId="WPS Office" w15:userId="23570885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40"/>
  <w:drawingGridVerticalSpacing w:val="-794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B25B5"/>
    <w:rsid w:val="024F05CB"/>
    <w:rsid w:val="02A329D5"/>
    <w:rsid w:val="02E132C9"/>
    <w:rsid w:val="037D3B70"/>
    <w:rsid w:val="03B53353"/>
    <w:rsid w:val="03E727F4"/>
    <w:rsid w:val="03F06728"/>
    <w:rsid w:val="041A22CB"/>
    <w:rsid w:val="04586F96"/>
    <w:rsid w:val="049C63BC"/>
    <w:rsid w:val="04C133B2"/>
    <w:rsid w:val="04CE2646"/>
    <w:rsid w:val="04D72BD5"/>
    <w:rsid w:val="05A26C8E"/>
    <w:rsid w:val="05B747B5"/>
    <w:rsid w:val="05F42D4E"/>
    <w:rsid w:val="06746BFD"/>
    <w:rsid w:val="06F1466A"/>
    <w:rsid w:val="08064C1D"/>
    <w:rsid w:val="082B7A28"/>
    <w:rsid w:val="08D862C2"/>
    <w:rsid w:val="09306D58"/>
    <w:rsid w:val="0A252CFA"/>
    <w:rsid w:val="0A8C1797"/>
    <w:rsid w:val="0AB04F9C"/>
    <w:rsid w:val="0B0C7351"/>
    <w:rsid w:val="0B9A4289"/>
    <w:rsid w:val="0BF660E2"/>
    <w:rsid w:val="0C921B00"/>
    <w:rsid w:val="0E455054"/>
    <w:rsid w:val="0F711E78"/>
    <w:rsid w:val="0FA61EC7"/>
    <w:rsid w:val="0FF4016F"/>
    <w:rsid w:val="0FFB6B30"/>
    <w:rsid w:val="10466741"/>
    <w:rsid w:val="10544D25"/>
    <w:rsid w:val="108B6CDB"/>
    <w:rsid w:val="10F943BD"/>
    <w:rsid w:val="118707FB"/>
    <w:rsid w:val="120B12D4"/>
    <w:rsid w:val="12CA287A"/>
    <w:rsid w:val="12F708E7"/>
    <w:rsid w:val="12FA5AEE"/>
    <w:rsid w:val="131E4ABF"/>
    <w:rsid w:val="147A357D"/>
    <w:rsid w:val="14FB44F2"/>
    <w:rsid w:val="1526571E"/>
    <w:rsid w:val="152E1967"/>
    <w:rsid w:val="1581075B"/>
    <w:rsid w:val="15AC1441"/>
    <w:rsid w:val="15D72FFD"/>
    <w:rsid w:val="1610221D"/>
    <w:rsid w:val="17C42966"/>
    <w:rsid w:val="17EF7DDE"/>
    <w:rsid w:val="1805674A"/>
    <w:rsid w:val="1A2E1092"/>
    <w:rsid w:val="1A534CF5"/>
    <w:rsid w:val="1A6A6B2F"/>
    <w:rsid w:val="1BE005E5"/>
    <w:rsid w:val="1BF43C15"/>
    <w:rsid w:val="1C0B1B85"/>
    <w:rsid w:val="1C5F543F"/>
    <w:rsid w:val="1C6E6F30"/>
    <w:rsid w:val="1C6F65CE"/>
    <w:rsid w:val="1DBB1753"/>
    <w:rsid w:val="1E6D3435"/>
    <w:rsid w:val="1F8F23FC"/>
    <w:rsid w:val="205C0E8A"/>
    <w:rsid w:val="213A01DA"/>
    <w:rsid w:val="21B62EC4"/>
    <w:rsid w:val="22A25B18"/>
    <w:rsid w:val="22E001D3"/>
    <w:rsid w:val="22F95A22"/>
    <w:rsid w:val="233B4088"/>
    <w:rsid w:val="243E45C7"/>
    <w:rsid w:val="24C54C65"/>
    <w:rsid w:val="25506360"/>
    <w:rsid w:val="26610994"/>
    <w:rsid w:val="26E123C6"/>
    <w:rsid w:val="26EC2D42"/>
    <w:rsid w:val="26F94683"/>
    <w:rsid w:val="271A2958"/>
    <w:rsid w:val="274A6102"/>
    <w:rsid w:val="27A859E8"/>
    <w:rsid w:val="2826104E"/>
    <w:rsid w:val="28C25271"/>
    <w:rsid w:val="291B2598"/>
    <w:rsid w:val="29652316"/>
    <w:rsid w:val="29905F4A"/>
    <w:rsid w:val="2B142FBB"/>
    <w:rsid w:val="2B8C08A7"/>
    <w:rsid w:val="2B8C2BC8"/>
    <w:rsid w:val="2CAF5511"/>
    <w:rsid w:val="2CB47E44"/>
    <w:rsid w:val="2DE63D36"/>
    <w:rsid w:val="2E366263"/>
    <w:rsid w:val="2E9362B3"/>
    <w:rsid w:val="2EBB2D54"/>
    <w:rsid w:val="2FA271EF"/>
    <w:rsid w:val="2FA8496B"/>
    <w:rsid w:val="2FFA7EE9"/>
    <w:rsid w:val="3030628E"/>
    <w:rsid w:val="30B13F0B"/>
    <w:rsid w:val="313D0F2E"/>
    <w:rsid w:val="32806A00"/>
    <w:rsid w:val="32EB591A"/>
    <w:rsid w:val="33386E3E"/>
    <w:rsid w:val="33CE5A03"/>
    <w:rsid w:val="34AA3AC8"/>
    <w:rsid w:val="34C52672"/>
    <w:rsid w:val="36106FB4"/>
    <w:rsid w:val="3655070E"/>
    <w:rsid w:val="36645FAC"/>
    <w:rsid w:val="36D502A9"/>
    <w:rsid w:val="378B15A4"/>
    <w:rsid w:val="37D20E57"/>
    <w:rsid w:val="37E955BE"/>
    <w:rsid w:val="37EC10F7"/>
    <w:rsid w:val="38262F51"/>
    <w:rsid w:val="38ED3D41"/>
    <w:rsid w:val="38FE5C7B"/>
    <w:rsid w:val="394F4800"/>
    <w:rsid w:val="3A35120E"/>
    <w:rsid w:val="3A465EFB"/>
    <w:rsid w:val="3B13059F"/>
    <w:rsid w:val="3C88384E"/>
    <w:rsid w:val="3CBF683F"/>
    <w:rsid w:val="3CE63C11"/>
    <w:rsid w:val="3F1852C6"/>
    <w:rsid w:val="3F975C22"/>
    <w:rsid w:val="3FD12AA3"/>
    <w:rsid w:val="3FF94A24"/>
    <w:rsid w:val="402B37FA"/>
    <w:rsid w:val="406C330D"/>
    <w:rsid w:val="40FA4906"/>
    <w:rsid w:val="4179774D"/>
    <w:rsid w:val="41C11D7D"/>
    <w:rsid w:val="41ED7DF5"/>
    <w:rsid w:val="420662CD"/>
    <w:rsid w:val="422E4822"/>
    <w:rsid w:val="42A3522D"/>
    <w:rsid w:val="42CB092B"/>
    <w:rsid w:val="42FE380D"/>
    <w:rsid w:val="43F16B09"/>
    <w:rsid w:val="440E3217"/>
    <w:rsid w:val="44731C2C"/>
    <w:rsid w:val="44FB525D"/>
    <w:rsid w:val="48344799"/>
    <w:rsid w:val="48FD7CFE"/>
    <w:rsid w:val="491E0AA3"/>
    <w:rsid w:val="4A306E6C"/>
    <w:rsid w:val="4A8A5758"/>
    <w:rsid w:val="4AA438E8"/>
    <w:rsid w:val="4AD504A6"/>
    <w:rsid w:val="4AD913BC"/>
    <w:rsid w:val="4AE9343A"/>
    <w:rsid w:val="4B4D54AF"/>
    <w:rsid w:val="4B692DA1"/>
    <w:rsid w:val="4B8E66D9"/>
    <w:rsid w:val="4C9B6FF3"/>
    <w:rsid w:val="4D2D215F"/>
    <w:rsid w:val="4DA40F25"/>
    <w:rsid w:val="4E1407FF"/>
    <w:rsid w:val="4E697BF2"/>
    <w:rsid w:val="50161384"/>
    <w:rsid w:val="501B7777"/>
    <w:rsid w:val="504A1315"/>
    <w:rsid w:val="5055353B"/>
    <w:rsid w:val="508D271B"/>
    <w:rsid w:val="51427C79"/>
    <w:rsid w:val="514E2D70"/>
    <w:rsid w:val="517843C5"/>
    <w:rsid w:val="51E263D7"/>
    <w:rsid w:val="52940EC9"/>
    <w:rsid w:val="53336BC6"/>
    <w:rsid w:val="540939FA"/>
    <w:rsid w:val="541D4F78"/>
    <w:rsid w:val="542C4726"/>
    <w:rsid w:val="54347A6C"/>
    <w:rsid w:val="54AF7C2F"/>
    <w:rsid w:val="54C63484"/>
    <w:rsid w:val="552130F7"/>
    <w:rsid w:val="553F7C9C"/>
    <w:rsid w:val="55823A64"/>
    <w:rsid w:val="55B50E69"/>
    <w:rsid w:val="55BB1E3C"/>
    <w:rsid w:val="55D6208A"/>
    <w:rsid w:val="55F0246B"/>
    <w:rsid w:val="562D1C36"/>
    <w:rsid w:val="565034BD"/>
    <w:rsid w:val="565847C5"/>
    <w:rsid w:val="56C105BC"/>
    <w:rsid w:val="5701674B"/>
    <w:rsid w:val="57866A3C"/>
    <w:rsid w:val="579161E1"/>
    <w:rsid w:val="57BA3757"/>
    <w:rsid w:val="58512C04"/>
    <w:rsid w:val="5A1C16C1"/>
    <w:rsid w:val="5A5C4D9D"/>
    <w:rsid w:val="5A724C1C"/>
    <w:rsid w:val="5AC92B63"/>
    <w:rsid w:val="5C763F23"/>
    <w:rsid w:val="5C846314"/>
    <w:rsid w:val="5CF34D53"/>
    <w:rsid w:val="5D302AE9"/>
    <w:rsid w:val="5D935CE3"/>
    <w:rsid w:val="5DDC3887"/>
    <w:rsid w:val="5E7E0AC9"/>
    <w:rsid w:val="5EDC5A30"/>
    <w:rsid w:val="5F6F2F3A"/>
    <w:rsid w:val="5F7719CD"/>
    <w:rsid w:val="6097709C"/>
    <w:rsid w:val="60B21223"/>
    <w:rsid w:val="60CA4511"/>
    <w:rsid w:val="6123233B"/>
    <w:rsid w:val="61844964"/>
    <w:rsid w:val="61D91129"/>
    <w:rsid w:val="61F54E8E"/>
    <w:rsid w:val="62BD639E"/>
    <w:rsid w:val="64721E7E"/>
    <w:rsid w:val="651F4049"/>
    <w:rsid w:val="6572688D"/>
    <w:rsid w:val="657D5CD8"/>
    <w:rsid w:val="65974E36"/>
    <w:rsid w:val="660A2E72"/>
    <w:rsid w:val="6670007D"/>
    <w:rsid w:val="66A219E9"/>
    <w:rsid w:val="670544F5"/>
    <w:rsid w:val="69923C1D"/>
    <w:rsid w:val="699A7177"/>
    <w:rsid w:val="69AD67FF"/>
    <w:rsid w:val="69CA76CE"/>
    <w:rsid w:val="6A15236B"/>
    <w:rsid w:val="6B731C6D"/>
    <w:rsid w:val="6B933543"/>
    <w:rsid w:val="6C84541D"/>
    <w:rsid w:val="6CAE3B7C"/>
    <w:rsid w:val="6D382E4B"/>
    <w:rsid w:val="6D705DBC"/>
    <w:rsid w:val="6DC16C26"/>
    <w:rsid w:val="6E353432"/>
    <w:rsid w:val="6E7177C1"/>
    <w:rsid w:val="6F8A0689"/>
    <w:rsid w:val="6FD36A30"/>
    <w:rsid w:val="703965E8"/>
    <w:rsid w:val="703D2CD0"/>
    <w:rsid w:val="70EF277A"/>
    <w:rsid w:val="71312019"/>
    <w:rsid w:val="719A2007"/>
    <w:rsid w:val="71D97224"/>
    <w:rsid w:val="721043F9"/>
    <w:rsid w:val="72620A4E"/>
    <w:rsid w:val="727F03E4"/>
    <w:rsid w:val="729766F5"/>
    <w:rsid w:val="72FF253C"/>
    <w:rsid w:val="73610BD0"/>
    <w:rsid w:val="738B43C2"/>
    <w:rsid w:val="739C68A4"/>
    <w:rsid w:val="744B41FA"/>
    <w:rsid w:val="74BF23A5"/>
    <w:rsid w:val="75C06A27"/>
    <w:rsid w:val="75E33C54"/>
    <w:rsid w:val="75E40C00"/>
    <w:rsid w:val="765A338F"/>
    <w:rsid w:val="76A4277B"/>
    <w:rsid w:val="773463BE"/>
    <w:rsid w:val="776C2050"/>
    <w:rsid w:val="786237A2"/>
    <w:rsid w:val="7916110B"/>
    <w:rsid w:val="792E722A"/>
    <w:rsid w:val="798A5D6C"/>
    <w:rsid w:val="79CB3846"/>
    <w:rsid w:val="79CC4CC9"/>
    <w:rsid w:val="7A1545F8"/>
    <w:rsid w:val="7A672360"/>
    <w:rsid w:val="7A8D5305"/>
    <w:rsid w:val="7ACB6A18"/>
    <w:rsid w:val="7ADF1BD5"/>
    <w:rsid w:val="7B404947"/>
    <w:rsid w:val="7B530D21"/>
    <w:rsid w:val="7B5D254E"/>
    <w:rsid w:val="7BF96578"/>
    <w:rsid w:val="7C1B5116"/>
    <w:rsid w:val="7C5149A9"/>
    <w:rsid w:val="7CA33F3E"/>
    <w:rsid w:val="7CB06762"/>
    <w:rsid w:val="7D1024A6"/>
    <w:rsid w:val="7D8D1A8E"/>
    <w:rsid w:val="7DAA17CC"/>
    <w:rsid w:val="7E2B2255"/>
    <w:rsid w:val="7E3C2A2D"/>
    <w:rsid w:val="7E870BA6"/>
    <w:rsid w:val="7EE13B3B"/>
    <w:rsid w:val="7FA276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4"/>
      <w:szCs w:val="24"/>
      <w:lang w:val="en-US" w:eastAsia="zh-CN" w:bidi="ar-SA"/>
    </w:rPr>
  </w:style>
  <w:style w:type="paragraph" w:styleId="2">
    <w:name w:val="heading 1"/>
    <w:basedOn w:val="1"/>
    <w:next w:val="1"/>
    <w:link w:val="84"/>
    <w:qFormat/>
    <w:uiPriority w:val="0"/>
    <w:pPr>
      <w:spacing w:beforeLines="50" w:afterLines="50" w:line="360" w:lineRule="auto"/>
      <w:jc w:val="center"/>
      <w:outlineLvl w:val="0"/>
    </w:pPr>
    <w:rPr>
      <w:rFonts w:cs="Times New Roman"/>
      <w:b/>
      <w:bCs/>
      <w:kern w:val="44"/>
      <w:sz w:val="32"/>
      <w:szCs w:val="36"/>
    </w:rPr>
  </w:style>
  <w:style w:type="paragraph" w:styleId="3">
    <w:name w:val="heading 2"/>
    <w:basedOn w:val="1"/>
    <w:next w:val="1"/>
    <w:link w:val="85"/>
    <w:qFormat/>
    <w:uiPriority w:val="0"/>
    <w:pPr>
      <w:tabs>
        <w:tab w:val="left" w:pos="5400"/>
      </w:tabs>
      <w:spacing w:beforeLines="50" w:afterLines="50" w:line="360" w:lineRule="auto"/>
      <w:outlineLvl w:val="1"/>
    </w:pPr>
    <w:rPr>
      <w:rFonts w:cs="Times New Roman"/>
      <w:b/>
      <w:bCs/>
      <w:kern w:val="0"/>
      <w:sz w:val="30"/>
      <w:szCs w:val="30"/>
    </w:rPr>
  </w:style>
  <w:style w:type="paragraph" w:styleId="4">
    <w:name w:val="heading 3"/>
    <w:basedOn w:val="1"/>
    <w:next w:val="1"/>
    <w:qFormat/>
    <w:uiPriority w:val="0"/>
    <w:pPr>
      <w:tabs>
        <w:tab w:val="left" w:pos="5400"/>
      </w:tabs>
      <w:spacing w:beforeLines="50" w:afterLines="50"/>
      <w:ind w:firstLine="0" w:firstLineChars="0"/>
      <w:outlineLvl w:val="2"/>
    </w:pPr>
    <w:rPr>
      <w:b/>
      <w:bCs/>
      <w:sz w:val="28"/>
    </w:rPr>
  </w:style>
  <w:style w:type="paragraph" w:styleId="5">
    <w:name w:val="heading 4"/>
    <w:basedOn w:val="1"/>
    <w:next w:val="1"/>
    <w:link w:val="86"/>
    <w:qFormat/>
    <w:uiPriority w:val="0"/>
    <w:pPr>
      <w:tabs>
        <w:tab w:val="left" w:pos="5400"/>
      </w:tabs>
      <w:spacing w:line="360" w:lineRule="auto"/>
      <w:outlineLvl w:val="3"/>
    </w:pPr>
    <w:rPr>
      <w:rFonts w:cs="Times New Roman"/>
      <w:b/>
      <w:bCs/>
    </w:rPr>
  </w:style>
  <w:style w:type="paragraph" w:styleId="6">
    <w:name w:val="heading 5"/>
    <w:next w:val="1"/>
    <w:unhideWhenUsed/>
    <w:qFormat/>
    <w:uiPriority w:val="0"/>
    <w:pPr>
      <w:keepLines/>
      <w:adjustRightInd w:val="0"/>
      <w:snapToGrid w:val="0"/>
      <w:jc w:val="center"/>
      <w:outlineLvl w:val="4"/>
    </w:pPr>
    <w:rPr>
      <w:rFonts w:ascii="Times New Roman" w:hAnsi="Times New Roman" w:eastAsia="宋体" w:cs="Times New Roman"/>
      <w:b/>
      <w:bCs/>
      <w:kern w:val="2"/>
      <w:sz w:val="24"/>
      <w:szCs w:val="28"/>
      <w:lang w:val="en-US" w:eastAsia="zh-CN" w:bidi="ar-SA"/>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0"/>
    <w:pPr>
      <w:ind w:firstLine="420" w:firstLineChars="200"/>
    </w:pPr>
  </w:style>
  <w:style w:type="paragraph" w:styleId="8">
    <w:name w:val="caption"/>
    <w:basedOn w:val="1"/>
    <w:next w:val="1"/>
    <w:qFormat/>
    <w:uiPriority w:val="0"/>
    <w:pPr>
      <w:spacing w:beforeLines="50"/>
      <w:jc w:val="center"/>
    </w:pPr>
    <w:rPr>
      <w:rFonts w:eastAsia="黑体" w:cs="Arial"/>
      <w:sz w:val="21"/>
      <w:szCs w:val="20"/>
    </w:rPr>
  </w:style>
  <w:style w:type="paragraph" w:styleId="9">
    <w:name w:val="annotation text"/>
    <w:basedOn w:val="1"/>
    <w:link w:val="87"/>
    <w:unhideWhenUsed/>
    <w:qFormat/>
    <w:uiPriority w:val="0"/>
    <w:pPr>
      <w:spacing w:line="360" w:lineRule="auto"/>
      <w:ind w:firstLine="200" w:firstLineChars="200"/>
      <w:jc w:val="left"/>
    </w:pPr>
    <w:rPr>
      <w:rFonts w:cs="Times New Roman"/>
    </w:rPr>
  </w:style>
  <w:style w:type="paragraph" w:styleId="10">
    <w:name w:val="Salutation"/>
    <w:basedOn w:val="1"/>
    <w:next w:val="1"/>
    <w:qFormat/>
    <w:uiPriority w:val="0"/>
    <w:rPr>
      <w:rFonts w:ascii="宋体" w:hAnsi="华文宋体"/>
      <w:sz w:val="28"/>
    </w:rPr>
  </w:style>
  <w:style w:type="paragraph" w:styleId="11">
    <w:name w:val="Body Text"/>
    <w:basedOn w:val="1"/>
    <w:link w:val="98"/>
    <w:qFormat/>
    <w:uiPriority w:val="0"/>
    <w:pPr>
      <w:spacing w:after="120"/>
      <w:ind w:firstLine="567"/>
    </w:pPr>
    <w:rPr>
      <w:rFonts w:eastAsia="仿宋_GB2312" w:cs="Times New Roman"/>
      <w:sz w:val="28"/>
      <w:szCs w:val="20"/>
    </w:rPr>
  </w:style>
  <w:style w:type="paragraph" w:styleId="12">
    <w:name w:val="Body Text Indent"/>
    <w:basedOn w:val="1"/>
    <w:link w:val="99"/>
    <w:qFormat/>
    <w:uiPriority w:val="0"/>
    <w:pPr>
      <w:spacing w:after="120"/>
      <w:ind w:left="420" w:leftChars="200" w:firstLine="567"/>
    </w:pPr>
    <w:rPr>
      <w:rFonts w:eastAsia="仿宋_GB2312" w:cs="Times New Roman"/>
      <w:sz w:val="28"/>
      <w:szCs w:val="20"/>
    </w:rPr>
  </w:style>
  <w:style w:type="paragraph" w:styleId="13">
    <w:name w:val="Plain Text"/>
    <w:basedOn w:val="1"/>
    <w:link w:val="104"/>
    <w:qFormat/>
    <w:uiPriority w:val="0"/>
    <w:rPr>
      <w:rFonts w:ascii="宋体" w:hAnsi="Courier New" w:cs="Times New Roman"/>
      <w:sz w:val="21"/>
    </w:rPr>
  </w:style>
  <w:style w:type="paragraph" w:styleId="14">
    <w:name w:val="Body Text Indent 2"/>
    <w:basedOn w:val="1"/>
    <w:next w:val="1"/>
    <w:unhideWhenUsed/>
    <w:qFormat/>
    <w:uiPriority w:val="0"/>
    <w:pPr>
      <w:spacing w:line="360" w:lineRule="auto"/>
      <w:ind w:left="720" w:hanging="720"/>
    </w:pPr>
    <w:rPr>
      <w:rFonts w:ascii="宋体"/>
      <w:sz w:val="24"/>
    </w:rPr>
  </w:style>
  <w:style w:type="paragraph" w:styleId="15">
    <w:name w:val="Balloon Text"/>
    <w:basedOn w:val="1"/>
    <w:link w:val="88"/>
    <w:unhideWhenUsed/>
    <w:qFormat/>
    <w:uiPriority w:val="0"/>
    <w:pPr>
      <w:ind w:firstLine="200" w:firstLineChars="200"/>
    </w:pPr>
    <w:rPr>
      <w:rFonts w:cs="Times New Roman"/>
      <w:sz w:val="18"/>
      <w:szCs w:val="18"/>
    </w:rPr>
  </w:style>
  <w:style w:type="paragraph" w:styleId="16">
    <w:name w:val="footer"/>
    <w:basedOn w:val="1"/>
    <w:link w:val="105"/>
    <w:qFormat/>
    <w:uiPriority w:val="99"/>
    <w:pPr>
      <w:tabs>
        <w:tab w:val="center" w:pos="4153"/>
        <w:tab w:val="right" w:pos="8306"/>
      </w:tabs>
      <w:snapToGrid w:val="0"/>
      <w:spacing w:line="360" w:lineRule="auto"/>
      <w:ind w:firstLine="200" w:firstLineChars="200"/>
      <w:jc w:val="left"/>
    </w:pPr>
    <w:rPr>
      <w:rFonts w:ascii="宋体" w:hAnsi="宋体" w:cs="Times New Roman"/>
      <w:sz w:val="18"/>
      <w:szCs w:val="18"/>
    </w:rPr>
  </w:style>
  <w:style w:type="paragraph" w:styleId="17">
    <w:name w:val="header"/>
    <w:basedOn w:val="1"/>
    <w:link w:val="9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ind w:firstLine="200" w:firstLineChars="200"/>
    </w:pPr>
    <w:rPr>
      <w:rFonts w:cs="Times New Roman"/>
      <w:sz w:val="18"/>
    </w:rPr>
  </w:style>
  <w:style w:type="paragraph" w:styleId="18">
    <w:name w:val="toc 1"/>
    <w:basedOn w:val="1"/>
    <w:next w:val="1"/>
    <w:qFormat/>
    <w:uiPriority w:val="0"/>
    <w:pPr>
      <w:spacing w:line="360" w:lineRule="auto"/>
    </w:pPr>
    <w:rPr>
      <w:rFonts w:cs="Times New Roman"/>
      <w:b/>
      <w:sz w:val="28"/>
    </w:rPr>
  </w:style>
  <w:style w:type="paragraph" w:styleId="19">
    <w:name w:val="toc 2"/>
    <w:basedOn w:val="1"/>
    <w:next w:val="1"/>
    <w:qFormat/>
    <w:uiPriority w:val="0"/>
    <w:pPr>
      <w:spacing w:line="360" w:lineRule="auto"/>
    </w:pPr>
    <w:rPr>
      <w:rFonts w:cs="Times New Roman"/>
    </w:rPr>
  </w:style>
  <w:style w:type="paragraph" w:styleId="20">
    <w:name w:val="Normal (Web)"/>
    <w:basedOn w:val="1"/>
    <w:link w:val="102"/>
    <w:unhideWhenUsed/>
    <w:qFormat/>
    <w:uiPriority w:val="0"/>
    <w:pPr>
      <w:widowControl/>
      <w:spacing w:before="100" w:beforeAutospacing="1" w:after="100" w:afterAutospacing="1"/>
      <w:jc w:val="left"/>
    </w:pPr>
    <w:rPr>
      <w:rFonts w:ascii="宋体" w:hAnsi="宋体" w:cs="Times New Roman"/>
      <w:kern w:val="0"/>
      <w:szCs w:val="20"/>
    </w:rPr>
  </w:style>
  <w:style w:type="paragraph" w:styleId="21">
    <w:name w:val="Title"/>
    <w:basedOn w:val="1"/>
    <w:next w:val="1"/>
    <w:link w:val="89"/>
    <w:qFormat/>
    <w:uiPriority w:val="0"/>
    <w:pPr>
      <w:spacing w:before="10" w:after="10" w:line="360" w:lineRule="auto"/>
      <w:jc w:val="center"/>
      <w:outlineLvl w:val="0"/>
    </w:pPr>
    <w:rPr>
      <w:rFonts w:ascii="Arial" w:hAnsi="Arial" w:cs="Arial"/>
      <w:b/>
      <w:bCs/>
      <w:sz w:val="32"/>
      <w:szCs w:val="32"/>
    </w:rPr>
  </w:style>
  <w:style w:type="paragraph" w:styleId="22">
    <w:name w:val="annotation subject"/>
    <w:basedOn w:val="9"/>
    <w:next w:val="9"/>
    <w:link w:val="90"/>
    <w:unhideWhenUsed/>
    <w:qFormat/>
    <w:uiPriority w:val="0"/>
    <w:rPr>
      <w:b/>
      <w:bCs/>
    </w:rPr>
  </w:style>
  <w:style w:type="paragraph" w:styleId="23">
    <w:name w:val="Body Text First Indent"/>
    <w:basedOn w:val="11"/>
    <w:qFormat/>
    <w:uiPriority w:val="0"/>
    <w:pPr>
      <w:ind w:firstLine="420" w:firstLineChars="100"/>
    </w:pPr>
    <w:rPr>
      <w:rFonts w:eastAsia="宋体"/>
      <w:sz w:val="21"/>
      <w:szCs w:val="24"/>
    </w:rPr>
  </w:style>
  <w:style w:type="paragraph" w:styleId="24">
    <w:name w:val="Body Text First Indent 2"/>
    <w:basedOn w:val="12"/>
    <w:next w:val="1"/>
    <w:unhideWhenUsed/>
    <w:qFormat/>
    <w:uiPriority w:val="0"/>
    <w:pPr>
      <w:ind w:firstLine="420" w:firstLineChars="200"/>
    </w:pPr>
    <w:rPr>
      <w:rFonts w:asciiTheme="minorHAnsi" w:hAnsiTheme="minorHAnsi" w:cstheme="minorBidi"/>
    </w:rPr>
  </w:style>
  <w:style w:type="table" w:styleId="26">
    <w:name w:val="Table Grid"/>
    <w:basedOn w:val="2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rPr>
      <w:rFonts w:ascii="Times New Roman" w:hAnsi="Times New Roman" w:eastAsia="宋体"/>
      <w:sz w:val="18"/>
    </w:rPr>
  </w:style>
  <w:style w:type="character" w:styleId="30">
    <w:name w:val="Emphasis"/>
    <w:basedOn w:val="27"/>
    <w:qFormat/>
    <w:uiPriority w:val="0"/>
    <w:rPr>
      <w:i/>
    </w:rPr>
  </w:style>
  <w:style w:type="character" w:styleId="31">
    <w:name w:val="Hyperlink"/>
    <w:basedOn w:val="27"/>
    <w:unhideWhenUsed/>
    <w:qFormat/>
    <w:uiPriority w:val="99"/>
    <w:rPr>
      <w:color w:val="0000FF"/>
      <w:u w:val="single"/>
    </w:rPr>
  </w:style>
  <w:style w:type="character" w:styleId="32">
    <w:name w:val="annotation reference"/>
    <w:basedOn w:val="27"/>
    <w:unhideWhenUsed/>
    <w:qFormat/>
    <w:uiPriority w:val="0"/>
    <w:rPr>
      <w:sz w:val="21"/>
      <w:szCs w:val="21"/>
    </w:rPr>
  </w:style>
  <w:style w:type="paragraph" w:customStyle="1" w:styleId="33">
    <w:name w:val="Default"/>
    <w:basedOn w:val="34"/>
    <w:qFormat/>
    <w:uiPriority w:val="0"/>
    <w:pPr>
      <w:widowControl w:val="0"/>
      <w:autoSpaceDE w:val="0"/>
      <w:autoSpaceDN w:val="0"/>
      <w:adjustRightInd w:val="0"/>
    </w:pPr>
    <w:rPr>
      <w:rFonts w:ascii="仿宋_GB2312" w:hAnsi="仿宋_GB2312" w:cs="仿宋_GB2312"/>
      <w:color w:val="000000"/>
      <w:sz w:val="24"/>
      <w:szCs w:val="24"/>
      <w:lang w:val="en-US" w:eastAsia="zh-CN" w:bidi="ar-SA"/>
    </w:rPr>
  </w:style>
  <w:style w:type="paragraph" w:customStyle="1" w:styleId="34">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标题3"/>
    <w:basedOn w:val="1"/>
    <w:qFormat/>
    <w:uiPriority w:val="0"/>
    <w:pPr>
      <w:spacing w:line="360" w:lineRule="auto"/>
      <w:ind w:firstLine="200" w:firstLineChars="200"/>
    </w:pPr>
    <w:rPr>
      <w:rFonts w:cs="Times New Roman"/>
    </w:rPr>
  </w:style>
  <w:style w:type="paragraph" w:customStyle="1" w:styleId="36">
    <w:name w:val="标题2"/>
    <w:next w:val="1"/>
    <w:unhideWhenUsed/>
    <w:qFormat/>
    <w:uiPriority w:val="2"/>
    <w:pPr>
      <w:outlineLvl w:val="2"/>
    </w:pPr>
    <w:rPr>
      <w:rFonts w:ascii="Calibri" w:hAnsi="Calibri" w:eastAsia="宋体" w:cs="Times New Roman"/>
      <w:kern w:val="2"/>
      <w:sz w:val="21"/>
      <w:szCs w:val="22"/>
      <w:lang w:val="en-US" w:eastAsia="zh-CN" w:bidi="ar-SA"/>
    </w:rPr>
  </w:style>
  <w:style w:type="paragraph" w:customStyle="1" w:styleId="37">
    <w:name w:val="表格标题QQ"/>
    <w:basedOn w:val="1"/>
    <w:link w:val="91"/>
    <w:qFormat/>
    <w:uiPriority w:val="0"/>
    <w:pPr>
      <w:spacing w:line="360" w:lineRule="auto"/>
      <w:jc w:val="center"/>
      <w:outlineLvl w:val="4"/>
    </w:pPr>
    <w:rPr>
      <w:rFonts w:cs="Times New Roman"/>
      <w:b/>
    </w:rPr>
  </w:style>
  <w:style w:type="paragraph" w:customStyle="1" w:styleId="38">
    <w:name w:val="表格内容Q"/>
    <w:basedOn w:val="1"/>
    <w:link w:val="92"/>
    <w:qFormat/>
    <w:uiPriority w:val="0"/>
    <w:pPr>
      <w:jc w:val="center"/>
    </w:pPr>
    <w:rPr>
      <w:rFonts w:cs="Times New Roman"/>
      <w:sz w:val="21"/>
      <w:szCs w:val="21"/>
    </w:rPr>
  </w:style>
  <w:style w:type="paragraph" w:customStyle="1" w:styleId="39">
    <w:name w:val="1.表格标题CM"/>
    <w:basedOn w:val="1"/>
    <w:link w:val="93"/>
    <w:qFormat/>
    <w:uiPriority w:val="0"/>
    <w:pPr>
      <w:adjustRightInd w:val="0"/>
      <w:snapToGrid w:val="0"/>
      <w:spacing w:line="360" w:lineRule="auto"/>
      <w:jc w:val="center"/>
      <w:outlineLvl w:val="6"/>
    </w:pPr>
    <w:rPr>
      <w:rFonts w:cs="Times New Roman"/>
      <w:b/>
      <w:lang w:val="zh-CN"/>
    </w:rPr>
  </w:style>
  <w:style w:type="paragraph" w:customStyle="1" w:styleId="40">
    <w:name w:val="表格标题Q"/>
    <w:basedOn w:val="1"/>
    <w:link w:val="94"/>
    <w:qFormat/>
    <w:uiPriority w:val="0"/>
    <w:pPr>
      <w:spacing w:line="360" w:lineRule="auto"/>
      <w:jc w:val="center"/>
    </w:pPr>
    <w:rPr>
      <w:rFonts w:cs="Times New Roman"/>
      <w:b/>
      <w:kern w:val="0"/>
      <w:sz w:val="20"/>
      <w:szCs w:val="20"/>
    </w:rPr>
  </w:style>
  <w:style w:type="paragraph" w:customStyle="1" w:styleId="41">
    <w:name w:val="表格内容CCW"/>
    <w:basedOn w:val="1"/>
    <w:link w:val="95"/>
    <w:qFormat/>
    <w:uiPriority w:val="0"/>
    <w:pPr>
      <w:jc w:val="center"/>
    </w:pPr>
    <w:rPr>
      <w:rFonts w:cs="Times New Roman"/>
      <w:kern w:val="0"/>
      <w:sz w:val="21"/>
      <w:szCs w:val="20"/>
    </w:rPr>
  </w:style>
  <w:style w:type="paragraph" w:customStyle="1" w:styleId="42">
    <w:name w:val="Char Char"/>
    <w:basedOn w:val="1"/>
    <w:qFormat/>
    <w:uiPriority w:val="0"/>
    <w:rPr>
      <w:rFonts w:ascii="仿宋_GB2312" w:eastAsia="仿宋_GB2312" w:cs="Times New Roman"/>
      <w:b/>
      <w:sz w:val="32"/>
      <w:szCs w:val="32"/>
    </w:rPr>
  </w:style>
  <w:style w:type="paragraph" w:customStyle="1" w:styleId="43">
    <w:name w:val="表格标题CCW"/>
    <w:basedOn w:val="1"/>
    <w:next w:val="1"/>
    <w:link w:val="96"/>
    <w:qFormat/>
    <w:uiPriority w:val="0"/>
    <w:pPr>
      <w:spacing w:line="360" w:lineRule="auto"/>
      <w:jc w:val="center"/>
      <w:outlineLvl w:val="4"/>
    </w:pPr>
    <w:rPr>
      <w:rFonts w:cs="Times New Roman"/>
      <w:b/>
      <w:kern w:val="0"/>
      <w:szCs w:val="20"/>
    </w:rPr>
  </w:style>
  <w:style w:type="paragraph" w:customStyle="1" w:styleId="44">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45">
    <w:name w:val="表内容"/>
    <w:qFormat/>
    <w:uiPriority w:val="0"/>
    <w:pPr>
      <w:adjustRightInd w:val="0"/>
      <w:jc w:val="center"/>
    </w:pPr>
    <w:rPr>
      <w:rFonts w:ascii="Times New Roman" w:hAnsi="Times New Roman" w:eastAsia="宋体" w:cs="Times New Roman"/>
      <w:kern w:val="2"/>
      <w:sz w:val="21"/>
      <w:szCs w:val="21"/>
      <w:lang w:val="en-US" w:eastAsia="zh-CN" w:bidi="ar-SA"/>
    </w:rPr>
  </w:style>
  <w:style w:type="paragraph" w:customStyle="1" w:styleId="46">
    <w:name w:val="修订2"/>
    <w:hidden/>
    <w:semiHidden/>
    <w:qFormat/>
    <w:uiPriority w:val="99"/>
    <w:rPr>
      <w:rFonts w:ascii="Times New Roman" w:hAnsi="Times New Roman" w:eastAsia="宋体" w:cs="Times New Roman"/>
      <w:kern w:val="2"/>
      <w:sz w:val="24"/>
      <w:szCs w:val="24"/>
      <w:lang w:val="en-US" w:eastAsia="zh-CN" w:bidi="ar-SA"/>
    </w:rPr>
  </w:style>
  <w:style w:type="paragraph" w:customStyle="1" w:styleId="47">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48">
    <w:name w:val="font6"/>
    <w:basedOn w:val="1"/>
    <w:qFormat/>
    <w:uiPriority w:val="0"/>
    <w:pPr>
      <w:widowControl/>
      <w:spacing w:before="100" w:beforeAutospacing="1" w:after="100" w:afterAutospacing="1"/>
      <w:jc w:val="left"/>
    </w:pPr>
    <w:rPr>
      <w:rFonts w:ascii="宋体" w:hAnsi="宋体"/>
      <w:color w:val="000000"/>
      <w:kern w:val="0"/>
      <w:sz w:val="22"/>
      <w:szCs w:val="22"/>
    </w:rPr>
  </w:style>
  <w:style w:type="paragraph" w:customStyle="1" w:styleId="49">
    <w:name w:val="font7"/>
    <w:basedOn w:val="1"/>
    <w:qFormat/>
    <w:uiPriority w:val="0"/>
    <w:pPr>
      <w:widowControl/>
      <w:spacing w:before="100" w:beforeAutospacing="1" w:after="100" w:afterAutospacing="1"/>
      <w:jc w:val="left"/>
    </w:pPr>
    <w:rPr>
      <w:rFonts w:cs="Times New Roman"/>
      <w:color w:val="000000"/>
      <w:kern w:val="0"/>
      <w:sz w:val="22"/>
      <w:szCs w:val="22"/>
    </w:rPr>
  </w:style>
  <w:style w:type="paragraph" w:customStyle="1" w:styleId="50">
    <w:name w:val="font8"/>
    <w:basedOn w:val="1"/>
    <w:qFormat/>
    <w:uiPriority w:val="0"/>
    <w:pPr>
      <w:widowControl/>
      <w:spacing w:before="100" w:beforeAutospacing="1" w:after="100" w:afterAutospacing="1"/>
      <w:jc w:val="left"/>
    </w:pPr>
    <w:rPr>
      <w:rFonts w:cs="Times New Roman"/>
      <w:color w:val="000000"/>
      <w:kern w:val="0"/>
      <w:sz w:val="21"/>
      <w:szCs w:val="21"/>
    </w:rPr>
  </w:style>
  <w:style w:type="paragraph" w:customStyle="1" w:styleId="51">
    <w:name w:val="font9"/>
    <w:basedOn w:val="1"/>
    <w:qFormat/>
    <w:uiPriority w:val="0"/>
    <w:pPr>
      <w:widowControl/>
      <w:spacing w:before="100" w:beforeAutospacing="1" w:after="100" w:afterAutospacing="1"/>
      <w:jc w:val="left"/>
    </w:pPr>
    <w:rPr>
      <w:rFonts w:ascii="宋体" w:hAnsi="宋体"/>
      <w:color w:val="000000"/>
      <w:kern w:val="0"/>
      <w:sz w:val="21"/>
      <w:szCs w:val="21"/>
    </w:rPr>
  </w:style>
  <w:style w:type="paragraph" w:customStyle="1" w:styleId="52">
    <w:name w:val="font10"/>
    <w:basedOn w:val="1"/>
    <w:qFormat/>
    <w:uiPriority w:val="0"/>
    <w:pPr>
      <w:widowControl/>
      <w:spacing w:before="100" w:beforeAutospacing="1" w:after="100" w:afterAutospacing="1"/>
      <w:jc w:val="left"/>
    </w:pPr>
    <w:rPr>
      <w:rFonts w:cs="Times New Roman"/>
      <w:color w:val="000000"/>
      <w:kern w:val="0"/>
      <w:sz w:val="21"/>
      <w:szCs w:val="21"/>
    </w:rPr>
  </w:style>
  <w:style w:type="paragraph" w:customStyle="1" w:styleId="53">
    <w:name w:val="font11"/>
    <w:basedOn w:val="1"/>
    <w:qFormat/>
    <w:uiPriority w:val="0"/>
    <w:pPr>
      <w:widowControl/>
      <w:spacing w:before="100" w:beforeAutospacing="1" w:after="100" w:afterAutospacing="1"/>
      <w:jc w:val="left"/>
    </w:pPr>
    <w:rPr>
      <w:rFonts w:ascii="宋体" w:hAnsi="宋体"/>
      <w:color w:val="000000"/>
      <w:kern w:val="0"/>
      <w:sz w:val="22"/>
      <w:szCs w:val="22"/>
    </w:rPr>
  </w:style>
  <w:style w:type="paragraph" w:customStyle="1" w:styleId="54">
    <w:name w:val="font12"/>
    <w:basedOn w:val="1"/>
    <w:qFormat/>
    <w:uiPriority w:val="0"/>
    <w:pPr>
      <w:widowControl/>
      <w:spacing w:before="100" w:beforeAutospacing="1" w:after="100" w:afterAutospacing="1"/>
      <w:jc w:val="left"/>
    </w:pPr>
    <w:rPr>
      <w:rFonts w:cs="Times New Roman"/>
      <w:color w:val="000000"/>
      <w:kern w:val="0"/>
      <w:sz w:val="22"/>
      <w:szCs w:val="22"/>
    </w:rPr>
  </w:style>
  <w:style w:type="paragraph" w:customStyle="1" w:styleId="5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5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rPr>
  </w:style>
  <w:style w:type="paragraph" w:customStyle="1" w:styleId="5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5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sz w:val="21"/>
      <w:szCs w:val="21"/>
    </w:rPr>
  </w:style>
  <w:style w:type="paragraph" w:customStyle="1" w:styleId="5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6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1"/>
      <w:szCs w:val="21"/>
    </w:rPr>
  </w:style>
  <w:style w:type="paragraph" w:customStyle="1" w:styleId="68">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69">
    <w:name w:val="xl7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70">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7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72">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7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74">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75">
    <w:name w:val="xl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76">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kern w:val="0"/>
    </w:rPr>
  </w:style>
  <w:style w:type="paragraph" w:customStyle="1" w:styleId="77">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1"/>
      <w:szCs w:val="21"/>
    </w:rPr>
  </w:style>
  <w:style w:type="paragraph" w:customStyle="1" w:styleId="78">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1"/>
      <w:szCs w:val="21"/>
    </w:rPr>
  </w:style>
  <w:style w:type="paragraph" w:customStyle="1" w:styleId="79">
    <w:name w:val="默认段落字体 Para Char"/>
    <w:basedOn w:val="1"/>
    <w:next w:val="1"/>
    <w:qFormat/>
    <w:uiPriority w:val="0"/>
    <w:pPr>
      <w:spacing w:line="360" w:lineRule="auto"/>
      <w:ind w:firstLine="200" w:firstLineChars="200"/>
    </w:pPr>
    <w:rPr>
      <w:rFonts w:eastAsia="仿宋_GB2312" w:cs="Times New Roman"/>
      <w:sz w:val="28"/>
      <w:szCs w:val="20"/>
    </w:rPr>
  </w:style>
  <w:style w:type="paragraph" w:customStyle="1" w:styleId="80">
    <w:name w:val="报告书正文"/>
    <w:basedOn w:val="1"/>
    <w:qFormat/>
    <w:uiPriority w:val="0"/>
    <w:pPr>
      <w:spacing w:line="500" w:lineRule="exact"/>
      <w:ind w:firstLine="200" w:firstLineChars="200"/>
    </w:pPr>
    <w:rPr>
      <w:rFonts w:eastAsia="仿宋_GB2312" w:cs="Times New Roman"/>
      <w:kern w:val="0"/>
      <w:sz w:val="28"/>
      <w:szCs w:val="20"/>
    </w:rPr>
  </w:style>
  <w:style w:type="paragraph" w:customStyle="1" w:styleId="81">
    <w:name w:val="正文aaaa"/>
    <w:basedOn w:val="11"/>
    <w:next w:val="11"/>
    <w:qFormat/>
    <w:uiPriority w:val="0"/>
    <w:pPr>
      <w:adjustRightInd w:val="0"/>
      <w:snapToGrid w:val="0"/>
      <w:spacing w:after="0" w:line="360" w:lineRule="auto"/>
      <w:ind w:firstLine="200" w:firstLineChars="200"/>
      <w:jc w:val="left"/>
    </w:pPr>
    <w:rPr>
      <w:snapToGrid w:val="0"/>
      <w:sz w:val="24"/>
    </w:rPr>
  </w:style>
  <w:style w:type="paragraph" w:customStyle="1" w:styleId="82">
    <w:name w:val="样式 首行缩进:  2 字符"/>
    <w:basedOn w:val="1"/>
    <w:link w:val="100"/>
    <w:qFormat/>
    <w:uiPriority w:val="0"/>
    <w:pPr>
      <w:adjustRightInd w:val="0"/>
      <w:snapToGrid w:val="0"/>
      <w:spacing w:line="360" w:lineRule="auto"/>
      <w:ind w:firstLine="480" w:firstLineChars="200"/>
    </w:pPr>
    <w:rPr>
      <w:szCs w:val="20"/>
    </w:rPr>
  </w:style>
  <w:style w:type="paragraph" w:customStyle="1" w:styleId="83">
    <w:name w:val="样式 首行缩进:  2 字符1"/>
    <w:basedOn w:val="1"/>
    <w:link w:val="101"/>
    <w:qFormat/>
    <w:uiPriority w:val="0"/>
    <w:pPr>
      <w:adjustRightInd w:val="0"/>
      <w:snapToGrid w:val="0"/>
      <w:spacing w:line="360" w:lineRule="auto"/>
      <w:ind w:firstLine="480" w:firstLineChars="200"/>
    </w:pPr>
    <w:rPr>
      <w:szCs w:val="20"/>
    </w:rPr>
  </w:style>
  <w:style w:type="character" w:customStyle="1" w:styleId="84">
    <w:name w:val="标题 1 字符"/>
    <w:link w:val="2"/>
    <w:qFormat/>
    <w:uiPriority w:val="0"/>
    <w:rPr>
      <w:rFonts w:ascii="Times New Roman" w:hAnsi="Times New Roman" w:eastAsia="宋体"/>
      <w:b/>
      <w:kern w:val="44"/>
      <w:sz w:val="32"/>
      <w:szCs w:val="36"/>
      <w:lang w:bidi="ar-SA"/>
    </w:rPr>
  </w:style>
  <w:style w:type="character" w:customStyle="1" w:styleId="85">
    <w:name w:val="标题 2 字符"/>
    <w:link w:val="3"/>
    <w:qFormat/>
    <w:uiPriority w:val="0"/>
    <w:rPr>
      <w:rFonts w:ascii="Times New Roman" w:hAnsi="Times New Roman" w:eastAsia="宋体"/>
      <w:b/>
      <w:bCs/>
      <w:sz w:val="30"/>
      <w:szCs w:val="30"/>
      <w:lang w:bidi="ar-SA"/>
    </w:rPr>
  </w:style>
  <w:style w:type="character" w:customStyle="1" w:styleId="86">
    <w:name w:val="标题 4 字符"/>
    <w:link w:val="5"/>
    <w:qFormat/>
    <w:uiPriority w:val="0"/>
    <w:rPr>
      <w:rFonts w:ascii="Times New Roman" w:hAnsi="Times New Roman" w:eastAsia="宋体"/>
      <w:b/>
      <w:bCs/>
      <w:szCs w:val="24"/>
    </w:rPr>
  </w:style>
  <w:style w:type="character" w:customStyle="1" w:styleId="87">
    <w:name w:val="批注文字 字符"/>
    <w:basedOn w:val="27"/>
    <w:link w:val="9"/>
    <w:semiHidden/>
    <w:qFormat/>
    <w:uiPriority w:val="0"/>
    <w:rPr>
      <w:kern w:val="2"/>
      <w:sz w:val="24"/>
      <w:szCs w:val="24"/>
    </w:rPr>
  </w:style>
  <w:style w:type="character" w:customStyle="1" w:styleId="88">
    <w:name w:val="批注框文本 字符"/>
    <w:basedOn w:val="27"/>
    <w:link w:val="15"/>
    <w:semiHidden/>
    <w:qFormat/>
    <w:uiPriority w:val="0"/>
    <w:rPr>
      <w:kern w:val="2"/>
      <w:sz w:val="18"/>
      <w:szCs w:val="18"/>
    </w:rPr>
  </w:style>
  <w:style w:type="character" w:customStyle="1" w:styleId="89">
    <w:name w:val="标题 字符"/>
    <w:link w:val="21"/>
    <w:qFormat/>
    <w:uiPriority w:val="0"/>
    <w:rPr>
      <w:rFonts w:ascii="Arial" w:hAnsi="Arial" w:eastAsia="宋体" w:cs="Arial"/>
      <w:b/>
      <w:bCs/>
      <w:sz w:val="32"/>
      <w:szCs w:val="32"/>
    </w:rPr>
  </w:style>
  <w:style w:type="character" w:customStyle="1" w:styleId="90">
    <w:name w:val="批注主题 字符"/>
    <w:basedOn w:val="87"/>
    <w:link w:val="22"/>
    <w:semiHidden/>
    <w:qFormat/>
    <w:uiPriority w:val="0"/>
    <w:rPr>
      <w:b/>
      <w:bCs/>
      <w:kern w:val="2"/>
      <w:sz w:val="24"/>
      <w:szCs w:val="24"/>
    </w:rPr>
  </w:style>
  <w:style w:type="character" w:customStyle="1" w:styleId="91">
    <w:name w:val="表格标题QQ Char"/>
    <w:link w:val="37"/>
    <w:qFormat/>
    <w:uiPriority w:val="0"/>
    <w:rPr>
      <w:rFonts w:ascii="Times New Roman" w:hAnsi="Times New Roman" w:eastAsia="宋体"/>
      <w:b/>
      <w:sz w:val="24"/>
    </w:rPr>
  </w:style>
  <w:style w:type="character" w:customStyle="1" w:styleId="92">
    <w:name w:val="表格内容Q Char"/>
    <w:link w:val="38"/>
    <w:qFormat/>
    <w:uiPriority w:val="0"/>
    <w:rPr>
      <w:rFonts w:ascii="Times New Roman" w:hAnsi="Times New Roman" w:eastAsia="宋体"/>
      <w:w w:val="100"/>
      <w:sz w:val="21"/>
      <w:szCs w:val="21"/>
    </w:rPr>
  </w:style>
  <w:style w:type="character" w:customStyle="1" w:styleId="93">
    <w:name w:val="1.表格标题CM 字符"/>
    <w:link w:val="39"/>
    <w:qFormat/>
    <w:uiPriority w:val="0"/>
    <w:rPr>
      <w:b/>
      <w:kern w:val="2"/>
      <w:sz w:val="24"/>
      <w:szCs w:val="24"/>
      <w:lang w:val="zh-CN" w:eastAsia="zh-CN"/>
    </w:rPr>
  </w:style>
  <w:style w:type="character" w:customStyle="1" w:styleId="94">
    <w:name w:val="表格标题Q Char"/>
    <w:link w:val="40"/>
    <w:qFormat/>
    <w:uiPriority w:val="0"/>
    <w:rPr>
      <w:b/>
    </w:rPr>
  </w:style>
  <w:style w:type="character" w:customStyle="1" w:styleId="95">
    <w:name w:val="表格内容CCW Char"/>
    <w:link w:val="41"/>
    <w:qFormat/>
    <w:uiPriority w:val="0"/>
    <w:rPr>
      <w:sz w:val="21"/>
    </w:rPr>
  </w:style>
  <w:style w:type="character" w:customStyle="1" w:styleId="96">
    <w:name w:val="表格标题CCW Char"/>
    <w:link w:val="43"/>
    <w:qFormat/>
    <w:uiPriority w:val="0"/>
    <w:rPr>
      <w:b/>
      <w:sz w:val="24"/>
    </w:rPr>
  </w:style>
  <w:style w:type="character" w:customStyle="1" w:styleId="97">
    <w:name w:val="页眉 字符"/>
    <w:basedOn w:val="27"/>
    <w:link w:val="17"/>
    <w:qFormat/>
    <w:uiPriority w:val="99"/>
    <w:rPr>
      <w:kern w:val="2"/>
      <w:sz w:val="18"/>
      <w:szCs w:val="24"/>
    </w:rPr>
  </w:style>
  <w:style w:type="character" w:customStyle="1" w:styleId="98">
    <w:name w:val="正文文本 字符"/>
    <w:basedOn w:val="27"/>
    <w:link w:val="11"/>
    <w:qFormat/>
    <w:uiPriority w:val="0"/>
    <w:rPr>
      <w:rFonts w:eastAsia="仿宋_GB2312"/>
      <w:kern w:val="2"/>
      <w:sz w:val="28"/>
    </w:rPr>
  </w:style>
  <w:style w:type="character" w:customStyle="1" w:styleId="99">
    <w:name w:val="正文文本缩进 字符"/>
    <w:basedOn w:val="27"/>
    <w:link w:val="12"/>
    <w:qFormat/>
    <w:uiPriority w:val="0"/>
    <w:rPr>
      <w:rFonts w:eastAsia="仿宋_GB2312"/>
      <w:kern w:val="2"/>
      <w:sz w:val="28"/>
    </w:rPr>
  </w:style>
  <w:style w:type="character" w:customStyle="1" w:styleId="100">
    <w:name w:val="样式 首行缩进:  2 字符 Char"/>
    <w:link w:val="82"/>
    <w:qFormat/>
    <w:uiPriority w:val="0"/>
    <w:rPr>
      <w:rFonts w:cs="宋体"/>
      <w:kern w:val="2"/>
      <w:sz w:val="24"/>
    </w:rPr>
  </w:style>
  <w:style w:type="character" w:customStyle="1" w:styleId="101">
    <w:name w:val="样式 首行缩进:  2 字符1 Char Char"/>
    <w:link w:val="83"/>
    <w:qFormat/>
    <w:uiPriority w:val="0"/>
    <w:rPr>
      <w:rFonts w:cs="宋体"/>
      <w:kern w:val="2"/>
      <w:sz w:val="24"/>
    </w:rPr>
  </w:style>
  <w:style w:type="character" w:customStyle="1" w:styleId="102">
    <w:name w:val="普通(网站) 字符"/>
    <w:link w:val="20"/>
    <w:semiHidden/>
    <w:qFormat/>
    <w:locked/>
    <w:uiPriority w:val="0"/>
    <w:rPr>
      <w:rFonts w:ascii="宋体" w:hAnsi="宋体"/>
      <w:sz w:val="24"/>
    </w:rPr>
  </w:style>
  <w:style w:type="character" w:customStyle="1" w:styleId="103">
    <w:name w:val="日期 字符"/>
    <w:semiHidden/>
    <w:qFormat/>
    <w:uiPriority w:val="0"/>
    <w:rPr>
      <w:rFonts w:ascii="Times New Roman" w:hAnsi="Times New Roman" w:eastAsia="宋体"/>
      <w:sz w:val="24"/>
    </w:rPr>
  </w:style>
  <w:style w:type="character" w:customStyle="1" w:styleId="104">
    <w:name w:val="纯文本 字符"/>
    <w:basedOn w:val="27"/>
    <w:link w:val="13"/>
    <w:qFormat/>
    <w:uiPriority w:val="0"/>
    <w:rPr>
      <w:rFonts w:ascii="宋体" w:hAnsi="Courier New"/>
      <w:kern w:val="2"/>
      <w:sz w:val="21"/>
      <w:szCs w:val="24"/>
    </w:rPr>
  </w:style>
  <w:style w:type="character" w:customStyle="1" w:styleId="105">
    <w:name w:val="页脚 字符"/>
    <w:basedOn w:val="27"/>
    <w:link w:val="16"/>
    <w:qFormat/>
    <w:uiPriority w:val="99"/>
    <w:rPr>
      <w:rFonts w:ascii="宋体" w:hAnsi="宋体"/>
      <w:kern w:val="2"/>
      <w:sz w:val="18"/>
      <w:szCs w:val="18"/>
    </w:rPr>
  </w:style>
  <w:style w:type="character" w:customStyle="1" w:styleId="106">
    <w:name w:val="font31"/>
    <w:basedOn w:val="27"/>
    <w:qFormat/>
    <w:uiPriority w:val="0"/>
    <w:rPr>
      <w:rFonts w:hint="default" w:ascii="Arial" w:hAnsi="Arial" w:cs="Arial"/>
      <w:color w:val="000000"/>
      <w:sz w:val="32"/>
      <w:szCs w:val="32"/>
      <w:u w:val="none"/>
    </w:rPr>
  </w:style>
  <w:style w:type="paragraph" w:customStyle="1" w:styleId="107">
    <w:name w:val="Table Paragraph"/>
    <w:basedOn w:val="1"/>
    <w:unhideWhenUsed/>
    <w:qFormat/>
    <w:uiPriority w:val="1"/>
    <w:pPr>
      <w:spacing w:beforeLines="0" w:afterLines="0"/>
    </w:pPr>
    <w:rPr>
      <w:rFonts w:hint="default"/>
      <w:sz w:val="24"/>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表格"/>
    <w:basedOn w:val="110"/>
    <w:qFormat/>
    <w:uiPriority w:val="0"/>
    <w:pPr>
      <w:adjustRightInd w:val="0"/>
      <w:snapToGrid w:val="0"/>
      <w:spacing w:beforeLines="10" w:afterLines="10" w:line="259" w:lineRule="auto"/>
      <w:jc w:val="center"/>
    </w:pPr>
    <w:rPr>
      <w:rFonts w:ascii="宋体"/>
      <w:kern w:val="0"/>
      <w:szCs w:val="20"/>
    </w:rPr>
  </w:style>
  <w:style w:type="paragraph" w:customStyle="1" w:styleId="110">
    <w:name w:val="表格格式"/>
    <w:basedOn w:val="1"/>
    <w:qFormat/>
    <w:uiPriority w:val="0"/>
    <w:pPr>
      <w:jc w:val="left"/>
    </w:pPr>
    <w:rPr>
      <w:rFonts w:ascii="仿宋_GB2312" w:hAnsi="Times New Roman" w:eastAsia="仿宋_GB2312" w:cs="Times New Roman"/>
      <w:bCs/>
      <w:color w:val="000000"/>
      <w:kern w:val="0"/>
      <w:szCs w:val="21"/>
    </w:rPr>
  </w:style>
  <w:style w:type="paragraph" w:customStyle="1" w:styleId="111">
    <w:name w:val="正文我要"/>
    <w:basedOn w:val="112"/>
    <w:qFormat/>
    <w:uiPriority w:val="0"/>
    <w:pPr>
      <w:tabs>
        <w:tab w:val="left" w:pos="320"/>
        <w:tab w:val="center" w:pos="709"/>
      </w:tabs>
      <w:adjustRightInd/>
      <w:spacing w:line="360" w:lineRule="auto"/>
    </w:pPr>
    <w:rPr>
      <w:sz w:val="24"/>
    </w:rPr>
  </w:style>
  <w:style w:type="paragraph" w:customStyle="1" w:styleId="112">
    <w:name w:val="样式7"/>
    <w:basedOn w:val="109"/>
    <w:qFormat/>
    <w:uiPriority w:val="0"/>
    <w:pPr>
      <w:tabs>
        <w:tab w:val="left" w:pos="320"/>
        <w:tab w:val="center" w:pos="709"/>
      </w:tabs>
      <w:spacing w:line="320" w:lineRule="exact"/>
    </w:pPr>
    <w:rPr>
      <w:color w:val="000000"/>
      <w:sz w:val="18"/>
    </w:rPr>
  </w:style>
  <w:style w:type="paragraph" w:customStyle="1" w:styleId="113">
    <w:name w:val="序号标题"/>
    <w:next w:val="114"/>
    <w:qFormat/>
    <w:uiPriority w:val="0"/>
    <w:pPr>
      <w:spacing w:line="360" w:lineRule="auto"/>
      <w:ind w:firstLine="723" w:firstLineChars="200"/>
    </w:pPr>
    <w:rPr>
      <w:rFonts w:ascii="Times New Roman" w:hAnsi="Times New Roman" w:eastAsia="宋体" w:cs="宋体"/>
      <w:b/>
      <w:sz w:val="24"/>
      <w:szCs w:val="24"/>
      <w:lang w:val="en-US" w:eastAsia="zh-CN" w:bidi="ar-SA"/>
    </w:rPr>
  </w:style>
  <w:style w:type="paragraph" w:customStyle="1" w:styleId="114">
    <w:name w:val="报告正文"/>
    <w:qFormat/>
    <w:uiPriority w:val="0"/>
    <w:pPr>
      <w:spacing w:line="360" w:lineRule="auto"/>
      <w:ind w:firstLine="723" w:firstLineChars="200"/>
    </w:pPr>
    <w:rPr>
      <w:rFonts w:ascii="Times New Roman" w:hAnsi="Times New Roman" w:eastAsia="宋体" w:cs="宋体"/>
      <w:sz w:val="24"/>
      <w:szCs w:val="24"/>
      <w:lang w:val="en-US" w:eastAsia="zh-CN" w:bidi="ar-SA"/>
    </w:rPr>
  </w:style>
  <w:style w:type="table" w:customStyle="1" w:styleId="115">
    <w:name w:val="表格式4"/>
    <w:basedOn w:val="25"/>
    <w:qFormat/>
    <w:uiPriority w:val="59"/>
    <w:pPr>
      <w:widowControl w:val="0"/>
      <w:spacing w:before="120" w:after="120" w:line="360" w:lineRule="exact"/>
      <w:ind w:firstLine="482"/>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6">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117">
    <w:name w:val="li_正文"/>
    <w:basedOn w:val="1"/>
    <w:qFormat/>
    <w:uiPriority w:val="0"/>
    <w:pPr>
      <w:ind w:firstLine="200" w:firstLineChars="200"/>
      <w:jc w:val="left"/>
    </w:pPr>
    <w:rPr>
      <w:rFonts w:ascii="Calibri" w:hAnsi="Calibri"/>
      <w:sz w:val="28"/>
      <w:szCs w:val="28"/>
    </w:rPr>
  </w:style>
  <w:style w:type="paragraph" w:customStyle="1" w:styleId="118">
    <w:name w:val=" Char Char Char Char Char Char Char"/>
    <w:basedOn w:val="1"/>
    <w:qFormat/>
    <w:uiPriority w:val="0"/>
    <w:pPr>
      <w:snapToGrid w:val="0"/>
      <w:spacing w:line="360" w:lineRule="auto"/>
      <w:ind w:firstLine="529" w:firstLineChars="200"/>
    </w:pPr>
  </w:style>
  <w:style w:type="paragraph" w:customStyle="1" w:styleId="119">
    <w:name w:val="Table Text"/>
    <w:basedOn w:val="1"/>
    <w:semiHidden/>
    <w:qFormat/>
    <w:uiPriority w:val="0"/>
    <w:rPr>
      <w:rFonts w:ascii="宋体" w:hAnsi="宋体" w:eastAsia="宋体" w:cs="宋体"/>
      <w:sz w:val="22"/>
      <w:szCs w:val="22"/>
      <w:lang w:val="en-US" w:eastAsia="en-US" w:bidi="ar-SA"/>
    </w:rPr>
  </w:style>
  <w:style w:type="character" w:customStyle="1" w:styleId="120">
    <w:name w:val="font41"/>
    <w:basedOn w:val="27"/>
    <w:qFormat/>
    <w:uiPriority w:val="0"/>
    <w:rPr>
      <w:rFonts w:hint="eastAsia" w:ascii="宋体" w:hAnsi="宋体" w:eastAsia="宋体" w:cs="宋体"/>
      <w:color w:val="000000"/>
      <w:sz w:val="22"/>
      <w:szCs w:val="22"/>
      <w:u w:val="none"/>
    </w:rPr>
  </w:style>
  <w:style w:type="paragraph" w:customStyle="1" w:styleId="121">
    <w:name w:val="qsf Char Char Char"/>
    <w:basedOn w:val="1"/>
    <w:qFormat/>
    <w:uiPriority w:val="0"/>
    <w:pPr>
      <w:spacing w:line="540" w:lineRule="exact"/>
      <w:ind w:firstLine="200" w:firstLineChars="200"/>
    </w:pPr>
    <w:rPr>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7.png"/><Relationship Id="rId52" Type="http://schemas.openxmlformats.org/officeDocument/2006/relationships/image" Target="media/image36.jpeg"/><Relationship Id="rId51" Type="http://schemas.openxmlformats.org/officeDocument/2006/relationships/image" Target="media/image35.jpe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microsoft.com/office/2011/relationships/commentsExtended" Target="commentsExtended.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3.bin"/><Relationship Id="rId30" Type="http://schemas.openxmlformats.org/officeDocument/2006/relationships/image" Target="media/image15.png"/><Relationship Id="rId3" Type="http://schemas.openxmlformats.org/officeDocument/2006/relationships/comments" Target="comment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emf"/><Relationship Id="rId17" Type="http://schemas.openxmlformats.org/officeDocument/2006/relationships/oleObject" Target="embeddings/oleObject1.bin"/><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115</Pages>
  <Words>6880</Words>
  <Characters>7083</Characters>
  <Lines>218</Lines>
  <Paragraphs>61</Paragraphs>
  <TotalTime>1</TotalTime>
  <ScaleCrop>false</ScaleCrop>
  <LinksUpToDate>false</LinksUpToDate>
  <CharactersWithSpaces>7141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2021-05-01T12:02:00Z</dcterms:created>
  <dc:creator>曹昌炜</dc:creator>
  <cp:lastModifiedBy>一晨</cp:lastModifiedBy>
  <dcterms:modified xsi:type="dcterms:W3CDTF">2026-05-06T03:20:31Z</dcterms:modified>
  <dc:title>_x0001_</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F2570FF546344135ABCBA898D9146240</vt:lpwstr>
  </property>
  <property fmtid="{D5CDD505-2E9C-101B-9397-08002B2CF9AE}" pid="4" name="KSOTemplateDocerSaveRecord">
    <vt:lpwstr>eyJoZGlkIjoiNDg3ZjFlZGFjNTkxNjBhYzY0NGE1NGUyZDA2YzZlZDIiLCJ1c2VySWQiOiI0NDgxODczOTMifQ==</vt:lpwstr>
  </property>
</Properties>
</file>