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280ED7">
      <w:pPr>
        <w:spacing w:line="600" w:lineRule="exact"/>
        <w:ind w:left="1475" w:leftChars="100" w:hanging="1265" w:hangingChars="350"/>
        <w:rPr>
          <w:rFonts w:ascii="方正仿宋简体" w:hAnsi="方正仿宋简体" w:eastAsia="方正仿宋简体" w:cs="Times New Roman"/>
          <w:sz w:val="32"/>
          <w:szCs w:val="32"/>
        </w:rPr>
      </w:pPr>
      <w:r>
        <w:rPr>
          <w:rFonts w:hint="eastAsia" w:ascii="仿宋" w:hAnsi="仿宋" w:eastAsia="仿宋" w:cs="Times New Roman"/>
          <w:b/>
          <w:bCs/>
          <w:kern w:val="0"/>
          <w:sz w:val="36"/>
          <w:szCs w:val="36"/>
          <w:lang w:eastAsia="zh-CN"/>
        </w:rPr>
        <w:t>环评批复公示：</w:t>
      </w:r>
    </w:p>
    <w:p w14:paraId="733459D0">
      <w:pPr>
        <w:jc w:val="center"/>
        <w:rPr>
          <w:rFonts w:hint="eastAsia" w:ascii="仿宋_GB2312" w:hAnsi="仿宋_GB2312" w:eastAsia="仿宋_GB2312" w:cs="仿宋_GB2312"/>
          <w:sz w:val="32"/>
          <w:szCs w:val="32"/>
        </w:rPr>
      </w:pPr>
    </w:p>
    <w:p w14:paraId="04FF0D33">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四环审字〔202</w:t>
      </w:r>
      <w:r>
        <w:rPr>
          <w:rFonts w:hint="default" w:ascii="仿宋_GB2312" w:hAnsi="仿宋_GB2312" w:eastAsia="仿宋_GB2312" w:cs="仿宋_GB2312"/>
          <w:sz w:val="32"/>
          <w:szCs w:val="32"/>
          <w:lang w:val="en"/>
        </w:rPr>
        <w:t>5</w:t>
      </w:r>
      <w:r>
        <w:rPr>
          <w:rFonts w:hint="eastAsia" w:ascii="仿宋_GB2312" w:hAnsi="仿宋_GB2312" w:eastAsia="仿宋_GB2312" w:cs="仿宋_GB2312"/>
          <w:sz w:val="32"/>
          <w:szCs w:val="32"/>
        </w:rPr>
        <w:t>〕</w:t>
      </w:r>
      <w:r>
        <w:rPr>
          <w:rFonts w:hint="default" w:ascii="仿宋_GB2312" w:hAnsi="仿宋_GB2312" w:eastAsia="仿宋_GB2312" w:cs="仿宋_GB2312"/>
          <w:sz w:val="32"/>
          <w:szCs w:val="32"/>
          <w:lang w:val="en"/>
        </w:rPr>
        <w:t>1</w:t>
      </w:r>
      <w:r>
        <w:rPr>
          <w:rFonts w:hint="eastAsia" w:ascii="仿宋_GB2312" w:hAnsi="仿宋_GB2312" w:eastAsia="仿宋_GB2312" w:cs="仿宋_GB2312"/>
          <w:sz w:val="32"/>
          <w:szCs w:val="32"/>
        </w:rPr>
        <w:t>号</w:t>
      </w:r>
    </w:p>
    <w:p w14:paraId="5365874F">
      <w:pPr>
        <w:pStyle w:val="2"/>
        <w:rPr>
          <w:rFonts w:hint="eastAsia"/>
        </w:rPr>
      </w:pPr>
    </w:p>
    <w:p w14:paraId="6173ECC6">
      <w:pPr>
        <w:spacing w:line="560" w:lineRule="exact"/>
        <w:jc w:val="center"/>
        <w:rPr>
          <w:rFonts w:hint="eastAsia" w:ascii="方正小标宋简体" w:eastAsia="方正小标宋简体" w:cs="方正小标宋简体"/>
          <w:color w:val="auto"/>
          <w:sz w:val="36"/>
          <w:szCs w:val="36"/>
        </w:rPr>
      </w:pPr>
      <w:r>
        <w:rPr>
          <w:rFonts w:hint="eastAsia" w:ascii="方正小标宋简体" w:eastAsia="方正小标宋简体" w:cs="方正小标宋简体"/>
          <w:color w:val="auto"/>
          <w:sz w:val="36"/>
          <w:szCs w:val="36"/>
        </w:rPr>
        <w:t>关于吉林省双辽市盐碱地综合利用试点</w:t>
      </w:r>
    </w:p>
    <w:p w14:paraId="3C0B840F">
      <w:pPr>
        <w:spacing w:line="560" w:lineRule="exact"/>
        <w:jc w:val="center"/>
        <w:rPr>
          <w:rFonts w:ascii="仿宋" w:hAnsi="仿宋" w:eastAsia="仿宋" w:cs="Times New Roman"/>
          <w:color w:val="auto"/>
          <w:kern w:val="0"/>
          <w:sz w:val="36"/>
          <w:szCs w:val="36"/>
        </w:rPr>
      </w:pPr>
      <w:r>
        <w:rPr>
          <w:rFonts w:hint="eastAsia" w:ascii="方正小标宋简体" w:eastAsia="方正小标宋简体" w:cs="方正小标宋简体"/>
          <w:color w:val="auto"/>
          <w:sz w:val="36"/>
          <w:szCs w:val="36"/>
        </w:rPr>
        <w:t>项目环境影响报告书的批复</w:t>
      </w:r>
    </w:p>
    <w:p w14:paraId="2B4F8AD5">
      <w:pPr>
        <w:rPr>
          <w:rFonts w:hint="eastAsia" w:ascii="仿宋_GB2312" w:hAnsi="仿宋_GB2312" w:eastAsia="仿宋_GB2312" w:cs="仿宋_GB2312"/>
          <w:kern w:val="0"/>
          <w:sz w:val="32"/>
          <w:szCs w:val="32"/>
          <w:lang w:eastAsia="zh-CN"/>
        </w:rPr>
      </w:pPr>
    </w:p>
    <w:p w14:paraId="45D54A79">
      <w:pPr>
        <w:spacing w:line="500" w:lineRule="exac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双辽市农田建设项目领导小组办公室</w:t>
      </w:r>
      <w:r>
        <w:rPr>
          <w:rFonts w:hint="eastAsia" w:ascii="仿宋_GB2312" w:hAnsi="仿宋_GB2312" w:eastAsia="仿宋_GB2312" w:cs="仿宋_GB2312"/>
          <w:sz w:val="32"/>
          <w:szCs w:val="32"/>
          <w:lang w:eastAsia="zh-CN"/>
        </w:rPr>
        <w:t>:</w:t>
      </w:r>
    </w:p>
    <w:p w14:paraId="0A41BB5A">
      <w:pPr>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你单位报送的《吉林省双辽市盐碱地综合利用试点项目》的审批申请和委托吉林省环科工程设计咨询有限公司编制的《吉林省双辽市盐碱地综合利用试点项目环境影响报告书（报批版）》收悉。根据环境影响报告书的结论和专家意见，经研究，批复如下：</w:t>
      </w:r>
    </w:p>
    <w:p w14:paraId="48236BE3">
      <w:pPr>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一、本次评价的内容为盐碱地综合利用试点项目中配套的取水工程，工程内容为新建92眼灌溉水井（秀水片区31眼、百䘵片区61眼），作为抗旱井，年取用地下水45.85万m</w:t>
      </w:r>
      <w:r>
        <w:rPr>
          <w:rFonts w:hint="eastAsia" w:ascii="仿宋_GB2312" w:hAnsi="仿宋_GB2312" w:eastAsia="仿宋_GB2312" w:cs="仿宋_GB2312"/>
          <w:sz w:val="32"/>
          <w:szCs w:val="32"/>
          <w:vertAlign w:val="superscript"/>
        </w:rPr>
        <w:t>3</w:t>
      </w:r>
      <w:r>
        <w:rPr>
          <w:rFonts w:hint="eastAsia" w:ascii="仿宋_GB2312" w:hAnsi="仿宋_GB2312" w:eastAsia="仿宋_GB2312" w:cs="仿宋_GB2312"/>
          <w:sz w:val="32"/>
          <w:szCs w:val="32"/>
        </w:rPr>
        <w:t>/a。本项目建设前后区域生态功能不变，项目建成后，区域仍为农业生态系统。</w:t>
      </w:r>
    </w:p>
    <w:p w14:paraId="774125DC">
      <w:pPr>
        <w:autoSpaceDE w:val="0"/>
        <w:autoSpaceDN w:val="0"/>
        <w:adjustRightInd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该项目符合国家产业政策，符合四平市“三线一单”生态环境分区管控和准入要求。在严格遵</w:t>
      </w:r>
      <w:r>
        <w:rPr>
          <w:rFonts w:hint="eastAsia" w:ascii="仿宋_GB2312" w:hAnsi="仿宋_GB2312" w:eastAsia="仿宋_GB2312" w:cs="仿宋_GB2312"/>
          <w:color w:val="000000"/>
          <w:sz w:val="32"/>
          <w:szCs w:val="32"/>
        </w:rPr>
        <w:t>守自然资源、农业农村、林业和水利等部门要求的基础上，从</w:t>
      </w:r>
      <w:r>
        <w:rPr>
          <w:rFonts w:hint="eastAsia" w:ascii="仿宋_GB2312" w:hAnsi="仿宋_GB2312" w:eastAsia="仿宋_GB2312" w:cs="仿宋_GB2312"/>
          <w:sz w:val="32"/>
          <w:szCs w:val="32"/>
        </w:rPr>
        <w:t>生态环境影响角度出发，我局原则同意环境影响报告书中所列建设项目的性质、规模、工艺、地点和拟采取的环境保护措施。你</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必须严格落实报告书中提出的各项污染防治措施、生态保护与修复措施及环境风险防范措施，加强土壤和地下水的动态监测，制定生态风险防范方案和应急预案，确保各项污染物达标排放且环境风险可控。</w:t>
      </w:r>
    </w:p>
    <w:p w14:paraId="62C0810C">
      <w:pPr>
        <w:numPr>
          <w:ilvl w:val="0"/>
          <w:numId w:val="1"/>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项目应重点做好以下工作：</w:t>
      </w:r>
    </w:p>
    <w:p w14:paraId="3A3F82EA">
      <w:pPr>
        <w:pStyle w:val="32"/>
        <w:numPr>
          <w:ilvl w:val="0"/>
          <w:numId w:val="2"/>
        </w:numPr>
        <w:spacing w:line="240" w:lineRule="auto"/>
        <w:ind w:firstLine="6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你单位应当将环境保护设施建设纳入施工合同，保证在项目建设过程中同时组织实施环境影响报告书及本批复提出的环境保护对策措施。</w:t>
      </w:r>
    </w:p>
    <w:p w14:paraId="1E509D01">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（二）认真落实生态防护措施</w:t>
      </w:r>
    </w:p>
    <w:p w14:paraId="7B30343A">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理进行施工布置，精心组织施工管理，优化施工方案；严禁施工人员和施工车辆随意践踏破坏周围耕地、植被等。施工时间避开雨季，减少物料及耕地土壤扰动遭雨水冲刷对水环境的影响。严格按照喷灌周期和喷灌次数进行科学灌溉，严禁过度取水及过度灌溉。严格落实野生动植物保护措施，控制生产作业面积，杜绝因管理不善及作业方式不合理而产生对动植物和土地资源的影响和破坏。</w:t>
      </w:r>
    </w:p>
    <w:p w14:paraId="0A910B07">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（三）落实大气污染防治措施</w:t>
      </w:r>
    </w:p>
    <w:p w14:paraId="4416E76C">
      <w:pPr>
        <w:autoSpaceDE w:val="0"/>
        <w:autoSpaceDN w:val="0"/>
        <w:adjustRightInd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距离居民较近的施工现场应设置封闭施工围挡，各种起尘物料应设立临时仓库或篷布遮盖、封闭施工场地等措施；施工场地及内部运输通道应采取及时清扫、定期洒水等措施，防止浮尘，禁止大风天施工；运输车辆进入施工场地要求施工车辆定期维护，减速慢行，减少尾气和扬尘对周围环境的影响；所有来往施工场地的起尘物料均应用苫布覆盖，严禁沿路遗洒。施工过程中采用商品砼和水泥预制件，不用干水泥；剥离的表土在附近农田内暂存，采用苫盖措施防止扬尘、采用围挡防止水土流失措施。粉尘执行《大气污染物综合排放标准》(GB16297-1996)无组织排放标准。</w:t>
      </w:r>
    </w:p>
    <w:p w14:paraId="4BEC1F06">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（四）落实水污染防治措施</w:t>
      </w:r>
    </w:p>
    <w:p w14:paraId="69595D24">
      <w:pPr>
        <w:autoSpaceDE w:val="0"/>
        <w:autoSpaceDN w:val="0"/>
        <w:adjustRightInd w:val="0"/>
        <w:ind w:firstLine="640" w:firstLineChars="200"/>
        <w:jc w:val="both"/>
        <w:rPr>
          <w:rFonts w:hint="eastAsia" w:ascii="仿宋_GB2312" w:hAnsi="仿宋_GB2312" w:eastAsia="仿宋_GB2312" w:cs="仿宋_GB2312"/>
          <w:color w:val="0000FF"/>
          <w:sz w:val="32"/>
          <w:szCs w:val="32"/>
        </w:rPr>
      </w:pPr>
      <w:r>
        <w:rPr>
          <w:rFonts w:hint="eastAsia" w:ascii="仿宋_GB2312" w:hAnsi="仿宋_GB2312" w:eastAsia="仿宋_GB2312" w:cs="仿宋_GB2312"/>
          <w:sz w:val="32"/>
          <w:szCs w:val="32"/>
        </w:rPr>
        <w:t>施工期间：施工人员生活污水排入移动式室外防渗旱厕，定期清抽外运做农家肥处理；施工废水（打井工程废水和洗井废水等）排入防渗池内沉淀，上清液全部回用于施工现场洒水降尘，不外排；试验抽水用于田间灌溉。</w:t>
      </w:r>
    </w:p>
    <w:p w14:paraId="1D3B1AED">
      <w:pPr>
        <w:autoSpaceDE w:val="0"/>
        <w:autoSpaceDN w:val="0"/>
        <w:adjustRightInd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运营期间：加强水资源保护，合理开采地下水资源，防止土壤次生盐渍化和防止过量开采。井管外封闭时应采用优质黏土，严格按照相关规范进行，有效阻断各含水层之间相互渗透，避免污染地下水水质。</w:t>
      </w:r>
    </w:p>
    <w:p w14:paraId="583CE0B3">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（五）落实噪声防治措施</w:t>
      </w:r>
    </w:p>
    <w:p w14:paraId="47B3C8FF">
      <w:pPr>
        <w:autoSpaceDE w:val="0"/>
        <w:autoSpaceDN w:val="0"/>
        <w:adjustRightInd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施工期间：施工单位应首先选用符合国家相关标准的低噪声的运输车辆、施工机械等。统筹施工时间，根据施工作业各阶段的具体情况，尽量避免高噪声机械设备集中使用。距离居民较近的工程施工时，在靠近居民侧设置临时隔声屏障。合理安排施工作业时间，不得在12:00-13:00和22:00-6:00期间施工。控制运输车辆车速，避免鸣笛，减少车辆鸣笛产生的噪声对环境的影响。施工期噪声执行《建筑施工场界环境噪声排放标准》（GB12523-2011）标准。</w:t>
      </w:r>
    </w:p>
    <w:p w14:paraId="2CF9587C">
      <w:pPr>
        <w:autoSpaceDE w:val="0"/>
        <w:autoSpaceDN w:val="0"/>
        <w:adjustRightInd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运营期间：通过首先选购低噪声的农用井泵设备，项目噪声达到《工业企业厂界环境噪声排放标准》（GB12348—2008）中的1类区标准要求。采取限速、禁鸣等措施后，有效降低机动车辆产生的噪声影响。</w:t>
      </w:r>
    </w:p>
    <w:p w14:paraId="161B6848">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（六）落实固体废物污染防治措施</w:t>
      </w:r>
    </w:p>
    <w:p w14:paraId="09106D5B">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施工期打井泥浆堆存于防渗池内，自然固化后回用于道路工程；打井岩屑用于机耕路铺路使用；施工人员产生的生活垃圾集中收集，由环卫部门统一处理。</w:t>
      </w:r>
    </w:p>
    <w:p w14:paraId="0AAE33D3">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（七）落实土壤污染防治措施</w:t>
      </w:r>
    </w:p>
    <w:p w14:paraId="4B0910A5">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施工期废水及固体废物严格按照各项措施处理处置，避免污染周边土壤环境。施工区域内涉及耕地区域进行表土剥离，并单独堆放，加盖苫布，施工结束后分层回填，减小对表层土壤的影响。加强施工机械的维护保养，减少机械设备油类跑冒滴漏对土壤的影响。</w:t>
      </w:r>
    </w:p>
    <w:p w14:paraId="4049E200">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项目建设必须严格执行环境保护设施与主体工程同时设计、同时施工、同时投产使用的环境保护“三同时”制度。建设项目在运行前,你单位应当对建设项目环境保护设施进行竣工验收，向社会公开相关信息，并向所在地县级以上环境保护主管部门报送，接受监督检查。</w:t>
      </w:r>
    </w:p>
    <w:p w14:paraId="1783A9D9">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根据环境影响评价法规定，建设项目的环境影响评价文件经批准后，建设项目发生重大变动的，你单位应当重新报批建设项目的环境影响评价文件。建设项目的环境影响评价文件自批准之日起超过五年，方决定该项目开工建设的，其环境影响评价文件应当报我局重新审核。</w:t>
      </w:r>
    </w:p>
    <w:p w14:paraId="3B74BAD4">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五、本项目由我局委托四平市生态环境局双辽市分局负责该项目的“三同时”监督检查和管理工作。</w:t>
      </w:r>
    </w:p>
    <w:p w14:paraId="401EB7C3">
      <w:pPr>
        <w:spacing w:line="560" w:lineRule="exact"/>
        <w:ind w:firstLine="5440" w:firstLineChars="1700"/>
        <w:rPr>
          <w:rFonts w:hint="eastAsia" w:ascii="仿宋_GB2312" w:hAnsi="仿宋_GB2312" w:eastAsia="仿宋_GB2312" w:cs="仿宋_GB2312"/>
          <w:sz w:val="32"/>
          <w:szCs w:val="32"/>
        </w:rPr>
      </w:pPr>
    </w:p>
    <w:p w14:paraId="549EEA08">
      <w:pPr>
        <w:spacing w:line="560" w:lineRule="exact"/>
        <w:ind w:firstLine="5440" w:firstLineChars="1700"/>
        <w:rPr>
          <w:rFonts w:hint="eastAsia" w:ascii="仿宋_GB2312" w:hAnsi="仿宋_GB2312" w:eastAsia="仿宋_GB2312" w:cs="仿宋_GB2312"/>
          <w:sz w:val="32"/>
          <w:szCs w:val="32"/>
        </w:rPr>
      </w:pPr>
    </w:p>
    <w:p w14:paraId="2589D9E4">
      <w:pPr>
        <w:spacing w:line="560" w:lineRule="exact"/>
        <w:ind w:firstLine="5440" w:firstLineChars="17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四平市生态环境局</w:t>
      </w:r>
    </w:p>
    <w:p w14:paraId="219ADA76">
      <w:pPr>
        <w:spacing w:line="560" w:lineRule="exact"/>
        <w:ind w:firstLine="5280" w:firstLineChars="1650"/>
        <w:rPr>
          <w:rFonts w:ascii="方正仿宋简体" w:eastAsia="方正仿宋简体" w:cs="方正仿宋简体"/>
          <w:sz w:val="32"/>
          <w:szCs w:val="32"/>
          <w:u w:val="single"/>
        </w:rPr>
      </w:pPr>
      <w:r>
        <w:rPr>
          <w:rFonts w:hint="eastAsia" w:ascii="仿宋_GB2312" w:hAnsi="仿宋_GB2312" w:eastAsia="仿宋_GB2312" w:cs="仿宋_GB2312"/>
          <w:color w:val="auto"/>
          <w:sz w:val="32"/>
          <w:szCs w:val="32"/>
        </w:rPr>
        <w:t xml:space="preserve"> </w:t>
      </w:r>
      <w:r>
        <w:rPr>
          <w:rFonts w:hint="default" w:ascii="仿宋_GB2312" w:hAnsi="仿宋_GB2312" w:eastAsia="仿宋_GB2312" w:cs="仿宋_GB2312"/>
          <w:color w:val="auto"/>
          <w:sz w:val="32"/>
          <w:szCs w:val="32"/>
          <w:lang w:val="en"/>
        </w:rPr>
        <w:t xml:space="preserve"> </w:t>
      </w:r>
      <w:r>
        <w:rPr>
          <w:rFonts w:hint="eastAsia" w:ascii="仿宋_GB2312" w:hAnsi="仿宋_GB2312" w:eastAsia="仿宋_GB2312" w:cs="仿宋_GB2312"/>
          <w:color w:val="auto"/>
          <w:sz w:val="32"/>
          <w:szCs w:val="32"/>
        </w:rPr>
        <w:t>202</w:t>
      </w:r>
      <w:r>
        <w:rPr>
          <w:rFonts w:hint="default" w:ascii="仿宋_GB2312" w:hAnsi="仿宋_GB2312" w:eastAsia="仿宋_GB2312" w:cs="仿宋_GB2312"/>
          <w:color w:val="auto"/>
          <w:sz w:val="32"/>
          <w:szCs w:val="32"/>
          <w:lang w:val="en"/>
        </w:rPr>
        <w:t>5</w:t>
      </w:r>
      <w:r>
        <w:rPr>
          <w:rFonts w:hint="eastAsia" w:ascii="仿宋_GB2312" w:hAnsi="仿宋_GB2312" w:eastAsia="仿宋_GB2312" w:cs="仿宋_GB2312"/>
          <w:color w:val="auto"/>
          <w:sz w:val="32"/>
          <w:szCs w:val="32"/>
        </w:rPr>
        <w:t>年</w:t>
      </w:r>
      <w:r>
        <w:rPr>
          <w:rFonts w:hint="default" w:ascii="仿宋_GB2312" w:hAnsi="仿宋_GB2312" w:eastAsia="仿宋_GB2312" w:cs="仿宋_GB2312"/>
          <w:color w:val="auto"/>
          <w:sz w:val="32"/>
          <w:szCs w:val="32"/>
          <w:lang w:val="en"/>
        </w:rPr>
        <w:t>4</w:t>
      </w:r>
      <w:r>
        <w:rPr>
          <w:rFonts w:hint="eastAsia" w:ascii="仿宋_GB2312" w:hAnsi="仿宋_GB2312" w:eastAsia="仿宋_GB2312" w:cs="仿宋_GB2312"/>
          <w:color w:val="auto"/>
          <w:sz w:val="32"/>
          <w:szCs w:val="32"/>
        </w:rPr>
        <w:t>月</w:t>
      </w:r>
      <w:r>
        <w:rPr>
          <w:rFonts w:hint="default" w:ascii="仿宋_GB2312" w:hAnsi="仿宋_GB2312" w:eastAsia="仿宋_GB2312" w:cs="仿宋_GB2312"/>
          <w:color w:val="auto"/>
          <w:sz w:val="32"/>
          <w:szCs w:val="32"/>
          <w:lang w:val="en"/>
        </w:rPr>
        <w:t>2</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日</w:t>
      </w:r>
      <w:bookmarkStart w:id="0" w:name="_GoBack"/>
      <w:bookmarkEnd w:id="0"/>
    </w:p>
    <w:p w14:paraId="11989EF9">
      <w:pPr>
        <w:pStyle w:val="2"/>
      </w:pPr>
    </w:p>
    <w:p w14:paraId="5472356E"/>
    <w:p w14:paraId="618F4FA3"/>
    <w:p w14:paraId="2E57F945">
      <w:pPr>
        <w:spacing w:line="560" w:lineRule="exact"/>
        <w:rPr>
          <w:rFonts w:ascii="方正仿宋简体" w:eastAsia="方正仿宋简体" w:cs="方正仿宋简体"/>
          <w:sz w:val="32"/>
          <w:szCs w:val="32"/>
          <w:u w:val="single"/>
        </w:rPr>
      </w:pPr>
      <w:r>
        <w:rPr>
          <w:rFonts w:hint="eastAsia" w:asciiTheme="minorEastAsia" w:hAnsiTheme="minorEastAsia" w:eastAsiaTheme="minorEastAsia" w:cstheme="minorEastAsia"/>
          <w:i w:val="0"/>
          <w:iCs w:val="0"/>
          <w:caps w:val="0"/>
          <w:color w:val="333333"/>
          <w:spacing w:val="0"/>
          <w:sz w:val="28"/>
          <w:szCs w:val="28"/>
        </w:rPr>
        <w:t>行政复议与行政诉讼权利告知：依据《中华人民共和国行政复议法》和《中华人民共和国行政诉讼法》，公民、法人或者其他组织认为公告的建设项目环境影响评价文件审批决定侵犯其合法权益的，可以自公告期限届满之日起六十日内提起行政复议，也可以自公告期限届满之日起六个月内提起行政诉讼。</w:t>
      </w:r>
      <w:r>
        <w:rPr>
          <w:rFonts w:hint="eastAsia" w:asciiTheme="minorEastAsia" w:hAnsiTheme="minorEastAsia" w:eastAsiaTheme="minorEastAsia" w:cstheme="minorEastAsia"/>
          <w:i w:val="0"/>
          <w:iCs w:val="0"/>
          <w:caps w:val="0"/>
          <w:color w:val="333333"/>
          <w:spacing w:val="0"/>
          <w:sz w:val="28"/>
          <w:szCs w:val="28"/>
        </w:rPr>
        <w:br w:type="textWrapping"/>
      </w:r>
      <w:r>
        <w:rPr>
          <w:rFonts w:hint="eastAsia" w:asciiTheme="minorEastAsia" w:hAnsiTheme="minorEastAsia" w:eastAsiaTheme="minorEastAsia" w:cstheme="minorEastAsia"/>
          <w:i w:val="0"/>
          <w:iCs w:val="0"/>
          <w:caps w:val="0"/>
          <w:color w:val="333333"/>
          <w:spacing w:val="0"/>
          <w:sz w:val="28"/>
          <w:szCs w:val="28"/>
        </w:rPr>
        <w:t>联系</w:t>
      </w:r>
      <w:r>
        <w:rPr>
          <w:rFonts w:hint="eastAsia" w:asciiTheme="minorEastAsia" w:hAnsiTheme="minorEastAsia" w:eastAsiaTheme="minorEastAsia" w:cstheme="minorEastAsia"/>
          <w:i w:val="0"/>
          <w:iCs w:val="0"/>
          <w:caps w:val="0"/>
          <w:color w:val="333333"/>
          <w:spacing w:val="0"/>
          <w:sz w:val="28"/>
          <w:szCs w:val="28"/>
          <w:lang w:eastAsia="zh-CN"/>
        </w:rPr>
        <w:t>电话</w:t>
      </w:r>
      <w:r>
        <w:rPr>
          <w:rFonts w:hint="eastAsia" w:asciiTheme="minorEastAsia" w:hAnsiTheme="minorEastAsia" w:eastAsiaTheme="minorEastAsia" w:cstheme="minorEastAsia"/>
          <w:i w:val="0"/>
          <w:iCs w:val="0"/>
          <w:caps w:val="0"/>
          <w:color w:val="333333"/>
          <w:spacing w:val="0"/>
          <w:sz w:val="28"/>
          <w:szCs w:val="28"/>
        </w:rPr>
        <w:t>：</w:t>
      </w:r>
      <w:r>
        <w:rPr>
          <w:rFonts w:hint="eastAsia" w:asciiTheme="minorEastAsia" w:hAnsiTheme="minorEastAsia" w:eastAsiaTheme="minorEastAsia" w:cstheme="minorEastAsia"/>
          <w:i w:val="0"/>
          <w:iCs w:val="0"/>
          <w:caps w:val="0"/>
          <w:color w:val="333333"/>
          <w:spacing w:val="0"/>
          <w:sz w:val="28"/>
          <w:szCs w:val="28"/>
          <w:lang w:val="en-US" w:eastAsia="zh-CN"/>
        </w:rPr>
        <w:t>0434-5188625     邮箱：sphbjspb@163.com</w:t>
      </w:r>
    </w:p>
    <w:p w14:paraId="0AE1A9B4">
      <w:pPr>
        <w:spacing w:line="560" w:lineRule="exact"/>
        <w:rPr>
          <w:rFonts w:ascii="方正仿宋简体" w:hAnsi="仿宋" w:eastAsia="方正仿宋简体" w:cs="Times New Roman"/>
          <w:sz w:val="32"/>
          <w:szCs w:val="32"/>
        </w:rPr>
      </w:pPr>
    </w:p>
    <w:sectPr>
      <w:footerReference r:id="rId3" w:type="default"/>
      <w:pgSz w:w="11906" w:h="16838"/>
      <w:pgMar w:top="1440" w:right="1800" w:bottom="1440" w:left="180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宋体谥耎...">
    <w:altName w:val="宋体"/>
    <w:panose1 w:val="00000000000000000000"/>
    <w:charset w:val="86"/>
    <w:family w:val="roman"/>
    <w:pitch w:val="default"/>
    <w:sig w:usb0="00000000" w:usb1="00000000" w:usb2="00000010" w:usb3="00000000" w:csb0="00040000" w:csb1="00000000"/>
  </w:font>
  <w:font w:name="??">
    <w:altName w:val="DejaVu Math TeX Gyre"/>
    <w:panose1 w:val="00000000000000000000"/>
    <w:charset w:val="00"/>
    <w:family w:val="auto"/>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方正仿宋简体">
    <w:altName w:val="微软雅黑"/>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D8F78">
    <w:pPr>
      <w:pStyle w:val="10"/>
      <w:framePr w:wrap="auto" w:vAnchor="text" w:hAnchor="margin" w:xAlign="center" w:y="1"/>
      <w:rPr>
        <w:rStyle w:val="15"/>
      </w:rPr>
    </w:pPr>
    <w:r>
      <w:rPr>
        <w:rStyle w:val="15"/>
        <w:rFonts w:cs="Calibri"/>
      </w:rPr>
      <w:fldChar w:fldCharType="begin"/>
    </w:r>
    <w:r>
      <w:rPr>
        <w:rStyle w:val="15"/>
        <w:rFonts w:cs="Calibri"/>
      </w:rPr>
      <w:instrText xml:space="preserve">PAGE  </w:instrText>
    </w:r>
    <w:r>
      <w:rPr>
        <w:rStyle w:val="15"/>
        <w:rFonts w:cs="Calibri"/>
      </w:rPr>
      <w:fldChar w:fldCharType="separate"/>
    </w:r>
    <w:r>
      <w:rPr>
        <w:rStyle w:val="15"/>
        <w:rFonts w:cs="Calibri"/>
      </w:rPr>
      <w:t>3</w:t>
    </w:r>
    <w:r>
      <w:rPr>
        <w:rStyle w:val="15"/>
        <w:rFonts w:cs="Calibri"/>
      </w:rPr>
      <w:fldChar w:fldCharType="end"/>
    </w:r>
  </w:p>
  <w:p w14:paraId="50028BDD">
    <w:pPr>
      <w:pStyle w:val="10"/>
      <w:ind w:right="360"/>
      <w:rPr>
        <w:rFonts w:cs="Times New Roma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9F0C7E"/>
    <w:multiLevelType w:val="singleLevel"/>
    <w:tmpl w:val="F79F0C7E"/>
    <w:lvl w:ilvl="0" w:tentative="0">
      <w:start w:val="2"/>
      <w:numFmt w:val="chineseCounting"/>
      <w:suff w:val="nothing"/>
      <w:lvlText w:val="%1、"/>
      <w:lvlJc w:val="left"/>
      <w:rPr>
        <w:rFonts w:cs="Times New Roman"/>
      </w:rPr>
    </w:lvl>
  </w:abstractNum>
  <w:abstractNum w:abstractNumId="1">
    <w:nsid w:val="FF63287B"/>
    <w:multiLevelType w:val="singleLevel"/>
    <w:tmpl w:val="FF63287B"/>
    <w:lvl w:ilvl="0" w:tentative="0">
      <w:start w:val="1"/>
      <w:numFmt w:val="chineseCounting"/>
      <w:suff w:val="nothing"/>
      <w:lvlText w:val="（%1）"/>
      <w:lvlJc w:val="left"/>
      <w:rPr>
        <w:rFonts w:cs="Times New Roman"/>
      </w:rPr>
    </w:lvl>
  </w:abstractNum>
  <w:num w:numId="1">
    <w:abstractNumId w:val="0"/>
    <w:lvlOverride w:ilvl="0">
      <w:startOverride w:val="2"/>
    </w:lvlOverride>
  </w:num>
  <w:num w:numId="2">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FB8"/>
    <w:rsid w:val="00000328"/>
    <w:rsid w:val="00002004"/>
    <w:rsid w:val="00002F00"/>
    <w:rsid w:val="00010938"/>
    <w:rsid w:val="00016068"/>
    <w:rsid w:val="000166F8"/>
    <w:rsid w:val="00027635"/>
    <w:rsid w:val="00030FD3"/>
    <w:rsid w:val="00044126"/>
    <w:rsid w:val="00054D78"/>
    <w:rsid w:val="00064A0F"/>
    <w:rsid w:val="00070183"/>
    <w:rsid w:val="0008028A"/>
    <w:rsid w:val="00080E67"/>
    <w:rsid w:val="0008221A"/>
    <w:rsid w:val="00084B90"/>
    <w:rsid w:val="000A5743"/>
    <w:rsid w:val="000B0262"/>
    <w:rsid w:val="000B13C0"/>
    <w:rsid w:val="000B344B"/>
    <w:rsid w:val="000B7893"/>
    <w:rsid w:val="000C18A7"/>
    <w:rsid w:val="000D7113"/>
    <w:rsid w:val="000E5600"/>
    <w:rsid w:val="000E6C7D"/>
    <w:rsid w:val="000F2201"/>
    <w:rsid w:val="000F2C41"/>
    <w:rsid w:val="00111658"/>
    <w:rsid w:val="00124CB5"/>
    <w:rsid w:val="001372B8"/>
    <w:rsid w:val="00150094"/>
    <w:rsid w:val="001600DC"/>
    <w:rsid w:val="001635F9"/>
    <w:rsid w:val="00170716"/>
    <w:rsid w:val="00180E8B"/>
    <w:rsid w:val="001A1577"/>
    <w:rsid w:val="001A1D96"/>
    <w:rsid w:val="001B1698"/>
    <w:rsid w:val="001B598C"/>
    <w:rsid w:val="001B6024"/>
    <w:rsid w:val="001C088F"/>
    <w:rsid w:val="001C5C8B"/>
    <w:rsid w:val="001C5EB3"/>
    <w:rsid w:val="001D24A1"/>
    <w:rsid w:val="001D3492"/>
    <w:rsid w:val="001E4E3A"/>
    <w:rsid w:val="001E78AC"/>
    <w:rsid w:val="001F104D"/>
    <w:rsid w:val="001F17FE"/>
    <w:rsid w:val="001F6365"/>
    <w:rsid w:val="00204938"/>
    <w:rsid w:val="00211A75"/>
    <w:rsid w:val="00214A5C"/>
    <w:rsid w:val="00224062"/>
    <w:rsid w:val="002306AB"/>
    <w:rsid w:val="002344E1"/>
    <w:rsid w:val="002412AB"/>
    <w:rsid w:val="00243E5F"/>
    <w:rsid w:val="0024489B"/>
    <w:rsid w:val="00251623"/>
    <w:rsid w:val="002573FD"/>
    <w:rsid w:val="00261A8D"/>
    <w:rsid w:val="002819EB"/>
    <w:rsid w:val="00284A34"/>
    <w:rsid w:val="0029413A"/>
    <w:rsid w:val="002A0A3A"/>
    <w:rsid w:val="002A388B"/>
    <w:rsid w:val="002B7C14"/>
    <w:rsid w:val="002D2B04"/>
    <w:rsid w:val="002E04DD"/>
    <w:rsid w:val="002E5E66"/>
    <w:rsid w:val="002F0254"/>
    <w:rsid w:val="002F0A89"/>
    <w:rsid w:val="002F0FB8"/>
    <w:rsid w:val="002F2CB7"/>
    <w:rsid w:val="002F7756"/>
    <w:rsid w:val="00311C1A"/>
    <w:rsid w:val="00312CCE"/>
    <w:rsid w:val="00313569"/>
    <w:rsid w:val="00313A4A"/>
    <w:rsid w:val="0031563C"/>
    <w:rsid w:val="003174CD"/>
    <w:rsid w:val="003211D9"/>
    <w:rsid w:val="00322247"/>
    <w:rsid w:val="003237A3"/>
    <w:rsid w:val="00324099"/>
    <w:rsid w:val="00335246"/>
    <w:rsid w:val="00345DFA"/>
    <w:rsid w:val="003539EF"/>
    <w:rsid w:val="00370265"/>
    <w:rsid w:val="00381EFC"/>
    <w:rsid w:val="00382399"/>
    <w:rsid w:val="00384BD2"/>
    <w:rsid w:val="00390866"/>
    <w:rsid w:val="003A4635"/>
    <w:rsid w:val="003A626B"/>
    <w:rsid w:val="003A7164"/>
    <w:rsid w:val="003C574D"/>
    <w:rsid w:val="003D613F"/>
    <w:rsid w:val="003E02A9"/>
    <w:rsid w:val="003E104F"/>
    <w:rsid w:val="003E7F62"/>
    <w:rsid w:val="003F0661"/>
    <w:rsid w:val="003F284A"/>
    <w:rsid w:val="003F4883"/>
    <w:rsid w:val="003F5600"/>
    <w:rsid w:val="00401694"/>
    <w:rsid w:val="00402734"/>
    <w:rsid w:val="004035D9"/>
    <w:rsid w:val="0040481C"/>
    <w:rsid w:val="00420AAF"/>
    <w:rsid w:val="00423FA8"/>
    <w:rsid w:val="004308F6"/>
    <w:rsid w:val="00437005"/>
    <w:rsid w:val="00443111"/>
    <w:rsid w:val="0044643A"/>
    <w:rsid w:val="00464899"/>
    <w:rsid w:val="00472367"/>
    <w:rsid w:val="004953E3"/>
    <w:rsid w:val="004965A0"/>
    <w:rsid w:val="004A2DAF"/>
    <w:rsid w:val="004B1BBC"/>
    <w:rsid w:val="004C2E0D"/>
    <w:rsid w:val="004D79AF"/>
    <w:rsid w:val="004E32C4"/>
    <w:rsid w:val="004F017C"/>
    <w:rsid w:val="004F658D"/>
    <w:rsid w:val="004F6A47"/>
    <w:rsid w:val="00500BCB"/>
    <w:rsid w:val="00503B09"/>
    <w:rsid w:val="00505C0C"/>
    <w:rsid w:val="00507689"/>
    <w:rsid w:val="00507D12"/>
    <w:rsid w:val="00510272"/>
    <w:rsid w:val="00511618"/>
    <w:rsid w:val="00517662"/>
    <w:rsid w:val="00521A20"/>
    <w:rsid w:val="00525957"/>
    <w:rsid w:val="005305DE"/>
    <w:rsid w:val="0053063B"/>
    <w:rsid w:val="00544796"/>
    <w:rsid w:val="00551C44"/>
    <w:rsid w:val="00570864"/>
    <w:rsid w:val="0057700C"/>
    <w:rsid w:val="00585B3C"/>
    <w:rsid w:val="00596BF2"/>
    <w:rsid w:val="0059720E"/>
    <w:rsid w:val="005A196D"/>
    <w:rsid w:val="005B124A"/>
    <w:rsid w:val="005B1F19"/>
    <w:rsid w:val="005B62AE"/>
    <w:rsid w:val="005C1F89"/>
    <w:rsid w:val="005F28BA"/>
    <w:rsid w:val="005F73CF"/>
    <w:rsid w:val="00601B57"/>
    <w:rsid w:val="00606D28"/>
    <w:rsid w:val="0061281B"/>
    <w:rsid w:val="00620769"/>
    <w:rsid w:val="006272FB"/>
    <w:rsid w:val="006325B0"/>
    <w:rsid w:val="006450AD"/>
    <w:rsid w:val="006476E0"/>
    <w:rsid w:val="006567CC"/>
    <w:rsid w:val="00663FFC"/>
    <w:rsid w:val="00685A52"/>
    <w:rsid w:val="00693A53"/>
    <w:rsid w:val="00696AA5"/>
    <w:rsid w:val="006A6F22"/>
    <w:rsid w:val="006D49E3"/>
    <w:rsid w:val="006D60BE"/>
    <w:rsid w:val="006E0A51"/>
    <w:rsid w:val="006E424C"/>
    <w:rsid w:val="006E6C1A"/>
    <w:rsid w:val="006E78C5"/>
    <w:rsid w:val="006F65AA"/>
    <w:rsid w:val="0071682D"/>
    <w:rsid w:val="00754078"/>
    <w:rsid w:val="0075601E"/>
    <w:rsid w:val="00756ACC"/>
    <w:rsid w:val="0075707A"/>
    <w:rsid w:val="007633F5"/>
    <w:rsid w:val="007767B9"/>
    <w:rsid w:val="007768B9"/>
    <w:rsid w:val="007933DD"/>
    <w:rsid w:val="00794348"/>
    <w:rsid w:val="007956C7"/>
    <w:rsid w:val="00796C58"/>
    <w:rsid w:val="007A6079"/>
    <w:rsid w:val="007B222A"/>
    <w:rsid w:val="007B4713"/>
    <w:rsid w:val="007D44C0"/>
    <w:rsid w:val="007E21B2"/>
    <w:rsid w:val="007E4042"/>
    <w:rsid w:val="007F344B"/>
    <w:rsid w:val="0080698B"/>
    <w:rsid w:val="00817316"/>
    <w:rsid w:val="00823022"/>
    <w:rsid w:val="00825B86"/>
    <w:rsid w:val="00830237"/>
    <w:rsid w:val="0083393B"/>
    <w:rsid w:val="008343FB"/>
    <w:rsid w:val="008348F1"/>
    <w:rsid w:val="008374DE"/>
    <w:rsid w:val="00857F0D"/>
    <w:rsid w:val="00872892"/>
    <w:rsid w:val="008810A6"/>
    <w:rsid w:val="0088210E"/>
    <w:rsid w:val="008949A9"/>
    <w:rsid w:val="008A03A8"/>
    <w:rsid w:val="008B2612"/>
    <w:rsid w:val="008B3125"/>
    <w:rsid w:val="008B3963"/>
    <w:rsid w:val="008B4F3D"/>
    <w:rsid w:val="008B5B82"/>
    <w:rsid w:val="008C59B9"/>
    <w:rsid w:val="008E03BC"/>
    <w:rsid w:val="0090528D"/>
    <w:rsid w:val="00913945"/>
    <w:rsid w:val="009257FE"/>
    <w:rsid w:val="00932E26"/>
    <w:rsid w:val="009441D9"/>
    <w:rsid w:val="009500CD"/>
    <w:rsid w:val="009513FE"/>
    <w:rsid w:val="00952E7C"/>
    <w:rsid w:val="009562EE"/>
    <w:rsid w:val="00964DE1"/>
    <w:rsid w:val="00965085"/>
    <w:rsid w:val="009761B1"/>
    <w:rsid w:val="0098617A"/>
    <w:rsid w:val="00987F87"/>
    <w:rsid w:val="00991548"/>
    <w:rsid w:val="00995E11"/>
    <w:rsid w:val="009C4E03"/>
    <w:rsid w:val="009D6B55"/>
    <w:rsid w:val="009E75C2"/>
    <w:rsid w:val="009F1103"/>
    <w:rsid w:val="009F18BD"/>
    <w:rsid w:val="00A21E05"/>
    <w:rsid w:val="00A2410C"/>
    <w:rsid w:val="00A25CF3"/>
    <w:rsid w:val="00A3721A"/>
    <w:rsid w:val="00A40946"/>
    <w:rsid w:val="00A42030"/>
    <w:rsid w:val="00A45D8B"/>
    <w:rsid w:val="00A468A5"/>
    <w:rsid w:val="00A54913"/>
    <w:rsid w:val="00A573E1"/>
    <w:rsid w:val="00A612AD"/>
    <w:rsid w:val="00A76BC2"/>
    <w:rsid w:val="00A80817"/>
    <w:rsid w:val="00A863D3"/>
    <w:rsid w:val="00A979B9"/>
    <w:rsid w:val="00AA0287"/>
    <w:rsid w:val="00AA74EE"/>
    <w:rsid w:val="00AB6BB9"/>
    <w:rsid w:val="00AD05EF"/>
    <w:rsid w:val="00AE1A31"/>
    <w:rsid w:val="00AF2052"/>
    <w:rsid w:val="00AF2226"/>
    <w:rsid w:val="00AF68CE"/>
    <w:rsid w:val="00B0223D"/>
    <w:rsid w:val="00B05CC2"/>
    <w:rsid w:val="00B12052"/>
    <w:rsid w:val="00B13D21"/>
    <w:rsid w:val="00B147A8"/>
    <w:rsid w:val="00B22169"/>
    <w:rsid w:val="00B26BE0"/>
    <w:rsid w:val="00B345AD"/>
    <w:rsid w:val="00B40EFD"/>
    <w:rsid w:val="00B5229F"/>
    <w:rsid w:val="00B60CA4"/>
    <w:rsid w:val="00B77C61"/>
    <w:rsid w:val="00B81967"/>
    <w:rsid w:val="00B87C3E"/>
    <w:rsid w:val="00B93863"/>
    <w:rsid w:val="00B97551"/>
    <w:rsid w:val="00BA3857"/>
    <w:rsid w:val="00BA6968"/>
    <w:rsid w:val="00BA7570"/>
    <w:rsid w:val="00BB1E95"/>
    <w:rsid w:val="00BC716D"/>
    <w:rsid w:val="00BD2637"/>
    <w:rsid w:val="00BE2E08"/>
    <w:rsid w:val="00BE6868"/>
    <w:rsid w:val="00BE6A89"/>
    <w:rsid w:val="00BE6B0D"/>
    <w:rsid w:val="00BF5856"/>
    <w:rsid w:val="00C04287"/>
    <w:rsid w:val="00C10B43"/>
    <w:rsid w:val="00C20956"/>
    <w:rsid w:val="00C21950"/>
    <w:rsid w:val="00C308D9"/>
    <w:rsid w:val="00C30BB5"/>
    <w:rsid w:val="00C337F1"/>
    <w:rsid w:val="00C41FD2"/>
    <w:rsid w:val="00C63A25"/>
    <w:rsid w:val="00C646C3"/>
    <w:rsid w:val="00C64BD4"/>
    <w:rsid w:val="00C67082"/>
    <w:rsid w:val="00C67B1A"/>
    <w:rsid w:val="00C76C1C"/>
    <w:rsid w:val="00C83497"/>
    <w:rsid w:val="00C83843"/>
    <w:rsid w:val="00CA5E48"/>
    <w:rsid w:val="00CA65F7"/>
    <w:rsid w:val="00CB11AB"/>
    <w:rsid w:val="00CB4BE3"/>
    <w:rsid w:val="00CD7926"/>
    <w:rsid w:val="00CF20C3"/>
    <w:rsid w:val="00CF7642"/>
    <w:rsid w:val="00D01AAF"/>
    <w:rsid w:val="00D04611"/>
    <w:rsid w:val="00D151E5"/>
    <w:rsid w:val="00D17281"/>
    <w:rsid w:val="00D20330"/>
    <w:rsid w:val="00D31292"/>
    <w:rsid w:val="00D318D5"/>
    <w:rsid w:val="00D35954"/>
    <w:rsid w:val="00D556F0"/>
    <w:rsid w:val="00D63D0C"/>
    <w:rsid w:val="00D7390D"/>
    <w:rsid w:val="00D758DD"/>
    <w:rsid w:val="00D76AD1"/>
    <w:rsid w:val="00D87D58"/>
    <w:rsid w:val="00DA3A40"/>
    <w:rsid w:val="00DB5EE1"/>
    <w:rsid w:val="00DC2AF8"/>
    <w:rsid w:val="00DC2FD0"/>
    <w:rsid w:val="00DC3EB7"/>
    <w:rsid w:val="00DC6159"/>
    <w:rsid w:val="00DD42F3"/>
    <w:rsid w:val="00DD57FD"/>
    <w:rsid w:val="00DE2BDC"/>
    <w:rsid w:val="00DE4D0D"/>
    <w:rsid w:val="00DF62D7"/>
    <w:rsid w:val="00E07D93"/>
    <w:rsid w:val="00E11EE9"/>
    <w:rsid w:val="00E15669"/>
    <w:rsid w:val="00E17EE3"/>
    <w:rsid w:val="00E22704"/>
    <w:rsid w:val="00E271CF"/>
    <w:rsid w:val="00E27B6E"/>
    <w:rsid w:val="00E27CD2"/>
    <w:rsid w:val="00E365EA"/>
    <w:rsid w:val="00E545D5"/>
    <w:rsid w:val="00E775D1"/>
    <w:rsid w:val="00E94314"/>
    <w:rsid w:val="00EC4735"/>
    <w:rsid w:val="00EE0FAB"/>
    <w:rsid w:val="00EE5DCA"/>
    <w:rsid w:val="00EF1C8F"/>
    <w:rsid w:val="00EF2031"/>
    <w:rsid w:val="00EF6751"/>
    <w:rsid w:val="00F104DD"/>
    <w:rsid w:val="00F17435"/>
    <w:rsid w:val="00F40116"/>
    <w:rsid w:val="00F475CD"/>
    <w:rsid w:val="00F562AE"/>
    <w:rsid w:val="00F61C86"/>
    <w:rsid w:val="00F715FE"/>
    <w:rsid w:val="00F802CD"/>
    <w:rsid w:val="00F848B1"/>
    <w:rsid w:val="00F85027"/>
    <w:rsid w:val="00F97A3C"/>
    <w:rsid w:val="00FA473B"/>
    <w:rsid w:val="00FA686B"/>
    <w:rsid w:val="00FC1C98"/>
    <w:rsid w:val="00FE04FC"/>
    <w:rsid w:val="00FE2100"/>
    <w:rsid w:val="00FE5B97"/>
    <w:rsid w:val="00FF22C1"/>
    <w:rsid w:val="00FF27A2"/>
    <w:rsid w:val="05A33CA2"/>
    <w:rsid w:val="0E6B9685"/>
    <w:rsid w:val="0FDE0F4A"/>
    <w:rsid w:val="0FF58D8A"/>
    <w:rsid w:val="11B6590B"/>
    <w:rsid w:val="13013637"/>
    <w:rsid w:val="172221CF"/>
    <w:rsid w:val="1A00269A"/>
    <w:rsid w:val="1E5E6650"/>
    <w:rsid w:val="1E7718BE"/>
    <w:rsid w:val="1F974B1B"/>
    <w:rsid w:val="28483CB7"/>
    <w:rsid w:val="2DD53583"/>
    <w:rsid w:val="357DE063"/>
    <w:rsid w:val="3BF77240"/>
    <w:rsid w:val="3BF7FB9F"/>
    <w:rsid w:val="3CF706E3"/>
    <w:rsid w:val="3E5FA4D5"/>
    <w:rsid w:val="4D7FF143"/>
    <w:rsid w:val="537F0F3A"/>
    <w:rsid w:val="56FEF39B"/>
    <w:rsid w:val="575E3187"/>
    <w:rsid w:val="57AF8929"/>
    <w:rsid w:val="57BC31D0"/>
    <w:rsid w:val="5AFF3F86"/>
    <w:rsid w:val="5FBAFCD9"/>
    <w:rsid w:val="5FBF9A54"/>
    <w:rsid w:val="5FFF1C46"/>
    <w:rsid w:val="68FF1664"/>
    <w:rsid w:val="6B831D83"/>
    <w:rsid w:val="6BB04F05"/>
    <w:rsid w:val="6D9E3749"/>
    <w:rsid w:val="6EBFE96F"/>
    <w:rsid w:val="6F5609C7"/>
    <w:rsid w:val="70FCC717"/>
    <w:rsid w:val="72DA55A2"/>
    <w:rsid w:val="73BF4C7F"/>
    <w:rsid w:val="73F8E1B8"/>
    <w:rsid w:val="747BD156"/>
    <w:rsid w:val="74DBEF0B"/>
    <w:rsid w:val="751C0D43"/>
    <w:rsid w:val="77FE495E"/>
    <w:rsid w:val="77FFC286"/>
    <w:rsid w:val="7ACB7F5B"/>
    <w:rsid w:val="7BCFCD43"/>
    <w:rsid w:val="7CF9EA3A"/>
    <w:rsid w:val="7D6710C7"/>
    <w:rsid w:val="7DBCF7DE"/>
    <w:rsid w:val="7DDA9319"/>
    <w:rsid w:val="7F1EE5D1"/>
    <w:rsid w:val="7F5FA9DB"/>
    <w:rsid w:val="7FBC7BEE"/>
    <w:rsid w:val="7FCFDCE3"/>
    <w:rsid w:val="7FDBB7BD"/>
    <w:rsid w:val="7FDF48C2"/>
    <w:rsid w:val="7FEBB92E"/>
    <w:rsid w:val="9F9B8431"/>
    <w:rsid w:val="AFC5B413"/>
    <w:rsid w:val="B9CEAE57"/>
    <w:rsid w:val="BBFEAAC8"/>
    <w:rsid w:val="CEBB02BF"/>
    <w:rsid w:val="CFCE2A70"/>
    <w:rsid w:val="DDFFE763"/>
    <w:rsid w:val="E7BEC326"/>
    <w:rsid w:val="E7FF6A3C"/>
    <w:rsid w:val="EBFF0C5F"/>
    <w:rsid w:val="EDB344A9"/>
    <w:rsid w:val="EF6C5F42"/>
    <w:rsid w:val="EFFF4136"/>
    <w:rsid w:val="F6B79DB4"/>
    <w:rsid w:val="F7FF0416"/>
    <w:rsid w:val="FA7F4D6E"/>
    <w:rsid w:val="FAF76079"/>
    <w:rsid w:val="FBBD5908"/>
    <w:rsid w:val="FBFF2A3C"/>
    <w:rsid w:val="FD9F9B3B"/>
    <w:rsid w:val="FFBFC6BB"/>
    <w:rsid w:val="FFFC9EDD"/>
    <w:rsid w:val="FFFF1EA2"/>
    <w:rsid w:val="FFFF7F9D"/>
    <w:rsid w:val="FFFFF95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ocked="1"/>
    <w:lsdException w:qFormat="1"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qFormat="1" w:unhideWhenUsed="0"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14">
    <w:name w:val="Default Paragraph Font"/>
    <w:semiHidden/>
    <w:qFormat/>
    <w:uiPriority w:val="99"/>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qFormat/>
    <w:locked/>
    <w:uiPriority w:val="0"/>
    <w:pPr>
      <w:ind w:left="420" w:leftChars="200"/>
    </w:pPr>
  </w:style>
  <w:style w:type="paragraph" w:styleId="3">
    <w:name w:val="Normal Indent"/>
    <w:basedOn w:val="1"/>
    <w:semiHidden/>
    <w:qFormat/>
    <w:uiPriority w:val="99"/>
    <w:pPr>
      <w:ind w:firstLine="567"/>
      <w:jc w:val="left"/>
    </w:pPr>
    <w:rPr>
      <w:rFonts w:ascii="Times New Roman" w:hAnsi="Times New Roman" w:cs="Times New Roman"/>
      <w:sz w:val="28"/>
      <w:szCs w:val="28"/>
    </w:rPr>
  </w:style>
  <w:style w:type="paragraph" w:styleId="4">
    <w:name w:val="annotation text"/>
    <w:basedOn w:val="1"/>
    <w:link w:val="27"/>
    <w:semiHidden/>
    <w:qFormat/>
    <w:uiPriority w:val="99"/>
    <w:pPr>
      <w:jc w:val="left"/>
    </w:pPr>
    <w:rPr>
      <w:sz w:val="24"/>
      <w:szCs w:val="24"/>
    </w:rPr>
  </w:style>
  <w:style w:type="paragraph" w:styleId="5">
    <w:name w:val="Body Text"/>
    <w:basedOn w:val="1"/>
    <w:next w:val="6"/>
    <w:link w:val="23"/>
    <w:qFormat/>
    <w:uiPriority w:val="99"/>
    <w:pPr>
      <w:spacing w:after="120"/>
    </w:pPr>
    <w:rPr>
      <w:kern w:val="0"/>
      <w:sz w:val="20"/>
      <w:szCs w:val="20"/>
    </w:rPr>
  </w:style>
  <w:style w:type="paragraph" w:styleId="6">
    <w:name w:val="toc 1"/>
    <w:basedOn w:val="1"/>
    <w:next w:val="1"/>
    <w:qFormat/>
    <w:locked/>
    <w:uiPriority w:val="99"/>
    <w:pPr>
      <w:spacing w:before="120" w:after="120"/>
      <w:jc w:val="left"/>
    </w:pPr>
    <w:rPr>
      <w:b/>
      <w:bCs/>
      <w:caps/>
      <w:sz w:val="20"/>
      <w:szCs w:val="20"/>
    </w:rPr>
  </w:style>
  <w:style w:type="paragraph" w:styleId="7">
    <w:name w:val="Body Text Indent"/>
    <w:basedOn w:val="1"/>
    <w:link w:val="20"/>
    <w:semiHidden/>
    <w:qFormat/>
    <w:uiPriority w:val="99"/>
    <w:pPr>
      <w:spacing w:after="120"/>
      <w:ind w:left="420" w:leftChars="200"/>
    </w:pPr>
    <w:rPr>
      <w:rFonts w:ascii="宋体" w:hAnsi="宋体" w:cs="宋体"/>
      <w:sz w:val="24"/>
      <w:szCs w:val="24"/>
    </w:rPr>
  </w:style>
  <w:style w:type="paragraph" w:styleId="8">
    <w:name w:val="Plain Text"/>
    <w:basedOn w:val="1"/>
    <w:link w:val="26"/>
    <w:semiHidden/>
    <w:qFormat/>
    <w:uiPriority w:val="99"/>
    <w:rPr>
      <w:rFonts w:ascii="宋体" w:hAnsi="Courier New" w:cs="宋体"/>
    </w:rPr>
  </w:style>
  <w:style w:type="paragraph" w:styleId="9">
    <w:name w:val="Body Text Indent 2"/>
    <w:basedOn w:val="1"/>
    <w:link w:val="31"/>
    <w:qFormat/>
    <w:uiPriority w:val="99"/>
    <w:pPr>
      <w:spacing w:after="120" w:line="480" w:lineRule="auto"/>
      <w:ind w:left="420" w:leftChars="200"/>
    </w:pPr>
  </w:style>
  <w:style w:type="paragraph" w:styleId="10">
    <w:name w:val="footer"/>
    <w:basedOn w:val="1"/>
    <w:link w:val="17"/>
    <w:qFormat/>
    <w:uiPriority w:val="99"/>
    <w:pPr>
      <w:tabs>
        <w:tab w:val="center" w:pos="4153"/>
        <w:tab w:val="right" w:pos="8306"/>
      </w:tabs>
      <w:snapToGrid w:val="0"/>
      <w:jc w:val="left"/>
    </w:pPr>
    <w:rPr>
      <w:kern w:val="0"/>
      <w:sz w:val="18"/>
      <w:szCs w:val="18"/>
    </w:rPr>
  </w:style>
  <w:style w:type="paragraph" w:styleId="11">
    <w:name w:val="header"/>
    <w:basedOn w:val="1"/>
    <w:link w:val="29"/>
    <w:qFormat/>
    <w:uiPriority w:val="99"/>
    <w:pPr>
      <w:pBdr>
        <w:bottom w:val="single" w:color="auto" w:sz="6" w:space="1"/>
      </w:pBdr>
      <w:tabs>
        <w:tab w:val="center" w:pos="4153"/>
        <w:tab w:val="right" w:pos="8306"/>
      </w:tabs>
      <w:snapToGrid w:val="0"/>
      <w:jc w:val="center"/>
    </w:pPr>
    <w:rPr>
      <w:kern w:val="0"/>
      <w:sz w:val="18"/>
      <w:szCs w:val="18"/>
    </w:rPr>
  </w:style>
  <w:style w:type="paragraph" w:styleId="12">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character" w:styleId="15">
    <w:name w:val="page number"/>
    <w:basedOn w:val="14"/>
    <w:qFormat/>
    <w:uiPriority w:val="99"/>
    <w:rPr>
      <w:rFonts w:cs="Times New Roman"/>
    </w:rPr>
  </w:style>
  <w:style w:type="paragraph" w:customStyle="1" w:styleId="16">
    <w:name w:val="p17"/>
    <w:basedOn w:val="1"/>
    <w:semiHidden/>
    <w:qFormat/>
    <w:uiPriority w:val="99"/>
    <w:pPr>
      <w:widowControl/>
    </w:pPr>
    <w:rPr>
      <w:kern w:val="0"/>
    </w:rPr>
  </w:style>
  <w:style w:type="character" w:customStyle="1" w:styleId="17">
    <w:name w:val="Footer Char"/>
    <w:basedOn w:val="14"/>
    <w:link w:val="10"/>
    <w:semiHidden/>
    <w:qFormat/>
    <w:locked/>
    <w:uiPriority w:val="99"/>
    <w:rPr>
      <w:rFonts w:cs="Times New Roman"/>
      <w:sz w:val="18"/>
      <w:szCs w:val="18"/>
    </w:rPr>
  </w:style>
  <w:style w:type="character" w:customStyle="1" w:styleId="18">
    <w:name w:val="博士论文正文 Char3"/>
    <w:link w:val="19"/>
    <w:qFormat/>
    <w:locked/>
    <w:uiPriority w:val="99"/>
    <w:rPr>
      <w:sz w:val="24"/>
    </w:rPr>
  </w:style>
  <w:style w:type="paragraph" w:customStyle="1" w:styleId="19">
    <w:name w:val="博士论文正文"/>
    <w:basedOn w:val="1"/>
    <w:link w:val="18"/>
    <w:qFormat/>
    <w:uiPriority w:val="99"/>
    <w:pPr>
      <w:snapToGrid w:val="0"/>
      <w:spacing w:beforeLines="20" w:line="360" w:lineRule="auto"/>
      <w:ind w:firstLine="200" w:firstLineChars="200"/>
    </w:pPr>
    <w:rPr>
      <w:rFonts w:cs="Times New Roman"/>
      <w:kern w:val="0"/>
      <w:sz w:val="24"/>
      <w:szCs w:val="20"/>
    </w:rPr>
  </w:style>
  <w:style w:type="character" w:customStyle="1" w:styleId="20">
    <w:name w:val="Body Text Indent Char"/>
    <w:basedOn w:val="14"/>
    <w:link w:val="7"/>
    <w:semiHidden/>
    <w:qFormat/>
    <w:locked/>
    <w:uiPriority w:val="99"/>
    <w:rPr>
      <w:rFonts w:ascii="宋体" w:hAnsi="宋体" w:eastAsia="宋体" w:cs="宋体"/>
      <w:kern w:val="2"/>
      <w:sz w:val="24"/>
      <w:szCs w:val="24"/>
      <w:lang w:val="en-US" w:eastAsia="zh-CN"/>
    </w:rPr>
  </w:style>
  <w:style w:type="paragraph" w:customStyle="1" w:styleId="21">
    <w:name w:val="p0"/>
    <w:basedOn w:val="1"/>
    <w:qFormat/>
    <w:uiPriority w:val="99"/>
    <w:pPr>
      <w:widowControl/>
    </w:pPr>
    <w:rPr>
      <w:rFonts w:ascii="Times New Roman" w:hAnsi="Times New Roman" w:cs="Times New Roman"/>
      <w:kern w:val="0"/>
    </w:rPr>
  </w:style>
  <w:style w:type="paragraph" w:customStyle="1" w:styleId="22">
    <w:name w:val="Heading 31"/>
    <w:basedOn w:val="1"/>
    <w:qFormat/>
    <w:uiPriority w:val="99"/>
    <w:pPr>
      <w:autoSpaceDE w:val="0"/>
      <w:autoSpaceDN w:val="0"/>
      <w:adjustRightInd w:val="0"/>
      <w:ind w:left="118"/>
      <w:jc w:val="left"/>
      <w:outlineLvl w:val="2"/>
    </w:pPr>
    <w:rPr>
      <w:rFonts w:ascii="宋体" w:hAnsi="Times New Roman" w:cs="宋体"/>
      <w:b/>
      <w:bCs/>
      <w:kern w:val="0"/>
      <w:sz w:val="24"/>
      <w:szCs w:val="24"/>
    </w:rPr>
  </w:style>
  <w:style w:type="character" w:customStyle="1" w:styleId="23">
    <w:name w:val="Body Text Char"/>
    <w:basedOn w:val="14"/>
    <w:link w:val="5"/>
    <w:semiHidden/>
    <w:qFormat/>
    <w:locked/>
    <w:uiPriority w:val="99"/>
    <w:rPr>
      <w:rFonts w:cs="Times New Roman"/>
    </w:rPr>
  </w:style>
  <w:style w:type="paragraph" w:customStyle="1" w:styleId="24">
    <w:name w:val="Default"/>
    <w:basedOn w:val="25"/>
    <w:next w:val="1"/>
    <w:qFormat/>
    <w:uiPriority w:val="99"/>
    <w:pPr>
      <w:widowControl w:val="0"/>
      <w:autoSpaceDE w:val="0"/>
      <w:autoSpaceDN w:val="0"/>
      <w:adjustRightInd w:val="0"/>
    </w:pPr>
    <w:rPr>
      <w:rFonts w:ascii="宋体谥耎..." w:hAnsi="Calibri" w:eastAsia="宋体谥耎..." w:cs="宋体谥耎..."/>
      <w:color w:val="000000"/>
      <w:kern w:val="0"/>
      <w:sz w:val="24"/>
      <w:szCs w:val="24"/>
      <w:lang w:val="en-US" w:eastAsia="zh-CN" w:bidi="ar-SA"/>
    </w:rPr>
  </w:style>
  <w:style w:type="paragraph" w:customStyle="1" w:styleId="25">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
    <w:name w:val="Plain Text Char"/>
    <w:basedOn w:val="14"/>
    <w:link w:val="8"/>
    <w:semiHidden/>
    <w:qFormat/>
    <w:locked/>
    <w:uiPriority w:val="99"/>
    <w:rPr>
      <w:rFonts w:ascii="宋体" w:hAnsi="Courier New" w:eastAsia="宋体" w:cs="宋体"/>
      <w:kern w:val="2"/>
      <w:sz w:val="21"/>
      <w:szCs w:val="21"/>
      <w:lang w:val="en-US" w:eastAsia="zh-CN"/>
    </w:rPr>
  </w:style>
  <w:style w:type="character" w:customStyle="1" w:styleId="27">
    <w:name w:val="Comment Text Char"/>
    <w:basedOn w:val="14"/>
    <w:link w:val="4"/>
    <w:semiHidden/>
    <w:qFormat/>
    <w:locked/>
    <w:uiPriority w:val="99"/>
    <w:rPr>
      <w:rFonts w:eastAsia="宋体" w:cs="Times New Roman"/>
      <w:kern w:val="2"/>
      <w:sz w:val="24"/>
      <w:szCs w:val="24"/>
      <w:lang w:val="en-US" w:eastAsia="zh-CN"/>
    </w:rPr>
  </w:style>
  <w:style w:type="character" w:customStyle="1" w:styleId="28">
    <w:name w:val="style41"/>
    <w:qFormat/>
    <w:uiPriority w:val="99"/>
    <w:rPr>
      <w:sz w:val="18"/>
    </w:rPr>
  </w:style>
  <w:style w:type="character" w:customStyle="1" w:styleId="29">
    <w:name w:val="Header Char"/>
    <w:basedOn w:val="14"/>
    <w:link w:val="11"/>
    <w:qFormat/>
    <w:locked/>
    <w:uiPriority w:val="99"/>
    <w:rPr>
      <w:rFonts w:cs="Times New Roman"/>
      <w:sz w:val="18"/>
      <w:szCs w:val="18"/>
    </w:rPr>
  </w:style>
  <w:style w:type="paragraph" w:customStyle="1" w:styleId="30">
    <w:name w:val="5"/>
    <w:basedOn w:val="1"/>
    <w:next w:val="1"/>
    <w:qFormat/>
    <w:uiPriority w:val="99"/>
    <w:pPr>
      <w:spacing w:line="360" w:lineRule="auto"/>
      <w:ind w:firstLine="200" w:firstLineChars="200"/>
    </w:pPr>
    <w:rPr>
      <w:rFonts w:ascii="宋体" w:hAnsi="宋体" w:cs="宋体"/>
      <w:sz w:val="24"/>
      <w:szCs w:val="24"/>
    </w:rPr>
  </w:style>
  <w:style w:type="character" w:customStyle="1" w:styleId="31">
    <w:name w:val="Body Text Indent 2 Char"/>
    <w:basedOn w:val="14"/>
    <w:link w:val="9"/>
    <w:semiHidden/>
    <w:qFormat/>
    <w:uiPriority w:val="99"/>
    <w:rPr>
      <w:rFonts w:cs="Calibri"/>
      <w:szCs w:val="21"/>
    </w:rPr>
  </w:style>
  <w:style w:type="paragraph" w:customStyle="1" w:styleId="32">
    <w:name w:val="报告表正文"/>
    <w:basedOn w:val="1"/>
    <w:qFormat/>
    <w:uiPriority w:val="99"/>
    <w:pPr>
      <w:spacing w:line="360" w:lineRule="auto"/>
      <w:ind w:firstLine="200" w:firstLineChars="200"/>
    </w:pPr>
    <w:rPr>
      <w:rFonts w:ascii="??" w:eastAsia="Times New Roman"/>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www.ftpdown.com</Company>
  <Pages>5</Pages>
  <Words>2156</Words>
  <Characters>2251</Characters>
  <Lines>0</Lines>
  <Paragraphs>0</Paragraphs>
  <TotalTime>4</TotalTime>
  <ScaleCrop>false</ScaleCrop>
  <LinksUpToDate>false</LinksUpToDate>
  <CharactersWithSpaces>2258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2021-01-08T21:23:00Z</dcterms:created>
  <dc:creator>Administrator</dc:creator>
  <cp:lastModifiedBy>盛誉</cp:lastModifiedBy>
  <cp:lastPrinted>2021-01-08T21:27:00Z</cp:lastPrinted>
  <dcterms:modified xsi:type="dcterms:W3CDTF">2025-04-30T02:10:23Z</dcterms:modified>
  <dc:title>四环审（表）字[2018] 45号</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5164172110614EEEB9A77986325643C6</vt:lpwstr>
  </property>
  <property fmtid="{D5CDD505-2E9C-101B-9397-08002B2CF9AE}" pid="4" name="KSOTemplateDocerSaveRecord">
    <vt:lpwstr>eyJoZGlkIjoiNTAxNTgzMTE3N2U5NDE0MDk4MzUwY2QwNjAxMDdhNjAiLCJ1c2VySWQiOiI1MjAyNjEwMzYifQ==</vt:lpwstr>
  </property>
</Properties>
</file>